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118110</wp:posOffset>
            </wp:positionV>
            <wp:extent cx="2228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6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92075</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20" w:right="3119" w:firstLine="6"/>
        <w:spacing w:after="0" w:line="287" w:lineRule="exact"/>
        <w:tabs>
          <w:tab w:leader="none" w:pos="6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8"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03" w:lineRule="exact"/>
        <w:rPr>
          <w:sz w:val="24"/>
          <w:szCs w:val="24"/>
          <w:color w:val="auto"/>
        </w:rPr>
      </w:pPr>
    </w:p>
    <w:p>
      <w:pPr>
        <w:ind w:left="2920"/>
        <w:spacing w:after="0"/>
        <w:rPr>
          <w:sz w:val="20"/>
          <w:szCs w:val="20"/>
          <w:color w:val="auto"/>
        </w:rPr>
      </w:pPr>
      <w:r>
        <w:rPr>
          <w:rFonts w:ascii="Arial" w:cs="Arial" w:eastAsia="Arial" w:hAnsi="Arial"/>
          <w:sz w:val="36"/>
          <w:szCs w:val="36"/>
          <w:b w:val="1"/>
          <w:bCs w:val="1"/>
          <w:color w:val="auto"/>
        </w:rPr>
        <w:t>ON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146685</wp:posOffset>
            </wp:positionV>
            <wp:extent cx="6163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30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292100</wp:posOffset>
            </wp:positionV>
            <wp:extent cx="6163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660" w:hanging="63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660" w:hanging="63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59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59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706120</wp:posOffset>
            </wp:positionV>
            <wp:extent cx="245999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59990" cy="50609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97D2E"/>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38735</wp:posOffset>
            </wp:positionV>
            <wp:extent cx="41148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820" w:type="dxa"/>
            <w:vAlign w:val="bottom"/>
            <w:vMerge w:val="restart"/>
          </w:tcPr>
          <w:p>
            <w:pPr>
              <w:jc w:val="center"/>
              <w:ind w:right="434"/>
              <w:spacing w:after="0"/>
              <w:rPr>
                <w:sz w:val="20"/>
                <w:szCs w:val="20"/>
                <w:color w:val="auto"/>
              </w:rPr>
            </w:pPr>
            <w:r>
              <w:rPr>
                <w:rFonts w:ascii="Arial" w:cs="Arial" w:eastAsia="Arial" w:hAnsi="Arial"/>
                <w:sz w:val="16"/>
                <w:szCs w:val="16"/>
                <w:b w:val="1"/>
                <w:bCs w:val="1"/>
                <w:color w:val="auto"/>
                <w:w w:val="96"/>
              </w:rPr>
              <w:t>DATE</w:t>
            </w:r>
          </w:p>
        </w:tc>
        <w:tc>
          <w:tcPr>
            <w:tcW w:w="2420" w:type="dxa"/>
            <w:vAlign w:val="bottom"/>
            <w:vMerge w:val="restart"/>
          </w:tcPr>
          <w:p>
            <w:pPr>
              <w:jc w:val="center"/>
              <w:ind w:right="1079"/>
              <w:spacing w:after="0"/>
              <w:rPr>
                <w:sz w:val="20"/>
                <w:szCs w:val="20"/>
                <w:color w:val="auto"/>
              </w:rPr>
            </w:pPr>
            <w:r>
              <w:rPr>
                <w:rFonts w:ascii="Arial" w:cs="Arial" w:eastAsia="Arial" w:hAnsi="Arial"/>
                <w:sz w:val="16"/>
                <w:szCs w:val="16"/>
                <w:b w:val="1"/>
                <w:bCs w:val="1"/>
                <w:color w:val="auto"/>
                <w:w w:val="99"/>
              </w:rPr>
              <w:t>TIME</w:t>
            </w:r>
          </w:p>
        </w:tc>
        <w:tc>
          <w:tcPr>
            <w:tcW w:w="232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rPr>
              <w:t>LOCATION</w:t>
            </w: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2320" w:type="dxa"/>
            <w:vAlign w:val="bottom"/>
            <w:gridSpan w:val="2"/>
            <w:vMerge w:val="restart"/>
          </w:tcPr>
          <w:p>
            <w:pPr>
              <w:jc w:val="center"/>
              <w:ind w:left="139"/>
              <w:spacing w:after="0" w:line="162" w:lineRule="exact"/>
              <w:rPr>
                <w:sz w:val="20"/>
                <w:szCs w:val="20"/>
                <w:color w:val="auto"/>
              </w:rPr>
            </w:pPr>
            <w:r>
              <w:rPr>
                <w:rFonts w:ascii="Arial" w:cs="Arial" w:eastAsia="Arial" w:hAnsi="Arial"/>
                <w:sz w:val="16"/>
                <w:szCs w:val="16"/>
                <w:color w:val="auto"/>
              </w:rPr>
              <w:t>Principal Executive Offices at</w:t>
            </w:r>
          </w:p>
        </w:tc>
        <w:tc>
          <w:tcPr>
            <w:tcW w:w="1700" w:type="dxa"/>
            <w:vAlign w:val="bottom"/>
          </w:tcPr>
          <w:p>
            <w:pPr>
              <w:spacing w:after="0"/>
              <w:rPr>
                <w:sz w:val="7"/>
                <w:szCs w:val="7"/>
                <w:color w:val="auto"/>
              </w:rPr>
            </w:pPr>
          </w:p>
        </w:tc>
        <w:tc>
          <w:tcPr>
            <w:tcW w:w="1480" w:type="dxa"/>
            <w:vAlign w:val="bottom"/>
            <w:gridSpan w:val="2"/>
            <w:vMerge w:val="restart"/>
          </w:tcPr>
          <w:p>
            <w:pPr>
              <w:spacing w:after="0" w:line="162" w:lineRule="exact"/>
              <w:rPr>
                <w:sz w:val="20"/>
                <w:szCs w:val="20"/>
                <w:color w:val="auto"/>
              </w:rPr>
            </w:pPr>
            <w:r>
              <w:rPr>
                <w:rFonts w:ascii="Arial" w:cs="Arial" w:eastAsia="Arial" w:hAnsi="Arial"/>
                <w:sz w:val="16"/>
                <w:szCs w:val="16"/>
                <w:b w:val="1"/>
                <w:bCs w:val="1"/>
                <w:color w:val="auto"/>
              </w:rPr>
              <w:t>RECORD DATE</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restart"/>
          </w:tcPr>
          <w:p>
            <w:pPr>
              <w:jc w:val="center"/>
              <w:ind w:right="434"/>
              <w:spacing w:after="0" w:line="162" w:lineRule="exact"/>
              <w:rPr>
                <w:sz w:val="20"/>
                <w:szCs w:val="20"/>
                <w:color w:val="auto"/>
              </w:rPr>
            </w:pPr>
            <w:r>
              <w:rPr>
                <w:rFonts w:ascii="Arial" w:cs="Arial" w:eastAsia="Arial" w:hAnsi="Arial"/>
                <w:sz w:val="16"/>
                <w:szCs w:val="16"/>
                <w:color w:val="auto"/>
                <w:w w:val="98"/>
              </w:rPr>
              <w:t>Thursday,</w:t>
            </w:r>
          </w:p>
        </w:tc>
        <w:tc>
          <w:tcPr>
            <w:tcW w:w="2420" w:type="dxa"/>
            <w:vAlign w:val="bottom"/>
            <w:vMerge w:val="restart"/>
          </w:tcPr>
          <w:p>
            <w:pPr>
              <w:jc w:val="center"/>
              <w:ind w:right="1079"/>
              <w:spacing w:after="0" w:line="162" w:lineRule="exact"/>
              <w:rPr>
                <w:sz w:val="20"/>
                <w:szCs w:val="20"/>
                <w:color w:val="auto"/>
              </w:rPr>
            </w:pPr>
            <w:r>
              <w:rPr>
                <w:rFonts w:ascii="Arial" w:cs="Arial" w:eastAsia="Arial" w:hAnsi="Arial"/>
                <w:sz w:val="16"/>
                <w:szCs w:val="16"/>
                <w:color w:val="auto"/>
                <w:w w:val="98"/>
              </w:rPr>
              <w:t>8:00 a.m.</w:t>
            </w:r>
          </w:p>
        </w:tc>
        <w:tc>
          <w:tcPr>
            <w:tcW w:w="23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2320" w:type="dxa"/>
            <w:vAlign w:val="bottom"/>
            <w:gridSpan w:val="2"/>
            <w:vMerge w:val="restart"/>
          </w:tcPr>
          <w:p>
            <w:pPr>
              <w:jc w:val="center"/>
              <w:ind w:left="159"/>
              <w:spacing w:after="0" w:line="162" w:lineRule="exact"/>
              <w:rPr>
                <w:sz w:val="20"/>
                <w:szCs w:val="20"/>
                <w:color w:val="auto"/>
              </w:rPr>
            </w:pPr>
            <w:r>
              <w:rPr>
                <w:rFonts w:ascii="Arial" w:cs="Arial" w:eastAsia="Arial" w:hAnsi="Arial"/>
                <w:sz w:val="16"/>
                <w:szCs w:val="16"/>
                <w:color w:val="auto"/>
              </w:rPr>
              <w:t>5701 North Pima Road</w:t>
            </w:r>
          </w:p>
        </w:tc>
        <w:tc>
          <w:tcPr>
            <w:tcW w:w="1700" w:type="dxa"/>
            <w:vAlign w:val="bottom"/>
          </w:tcPr>
          <w:p>
            <w:pPr>
              <w:spacing w:after="0"/>
              <w:rPr>
                <w:sz w:val="7"/>
                <w:szCs w:val="7"/>
                <w:color w:val="auto"/>
              </w:rPr>
            </w:pPr>
          </w:p>
        </w:tc>
        <w:tc>
          <w:tcPr>
            <w:tcW w:w="148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March 19, 2024</w:t>
            </w: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vMerge w:val="restart"/>
          </w:tcPr>
          <w:p>
            <w:pPr>
              <w:jc w:val="center"/>
              <w:ind w:right="434"/>
              <w:spacing w:after="0"/>
              <w:rPr>
                <w:sz w:val="20"/>
                <w:szCs w:val="20"/>
                <w:color w:val="auto"/>
              </w:rPr>
            </w:pPr>
            <w:r>
              <w:rPr>
                <w:rFonts w:ascii="Arial" w:cs="Arial" w:eastAsia="Arial" w:hAnsi="Arial"/>
                <w:sz w:val="16"/>
                <w:szCs w:val="16"/>
                <w:color w:val="auto"/>
              </w:rPr>
              <w:t>May 16, 2024</w:t>
            </w:r>
          </w:p>
        </w:tc>
        <w:tc>
          <w:tcPr>
            <w:tcW w:w="2420" w:type="dxa"/>
            <w:vAlign w:val="bottom"/>
            <w:vMerge w:val="restart"/>
          </w:tcPr>
          <w:p>
            <w:pPr>
              <w:jc w:val="center"/>
              <w:ind w:right="1079"/>
              <w:spacing w:after="0"/>
              <w:rPr>
                <w:sz w:val="20"/>
                <w:szCs w:val="20"/>
                <w:color w:val="auto"/>
              </w:rPr>
            </w:pPr>
            <w:r>
              <w:rPr>
                <w:rFonts w:ascii="Arial" w:cs="Arial" w:eastAsia="Arial" w:hAnsi="Arial"/>
                <w:sz w:val="16"/>
                <w:szCs w:val="16"/>
                <w:color w:val="auto"/>
                <w:w w:val="99"/>
              </w:rPr>
              <w:t>Local Time</w:t>
            </w:r>
          </w:p>
        </w:tc>
        <w:tc>
          <w:tcPr>
            <w:tcW w:w="23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2420" w:type="dxa"/>
            <w:vAlign w:val="bottom"/>
            <w:vMerge w:val="continue"/>
          </w:tcPr>
          <w:p>
            <w:pPr>
              <w:spacing w:after="0"/>
              <w:rPr>
                <w:sz w:val="11"/>
                <w:szCs w:val="11"/>
                <w:color w:val="auto"/>
              </w:rPr>
            </w:pPr>
          </w:p>
        </w:tc>
        <w:tc>
          <w:tcPr>
            <w:tcW w:w="2320" w:type="dxa"/>
            <w:vAlign w:val="bottom"/>
            <w:gridSpan w:val="2"/>
            <w:vMerge w:val="restart"/>
          </w:tcPr>
          <w:p>
            <w:pPr>
              <w:jc w:val="center"/>
              <w:ind w:left="139"/>
              <w:spacing w:after="0"/>
              <w:rPr>
                <w:sz w:val="20"/>
                <w:szCs w:val="20"/>
                <w:color w:val="auto"/>
              </w:rPr>
            </w:pPr>
            <w:r>
              <w:rPr>
                <w:rFonts w:ascii="Arial" w:cs="Arial" w:eastAsia="Arial" w:hAnsi="Arial"/>
                <w:sz w:val="16"/>
                <w:szCs w:val="16"/>
                <w:color w:val="auto"/>
              </w:rPr>
              <w:t>Scottsdale, Arizona 85250</w:t>
            </w:r>
          </w:p>
        </w:tc>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460" w:type="dxa"/>
            <w:vAlign w:val="bottom"/>
            <w:shd w:val="clear" w:color="auto" w:fill="465E66"/>
          </w:tcPr>
          <w:p>
            <w:pPr>
              <w:spacing w:after="0"/>
              <w:rPr>
                <w:sz w:val="24"/>
                <w:szCs w:val="24"/>
                <w:color w:val="auto"/>
              </w:rPr>
            </w:pPr>
          </w:p>
        </w:tc>
        <w:tc>
          <w:tcPr>
            <w:tcW w:w="2820" w:type="dxa"/>
            <w:vAlign w:val="bottom"/>
            <w:shd w:val="clear" w:color="auto" w:fill="465E66"/>
          </w:tcPr>
          <w:p>
            <w:pPr>
              <w:spacing w:after="0"/>
              <w:rPr>
                <w:sz w:val="24"/>
                <w:szCs w:val="24"/>
                <w:color w:val="auto"/>
              </w:rPr>
            </w:pPr>
          </w:p>
        </w:tc>
        <w:tc>
          <w:tcPr>
            <w:tcW w:w="2420" w:type="dxa"/>
            <w:vAlign w:val="bottom"/>
            <w:shd w:val="clear" w:color="auto" w:fill="465E66"/>
          </w:tcPr>
          <w:p>
            <w:pPr>
              <w:spacing w:after="0"/>
              <w:rPr>
                <w:sz w:val="24"/>
                <w:szCs w:val="24"/>
                <w:color w:val="auto"/>
              </w:rPr>
            </w:pPr>
          </w:p>
        </w:tc>
        <w:tc>
          <w:tcPr>
            <w:tcW w:w="1980" w:type="dxa"/>
            <w:vAlign w:val="bottom"/>
            <w:shd w:val="clear" w:color="auto" w:fill="465E66"/>
          </w:tcPr>
          <w:p>
            <w:pPr>
              <w:spacing w:after="0"/>
              <w:rPr>
                <w:sz w:val="24"/>
                <w:szCs w:val="24"/>
                <w:color w:val="auto"/>
              </w:rPr>
            </w:pPr>
          </w:p>
        </w:tc>
        <w:tc>
          <w:tcPr>
            <w:tcW w:w="340" w:type="dxa"/>
            <w:vAlign w:val="bottom"/>
            <w:shd w:val="clear" w:color="auto" w:fill="465E66"/>
          </w:tcPr>
          <w:p>
            <w:pPr>
              <w:spacing w:after="0"/>
              <w:rPr>
                <w:sz w:val="24"/>
                <w:szCs w:val="24"/>
                <w:color w:val="auto"/>
              </w:rPr>
            </w:pPr>
          </w:p>
        </w:tc>
        <w:tc>
          <w:tcPr>
            <w:tcW w:w="1700" w:type="dxa"/>
            <w:vAlign w:val="bottom"/>
            <w:shd w:val="clear" w:color="auto" w:fill="465E66"/>
          </w:tcPr>
          <w:p>
            <w:pPr>
              <w:spacing w:after="0"/>
              <w:rPr>
                <w:sz w:val="24"/>
                <w:szCs w:val="24"/>
                <w:color w:val="auto"/>
              </w:rPr>
            </w:pPr>
          </w:p>
        </w:tc>
        <w:tc>
          <w:tcPr>
            <w:tcW w:w="380" w:type="dxa"/>
            <w:vAlign w:val="bottom"/>
            <w:shd w:val="clear" w:color="auto" w:fill="465E66"/>
          </w:tcPr>
          <w:p>
            <w:pPr>
              <w:spacing w:after="0"/>
              <w:rPr>
                <w:sz w:val="24"/>
                <w:szCs w:val="24"/>
                <w:color w:val="auto"/>
              </w:rPr>
            </w:pPr>
          </w:p>
        </w:tc>
        <w:tc>
          <w:tcPr>
            <w:tcW w:w="1100" w:type="dxa"/>
            <w:vAlign w:val="bottom"/>
            <w:shd w:val="clear" w:color="auto" w:fill="465E6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shd w:val="clear" w:color="auto" w:fill="F9EAE1"/>
          </w:tcPr>
          <w:p>
            <w:pPr>
              <w:spacing w:after="0"/>
              <w:rPr>
                <w:sz w:val="12"/>
                <w:szCs w:val="12"/>
                <w:color w:val="auto"/>
              </w:rPr>
            </w:pPr>
          </w:p>
        </w:tc>
        <w:tc>
          <w:tcPr>
            <w:tcW w:w="1700" w:type="dxa"/>
            <w:vAlign w:val="bottom"/>
            <w:vMerge w:val="restart"/>
            <w:shd w:val="clear" w:color="auto" w:fill="F9EAE1"/>
          </w:tcPr>
          <w:p>
            <w:pPr>
              <w:jc w:val="center"/>
              <w:spacing w:after="0"/>
              <w:rPr>
                <w:sz w:val="20"/>
                <w:szCs w:val="20"/>
                <w:color w:val="auto"/>
              </w:rPr>
            </w:pPr>
            <w:r>
              <w:rPr>
                <w:rFonts w:ascii="Arial" w:cs="Arial" w:eastAsia="Arial" w:hAnsi="Arial"/>
                <w:sz w:val="14"/>
                <w:szCs w:val="14"/>
                <w:b w:val="1"/>
                <w:bCs w:val="1"/>
                <w:color w:val="auto"/>
              </w:rPr>
              <w:t>Board Recommendation</w:t>
            </w:r>
          </w:p>
        </w:tc>
        <w:tc>
          <w:tcPr>
            <w:tcW w:w="380" w:type="dxa"/>
            <w:vAlign w:val="bottom"/>
            <w:shd w:val="clear" w:color="auto" w:fill="F9EAE1"/>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460" w:type="dxa"/>
            <w:vAlign w:val="bottom"/>
            <w:tcBorders>
              <w:bottom w:val="single" w:sz="8" w:color="E97D2E"/>
            </w:tcBorders>
          </w:tcPr>
          <w:p>
            <w:pPr>
              <w:spacing w:after="0"/>
              <w:rPr>
                <w:sz w:val="16"/>
                <w:szCs w:val="16"/>
                <w:color w:val="auto"/>
              </w:rPr>
            </w:pPr>
          </w:p>
        </w:tc>
        <w:tc>
          <w:tcPr>
            <w:tcW w:w="2820" w:type="dxa"/>
            <w:vAlign w:val="bottom"/>
            <w:tcBorders>
              <w:bottom w:val="single" w:sz="8" w:color="E97D2E"/>
            </w:tcBorders>
          </w:tcPr>
          <w:p>
            <w:pPr>
              <w:spacing w:after="0"/>
              <w:rPr>
                <w:sz w:val="16"/>
                <w:szCs w:val="16"/>
                <w:color w:val="auto"/>
              </w:rPr>
            </w:pPr>
          </w:p>
        </w:tc>
        <w:tc>
          <w:tcPr>
            <w:tcW w:w="2420" w:type="dxa"/>
            <w:vAlign w:val="bottom"/>
            <w:tcBorders>
              <w:bottom w:val="single" w:sz="8" w:color="E97D2E"/>
            </w:tcBorders>
          </w:tcPr>
          <w:p>
            <w:pPr>
              <w:spacing w:after="0"/>
              <w:rPr>
                <w:sz w:val="16"/>
                <w:szCs w:val="16"/>
                <w:color w:val="auto"/>
              </w:rPr>
            </w:pPr>
          </w:p>
        </w:tc>
        <w:tc>
          <w:tcPr>
            <w:tcW w:w="1980" w:type="dxa"/>
            <w:vAlign w:val="bottom"/>
            <w:tcBorders>
              <w:bottom w:val="single" w:sz="8" w:color="E97D2E"/>
            </w:tcBorders>
          </w:tcPr>
          <w:p>
            <w:pPr>
              <w:spacing w:after="0"/>
              <w:rPr>
                <w:sz w:val="16"/>
                <w:szCs w:val="16"/>
                <w:color w:val="auto"/>
              </w:rPr>
            </w:pPr>
          </w:p>
        </w:tc>
        <w:tc>
          <w:tcPr>
            <w:tcW w:w="340" w:type="dxa"/>
            <w:vAlign w:val="bottom"/>
            <w:tcBorders>
              <w:bottom w:val="single" w:sz="8" w:color="E97D2E"/>
            </w:tcBorders>
            <w:shd w:val="clear" w:color="auto" w:fill="F9EAE1"/>
          </w:tcPr>
          <w:p>
            <w:pPr>
              <w:spacing w:after="0"/>
              <w:rPr>
                <w:sz w:val="16"/>
                <w:szCs w:val="16"/>
                <w:color w:val="auto"/>
              </w:rPr>
            </w:pPr>
          </w:p>
        </w:tc>
        <w:tc>
          <w:tcPr>
            <w:tcW w:w="1700" w:type="dxa"/>
            <w:vAlign w:val="bottom"/>
            <w:tcBorders>
              <w:bottom w:val="single" w:sz="8" w:color="E97D2E"/>
            </w:tcBorders>
            <w:vMerge w:val="continue"/>
            <w:shd w:val="clear" w:color="auto" w:fill="F9EAE1"/>
          </w:tcPr>
          <w:p>
            <w:pPr>
              <w:spacing w:after="0"/>
              <w:rPr>
                <w:sz w:val="16"/>
                <w:szCs w:val="16"/>
                <w:color w:val="auto"/>
              </w:rPr>
            </w:pPr>
          </w:p>
        </w:tc>
        <w:tc>
          <w:tcPr>
            <w:tcW w:w="380" w:type="dxa"/>
            <w:vAlign w:val="bottom"/>
            <w:tcBorders>
              <w:bottom w:val="single" w:sz="8" w:color="E97D2E"/>
            </w:tcBorders>
            <w:shd w:val="clear" w:color="auto" w:fill="F9EAE1"/>
          </w:tcPr>
          <w:p>
            <w:pPr>
              <w:spacing w:after="0"/>
              <w:rPr>
                <w:sz w:val="16"/>
                <w:szCs w:val="16"/>
                <w:color w:val="auto"/>
              </w:rPr>
            </w:pPr>
          </w:p>
        </w:tc>
        <w:tc>
          <w:tcPr>
            <w:tcW w:w="1100" w:type="dxa"/>
            <w:vAlign w:val="bottom"/>
            <w:tcBorders>
              <w:bottom w:val="single" w:sz="8" w:color="E97D2E"/>
            </w:tcBorders>
          </w:tcPr>
          <w:p>
            <w:pPr>
              <w:jc w:val="center"/>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183"/>
        </w:trPr>
        <w:tc>
          <w:tcPr>
            <w:tcW w:w="5700" w:type="dxa"/>
            <w:vAlign w:val="bottom"/>
            <w:gridSpan w:val="3"/>
            <w:vMerge w:val="restart"/>
          </w:tcPr>
          <w:p>
            <w:pPr>
              <w:ind w:left="200"/>
              <w:spacing w:after="0"/>
              <w:rPr>
                <w:sz w:val="20"/>
                <w:szCs w:val="20"/>
                <w:color w:val="auto"/>
              </w:rPr>
            </w:pPr>
            <w:r>
              <w:rPr>
                <w:rFonts w:ascii="Arial" w:cs="Arial" w:eastAsia="Arial" w:hAnsi="Arial"/>
                <w:sz w:val="25"/>
                <w:szCs w:val="25"/>
                <w:b w:val="1"/>
                <w:bCs w:val="1"/>
                <w:color w:val="E97D2E"/>
              </w:rPr>
              <w:t xml:space="preserve">1  </w:t>
            </w:r>
            <w:r>
              <w:rPr>
                <w:rFonts w:ascii="Arial" w:cs="Arial" w:eastAsia="Arial" w:hAnsi="Arial"/>
                <w:sz w:val="17"/>
                <w:szCs w:val="17"/>
                <w:b w:val="1"/>
                <w:bCs w:val="1"/>
                <w:color w:val="000000"/>
              </w:rPr>
              <w:t>To elect 10 directors nominated by our Board of Directors</w:t>
            </w:r>
          </w:p>
        </w:tc>
        <w:tc>
          <w:tcPr>
            <w:tcW w:w="1980" w:type="dxa"/>
            <w:vAlign w:val="bottom"/>
          </w:tcPr>
          <w:p>
            <w:pPr>
              <w:spacing w:after="0"/>
              <w:rPr>
                <w:sz w:val="15"/>
                <w:szCs w:val="15"/>
                <w:color w:val="auto"/>
              </w:rPr>
            </w:pPr>
          </w:p>
        </w:tc>
        <w:tc>
          <w:tcPr>
            <w:tcW w:w="340" w:type="dxa"/>
            <w:vAlign w:val="bottom"/>
            <w:shd w:val="clear" w:color="auto" w:fill="F9EAE1"/>
          </w:tcPr>
          <w:p>
            <w:pPr>
              <w:spacing w:after="0"/>
              <w:rPr>
                <w:sz w:val="15"/>
                <w:szCs w:val="15"/>
                <w:color w:val="auto"/>
              </w:rPr>
            </w:pPr>
          </w:p>
        </w:tc>
        <w:tc>
          <w:tcPr>
            <w:tcW w:w="2080" w:type="dxa"/>
            <w:vAlign w:val="bottom"/>
            <w:gridSpan w:val="2"/>
            <w:shd w:val="clear" w:color="auto" w:fill="F9EAE1"/>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FOR each director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57"/>
        </w:trPr>
        <w:tc>
          <w:tcPr>
            <w:tcW w:w="5700" w:type="dxa"/>
            <w:vAlign w:val="bottom"/>
            <w:tcBorders>
              <w:bottom w:val="single" w:sz="8" w:color="auto"/>
            </w:tcBorders>
            <w:gridSpan w:val="3"/>
            <w:vMerge w:val="continue"/>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shd w:val="clear" w:color="auto" w:fill="F9EAE1"/>
          </w:tcPr>
          <w:p>
            <w:pPr>
              <w:spacing w:after="0"/>
              <w:rPr>
                <w:sz w:val="22"/>
                <w:szCs w:val="22"/>
                <w:color w:val="auto"/>
              </w:rPr>
            </w:pPr>
          </w:p>
        </w:tc>
        <w:tc>
          <w:tcPr>
            <w:tcW w:w="1700" w:type="dxa"/>
            <w:vAlign w:val="bottom"/>
            <w:tcBorders>
              <w:bottom w:val="single" w:sz="8" w:color="auto"/>
            </w:tcBorders>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nominee</w:t>
            </w:r>
          </w:p>
        </w:tc>
        <w:tc>
          <w:tcPr>
            <w:tcW w:w="380" w:type="dxa"/>
            <w:vAlign w:val="bottom"/>
            <w:tcBorders>
              <w:bottom w:val="single" w:sz="8" w:color="auto"/>
            </w:tcBorders>
            <w:shd w:val="clear" w:color="auto" w:fill="F9EAE1"/>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60" w:type="dxa"/>
            <w:vAlign w:val="bottom"/>
            <w:vMerge w:val="restart"/>
          </w:tcPr>
          <w:p>
            <w:pPr>
              <w:ind w:left="200"/>
              <w:spacing w:after="0"/>
              <w:rPr>
                <w:sz w:val="20"/>
                <w:szCs w:val="20"/>
                <w:color w:val="auto"/>
              </w:rPr>
            </w:pPr>
            <w:r>
              <w:rPr>
                <w:rFonts w:ascii="Arial" w:cs="Arial" w:eastAsia="Arial" w:hAnsi="Arial"/>
                <w:sz w:val="25"/>
                <w:szCs w:val="25"/>
                <w:b w:val="1"/>
                <w:bCs w:val="1"/>
                <w:color w:val="E97D2E"/>
              </w:rPr>
              <w:t>2</w:t>
            </w:r>
          </w:p>
        </w:tc>
        <w:tc>
          <w:tcPr>
            <w:tcW w:w="722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To vote on an advisory (non-binding) resolution to approve the compensation of</w:t>
            </w:r>
          </w:p>
        </w:tc>
        <w:tc>
          <w:tcPr>
            <w:tcW w:w="340" w:type="dxa"/>
            <w:vAlign w:val="bottom"/>
            <w:shd w:val="clear" w:color="auto" w:fill="F9EAE1"/>
          </w:tcPr>
          <w:p>
            <w:pPr>
              <w:spacing w:after="0"/>
              <w:rPr>
                <w:sz w:val="14"/>
                <w:szCs w:val="14"/>
                <w:color w:val="auto"/>
              </w:rPr>
            </w:pPr>
          </w:p>
        </w:tc>
        <w:tc>
          <w:tcPr>
            <w:tcW w:w="170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380" w:type="dxa"/>
            <w:vAlign w:val="bottom"/>
            <w:shd w:val="clear" w:color="auto" w:fill="F9EAE1"/>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vMerge w:val="continue"/>
          </w:tcPr>
          <w:p>
            <w:pPr>
              <w:spacing w:after="0"/>
              <w:rPr>
                <w:sz w:val="21"/>
                <w:szCs w:val="21"/>
                <w:color w:val="auto"/>
              </w:rPr>
            </w:pPr>
          </w:p>
        </w:tc>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our named executive officers</w:t>
            </w:r>
          </w:p>
        </w:tc>
        <w:tc>
          <w:tcPr>
            <w:tcW w:w="2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shd w:val="clear" w:color="auto" w:fill="F9EAE1"/>
          </w:tcPr>
          <w:p>
            <w:pPr>
              <w:spacing w:after="0"/>
              <w:rPr>
                <w:sz w:val="21"/>
                <w:szCs w:val="21"/>
                <w:color w:val="auto"/>
              </w:rPr>
            </w:pPr>
          </w:p>
        </w:tc>
        <w:tc>
          <w:tcPr>
            <w:tcW w:w="1700" w:type="dxa"/>
            <w:vAlign w:val="bottom"/>
            <w:tcBorders>
              <w:bottom w:val="single" w:sz="8" w:color="auto"/>
            </w:tcBorders>
            <w:vMerge w:val="continue"/>
            <w:shd w:val="clear" w:color="auto" w:fill="F9EAE1"/>
          </w:tcPr>
          <w:p>
            <w:pPr>
              <w:spacing w:after="0"/>
              <w:rPr>
                <w:sz w:val="21"/>
                <w:szCs w:val="21"/>
                <w:color w:val="auto"/>
              </w:rPr>
            </w:pPr>
          </w:p>
        </w:tc>
        <w:tc>
          <w:tcPr>
            <w:tcW w:w="380" w:type="dxa"/>
            <w:vAlign w:val="bottom"/>
            <w:tcBorders>
              <w:bottom w:val="single" w:sz="8" w:color="auto"/>
            </w:tcBorders>
            <w:shd w:val="clear" w:color="auto" w:fill="F9EAE1"/>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60" w:type="dxa"/>
            <w:vAlign w:val="bottom"/>
            <w:vMerge w:val="restart"/>
          </w:tcPr>
          <w:p>
            <w:pPr>
              <w:ind w:left="200"/>
              <w:spacing w:after="0"/>
              <w:rPr>
                <w:sz w:val="20"/>
                <w:szCs w:val="20"/>
                <w:color w:val="auto"/>
              </w:rPr>
            </w:pPr>
            <w:r>
              <w:rPr>
                <w:rFonts w:ascii="Arial" w:cs="Arial" w:eastAsia="Arial" w:hAnsi="Arial"/>
                <w:sz w:val="25"/>
                <w:szCs w:val="25"/>
                <w:b w:val="1"/>
                <w:bCs w:val="1"/>
                <w:color w:val="E97D2E"/>
              </w:rPr>
              <w:t>3</w:t>
            </w:r>
          </w:p>
        </w:tc>
        <w:tc>
          <w:tcPr>
            <w:tcW w:w="722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To ratify the selection of PricewaterhouseCoopers LLP as our independent</w:t>
            </w:r>
          </w:p>
        </w:tc>
        <w:tc>
          <w:tcPr>
            <w:tcW w:w="340" w:type="dxa"/>
            <w:vAlign w:val="bottom"/>
            <w:shd w:val="clear" w:color="auto" w:fill="F9EAE1"/>
          </w:tcPr>
          <w:p>
            <w:pPr>
              <w:spacing w:after="0"/>
              <w:rPr>
                <w:sz w:val="14"/>
                <w:szCs w:val="14"/>
                <w:color w:val="auto"/>
              </w:rPr>
            </w:pPr>
          </w:p>
        </w:tc>
        <w:tc>
          <w:tcPr>
            <w:tcW w:w="170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380" w:type="dxa"/>
            <w:vAlign w:val="bottom"/>
            <w:shd w:val="clear" w:color="auto" w:fill="F9EAE1"/>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54</w:t>
            </w:r>
          </w:p>
        </w:tc>
        <w:tc>
          <w:tcPr>
            <w:tcW w:w="0" w:type="dxa"/>
            <w:vAlign w:val="bottom"/>
          </w:tcPr>
          <w:p>
            <w:pPr>
              <w:spacing w:after="0"/>
              <w:rPr>
                <w:sz w:val="1"/>
                <w:szCs w:val="1"/>
                <w:color w:val="auto"/>
              </w:rPr>
            </w:pPr>
          </w:p>
        </w:tc>
      </w:tr>
      <w:tr>
        <w:trPr>
          <w:trHeight w:val="243"/>
        </w:trPr>
        <w:tc>
          <w:tcPr>
            <w:tcW w:w="460" w:type="dxa"/>
            <w:vAlign w:val="bottom"/>
            <w:tcBorders>
              <w:bottom w:val="single" w:sz="8" w:color="E97D2E"/>
            </w:tcBorders>
            <w:vMerge w:val="continue"/>
          </w:tcPr>
          <w:p>
            <w:pPr>
              <w:spacing w:after="0"/>
              <w:rPr>
                <w:sz w:val="21"/>
                <w:szCs w:val="21"/>
                <w:color w:val="auto"/>
              </w:rPr>
            </w:pPr>
          </w:p>
        </w:tc>
        <w:tc>
          <w:tcPr>
            <w:tcW w:w="7220" w:type="dxa"/>
            <w:vAlign w:val="bottom"/>
            <w:tcBorders>
              <w:bottom w:val="single" w:sz="8" w:color="E97D2E"/>
            </w:tcBorders>
            <w:gridSpan w:val="3"/>
          </w:tcPr>
          <w:p>
            <w:pPr>
              <w:ind w:left="100"/>
              <w:spacing w:after="0"/>
              <w:rPr>
                <w:sz w:val="20"/>
                <w:szCs w:val="20"/>
                <w:color w:val="auto"/>
              </w:rPr>
            </w:pPr>
            <w:r>
              <w:rPr>
                <w:rFonts w:ascii="Arial" w:cs="Arial" w:eastAsia="Arial" w:hAnsi="Arial"/>
                <w:sz w:val="18"/>
                <w:szCs w:val="18"/>
                <w:b w:val="1"/>
                <w:bCs w:val="1"/>
                <w:color w:val="auto"/>
              </w:rPr>
              <w:t>registered public accounting firm for the year ending December 31, 2024</w:t>
            </w:r>
          </w:p>
        </w:tc>
        <w:tc>
          <w:tcPr>
            <w:tcW w:w="340" w:type="dxa"/>
            <w:vAlign w:val="bottom"/>
            <w:tcBorders>
              <w:bottom w:val="single" w:sz="8" w:color="E97D2E"/>
            </w:tcBorders>
            <w:shd w:val="clear" w:color="auto" w:fill="F9EAE1"/>
          </w:tcPr>
          <w:p>
            <w:pPr>
              <w:spacing w:after="0"/>
              <w:rPr>
                <w:sz w:val="21"/>
                <w:szCs w:val="21"/>
                <w:color w:val="auto"/>
              </w:rPr>
            </w:pPr>
          </w:p>
        </w:tc>
        <w:tc>
          <w:tcPr>
            <w:tcW w:w="1700" w:type="dxa"/>
            <w:vAlign w:val="bottom"/>
            <w:tcBorders>
              <w:bottom w:val="single" w:sz="8" w:color="E97D2E"/>
            </w:tcBorders>
            <w:vMerge w:val="continue"/>
            <w:shd w:val="clear" w:color="auto" w:fill="F9EAE1"/>
          </w:tcPr>
          <w:p>
            <w:pPr>
              <w:spacing w:after="0"/>
              <w:rPr>
                <w:sz w:val="21"/>
                <w:szCs w:val="21"/>
                <w:color w:val="auto"/>
              </w:rPr>
            </w:pPr>
          </w:p>
        </w:tc>
        <w:tc>
          <w:tcPr>
            <w:tcW w:w="380" w:type="dxa"/>
            <w:vAlign w:val="bottom"/>
            <w:tcBorders>
              <w:bottom w:val="single" w:sz="8" w:color="E97D2E"/>
            </w:tcBorders>
            <w:shd w:val="clear" w:color="auto" w:fill="F9EAE1"/>
          </w:tcPr>
          <w:p>
            <w:pPr>
              <w:spacing w:after="0"/>
              <w:rPr>
                <w:sz w:val="21"/>
                <w:szCs w:val="21"/>
                <w:color w:val="auto"/>
              </w:rPr>
            </w:pPr>
          </w:p>
        </w:tc>
        <w:tc>
          <w:tcPr>
            <w:tcW w:w="1100" w:type="dxa"/>
            <w:vAlign w:val="bottom"/>
            <w:tcBorders>
              <w:bottom w:val="single" w:sz="8" w:color="E97D2E"/>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-1782445</wp:posOffset>
            </wp:positionV>
            <wp:extent cx="38608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-1782445</wp:posOffset>
            </wp:positionV>
            <wp:extent cx="38608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-1782445</wp:posOffset>
            </wp:positionV>
            <wp:extent cx="38608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Stockholders will also transact such other business as may properly come before the ON Semiconductor Corporation (the Company) 2024 Annual Meeting of Stockholders (including any adjournment or postponement thereof, the annual meeting). Only stockholders of record as of the close of business on March 19, 2024 (the record date) are entitled to notice of, and to vote at, the annual meeting.</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Your vote is very important to us. </w:t>
      </w:r>
      <w:r>
        <w:rPr>
          <w:rFonts w:ascii="Arial" w:cs="Arial" w:eastAsia="Arial" w:hAnsi="Arial"/>
          <w:sz w:val="17"/>
          <w:szCs w:val="17"/>
          <w:color w:val="auto"/>
        </w:rPr>
        <w:t>As in prior years, most stockholders will receive a notice with information on how to access our proxy</w:t>
      </w:r>
      <w:r>
        <w:rPr>
          <w:rFonts w:ascii="Arial" w:cs="Arial" w:eastAsia="Arial" w:hAnsi="Arial"/>
          <w:sz w:val="18"/>
          <w:szCs w:val="18"/>
          <w:b w:val="1"/>
          <w:bCs w:val="1"/>
          <w:color w:val="auto"/>
        </w:rPr>
        <w:t xml:space="preserve"> </w:t>
      </w:r>
      <w:r>
        <w:rPr>
          <w:rFonts w:ascii="Arial" w:cs="Arial" w:eastAsia="Arial" w:hAnsi="Arial"/>
          <w:sz w:val="17"/>
          <w:szCs w:val="17"/>
          <w:color w:val="auto"/>
        </w:rPr>
        <w:t xml:space="preserve">materials and vote online. You may vote online or by phone as described in your proxy card or voting instruction form. If you receive a paper copy of our proxy materials, you may also vote by returning the proxy card or voting instruction form included in those materials. </w:t>
      </w:r>
      <w:r>
        <w:rPr>
          <w:rFonts w:ascii="Arial" w:cs="Arial" w:eastAsia="Arial" w:hAnsi="Arial"/>
          <w:sz w:val="17"/>
          <w:szCs w:val="17"/>
          <w:b w:val="1"/>
          <w:bCs w:val="1"/>
          <w:color w:val="auto"/>
        </w:rPr>
        <w:t>Even if you plan to</w:t>
      </w:r>
      <w:r>
        <w:rPr>
          <w:rFonts w:ascii="Arial" w:cs="Arial" w:eastAsia="Arial" w:hAnsi="Arial"/>
          <w:sz w:val="17"/>
          <w:szCs w:val="17"/>
          <w:color w:val="auto"/>
        </w:rPr>
        <w:t xml:space="preserve"> </w:t>
      </w:r>
      <w:r>
        <w:rPr>
          <w:rFonts w:ascii="Arial" w:cs="Arial" w:eastAsia="Arial" w:hAnsi="Arial"/>
          <w:sz w:val="17"/>
          <w:szCs w:val="17"/>
          <w:b w:val="1"/>
          <w:bCs w:val="1"/>
          <w:color w:val="auto"/>
        </w:rPr>
        <w:t>attend the annual meeting in person, we encourage you to vote your shares in advance by any of the below methods to ensure that your vote will be represented.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Proxy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220" w:type="dxa"/>
            <w:vAlign w:val="bottom"/>
            <w:gridSpan w:val="2"/>
            <w:vMerge w:val="restart"/>
          </w:tcPr>
          <w:p>
            <w:pPr>
              <w:jc w:val="center"/>
              <w:ind w:right="1220"/>
              <w:spacing w:after="0"/>
              <w:rPr>
                <w:sz w:val="20"/>
                <w:szCs w:val="20"/>
                <w:color w:val="auto"/>
              </w:rPr>
            </w:pPr>
            <w:r>
              <w:rPr>
                <w:rFonts w:ascii="Arial" w:cs="Arial" w:eastAsia="Arial" w:hAnsi="Arial"/>
                <w:sz w:val="16"/>
                <w:szCs w:val="16"/>
                <w:b w:val="1"/>
                <w:bCs w:val="1"/>
                <w:color w:val="auto"/>
                <w:w w:val="99"/>
              </w:rPr>
              <w:t>ONLINE</w:t>
            </w:r>
          </w:p>
        </w:tc>
        <w:tc>
          <w:tcPr>
            <w:tcW w:w="3960" w:type="dxa"/>
            <w:vAlign w:val="bottom"/>
          </w:tcPr>
          <w:p>
            <w:pPr>
              <w:jc w:val="center"/>
              <w:ind w:left="19"/>
              <w:spacing w:after="0"/>
              <w:rPr>
                <w:sz w:val="20"/>
                <w:szCs w:val="20"/>
                <w:color w:val="auto"/>
              </w:rPr>
            </w:pPr>
            <w:r>
              <w:rPr>
                <w:rFonts w:ascii="Arial" w:cs="Arial" w:eastAsia="Arial" w:hAnsi="Arial"/>
                <w:sz w:val="16"/>
                <w:szCs w:val="16"/>
                <w:b w:val="1"/>
                <w:bCs w:val="1"/>
                <w:color w:val="auto"/>
              </w:rPr>
              <w:t>PHONE</w:t>
            </w:r>
          </w:p>
        </w:tc>
        <w:tc>
          <w:tcPr>
            <w:tcW w:w="2920" w:type="dxa"/>
            <w:vAlign w:val="bottom"/>
          </w:tcPr>
          <w:p>
            <w:pPr>
              <w:jc w:val="center"/>
              <w:ind w:left="619"/>
              <w:spacing w:after="0"/>
              <w:rPr>
                <w:sz w:val="20"/>
                <w:szCs w:val="20"/>
                <w:color w:val="auto"/>
              </w:rPr>
            </w:pPr>
            <w:r>
              <w:rPr>
                <w:rFonts w:ascii="Arial" w:cs="Arial" w:eastAsia="Arial" w:hAnsi="Arial"/>
                <w:sz w:val="16"/>
                <w:szCs w:val="16"/>
                <w:b w:val="1"/>
                <w:bCs w:val="1"/>
                <w:color w:val="auto"/>
                <w:w w:val="97"/>
              </w:rPr>
              <w:t>MAIL</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960" w:type="dxa"/>
            <w:vAlign w:val="bottom"/>
          </w:tcPr>
          <w:p>
            <w:pPr>
              <w:jc w:val="center"/>
              <w:ind w:left="19"/>
              <w:spacing w:after="0" w:line="162" w:lineRule="exact"/>
              <w:rPr>
                <w:sz w:val="20"/>
                <w:szCs w:val="20"/>
                <w:color w:val="auto"/>
              </w:rPr>
            </w:pPr>
            <w:r>
              <w:rPr>
                <w:rFonts w:ascii="Arial" w:cs="Arial" w:eastAsia="Arial" w:hAnsi="Arial"/>
                <w:sz w:val="16"/>
                <w:szCs w:val="16"/>
                <w:color w:val="auto"/>
              </w:rPr>
              <w:t>Call toll-free 1-800-579-1639</w:t>
            </w:r>
          </w:p>
        </w:tc>
        <w:tc>
          <w:tcPr>
            <w:tcW w:w="2920" w:type="dxa"/>
            <w:vAlign w:val="bottom"/>
          </w:tcPr>
          <w:p>
            <w:pPr>
              <w:jc w:val="center"/>
              <w:ind w:left="619"/>
              <w:spacing w:after="0" w:line="162" w:lineRule="exact"/>
              <w:rPr>
                <w:sz w:val="20"/>
                <w:szCs w:val="20"/>
                <w:color w:val="auto"/>
              </w:rPr>
            </w:pPr>
            <w:r>
              <w:rPr>
                <w:rFonts w:ascii="Arial" w:cs="Arial" w:eastAsia="Arial" w:hAnsi="Arial"/>
                <w:sz w:val="16"/>
                <w:szCs w:val="16"/>
                <w:color w:val="auto"/>
              </w:rPr>
              <w:t>Sign, date, detach and return a</w:t>
            </w:r>
          </w:p>
        </w:tc>
        <w:tc>
          <w:tcPr>
            <w:tcW w:w="0" w:type="dxa"/>
            <w:vAlign w:val="bottom"/>
          </w:tcPr>
          <w:p>
            <w:pPr>
              <w:spacing w:after="0"/>
              <w:rPr>
                <w:sz w:val="1"/>
                <w:szCs w:val="1"/>
                <w:color w:val="auto"/>
              </w:rPr>
            </w:pPr>
          </w:p>
        </w:tc>
      </w:tr>
      <w:tr>
        <w:trPr>
          <w:trHeight w:val="175"/>
        </w:trPr>
        <w:tc>
          <w:tcPr>
            <w:tcW w:w="2660" w:type="dxa"/>
            <w:vAlign w:val="bottom"/>
            <w:gridSpan w:val="3"/>
          </w:tcPr>
          <w:p>
            <w:pPr>
              <w:jc w:val="center"/>
              <w:ind w:right="780"/>
              <w:spacing w:after="0" w:line="175" w:lineRule="exact"/>
              <w:rPr>
                <w:sz w:val="20"/>
                <w:szCs w:val="20"/>
                <w:color w:val="auto"/>
              </w:rPr>
            </w:pPr>
            <w:r>
              <w:rPr>
                <w:rFonts w:ascii="Arial" w:cs="Arial" w:eastAsia="Arial" w:hAnsi="Arial"/>
                <w:sz w:val="16"/>
                <w:szCs w:val="16"/>
                <w:color w:val="auto"/>
              </w:rPr>
              <w:t>Go to www.proxyvote.com</w:t>
            </w:r>
          </w:p>
        </w:tc>
        <w:tc>
          <w:tcPr>
            <w:tcW w:w="3960" w:type="dxa"/>
            <w:vAlign w:val="bottom"/>
          </w:tcPr>
          <w:p>
            <w:pPr>
              <w:jc w:val="center"/>
              <w:spacing w:after="0" w:line="175" w:lineRule="exact"/>
              <w:rPr>
                <w:sz w:val="20"/>
                <w:szCs w:val="20"/>
                <w:color w:val="auto"/>
              </w:rPr>
            </w:pPr>
            <w:r>
              <w:rPr>
                <w:rFonts w:ascii="Arial" w:cs="Arial" w:eastAsia="Arial" w:hAnsi="Arial"/>
                <w:sz w:val="16"/>
                <w:szCs w:val="16"/>
                <w:color w:val="auto"/>
              </w:rPr>
              <w:t>within the U.S., U.S. territories and</w:t>
            </w:r>
          </w:p>
        </w:tc>
        <w:tc>
          <w:tcPr>
            <w:tcW w:w="2920" w:type="dxa"/>
            <w:vAlign w:val="bottom"/>
          </w:tcPr>
          <w:p>
            <w:pPr>
              <w:jc w:val="center"/>
              <w:ind w:left="619"/>
              <w:spacing w:after="0" w:line="175" w:lineRule="exact"/>
              <w:rPr>
                <w:sz w:val="20"/>
                <w:szCs w:val="20"/>
                <w:color w:val="auto"/>
              </w:rPr>
            </w:pPr>
            <w:r>
              <w:rPr>
                <w:rFonts w:ascii="Arial" w:cs="Arial" w:eastAsia="Arial" w:hAnsi="Arial"/>
                <w:sz w:val="16"/>
                <w:szCs w:val="16"/>
                <w:color w:val="auto"/>
              </w:rPr>
              <w:t>proxy card in the postage-paid</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9"/>
              </w:rPr>
              <w:t>Canada</w:t>
            </w:r>
          </w:p>
        </w:tc>
        <w:tc>
          <w:tcPr>
            <w:tcW w:w="2920" w:type="dxa"/>
            <w:vAlign w:val="bottom"/>
          </w:tcPr>
          <w:p>
            <w:pPr>
              <w:jc w:val="center"/>
              <w:ind w:left="619"/>
              <w:spacing w:after="0"/>
              <w:rPr>
                <w:sz w:val="20"/>
                <w:szCs w:val="20"/>
                <w:color w:val="auto"/>
              </w:rPr>
            </w:pPr>
            <w:r>
              <w:rPr>
                <w:rFonts w:ascii="Arial" w:cs="Arial" w:eastAsia="Arial" w:hAnsi="Arial"/>
                <w:sz w:val="16"/>
                <w:szCs w:val="16"/>
                <w:color w:val="auto"/>
              </w:rPr>
              <w:t>envelope provided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-375920</wp:posOffset>
            </wp:positionV>
            <wp:extent cx="385445"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5445" cy="38544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-375920</wp:posOffset>
            </wp:positionV>
            <wp:extent cx="385445"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445" cy="3854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-375920</wp:posOffset>
            </wp:positionV>
            <wp:extent cx="386080" cy="385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385445"/>
                    </a:xfrm>
                    <a:prstGeom prst="rect">
                      <a:avLst/>
                    </a:prstGeom>
                    <a:noFill/>
                  </pic:spPr>
                </pic:pic>
              </a:graphicData>
            </a:graphic>
          </wp:anchor>
        </w:drawing>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recommend that you review further information on the process for, and deadlines applicable to, voting, attending the meeting and appointing a proxy under “Questions and Answers About the Proxy Materials, Annual Meeting and Voting” beginning on page 60 of the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43050"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Hassane El-Khoury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line="21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16, 2024. Our proxy statement for the 2024 Annual Meeting of Stockholders and our annual report to stockholders for the fiscal year ended December 31, 2023 are available 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www.onsemi.com/annualdocs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E97D2E"/>
        </w:rPr>
        <w:t>ON SEMICONDUCTOR CORPORATION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465E6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TABLE OF CONTENTS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gridSpan w:val="35"/>
          </w:tcPr>
          <w:p>
            <w:pPr>
              <w:spacing w:after="0"/>
              <w:rPr>
                <w:sz w:val="20"/>
                <w:szCs w:val="20"/>
                <w:color w:val="auto"/>
              </w:rPr>
            </w:pPr>
            <w:r>
              <w:rPr>
                <w:rFonts w:ascii="Arial" w:cs="Arial" w:eastAsia="Arial" w:hAnsi="Arial"/>
                <w:sz w:val="16"/>
                <w:szCs w:val="16"/>
                <w:b w:val="1"/>
                <w:bCs w:val="1"/>
                <w:color w:val="E97D2E"/>
              </w:rPr>
              <w:t>PROXY STATEMENT SUMMARY</w:t>
            </w:r>
          </w:p>
        </w:tc>
        <w:tc>
          <w:tcPr>
            <w:tcW w:w="760" w:type="dxa"/>
            <w:vAlign w:val="bottom"/>
          </w:tcPr>
          <w:p>
            <w:pPr>
              <w:jc w:val="right"/>
              <w:spacing w:after="0"/>
              <w:rPr>
                <w:sz w:val="20"/>
                <w:szCs w:val="20"/>
                <w:color w:val="auto"/>
              </w:rPr>
            </w:pPr>
            <w:r>
              <w:rPr>
                <w:rFonts w:ascii="Arial" w:cs="Arial" w:eastAsia="Arial" w:hAnsi="Arial"/>
                <w:sz w:val="16"/>
                <w:szCs w:val="16"/>
                <w:color w:val="E97D2E"/>
              </w:rPr>
              <w:t>1</w:t>
            </w:r>
          </w:p>
        </w:tc>
        <w:tc>
          <w:tcPr>
            <w:tcW w:w="0" w:type="dxa"/>
            <w:vAlign w:val="bottom"/>
          </w:tcPr>
          <w:p>
            <w:pPr>
              <w:spacing w:after="0"/>
              <w:rPr>
                <w:sz w:val="1"/>
                <w:szCs w:val="1"/>
                <w:color w:val="auto"/>
              </w:rPr>
            </w:pPr>
          </w:p>
        </w:tc>
      </w:tr>
      <w:tr>
        <w:trPr>
          <w:trHeight w:val="20"/>
        </w:trPr>
        <w:tc>
          <w:tcPr>
            <w:tcW w:w="340" w:type="dxa"/>
            <w:vAlign w:val="bottom"/>
            <w:tcBorders>
              <w:right w:val="single" w:sz="8" w:color="E97D2E"/>
            </w:tcBorders>
            <w:shd w:val="clear" w:color="auto" w:fill="E97D2E"/>
          </w:tcPr>
          <w:p>
            <w:pPr>
              <w:spacing w:after="0" w:line="20" w:lineRule="exact"/>
              <w:rPr>
                <w:sz w:val="1"/>
                <w:szCs w:val="1"/>
                <w:color w:val="auto"/>
              </w:rPr>
            </w:pPr>
          </w:p>
        </w:tc>
        <w:tc>
          <w:tcPr>
            <w:tcW w:w="360" w:type="dxa"/>
            <w:vAlign w:val="bottom"/>
            <w:shd w:val="clear" w:color="auto" w:fill="E97D2E"/>
          </w:tcPr>
          <w:p>
            <w:pPr>
              <w:spacing w:after="0" w:line="20" w:lineRule="exact"/>
              <w:rPr>
                <w:sz w:val="1"/>
                <w:szCs w:val="1"/>
                <w:color w:val="auto"/>
              </w:rPr>
            </w:pPr>
          </w:p>
        </w:tc>
        <w:tc>
          <w:tcPr>
            <w:tcW w:w="460" w:type="dxa"/>
            <w:vAlign w:val="bottom"/>
            <w:shd w:val="clear" w:color="auto" w:fill="E97D2E"/>
          </w:tcPr>
          <w:p>
            <w:pPr>
              <w:spacing w:after="0" w:line="20" w:lineRule="exact"/>
              <w:rPr>
                <w:sz w:val="1"/>
                <w:szCs w:val="1"/>
                <w:color w:val="auto"/>
              </w:rPr>
            </w:pPr>
          </w:p>
        </w:tc>
        <w:tc>
          <w:tcPr>
            <w:tcW w:w="100" w:type="dxa"/>
            <w:vAlign w:val="bottom"/>
            <w:shd w:val="clear" w:color="auto" w:fill="E97D2E"/>
          </w:tcPr>
          <w:p>
            <w:pPr>
              <w:spacing w:after="0" w:line="20" w:lineRule="exact"/>
              <w:rPr>
                <w:sz w:val="1"/>
                <w:szCs w:val="1"/>
                <w:color w:val="auto"/>
              </w:rPr>
            </w:pPr>
          </w:p>
        </w:tc>
        <w:tc>
          <w:tcPr>
            <w:tcW w:w="360" w:type="dxa"/>
            <w:vAlign w:val="bottom"/>
            <w:shd w:val="clear" w:color="auto" w:fill="E97D2E"/>
          </w:tcPr>
          <w:p>
            <w:pPr>
              <w:spacing w:after="0" w:line="20" w:lineRule="exact"/>
              <w:rPr>
                <w:sz w:val="1"/>
                <w:szCs w:val="1"/>
                <w:color w:val="auto"/>
              </w:rPr>
            </w:pPr>
          </w:p>
        </w:tc>
        <w:tc>
          <w:tcPr>
            <w:tcW w:w="60" w:type="dxa"/>
            <w:vAlign w:val="bottom"/>
            <w:shd w:val="clear" w:color="auto" w:fill="E97D2E"/>
          </w:tcPr>
          <w:p>
            <w:pPr>
              <w:spacing w:after="0" w:line="20" w:lineRule="exact"/>
              <w:rPr>
                <w:sz w:val="1"/>
                <w:szCs w:val="1"/>
                <w:color w:val="auto"/>
              </w:rPr>
            </w:pPr>
          </w:p>
        </w:tc>
        <w:tc>
          <w:tcPr>
            <w:tcW w:w="200" w:type="dxa"/>
            <w:vAlign w:val="bottom"/>
            <w:shd w:val="clear" w:color="auto" w:fill="E97D2E"/>
          </w:tcPr>
          <w:p>
            <w:pPr>
              <w:spacing w:after="0" w:line="20" w:lineRule="exact"/>
              <w:rPr>
                <w:sz w:val="1"/>
                <w:szCs w:val="1"/>
                <w:color w:val="auto"/>
              </w:rPr>
            </w:pPr>
          </w:p>
        </w:tc>
        <w:tc>
          <w:tcPr>
            <w:tcW w:w="100" w:type="dxa"/>
            <w:vAlign w:val="bottom"/>
            <w:shd w:val="clear" w:color="auto" w:fill="E97D2E"/>
          </w:tcPr>
          <w:p>
            <w:pPr>
              <w:spacing w:after="0" w:line="20" w:lineRule="exact"/>
              <w:rPr>
                <w:sz w:val="1"/>
                <w:szCs w:val="1"/>
                <w:color w:val="auto"/>
              </w:rPr>
            </w:pPr>
          </w:p>
        </w:tc>
        <w:tc>
          <w:tcPr>
            <w:tcW w:w="20" w:type="dxa"/>
            <w:vAlign w:val="bottom"/>
            <w:shd w:val="clear" w:color="auto" w:fill="E97D2E"/>
          </w:tcPr>
          <w:p>
            <w:pPr>
              <w:spacing w:after="0" w:line="20" w:lineRule="exact"/>
              <w:rPr>
                <w:sz w:val="1"/>
                <w:szCs w:val="1"/>
                <w:color w:val="auto"/>
              </w:rPr>
            </w:pPr>
          </w:p>
        </w:tc>
        <w:tc>
          <w:tcPr>
            <w:tcW w:w="120" w:type="dxa"/>
            <w:vAlign w:val="bottom"/>
            <w:shd w:val="clear" w:color="auto" w:fill="E97D2E"/>
          </w:tcPr>
          <w:p>
            <w:pPr>
              <w:spacing w:after="0" w:line="20" w:lineRule="exact"/>
              <w:rPr>
                <w:sz w:val="1"/>
                <w:szCs w:val="1"/>
                <w:color w:val="auto"/>
              </w:rPr>
            </w:pPr>
          </w:p>
        </w:tc>
        <w:tc>
          <w:tcPr>
            <w:tcW w:w="20" w:type="dxa"/>
            <w:vAlign w:val="bottom"/>
            <w:shd w:val="clear" w:color="auto" w:fill="E97D2E"/>
          </w:tcPr>
          <w:p>
            <w:pPr>
              <w:spacing w:after="0" w:line="20" w:lineRule="exact"/>
              <w:rPr>
                <w:sz w:val="1"/>
                <w:szCs w:val="1"/>
                <w:color w:val="auto"/>
              </w:rPr>
            </w:pPr>
          </w:p>
        </w:tc>
        <w:tc>
          <w:tcPr>
            <w:tcW w:w="180" w:type="dxa"/>
            <w:vAlign w:val="bottom"/>
            <w:shd w:val="clear" w:color="auto" w:fill="E97D2E"/>
          </w:tcPr>
          <w:p>
            <w:pPr>
              <w:spacing w:after="0" w:line="20" w:lineRule="exact"/>
              <w:rPr>
                <w:sz w:val="1"/>
                <w:szCs w:val="1"/>
                <w:color w:val="auto"/>
              </w:rPr>
            </w:pPr>
          </w:p>
        </w:tc>
        <w:tc>
          <w:tcPr>
            <w:tcW w:w="140" w:type="dxa"/>
            <w:vAlign w:val="bottom"/>
            <w:tcBorders>
              <w:right w:val="single" w:sz="8" w:color="E97D2E"/>
            </w:tcBorders>
            <w:shd w:val="clear" w:color="auto" w:fill="E97D2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2024 Annual Meeting of Stockholders</w:t>
            </w:r>
          </w:p>
        </w:tc>
        <w:tc>
          <w:tcPr>
            <w:tcW w:w="760" w:type="dxa"/>
            <w:vAlign w:val="bottom"/>
          </w:tcPr>
          <w:p>
            <w:pPr>
              <w:jc w:val="right"/>
              <w:spacing w:after="0"/>
              <w:rPr>
                <w:sz w:val="20"/>
                <w:szCs w:val="20"/>
                <w:color w:val="auto"/>
              </w:rPr>
            </w:pPr>
            <w:r>
              <w:rPr>
                <w:rFonts w:ascii="Arial" w:cs="Arial" w:eastAsia="Arial" w:hAnsi="Arial"/>
                <w:sz w:val="16"/>
                <w:szCs w:val="16"/>
                <w:color w:val="465E66"/>
              </w:rPr>
              <w:t>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660" w:type="dxa"/>
            <w:vAlign w:val="bottom"/>
            <w:tcBorders>
              <w:top w:val="single" w:sz="8" w:color="465E66"/>
              <w:bottom w:val="single" w:sz="8" w:color="465E66"/>
            </w:tcBorders>
            <w:gridSpan w:val="8"/>
          </w:tcPr>
          <w:p>
            <w:pPr>
              <w:spacing w:after="0"/>
              <w:rPr>
                <w:sz w:val="20"/>
                <w:szCs w:val="20"/>
                <w:color w:val="auto"/>
              </w:rPr>
            </w:pPr>
            <w:r>
              <w:rPr>
                <w:rFonts w:ascii="Arial" w:cs="Arial" w:eastAsia="Arial" w:hAnsi="Arial"/>
                <w:sz w:val="16"/>
                <w:szCs w:val="16"/>
                <w:color w:val="465E66"/>
                <w:w w:val="99"/>
              </w:rPr>
              <w:t>Matters to be Voted On</w:t>
            </w:r>
          </w:p>
        </w:tc>
        <w:tc>
          <w:tcPr>
            <w:tcW w:w="1020" w:type="dxa"/>
            <w:vAlign w:val="bottom"/>
            <w:tcBorders>
              <w:top w:val="single" w:sz="8" w:color="465E66"/>
            </w:tcBorders>
            <w:gridSpan w:val="13"/>
          </w:tcPr>
          <w:p>
            <w:pPr>
              <w:spacing w:after="0"/>
              <w:rPr>
                <w:sz w:val="17"/>
                <w:szCs w:val="17"/>
                <w:color w:val="auto"/>
              </w:rPr>
            </w:pPr>
          </w:p>
        </w:tc>
        <w:tc>
          <w:tcPr>
            <w:tcW w:w="860" w:type="dxa"/>
            <w:vAlign w:val="bottom"/>
            <w:gridSpan w:val="13"/>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120" w:type="dxa"/>
            <w:vAlign w:val="bottom"/>
            <w:tcBorders>
              <w:bottom w:val="single" w:sz="8" w:color="465E66"/>
            </w:tcBorders>
            <w:gridSpan w:val="12"/>
          </w:tcPr>
          <w:p>
            <w:pPr>
              <w:spacing w:after="0"/>
              <w:rPr>
                <w:sz w:val="20"/>
                <w:szCs w:val="20"/>
                <w:color w:val="auto"/>
              </w:rPr>
            </w:pPr>
            <w:r>
              <w:rPr>
                <w:rFonts w:ascii="Arial" w:cs="Arial" w:eastAsia="Arial" w:hAnsi="Arial"/>
                <w:sz w:val="16"/>
                <w:szCs w:val="16"/>
                <w:color w:val="465E66"/>
              </w:rPr>
              <w:t>2023 Performance Highlights</w:t>
            </w:r>
          </w:p>
        </w:tc>
        <w:tc>
          <w:tcPr>
            <w:tcW w:w="1420" w:type="dxa"/>
            <w:vAlign w:val="bottom"/>
            <w:gridSpan w:val="2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Proxy Voting Roadmap</w:t>
            </w:r>
          </w:p>
        </w:tc>
        <w:tc>
          <w:tcPr>
            <w:tcW w:w="760" w:type="dxa"/>
            <w:vAlign w:val="bottom"/>
          </w:tcPr>
          <w:p>
            <w:pPr>
              <w:jc w:val="right"/>
              <w:spacing w:after="0"/>
              <w:rPr>
                <w:sz w:val="20"/>
                <w:szCs w:val="20"/>
                <w:color w:val="auto"/>
              </w:rPr>
            </w:pPr>
            <w:r>
              <w:rPr>
                <w:rFonts w:ascii="Arial" w:cs="Arial" w:eastAsia="Arial" w:hAnsi="Arial"/>
                <w:sz w:val="16"/>
                <w:szCs w:val="16"/>
                <w:color w:val="465E66"/>
              </w:rPr>
              <w:t>2</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460" w:type="dxa"/>
            <w:vAlign w:val="bottom"/>
            <w:shd w:val="clear" w:color="auto" w:fill="465E66"/>
          </w:tcPr>
          <w:p>
            <w:pPr>
              <w:spacing w:after="0" w:line="20" w:lineRule="exact"/>
              <w:rPr>
                <w:sz w:val="1"/>
                <w:szCs w:val="1"/>
                <w:color w:val="auto"/>
              </w:rPr>
            </w:pPr>
          </w:p>
        </w:tc>
        <w:tc>
          <w:tcPr>
            <w:tcW w:w="100" w:type="dxa"/>
            <w:vAlign w:val="bottom"/>
            <w:shd w:val="clear" w:color="auto" w:fill="465E66"/>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60" w:type="dxa"/>
            <w:vAlign w:val="bottom"/>
            <w:shd w:val="clear" w:color="auto" w:fill="465E66"/>
          </w:tcPr>
          <w:p>
            <w:pPr>
              <w:spacing w:after="0" w:line="20" w:lineRule="exact"/>
              <w:rPr>
                <w:sz w:val="1"/>
                <w:szCs w:val="1"/>
                <w:color w:val="auto"/>
              </w:rPr>
            </w:pPr>
          </w:p>
        </w:tc>
        <w:tc>
          <w:tcPr>
            <w:tcW w:w="200" w:type="dxa"/>
            <w:vAlign w:val="bottom"/>
            <w:shd w:val="clear" w:color="auto" w:fill="465E66"/>
          </w:tcPr>
          <w:p>
            <w:pPr>
              <w:spacing w:after="0" w:line="20" w:lineRule="exact"/>
              <w:rPr>
                <w:sz w:val="1"/>
                <w:szCs w:val="1"/>
                <w:color w:val="auto"/>
              </w:rPr>
            </w:pPr>
          </w:p>
        </w:tc>
        <w:tc>
          <w:tcPr>
            <w:tcW w:w="100" w:type="dxa"/>
            <w:vAlign w:val="bottom"/>
            <w:shd w:val="clear" w:color="auto" w:fill="465E6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E97D2E"/>
            </w:tcBorders>
            <w:gridSpan w:val="31"/>
          </w:tcPr>
          <w:p>
            <w:pPr>
              <w:spacing w:after="0"/>
              <w:rPr>
                <w:sz w:val="20"/>
                <w:szCs w:val="20"/>
                <w:color w:val="auto"/>
              </w:rPr>
            </w:pPr>
            <w:r>
              <w:rPr>
                <w:rFonts w:ascii="Arial" w:cs="Arial" w:eastAsia="Arial" w:hAnsi="Arial"/>
                <w:sz w:val="16"/>
                <w:szCs w:val="16"/>
                <w:b w:val="1"/>
                <w:bCs w:val="1"/>
                <w:color w:val="E97D2E"/>
              </w:rPr>
              <w:t>THE BOARD OF DIRECTORS AND CORPORATE</w:t>
            </w:r>
          </w:p>
        </w:tc>
        <w:tc>
          <w:tcPr>
            <w:tcW w:w="180" w:type="dxa"/>
            <w:vAlign w:val="bottom"/>
            <w:gridSpan w:val="4"/>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E97D2E"/>
              </w:rPr>
              <w:t>4</w:t>
            </w:r>
          </w:p>
        </w:tc>
        <w:tc>
          <w:tcPr>
            <w:tcW w:w="0" w:type="dxa"/>
            <w:vAlign w:val="bottom"/>
          </w:tcPr>
          <w:p>
            <w:pPr>
              <w:spacing w:after="0"/>
              <w:rPr>
                <w:sz w:val="1"/>
                <w:szCs w:val="1"/>
                <w:color w:val="auto"/>
              </w:rPr>
            </w:pPr>
          </w:p>
        </w:tc>
      </w:tr>
      <w:tr>
        <w:trPr>
          <w:trHeight w:val="99"/>
        </w:trPr>
        <w:tc>
          <w:tcPr>
            <w:tcW w:w="3880" w:type="dxa"/>
            <w:vAlign w:val="bottom"/>
            <w:gridSpan w:val="35"/>
            <w:vMerge w:val="restart"/>
          </w:tcPr>
          <w:p>
            <w:pPr>
              <w:spacing w:after="0" w:line="142" w:lineRule="exact"/>
              <w:rPr>
                <w:sz w:val="20"/>
                <w:szCs w:val="20"/>
                <w:color w:val="auto"/>
              </w:rPr>
            </w:pPr>
            <w:r>
              <w:rPr>
                <w:rFonts w:ascii="Arial" w:cs="Arial" w:eastAsia="Arial" w:hAnsi="Arial"/>
                <w:sz w:val="16"/>
                <w:szCs w:val="16"/>
                <w:b w:val="1"/>
                <w:bCs w:val="1"/>
                <w:color w:val="E97D2E"/>
              </w:rPr>
              <w:t>GOVERNANCE</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3880" w:type="dxa"/>
            <w:vAlign w:val="bottom"/>
            <w:gridSpan w:val="35"/>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E97D2E"/>
            </w:tcBorders>
            <w:shd w:val="clear" w:color="auto" w:fill="E97D2E"/>
          </w:tcPr>
          <w:p>
            <w:pPr>
              <w:spacing w:after="0" w:line="20" w:lineRule="exact"/>
              <w:rPr>
                <w:sz w:val="1"/>
                <w:szCs w:val="1"/>
                <w:color w:val="auto"/>
              </w:rPr>
            </w:pPr>
          </w:p>
        </w:tc>
        <w:tc>
          <w:tcPr>
            <w:tcW w:w="360" w:type="dxa"/>
            <w:vAlign w:val="bottom"/>
            <w:shd w:val="clear" w:color="auto" w:fill="E97D2E"/>
          </w:tcPr>
          <w:p>
            <w:pPr>
              <w:spacing w:after="0" w:line="20" w:lineRule="exact"/>
              <w:rPr>
                <w:sz w:val="1"/>
                <w:szCs w:val="1"/>
                <w:color w:val="auto"/>
              </w:rPr>
            </w:pPr>
          </w:p>
        </w:tc>
        <w:tc>
          <w:tcPr>
            <w:tcW w:w="460" w:type="dxa"/>
            <w:vAlign w:val="bottom"/>
            <w:shd w:val="clear" w:color="auto" w:fill="E97D2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2600" w:type="dxa"/>
            <w:vAlign w:val="bottom"/>
            <w:tcBorders>
              <w:bottom w:val="single" w:sz="8" w:color="465E66"/>
            </w:tcBorders>
            <w:gridSpan w:val="20"/>
          </w:tcPr>
          <w:p>
            <w:pPr>
              <w:spacing w:after="0"/>
              <w:rPr>
                <w:sz w:val="20"/>
                <w:szCs w:val="20"/>
                <w:color w:val="auto"/>
              </w:rPr>
            </w:pPr>
            <w:r>
              <w:rPr>
                <w:rFonts w:ascii="Arial" w:cs="Arial" w:eastAsia="Arial" w:hAnsi="Arial"/>
                <w:sz w:val="16"/>
                <w:szCs w:val="16"/>
                <w:color w:val="465E66"/>
              </w:rPr>
              <w:t>Proposal No. 1: Election of Directors</w:t>
            </w:r>
          </w:p>
        </w:tc>
        <w:tc>
          <w:tcPr>
            <w:tcW w:w="1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Director Nominees at a Glance</w:t>
            </w:r>
          </w:p>
        </w:tc>
        <w:tc>
          <w:tcPr>
            <w:tcW w:w="760" w:type="dxa"/>
            <w:vAlign w:val="bottom"/>
          </w:tcPr>
          <w:p>
            <w:pPr>
              <w:jc w:val="right"/>
              <w:spacing w:after="0"/>
              <w:rPr>
                <w:sz w:val="20"/>
                <w:szCs w:val="20"/>
                <w:color w:val="auto"/>
              </w:rPr>
            </w:pPr>
            <w:r>
              <w:rPr>
                <w:rFonts w:ascii="Arial" w:cs="Arial" w:eastAsia="Arial" w:hAnsi="Arial"/>
                <w:sz w:val="16"/>
                <w:szCs w:val="16"/>
                <w:color w:val="465E66"/>
              </w:rPr>
              <w:t>5</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560" w:type="dxa"/>
            <w:vAlign w:val="bottom"/>
            <w:gridSpan w:val="2"/>
            <w:shd w:val="clear" w:color="auto" w:fill="465E66"/>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60" w:type="dxa"/>
            <w:vAlign w:val="bottom"/>
            <w:shd w:val="clear" w:color="auto" w:fill="465E66"/>
          </w:tcPr>
          <w:p>
            <w:pPr>
              <w:spacing w:after="0" w:line="20" w:lineRule="exact"/>
              <w:rPr>
                <w:sz w:val="1"/>
                <w:szCs w:val="1"/>
                <w:color w:val="auto"/>
              </w:rPr>
            </w:pPr>
          </w:p>
        </w:tc>
        <w:tc>
          <w:tcPr>
            <w:tcW w:w="200" w:type="dxa"/>
            <w:vAlign w:val="bottom"/>
            <w:shd w:val="clear" w:color="auto" w:fill="465E66"/>
          </w:tcPr>
          <w:p>
            <w:pPr>
              <w:spacing w:after="0" w:line="20" w:lineRule="exact"/>
              <w:rPr>
                <w:sz w:val="1"/>
                <w:szCs w:val="1"/>
                <w:color w:val="auto"/>
              </w:rPr>
            </w:pPr>
          </w:p>
        </w:tc>
        <w:tc>
          <w:tcPr>
            <w:tcW w:w="240" w:type="dxa"/>
            <w:vAlign w:val="bottom"/>
            <w:gridSpan w:val="3"/>
            <w:shd w:val="clear" w:color="auto" w:fill="465E66"/>
          </w:tcPr>
          <w:p>
            <w:pPr>
              <w:spacing w:after="0" w:line="20" w:lineRule="exact"/>
              <w:rPr>
                <w:sz w:val="1"/>
                <w:szCs w:val="1"/>
                <w:color w:val="auto"/>
              </w:rPr>
            </w:pPr>
          </w:p>
        </w:tc>
        <w:tc>
          <w:tcPr>
            <w:tcW w:w="20" w:type="dxa"/>
            <w:vAlign w:val="bottom"/>
            <w:shd w:val="clear" w:color="auto" w:fill="465E66"/>
          </w:tcPr>
          <w:p>
            <w:pPr>
              <w:spacing w:after="0" w:line="20" w:lineRule="exact"/>
              <w:rPr>
                <w:sz w:val="1"/>
                <w:szCs w:val="1"/>
                <w:color w:val="auto"/>
              </w:rPr>
            </w:pPr>
          </w:p>
        </w:tc>
        <w:tc>
          <w:tcPr>
            <w:tcW w:w="180" w:type="dxa"/>
            <w:vAlign w:val="bottom"/>
            <w:shd w:val="clear" w:color="auto" w:fill="465E66"/>
          </w:tcPr>
          <w:p>
            <w:pPr>
              <w:spacing w:after="0" w:line="20" w:lineRule="exact"/>
              <w:rPr>
                <w:sz w:val="1"/>
                <w:szCs w:val="1"/>
                <w:color w:val="auto"/>
              </w:rPr>
            </w:pPr>
          </w:p>
        </w:tc>
        <w:tc>
          <w:tcPr>
            <w:tcW w:w="140" w:type="dxa"/>
            <w:vAlign w:val="bottom"/>
            <w:tcBorders>
              <w:right w:val="single" w:sz="8" w:color="465E66"/>
            </w:tcBorders>
            <w:shd w:val="clear" w:color="auto" w:fill="465E66"/>
          </w:tcPr>
          <w:p>
            <w:pPr>
              <w:spacing w:after="0" w:line="20" w:lineRule="exact"/>
              <w:rPr>
                <w:sz w:val="1"/>
                <w:szCs w:val="1"/>
                <w:color w:val="auto"/>
              </w:rPr>
            </w:pPr>
          </w:p>
        </w:tc>
        <w:tc>
          <w:tcPr>
            <w:tcW w:w="80" w:type="dxa"/>
            <w:vAlign w:val="bottom"/>
            <w:tcBorders>
              <w:left w:val="single" w:sz="8" w:color="465E66"/>
            </w:tcBorders>
            <w:shd w:val="clear" w:color="auto" w:fill="465E6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tcBorders>
              <w:bottom w:val="single" w:sz="8" w:color="465E66"/>
            </w:tcBorders>
            <w:gridSpan w:val="34"/>
          </w:tcPr>
          <w:p>
            <w:pPr>
              <w:spacing w:after="0"/>
              <w:rPr>
                <w:sz w:val="20"/>
                <w:szCs w:val="20"/>
                <w:color w:val="auto"/>
              </w:rPr>
            </w:pPr>
            <w:r>
              <w:rPr>
                <w:rFonts w:ascii="Arial" w:cs="Arial" w:eastAsia="Arial" w:hAnsi="Arial"/>
                <w:sz w:val="16"/>
                <w:szCs w:val="16"/>
                <w:color w:val="465E66"/>
              </w:rPr>
              <w:t>Overview of our Corporate Governance Practices</w:t>
            </w:r>
          </w:p>
        </w:tc>
        <w:tc>
          <w:tcPr>
            <w:tcW w:w="760" w:type="dxa"/>
            <w:vAlign w:val="bottom"/>
          </w:tcPr>
          <w:p>
            <w:pPr>
              <w:jc w:val="right"/>
              <w:spacing w:after="0"/>
              <w:rPr>
                <w:sz w:val="20"/>
                <w:szCs w:val="20"/>
                <w:color w:val="auto"/>
              </w:rPr>
            </w:pPr>
            <w:r>
              <w:rPr>
                <w:rFonts w:ascii="Arial" w:cs="Arial" w:eastAsia="Arial" w:hAnsi="Arial"/>
                <w:sz w:val="16"/>
                <w:szCs w:val="16"/>
                <w:color w:val="465E66"/>
              </w:rPr>
              <w:t>12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040" w:type="dxa"/>
            <w:vAlign w:val="bottom"/>
            <w:tcBorders>
              <w:bottom w:val="single" w:sz="8" w:color="465E66"/>
            </w:tcBorders>
            <w:gridSpan w:val="26"/>
          </w:tcPr>
          <w:p>
            <w:pPr>
              <w:spacing w:after="0"/>
              <w:rPr>
                <w:sz w:val="20"/>
                <w:szCs w:val="20"/>
                <w:color w:val="auto"/>
              </w:rPr>
            </w:pPr>
            <w:r>
              <w:rPr>
                <w:rFonts w:ascii="Arial" w:cs="Arial" w:eastAsia="Arial" w:hAnsi="Arial"/>
                <w:sz w:val="16"/>
                <w:szCs w:val="16"/>
                <w:color w:val="465E66"/>
              </w:rPr>
              <w:t>Board Diversity and Director Qualifications</w:t>
            </w:r>
          </w:p>
        </w:tc>
        <w:tc>
          <w:tcPr>
            <w:tcW w:w="500" w:type="dxa"/>
            <w:vAlign w:val="bottom"/>
            <w:gridSpan w:val="8"/>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14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840" w:type="dxa"/>
            <w:vAlign w:val="bottom"/>
            <w:tcBorders>
              <w:bottom w:val="single" w:sz="8" w:color="465E66"/>
            </w:tcBorders>
            <w:gridSpan w:val="24"/>
          </w:tcPr>
          <w:p>
            <w:pPr>
              <w:spacing w:after="0"/>
              <w:rPr>
                <w:sz w:val="20"/>
                <w:szCs w:val="20"/>
                <w:color w:val="auto"/>
              </w:rPr>
            </w:pPr>
            <w:r>
              <w:rPr>
                <w:rFonts w:ascii="Arial" w:cs="Arial" w:eastAsia="Arial" w:hAnsi="Arial"/>
                <w:sz w:val="16"/>
                <w:szCs w:val="16"/>
                <w:color w:val="465E66"/>
              </w:rPr>
              <w:t>Board Independence and Related Party</w:t>
            </w:r>
          </w:p>
        </w:tc>
        <w:tc>
          <w:tcPr>
            <w:tcW w:w="700" w:type="dxa"/>
            <w:vAlign w:val="bottom"/>
            <w:gridSpan w:val="10"/>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465E66"/>
              </w:rPr>
              <w:t>15</w:t>
            </w: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920" w:type="dxa"/>
            <w:vAlign w:val="bottom"/>
            <w:gridSpan w:val="3"/>
            <w:vMerge w:val="restart"/>
          </w:tcPr>
          <w:p>
            <w:pPr>
              <w:spacing w:after="0" w:line="142" w:lineRule="exact"/>
              <w:rPr>
                <w:sz w:val="20"/>
                <w:szCs w:val="20"/>
                <w:color w:val="auto"/>
              </w:rPr>
            </w:pPr>
            <w:r>
              <w:rPr>
                <w:rFonts w:ascii="Arial" w:cs="Arial" w:eastAsia="Arial" w:hAnsi="Arial"/>
                <w:sz w:val="16"/>
                <w:szCs w:val="16"/>
                <w:color w:val="465E66"/>
                <w:w w:val="98"/>
              </w:rPr>
              <w:t>Transactions</w:t>
            </w:r>
          </w:p>
        </w:tc>
        <w:tc>
          <w:tcPr>
            <w:tcW w:w="2620" w:type="dxa"/>
            <w:vAlign w:val="bottom"/>
            <w:gridSpan w:val="31"/>
            <w:vMerge w:val="restart"/>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3"/>
                <w:szCs w:val="3"/>
                <w:color w:val="auto"/>
              </w:rPr>
            </w:pPr>
          </w:p>
        </w:tc>
        <w:tc>
          <w:tcPr>
            <w:tcW w:w="920" w:type="dxa"/>
            <w:vAlign w:val="bottom"/>
            <w:tcBorders>
              <w:bottom w:val="single" w:sz="8" w:color="465E66"/>
            </w:tcBorders>
            <w:gridSpan w:val="3"/>
            <w:vMerge w:val="continue"/>
          </w:tcPr>
          <w:p>
            <w:pPr>
              <w:spacing w:after="0"/>
              <w:rPr>
                <w:sz w:val="3"/>
                <w:szCs w:val="3"/>
                <w:color w:val="auto"/>
              </w:rPr>
            </w:pPr>
          </w:p>
        </w:tc>
        <w:tc>
          <w:tcPr>
            <w:tcW w:w="2620" w:type="dxa"/>
            <w:vAlign w:val="bottom"/>
            <w:gridSpan w:val="31"/>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Board and Committee Meetings and Attendance</w:t>
            </w:r>
          </w:p>
        </w:tc>
        <w:tc>
          <w:tcPr>
            <w:tcW w:w="760" w:type="dxa"/>
            <w:vAlign w:val="bottom"/>
          </w:tcPr>
          <w:p>
            <w:pPr>
              <w:jc w:val="right"/>
              <w:spacing w:after="0"/>
              <w:rPr>
                <w:sz w:val="20"/>
                <w:szCs w:val="20"/>
                <w:color w:val="auto"/>
              </w:rPr>
            </w:pPr>
            <w:r>
              <w:rPr>
                <w:rFonts w:ascii="Arial" w:cs="Arial" w:eastAsia="Arial" w:hAnsi="Arial"/>
                <w:sz w:val="16"/>
                <w:szCs w:val="16"/>
                <w:color w:val="465E66"/>
              </w:rPr>
              <w:t>16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40" w:type="dxa"/>
            <w:vAlign w:val="bottom"/>
            <w:tcBorders>
              <w:top w:val="single" w:sz="8" w:color="465E66"/>
            </w:tcBorders>
            <w:gridSpan w:val="32"/>
          </w:tcPr>
          <w:p>
            <w:pPr>
              <w:spacing w:after="0"/>
              <w:rPr>
                <w:sz w:val="20"/>
                <w:szCs w:val="20"/>
                <w:color w:val="auto"/>
              </w:rPr>
            </w:pPr>
            <w:r>
              <w:rPr>
                <w:rFonts w:ascii="Arial" w:cs="Arial" w:eastAsia="Arial" w:hAnsi="Arial"/>
                <w:sz w:val="16"/>
                <w:szCs w:val="16"/>
                <w:color w:val="465E66"/>
              </w:rPr>
              <w:t>Committees of the Board</w:t>
            </w:r>
          </w:p>
        </w:tc>
        <w:tc>
          <w:tcPr>
            <w:tcW w:w="100" w:type="dxa"/>
            <w:vAlign w:val="bottom"/>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16</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920" w:type="dxa"/>
            <w:vAlign w:val="bottom"/>
            <w:gridSpan w:val="3"/>
            <w:shd w:val="clear" w:color="auto" w:fill="465E66"/>
          </w:tcPr>
          <w:p>
            <w:pPr>
              <w:spacing w:after="0" w:line="20" w:lineRule="exact"/>
              <w:rPr>
                <w:sz w:val="1"/>
                <w:szCs w:val="1"/>
                <w:color w:val="auto"/>
              </w:rPr>
            </w:pPr>
          </w:p>
        </w:tc>
        <w:tc>
          <w:tcPr>
            <w:tcW w:w="60" w:type="dxa"/>
            <w:vAlign w:val="bottom"/>
            <w:shd w:val="clear" w:color="auto" w:fill="465E66"/>
          </w:tcPr>
          <w:p>
            <w:pPr>
              <w:spacing w:after="0" w:line="20" w:lineRule="exact"/>
              <w:rPr>
                <w:sz w:val="1"/>
                <w:szCs w:val="1"/>
                <w:color w:val="auto"/>
              </w:rPr>
            </w:pPr>
          </w:p>
        </w:tc>
        <w:tc>
          <w:tcPr>
            <w:tcW w:w="200" w:type="dxa"/>
            <w:vAlign w:val="bottom"/>
            <w:shd w:val="clear" w:color="auto" w:fill="465E66"/>
          </w:tcPr>
          <w:p>
            <w:pPr>
              <w:spacing w:after="0" w:line="20" w:lineRule="exact"/>
              <w:rPr>
                <w:sz w:val="1"/>
                <w:szCs w:val="1"/>
                <w:color w:val="auto"/>
              </w:rPr>
            </w:pPr>
          </w:p>
        </w:tc>
        <w:tc>
          <w:tcPr>
            <w:tcW w:w="240" w:type="dxa"/>
            <w:vAlign w:val="bottom"/>
            <w:gridSpan w:val="3"/>
            <w:shd w:val="clear" w:color="auto" w:fill="465E6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340" w:type="dxa"/>
            <w:vAlign w:val="bottom"/>
            <w:tcBorders>
              <w:bottom w:val="single" w:sz="8" w:color="465E66"/>
            </w:tcBorders>
            <w:gridSpan w:val="29"/>
          </w:tcPr>
          <w:p>
            <w:pPr>
              <w:spacing w:after="0"/>
              <w:rPr>
                <w:sz w:val="20"/>
                <w:szCs w:val="20"/>
                <w:color w:val="auto"/>
              </w:rPr>
            </w:pPr>
            <w:r>
              <w:rPr>
                <w:rFonts w:ascii="Arial" w:cs="Arial" w:eastAsia="Arial" w:hAnsi="Arial"/>
                <w:sz w:val="16"/>
                <w:szCs w:val="16"/>
                <w:color w:val="465E66"/>
              </w:rPr>
              <w:t>Annual Board and Committee Self-Evaluations</w:t>
            </w:r>
          </w:p>
        </w:tc>
        <w:tc>
          <w:tcPr>
            <w:tcW w:w="200" w:type="dxa"/>
            <w:vAlign w:val="bottom"/>
            <w:gridSpan w:val="5"/>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19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980" w:type="dxa"/>
            <w:vAlign w:val="bottom"/>
            <w:tcBorders>
              <w:bottom w:val="single" w:sz="8" w:color="465E66"/>
            </w:tcBorders>
            <w:gridSpan w:val="11"/>
          </w:tcPr>
          <w:p>
            <w:pPr>
              <w:spacing w:after="0"/>
              <w:rPr>
                <w:sz w:val="20"/>
                <w:szCs w:val="20"/>
                <w:color w:val="auto"/>
              </w:rPr>
            </w:pPr>
            <w:r>
              <w:rPr>
                <w:rFonts w:ascii="Arial" w:cs="Arial" w:eastAsia="Arial" w:hAnsi="Arial"/>
                <w:sz w:val="16"/>
                <w:szCs w:val="16"/>
                <w:color w:val="465E66"/>
                <w:w w:val="99"/>
              </w:rPr>
              <w:t>Majority Voting for Directors</w:t>
            </w:r>
          </w:p>
        </w:tc>
        <w:tc>
          <w:tcPr>
            <w:tcW w:w="1560" w:type="dxa"/>
            <w:vAlign w:val="bottom"/>
            <w:gridSpan w:val="23"/>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20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520" w:type="dxa"/>
            <w:vAlign w:val="bottom"/>
            <w:tcBorders>
              <w:bottom w:val="single" w:sz="8" w:color="465E66"/>
            </w:tcBorders>
            <w:gridSpan w:val="18"/>
          </w:tcPr>
          <w:p>
            <w:pPr>
              <w:spacing w:after="0"/>
              <w:rPr>
                <w:sz w:val="20"/>
                <w:szCs w:val="20"/>
                <w:color w:val="auto"/>
              </w:rPr>
            </w:pPr>
            <w:r>
              <w:rPr>
                <w:rFonts w:ascii="Arial" w:cs="Arial" w:eastAsia="Arial" w:hAnsi="Arial"/>
                <w:sz w:val="16"/>
                <w:szCs w:val="16"/>
                <w:color w:val="465E66"/>
              </w:rPr>
              <w:t>Role of the Board in Risk Oversight</w:t>
            </w:r>
          </w:p>
        </w:tc>
        <w:tc>
          <w:tcPr>
            <w:tcW w:w="1020" w:type="dxa"/>
            <w:vAlign w:val="bottom"/>
            <w:gridSpan w:val="16"/>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20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465E66"/>
            </w:tcBorders>
            <w:gridSpan w:val="14"/>
          </w:tcPr>
          <w:p>
            <w:pPr>
              <w:spacing w:after="0"/>
              <w:rPr>
                <w:sz w:val="20"/>
                <w:szCs w:val="20"/>
                <w:color w:val="auto"/>
              </w:rPr>
            </w:pPr>
            <w:r>
              <w:rPr>
                <w:rFonts w:ascii="Arial" w:cs="Arial" w:eastAsia="Arial" w:hAnsi="Arial"/>
                <w:sz w:val="16"/>
                <w:szCs w:val="16"/>
                <w:color w:val="465E66"/>
              </w:rPr>
              <w:t>Ethics and Compliance Program</w:t>
            </w:r>
          </w:p>
        </w:tc>
        <w:tc>
          <w:tcPr>
            <w:tcW w:w="1220" w:type="dxa"/>
            <w:vAlign w:val="bottom"/>
            <w:gridSpan w:val="20"/>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21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20" w:type="dxa"/>
            <w:vAlign w:val="bottom"/>
            <w:tcBorders>
              <w:bottom w:val="single" w:sz="8" w:color="465E66"/>
            </w:tcBorders>
            <w:gridSpan w:val="33"/>
          </w:tcPr>
          <w:p>
            <w:pPr>
              <w:spacing w:after="0"/>
              <w:rPr>
                <w:sz w:val="20"/>
                <w:szCs w:val="20"/>
                <w:color w:val="auto"/>
              </w:rPr>
            </w:pPr>
            <w:r>
              <w:rPr>
                <w:rFonts w:ascii="Arial" w:cs="Arial" w:eastAsia="Arial" w:hAnsi="Arial"/>
                <w:sz w:val="16"/>
                <w:szCs w:val="16"/>
                <w:color w:val="465E66"/>
              </w:rPr>
              <w:t>Environmental, Social and Governance Initiatives</w:t>
            </w: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21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Legal Compliance</w:t>
            </w:r>
          </w:p>
        </w:tc>
        <w:tc>
          <w:tcPr>
            <w:tcW w:w="760" w:type="dxa"/>
            <w:vAlign w:val="bottom"/>
          </w:tcPr>
          <w:p>
            <w:pPr>
              <w:jc w:val="right"/>
              <w:spacing w:after="0"/>
              <w:rPr>
                <w:sz w:val="20"/>
                <w:szCs w:val="20"/>
                <w:color w:val="auto"/>
              </w:rPr>
            </w:pPr>
            <w:r>
              <w:rPr>
                <w:rFonts w:ascii="Arial" w:cs="Arial" w:eastAsia="Arial" w:hAnsi="Arial"/>
                <w:sz w:val="16"/>
                <w:szCs w:val="16"/>
                <w:color w:val="465E66"/>
              </w:rPr>
              <w:t>23</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920" w:type="dxa"/>
            <w:vAlign w:val="bottom"/>
            <w:gridSpan w:val="3"/>
            <w:shd w:val="clear" w:color="auto" w:fill="465E6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320" w:type="dxa"/>
            <w:vAlign w:val="bottom"/>
            <w:tcBorders>
              <w:bottom w:val="single" w:sz="8" w:color="465E66"/>
            </w:tcBorders>
            <w:gridSpan w:val="14"/>
          </w:tcPr>
          <w:p>
            <w:pPr>
              <w:spacing w:after="0"/>
              <w:rPr>
                <w:sz w:val="20"/>
                <w:szCs w:val="20"/>
                <w:color w:val="auto"/>
              </w:rPr>
            </w:pPr>
            <w:r>
              <w:rPr>
                <w:rFonts w:ascii="Arial" w:cs="Arial" w:eastAsia="Arial" w:hAnsi="Arial"/>
                <w:sz w:val="16"/>
                <w:szCs w:val="16"/>
                <w:color w:val="465E66"/>
              </w:rPr>
              <w:t>2023 Compensation of Directors</w:t>
            </w:r>
          </w:p>
        </w:tc>
        <w:tc>
          <w:tcPr>
            <w:tcW w:w="1220" w:type="dxa"/>
            <w:vAlign w:val="bottom"/>
            <w:gridSpan w:val="20"/>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24</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E97D2E"/>
            </w:tcBorders>
            <w:gridSpan w:val="28"/>
          </w:tcPr>
          <w:p>
            <w:pPr>
              <w:spacing w:after="0"/>
              <w:rPr>
                <w:sz w:val="20"/>
                <w:szCs w:val="20"/>
                <w:color w:val="auto"/>
              </w:rPr>
            </w:pPr>
            <w:r>
              <w:rPr>
                <w:rFonts w:ascii="Arial" w:cs="Arial" w:eastAsia="Arial" w:hAnsi="Arial"/>
                <w:sz w:val="16"/>
                <w:szCs w:val="16"/>
                <w:b w:val="1"/>
                <w:bCs w:val="1"/>
                <w:color w:val="E97D2E"/>
              </w:rPr>
              <w:t>COMPENSATION OF EXECUTIVE OFFICERS</w:t>
            </w:r>
          </w:p>
        </w:tc>
        <w:tc>
          <w:tcPr>
            <w:tcW w:w="460" w:type="dxa"/>
            <w:vAlign w:val="bottom"/>
            <w:gridSpan w:val="7"/>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E97D2E"/>
              </w:rPr>
              <w:t>26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tcBorders>
              <w:bottom w:val="single" w:sz="8" w:color="465E66"/>
            </w:tcBorders>
            <w:gridSpan w:val="34"/>
          </w:tcPr>
          <w:p>
            <w:pPr>
              <w:spacing w:after="0"/>
              <w:rPr>
                <w:sz w:val="20"/>
                <w:szCs w:val="20"/>
                <w:color w:val="auto"/>
              </w:rPr>
            </w:pPr>
            <w:r>
              <w:rPr>
                <w:rFonts w:ascii="Arial" w:cs="Arial" w:eastAsia="Arial" w:hAnsi="Arial"/>
                <w:sz w:val="16"/>
                <w:szCs w:val="16"/>
                <w:color w:val="465E66"/>
              </w:rPr>
              <w:t>Proposal No. 2: Advisory Vote to Approve Named</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465E66"/>
              </w:rPr>
              <w:t>26</w:t>
            </w: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3300" w:type="dxa"/>
            <w:vAlign w:val="bottom"/>
            <w:gridSpan w:val="28"/>
            <w:vMerge w:val="restart"/>
          </w:tcPr>
          <w:p>
            <w:pPr>
              <w:spacing w:after="0" w:line="142" w:lineRule="exact"/>
              <w:rPr>
                <w:sz w:val="20"/>
                <w:szCs w:val="20"/>
                <w:color w:val="auto"/>
              </w:rPr>
            </w:pPr>
            <w:r>
              <w:rPr>
                <w:rFonts w:ascii="Arial" w:cs="Arial" w:eastAsia="Arial" w:hAnsi="Arial"/>
                <w:sz w:val="16"/>
                <w:szCs w:val="16"/>
                <w:color w:val="465E66"/>
              </w:rPr>
              <w:t>Executive Officer Compensation (Say-on-Pay)</w:t>
            </w:r>
          </w:p>
        </w:tc>
        <w:tc>
          <w:tcPr>
            <w:tcW w:w="240" w:type="dxa"/>
            <w:vAlign w:val="bottom"/>
            <w:gridSpan w:val="6"/>
            <w:vMerge w:val="restart"/>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3"/>
                <w:szCs w:val="3"/>
                <w:color w:val="auto"/>
              </w:rPr>
            </w:pPr>
          </w:p>
        </w:tc>
        <w:tc>
          <w:tcPr>
            <w:tcW w:w="3300" w:type="dxa"/>
            <w:vAlign w:val="bottom"/>
            <w:tcBorders>
              <w:bottom w:val="single" w:sz="8" w:color="465E66"/>
            </w:tcBorders>
            <w:gridSpan w:val="28"/>
            <w:vMerge w:val="continue"/>
          </w:tcPr>
          <w:p>
            <w:pPr>
              <w:spacing w:after="0"/>
              <w:rPr>
                <w:sz w:val="3"/>
                <w:szCs w:val="3"/>
                <w:color w:val="auto"/>
              </w:rPr>
            </w:pPr>
          </w:p>
        </w:tc>
        <w:tc>
          <w:tcPr>
            <w:tcW w:w="240" w:type="dxa"/>
            <w:vAlign w:val="bottom"/>
            <w:gridSpan w:val="6"/>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Compensation Discussion and Analysis</w:t>
            </w:r>
          </w:p>
        </w:tc>
        <w:tc>
          <w:tcPr>
            <w:tcW w:w="760" w:type="dxa"/>
            <w:vAlign w:val="bottom"/>
          </w:tcPr>
          <w:p>
            <w:pPr>
              <w:jc w:val="right"/>
              <w:spacing w:after="0"/>
              <w:rPr>
                <w:sz w:val="20"/>
                <w:szCs w:val="20"/>
                <w:color w:val="auto"/>
              </w:rPr>
            </w:pPr>
            <w:r>
              <w:rPr>
                <w:rFonts w:ascii="Arial" w:cs="Arial" w:eastAsia="Arial" w:hAnsi="Arial"/>
                <w:sz w:val="16"/>
                <w:szCs w:val="16"/>
                <w:color w:val="465E66"/>
              </w:rPr>
              <w:t>27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400" w:type="dxa"/>
            <w:vAlign w:val="bottom"/>
            <w:tcBorders>
              <w:top w:val="single" w:sz="8" w:color="465E66"/>
              <w:bottom w:val="single" w:sz="8" w:color="465E66"/>
            </w:tcBorders>
            <w:gridSpan w:val="15"/>
          </w:tcPr>
          <w:p>
            <w:pPr>
              <w:spacing w:after="0"/>
              <w:rPr>
                <w:sz w:val="20"/>
                <w:szCs w:val="20"/>
                <w:color w:val="auto"/>
              </w:rPr>
            </w:pPr>
            <w:r>
              <w:rPr>
                <w:rFonts w:ascii="Arial" w:cs="Arial" w:eastAsia="Arial" w:hAnsi="Arial"/>
                <w:sz w:val="16"/>
                <w:szCs w:val="16"/>
                <w:color w:val="465E66"/>
              </w:rPr>
              <w:t>Compensation Committee Report</w:t>
            </w:r>
          </w:p>
        </w:tc>
        <w:tc>
          <w:tcPr>
            <w:tcW w:w="420" w:type="dxa"/>
            <w:vAlign w:val="bottom"/>
            <w:tcBorders>
              <w:top w:val="single" w:sz="8" w:color="465E66"/>
            </w:tcBorders>
            <w:gridSpan w:val="8"/>
          </w:tcPr>
          <w:p>
            <w:pPr>
              <w:spacing w:after="0"/>
              <w:rPr>
                <w:sz w:val="17"/>
                <w:szCs w:val="17"/>
                <w:color w:val="auto"/>
              </w:rPr>
            </w:pPr>
          </w:p>
        </w:tc>
        <w:tc>
          <w:tcPr>
            <w:tcW w:w="720" w:type="dxa"/>
            <w:vAlign w:val="bottom"/>
            <w:gridSpan w:val="11"/>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43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Summary Compensation Table</w:t>
            </w:r>
          </w:p>
        </w:tc>
        <w:tc>
          <w:tcPr>
            <w:tcW w:w="760" w:type="dxa"/>
            <w:vAlign w:val="bottom"/>
          </w:tcPr>
          <w:p>
            <w:pPr>
              <w:jc w:val="right"/>
              <w:spacing w:after="0"/>
              <w:rPr>
                <w:sz w:val="20"/>
                <w:szCs w:val="20"/>
                <w:color w:val="auto"/>
              </w:rPr>
            </w:pPr>
            <w:r>
              <w:rPr>
                <w:rFonts w:ascii="Arial" w:cs="Arial" w:eastAsia="Arial" w:hAnsi="Arial"/>
                <w:sz w:val="16"/>
                <w:szCs w:val="16"/>
                <w:color w:val="465E66"/>
              </w:rPr>
              <w:t>44</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980" w:type="dxa"/>
            <w:vAlign w:val="bottom"/>
            <w:gridSpan w:val="4"/>
            <w:shd w:val="clear" w:color="auto" w:fill="465E66"/>
          </w:tcPr>
          <w:p>
            <w:pPr>
              <w:spacing w:after="0" w:line="20" w:lineRule="exact"/>
              <w:rPr>
                <w:sz w:val="1"/>
                <w:szCs w:val="1"/>
                <w:color w:val="auto"/>
              </w:rPr>
            </w:pPr>
          </w:p>
        </w:tc>
        <w:tc>
          <w:tcPr>
            <w:tcW w:w="200" w:type="dxa"/>
            <w:vAlign w:val="bottom"/>
            <w:shd w:val="clear" w:color="auto" w:fill="465E66"/>
          </w:tcPr>
          <w:p>
            <w:pPr>
              <w:spacing w:after="0" w:line="20" w:lineRule="exact"/>
              <w:rPr>
                <w:sz w:val="1"/>
                <w:szCs w:val="1"/>
                <w:color w:val="auto"/>
              </w:rPr>
            </w:pPr>
          </w:p>
        </w:tc>
        <w:tc>
          <w:tcPr>
            <w:tcW w:w="260" w:type="dxa"/>
            <w:vAlign w:val="bottom"/>
            <w:gridSpan w:val="4"/>
            <w:shd w:val="clear" w:color="auto" w:fill="465E66"/>
          </w:tcPr>
          <w:p>
            <w:pPr>
              <w:spacing w:after="0" w:line="20" w:lineRule="exact"/>
              <w:rPr>
                <w:sz w:val="1"/>
                <w:szCs w:val="1"/>
                <w:color w:val="auto"/>
              </w:rPr>
            </w:pPr>
          </w:p>
        </w:tc>
        <w:tc>
          <w:tcPr>
            <w:tcW w:w="320" w:type="dxa"/>
            <w:vAlign w:val="bottom"/>
            <w:tcBorders>
              <w:right w:val="single" w:sz="8" w:color="465E66"/>
            </w:tcBorders>
            <w:gridSpan w:val="2"/>
            <w:shd w:val="clear" w:color="auto" w:fill="465E66"/>
          </w:tcPr>
          <w:p>
            <w:pPr>
              <w:spacing w:after="0" w:line="20" w:lineRule="exact"/>
              <w:rPr>
                <w:sz w:val="1"/>
                <w:szCs w:val="1"/>
                <w:color w:val="auto"/>
              </w:rPr>
            </w:pPr>
          </w:p>
        </w:tc>
        <w:tc>
          <w:tcPr>
            <w:tcW w:w="80" w:type="dxa"/>
            <w:vAlign w:val="bottom"/>
            <w:tcBorders>
              <w:left w:val="single" w:sz="8" w:color="465E66"/>
            </w:tcBorders>
            <w:shd w:val="clear" w:color="auto" w:fill="465E6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00" w:type="dxa"/>
            <w:vAlign w:val="bottom"/>
            <w:tcBorders>
              <w:bottom w:val="single" w:sz="8" w:color="465E66"/>
            </w:tcBorders>
            <w:gridSpan w:val="22"/>
          </w:tcPr>
          <w:p>
            <w:pPr>
              <w:spacing w:after="0"/>
              <w:rPr>
                <w:sz w:val="20"/>
                <w:szCs w:val="20"/>
                <w:color w:val="auto"/>
              </w:rPr>
            </w:pPr>
            <w:r>
              <w:rPr>
                <w:rFonts w:ascii="Arial" w:cs="Arial" w:eastAsia="Arial" w:hAnsi="Arial"/>
                <w:sz w:val="16"/>
                <w:szCs w:val="16"/>
                <w:color w:val="465E66"/>
              </w:rPr>
              <w:t>Grants of Plan-Based Awards in 2023</w:t>
            </w:r>
          </w:p>
        </w:tc>
        <w:tc>
          <w:tcPr>
            <w:tcW w:w="840" w:type="dxa"/>
            <w:vAlign w:val="bottom"/>
            <w:gridSpan w:val="12"/>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45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Other Material Factors — Summary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540" w:type="dxa"/>
            <w:vAlign w:val="bottom"/>
            <w:tcBorders>
              <w:top w:val="single" w:sz="8" w:color="465E66"/>
            </w:tcBorders>
            <w:gridSpan w:val="19"/>
          </w:tcPr>
          <w:p>
            <w:pPr>
              <w:spacing w:after="0" w:line="142" w:lineRule="exact"/>
              <w:rPr>
                <w:sz w:val="20"/>
                <w:szCs w:val="20"/>
                <w:color w:val="auto"/>
              </w:rPr>
            </w:pPr>
            <w:r>
              <w:rPr>
                <w:rFonts w:ascii="Arial" w:cs="Arial" w:eastAsia="Arial" w:hAnsi="Arial"/>
                <w:sz w:val="16"/>
                <w:szCs w:val="16"/>
                <w:color w:val="465E66"/>
              </w:rPr>
              <w:t>Compensation Table and Grants of</w:t>
            </w:r>
          </w:p>
        </w:tc>
        <w:tc>
          <w:tcPr>
            <w:tcW w:w="1000" w:type="dxa"/>
            <w:vAlign w:val="bottom"/>
            <w:gridSpan w:val="15"/>
          </w:tcPr>
          <w:p>
            <w:pPr>
              <w:spacing w:after="0" w:line="142" w:lineRule="exact"/>
              <w:rPr>
                <w:sz w:val="20"/>
                <w:szCs w:val="20"/>
                <w:color w:val="auto"/>
              </w:rPr>
            </w:pPr>
            <w:r>
              <w:rPr>
                <w:rFonts w:ascii="Arial" w:cs="Arial" w:eastAsia="Arial" w:hAnsi="Arial"/>
                <w:sz w:val="16"/>
                <w:szCs w:val="16"/>
                <w:color w:val="465E66"/>
              </w:rPr>
              <w:t>Plan-Based</w:t>
            </w:r>
          </w:p>
        </w:tc>
        <w:tc>
          <w:tcPr>
            <w:tcW w:w="760" w:type="dxa"/>
            <w:vAlign w:val="bottom"/>
          </w:tcPr>
          <w:p>
            <w:pPr>
              <w:jc w:val="right"/>
              <w:spacing w:after="0" w:line="142" w:lineRule="exact"/>
              <w:rPr>
                <w:sz w:val="20"/>
                <w:szCs w:val="20"/>
                <w:color w:val="auto"/>
              </w:rPr>
            </w:pPr>
            <w:r>
              <w:rPr>
                <w:rFonts w:ascii="Arial" w:cs="Arial" w:eastAsia="Arial" w:hAnsi="Arial"/>
                <w:sz w:val="16"/>
                <w:szCs w:val="16"/>
                <w:color w:val="465E66"/>
              </w:rPr>
              <w:t>45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540" w:type="dxa"/>
            <w:vAlign w:val="bottom"/>
            <w:tcBorders>
              <w:top w:val="single" w:sz="8" w:color="465E66"/>
              <w:bottom w:val="single" w:sz="8" w:color="465E66"/>
            </w:tcBorders>
            <w:gridSpan w:val="6"/>
          </w:tcPr>
          <w:p>
            <w:pPr>
              <w:spacing w:after="0" w:line="142" w:lineRule="exact"/>
              <w:rPr>
                <w:sz w:val="20"/>
                <w:szCs w:val="20"/>
                <w:color w:val="auto"/>
              </w:rPr>
            </w:pPr>
            <w:r>
              <w:rPr>
                <w:rFonts w:ascii="Arial" w:cs="Arial" w:eastAsia="Arial" w:hAnsi="Arial"/>
                <w:sz w:val="16"/>
                <w:szCs w:val="16"/>
                <w:color w:val="465E66"/>
                <w:w w:val="98"/>
              </w:rPr>
              <w:t>Awards in 2023 Table</w:t>
            </w:r>
          </w:p>
        </w:tc>
        <w:tc>
          <w:tcPr>
            <w:tcW w:w="1840" w:type="dxa"/>
            <w:vAlign w:val="bottom"/>
            <w:tcBorders>
              <w:top w:val="single" w:sz="8" w:color="465E66"/>
            </w:tcBorders>
            <w:gridSpan w:val="25"/>
          </w:tcPr>
          <w:p>
            <w:pPr>
              <w:spacing w:after="0"/>
              <w:rPr>
                <w:sz w:val="12"/>
                <w:szCs w:val="12"/>
                <w:color w:val="auto"/>
              </w:rPr>
            </w:pPr>
          </w:p>
        </w:tc>
        <w:tc>
          <w:tcPr>
            <w:tcW w:w="16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Outstanding Equity Awards at Fiscal Year-End</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465E66"/>
              </w:rPr>
              <w:t>46</w:t>
            </w:r>
          </w:p>
        </w:tc>
        <w:tc>
          <w:tcPr>
            <w:tcW w:w="0" w:type="dxa"/>
            <w:vAlign w:val="bottom"/>
          </w:tcPr>
          <w:p>
            <w:pPr>
              <w:spacing w:after="0"/>
              <w:rPr>
                <w:sz w:val="1"/>
                <w:szCs w:val="1"/>
                <w:color w:val="auto"/>
              </w:rPr>
            </w:pPr>
          </w:p>
        </w:tc>
      </w:tr>
      <w:tr>
        <w:trPr>
          <w:trHeight w:val="100"/>
        </w:trPr>
        <w:tc>
          <w:tcPr>
            <w:tcW w:w="340" w:type="dxa"/>
            <w:vAlign w:val="bottom"/>
            <w:vMerge w:val="restart"/>
          </w:tcPr>
          <w:p>
            <w:pPr>
              <w:spacing w:after="0"/>
              <w:rPr>
                <w:sz w:val="8"/>
                <w:szCs w:val="8"/>
                <w:color w:val="auto"/>
              </w:rPr>
            </w:pPr>
          </w:p>
        </w:tc>
        <w:tc>
          <w:tcPr>
            <w:tcW w:w="360" w:type="dxa"/>
            <w:vAlign w:val="bottom"/>
            <w:tcBorders>
              <w:top w:val="single" w:sz="8" w:color="465E66"/>
            </w:tcBorders>
            <w:vMerge w:val="restart"/>
          </w:tcPr>
          <w:p>
            <w:pPr>
              <w:spacing w:after="0" w:line="142" w:lineRule="exact"/>
              <w:rPr>
                <w:sz w:val="20"/>
                <w:szCs w:val="20"/>
                <w:color w:val="auto"/>
              </w:rPr>
            </w:pPr>
            <w:r>
              <w:rPr>
                <w:rFonts w:ascii="Arial" w:cs="Arial" w:eastAsia="Arial" w:hAnsi="Arial"/>
                <w:sz w:val="16"/>
                <w:szCs w:val="16"/>
                <w:color w:val="465E66"/>
                <w:w w:val="95"/>
              </w:rPr>
              <w:t>2023</w:t>
            </w:r>
          </w:p>
        </w:tc>
        <w:tc>
          <w:tcPr>
            <w:tcW w:w="460" w:type="dxa"/>
            <w:vAlign w:val="bottom"/>
            <w:tcBorders>
              <w:top w:val="single" w:sz="8" w:color="465E66"/>
            </w:tcBorders>
          </w:tcPr>
          <w:p>
            <w:pPr>
              <w:spacing w:after="0"/>
              <w:rPr>
                <w:sz w:val="8"/>
                <w:szCs w:val="8"/>
                <w:color w:val="auto"/>
              </w:rPr>
            </w:pPr>
          </w:p>
        </w:tc>
        <w:tc>
          <w:tcPr>
            <w:tcW w:w="100" w:type="dxa"/>
            <w:vAlign w:val="bottom"/>
            <w:tcBorders>
              <w:top w:val="single" w:sz="8" w:color="465E66"/>
            </w:tcBorders>
          </w:tcPr>
          <w:p>
            <w:pPr>
              <w:spacing w:after="0"/>
              <w:rPr>
                <w:sz w:val="8"/>
                <w:szCs w:val="8"/>
                <w:color w:val="auto"/>
              </w:rPr>
            </w:pPr>
          </w:p>
        </w:tc>
        <w:tc>
          <w:tcPr>
            <w:tcW w:w="360" w:type="dxa"/>
            <w:vAlign w:val="bottom"/>
            <w:tcBorders>
              <w:top w:val="single" w:sz="8" w:color="465E66"/>
            </w:tcBorders>
          </w:tcPr>
          <w:p>
            <w:pPr>
              <w:spacing w:after="0"/>
              <w:rPr>
                <w:sz w:val="8"/>
                <w:szCs w:val="8"/>
                <w:color w:val="auto"/>
              </w:rPr>
            </w:pPr>
          </w:p>
        </w:tc>
        <w:tc>
          <w:tcPr>
            <w:tcW w:w="60" w:type="dxa"/>
            <w:vAlign w:val="bottom"/>
            <w:tcBorders>
              <w:top w:val="single" w:sz="8" w:color="465E66"/>
            </w:tcBorders>
          </w:tcPr>
          <w:p>
            <w:pPr>
              <w:spacing w:after="0"/>
              <w:rPr>
                <w:sz w:val="8"/>
                <w:szCs w:val="8"/>
                <w:color w:val="auto"/>
              </w:rPr>
            </w:pPr>
          </w:p>
        </w:tc>
        <w:tc>
          <w:tcPr>
            <w:tcW w:w="200" w:type="dxa"/>
            <w:vAlign w:val="bottom"/>
            <w:tcBorders>
              <w:top w:val="single" w:sz="8" w:color="465E66"/>
            </w:tcBorders>
          </w:tcPr>
          <w:p>
            <w:pPr>
              <w:spacing w:after="0"/>
              <w:rPr>
                <w:sz w:val="8"/>
                <w:szCs w:val="8"/>
                <w:color w:val="auto"/>
              </w:rPr>
            </w:pPr>
          </w:p>
        </w:tc>
        <w:tc>
          <w:tcPr>
            <w:tcW w:w="10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12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180" w:type="dxa"/>
            <w:vAlign w:val="bottom"/>
            <w:tcBorders>
              <w:top w:val="single" w:sz="8" w:color="465E66"/>
            </w:tcBorders>
          </w:tcPr>
          <w:p>
            <w:pPr>
              <w:spacing w:after="0"/>
              <w:rPr>
                <w:sz w:val="8"/>
                <w:szCs w:val="8"/>
                <w:color w:val="auto"/>
              </w:rPr>
            </w:pPr>
          </w:p>
        </w:tc>
        <w:tc>
          <w:tcPr>
            <w:tcW w:w="140" w:type="dxa"/>
            <w:vAlign w:val="bottom"/>
            <w:tcBorders>
              <w:top w:val="single" w:sz="8" w:color="465E66"/>
            </w:tcBorders>
          </w:tcPr>
          <w:p>
            <w:pPr>
              <w:spacing w:after="0"/>
              <w:rPr>
                <w:sz w:val="8"/>
                <w:szCs w:val="8"/>
                <w:color w:val="auto"/>
              </w:rPr>
            </w:pPr>
          </w:p>
        </w:tc>
        <w:tc>
          <w:tcPr>
            <w:tcW w:w="80" w:type="dxa"/>
            <w:vAlign w:val="bottom"/>
            <w:tcBorders>
              <w:top w:val="single" w:sz="8" w:color="465E66"/>
            </w:tcBorders>
          </w:tcPr>
          <w:p>
            <w:pPr>
              <w:spacing w:after="0"/>
              <w:rPr>
                <w:sz w:val="8"/>
                <w:szCs w:val="8"/>
                <w:color w:val="auto"/>
              </w:rPr>
            </w:pPr>
          </w:p>
        </w:tc>
        <w:tc>
          <w:tcPr>
            <w:tcW w:w="120" w:type="dxa"/>
            <w:vAlign w:val="bottom"/>
            <w:tcBorders>
              <w:top w:val="single" w:sz="8" w:color="465E66"/>
            </w:tcBorders>
          </w:tcPr>
          <w:p>
            <w:pPr>
              <w:spacing w:after="0"/>
              <w:rPr>
                <w:sz w:val="8"/>
                <w:szCs w:val="8"/>
                <w:color w:val="auto"/>
              </w:rPr>
            </w:pPr>
          </w:p>
        </w:tc>
        <w:tc>
          <w:tcPr>
            <w:tcW w:w="80" w:type="dxa"/>
            <w:vAlign w:val="bottom"/>
            <w:tcBorders>
              <w:top w:val="single" w:sz="8" w:color="465E66"/>
            </w:tcBorders>
          </w:tcPr>
          <w:p>
            <w:pPr>
              <w:spacing w:after="0"/>
              <w:rPr>
                <w:sz w:val="8"/>
                <w:szCs w:val="8"/>
                <w:color w:val="auto"/>
              </w:rPr>
            </w:pPr>
          </w:p>
        </w:tc>
        <w:tc>
          <w:tcPr>
            <w:tcW w:w="4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6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60" w:type="dxa"/>
            <w:vAlign w:val="bottom"/>
            <w:tcBorders>
              <w:top w:val="single" w:sz="8" w:color="465E66"/>
            </w:tcBorders>
          </w:tcPr>
          <w:p>
            <w:pPr>
              <w:spacing w:after="0"/>
              <w:rPr>
                <w:sz w:val="8"/>
                <w:szCs w:val="8"/>
                <w:color w:val="auto"/>
              </w:rPr>
            </w:pPr>
          </w:p>
        </w:tc>
        <w:tc>
          <w:tcPr>
            <w:tcW w:w="8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12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20" w:type="dxa"/>
            <w:vAlign w:val="bottom"/>
            <w:tcBorders>
              <w:top w:val="single" w:sz="8" w:color="465E66"/>
            </w:tcBorders>
          </w:tcPr>
          <w:p>
            <w:pPr>
              <w:spacing w:after="0"/>
              <w:rPr>
                <w:sz w:val="8"/>
                <w:szCs w:val="8"/>
                <w:color w:val="auto"/>
              </w:rPr>
            </w:pPr>
          </w:p>
        </w:tc>
        <w:tc>
          <w:tcPr>
            <w:tcW w:w="180" w:type="dxa"/>
            <w:vAlign w:val="bottom"/>
            <w:tcBorders>
              <w:top w:val="single" w:sz="8" w:color="465E66"/>
            </w:tcBorders>
          </w:tcPr>
          <w:p>
            <w:pPr>
              <w:spacing w:after="0"/>
              <w:rPr>
                <w:sz w:val="8"/>
                <w:szCs w:val="8"/>
                <w:color w:val="auto"/>
              </w:rPr>
            </w:pPr>
          </w:p>
        </w:tc>
        <w:tc>
          <w:tcPr>
            <w:tcW w:w="40" w:type="dxa"/>
            <w:vAlign w:val="bottom"/>
            <w:tcBorders>
              <w:top w:val="single" w:sz="8" w:color="465E66"/>
            </w:tcBorders>
          </w:tcPr>
          <w:p>
            <w:pPr>
              <w:spacing w:after="0"/>
              <w:rPr>
                <w:sz w:val="8"/>
                <w:szCs w:val="8"/>
                <w:color w:val="auto"/>
              </w:rPr>
            </w:pPr>
          </w:p>
        </w:tc>
        <w:tc>
          <w:tcPr>
            <w:tcW w:w="220" w:type="dxa"/>
            <w:vAlign w:val="bottom"/>
            <w:tcBorders>
              <w:top w:val="single" w:sz="8" w:color="465E66"/>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40" w:type="dxa"/>
            <w:vAlign w:val="bottom"/>
            <w:vMerge w:val="continue"/>
          </w:tcPr>
          <w:p>
            <w:pPr>
              <w:spacing w:after="0"/>
              <w:rPr>
                <w:sz w:val="3"/>
                <w:szCs w:val="3"/>
                <w:color w:val="auto"/>
              </w:rPr>
            </w:pPr>
          </w:p>
        </w:tc>
        <w:tc>
          <w:tcPr>
            <w:tcW w:w="360" w:type="dxa"/>
            <w:vAlign w:val="bottom"/>
            <w:tcBorders>
              <w:bottom w:val="single" w:sz="8" w:color="465E66"/>
            </w:tcBorders>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2023 Stock Vested</w:t>
            </w:r>
          </w:p>
        </w:tc>
        <w:tc>
          <w:tcPr>
            <w:tcW w:w="760" w:type="dxa"/>
            <w:vAlign w:val="bottom"/>
          </w:tcPr>
          <w:p>
            <w:pPr>
              <w:jc w:val="right"/>
              <w:spacing w:after="0"/>
              <w:rPr>
                <w:sz w:val="20"/>
                <w:szCs w:val="20"/>
                <w:color w:val="auto"/>
              </w:rPr>
            </w:pPr>
            <w:r>
              <w:rPr>
                <w:rFonts w:ascii="Arial" w:cs="Arial" w:eastAsia="Arial" w:hAnsi="Arial"/>
                <w:sz w:val="16"/>
                <w:szCs w:val="16"/>
                <w:color w:val="465E66"/>
              </w:rPr>
              <w:t>47</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1340" w:type="dxa"/>
            <w:vAlign w:val="bottom"/>
            <w:gridSpan w:val="5"/>
            <w:shd w:val="clear" w:color="auto" w:fill="465E6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Employment Agreements</w:t>
            </w:r>
          </w:p>
        </w:tc>
        <w:tc>
          <w:tcPr>
            <w:tcW w:w="760" w:type="dxa"/>
            <w:vAlign w:val="bottom"/>
          </w:tcPr>
          <w:p>
            <w:pPr>
              <w:jc w:val="right"/>
              <w:spacing w:after="0"/>
              <w:rPr>
                <w:sz w:val="20"/>
                <w:szCs w:val="20"/>
                <w:color w:val="auto"/>
              </w:rPr>
            </w:pPr>
            <w:r>
              <w:rPr>
                <w:rFonts w:ascii="Arial" w:cs="Arial" w:eastAsia="Arial" w:hAnsi="Arial"/>
                <w:sz w:val="16"/>
                <w:szCs w:val="16"/>
                <w:color w:val="465E66"/>
              </w:rPr>
              <w:t>48</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1800" w:type="dxa"/>
            <w:vAlign w:val="bottom"/>
            <w:gridSpan w:val="10"/>
            <w:shd w:val="clear" w:color="auto" w:fill="465E6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60" w:type="dxa"/>
            <w:vAlign w:val="bottom"/>
            <w:tcBorders>
              <w:bottom w:val="single" w:sz="8" w:color="465E66"/>
            </w:tcBorders>
            <w:gridSpan w:val="25"/>
          </w:tcPr>
          <w:p>
            <w:pPr>
              <w:spacing w:after="0"/>
              <w:rPr>
                <w:sz w:val="20"/>
                <w:szCs w:val="20"/>
                <w:color w:val="auto"/>
              </w:rPr>
            </w:pPr>
            <w:r>
              <w:rPr>
                <w:rFonts w:ascii="Arial" w:cs="Arial" w:eastAsia="Arial" w:hAnsi="Arial"/>
                <w:sz w:val="16"/>
                <w:szCs w:val="16"/>
                <w:color w:val="465E66"/>
                <w:w w:val="99"/>
              </w:rPr>
              <w:t>Potential Payments upon Termination of</w:t>
            </w:r>
          </w:p>
        </w:tc>
        <w:tc>
          <w:tcPr>
            <w:tcW w:w="680" w:type="dxa"/>
            <w:vAlign w:val="bottom"/>
            <w:gridSpan w:val="9"/>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465E66"/>
              </w:rPr>
              <w:t>50</w:t>
            </w: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2440" w:type="dxa"/>
            <w:vAlign w:val="bottom"/>
            <w:gridSpan w:val="16"/>
            <w:vMerge w:val="restart"/>
          </w:tcPr>
          <w:p>
            <w:pPr>
              <w:spacing w:after="0" w:line="142" w:lineRule="exact"/>
              <w:rPr>
                <w:sz w:val="20"/>
                <w:szCs w:val="20"/>
                <w:color w:val="auto"/>
              </w:rPr>
            </w:pPr>
            <w:r>
              <w:rPr>
                <w:rFonts w:ascii="Arial" w:cs="Arial" w:eastAsia="Arial" w:hAnsi="Arial"/>
                <w:sz w:val="16"/>
                <w:szCs w:val="16"/>
                <w:color w:val="465E66"/>
              </w:rPr>
              <w:t>Employment or Change in Control</w:t>
            </w:r>
          </w:p>
        </w:tc>
        <w:tc>
          <w:tcPr>
            <w:tcW w:w="1100" w:type="dxa"/>
            <w:vAlign w:val="bottom"/>
            <w:gridSpan w:val="18"/>
            <w:vMerge w:val="restart"/>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3"/>
                <w:szCs w:val="3"/>
                <w:color w:val="auto"/>
              </w:rPr>
            </w:pPr>
          </w:p>
        </w:tc>
        <w:tc>
          <w:tcPr>
            <w:tcW w:w="2440" w:type="dxa"/>
            <w:vAlign w:val="bottom"/>
            <w:tcBorders>
              <w:bottom w:val="single" w:sz="8" w:color="465E66"/>
            </w:tcBorders>
            <w:gridSpan w:val="16"/>
            <w:vMerge w:val="continue"/>
          </w:tcPr>
          <w:p>
            <w:pPr>
              <w:spacing w:after="0"/>
              <w:rPr>
                <w:sz w:val="3"/>
                <w:szCs w:val="3"/>
                <w:color w:val="auto"/>
              </w:rPr>
            </w:pPr>
          </w:p>
        </w:tc>
        <w:tc>
          <w:tcPr>
            <w:tcW w:w="1100" w:type="dxa"/>
            <w:vAlign w:val="bottom"/>
            <w:gridSpan w:val="18"/>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465E66"/>
              </w:rPr>
              <w:t>onsemi 2023 Pay Ratio Disclosure</w:t>
            </w:r>
          </w:p>
        </w:tc>
        <w:tc>
          <w:tcPr>
            <w:tcW w:w="760" w:type="dxa"/>
            <w:vAlign w:val="bottom"/>
          </w:tcPr>
          <w:p>
            <w:pPr>
              <w:jc w:val="right"/>
              <w:spacing w:after="0"/>
              <w:rPr>
                <w:sz w:val="20"/>
                <w:szCs w:val="20"/>
                <w:color w:val="auto"/>
              </w:rPr>
            </w:pPr>
            <w:r>
              <w:rPr>
                <w:rFonts w:ascii="Arial" w:cs="Arial" w:eastAsia="Arial" w:hAnsi="Arial"/>
                <w:sz w:val="16"/>
                <w:szCs w:val="16"/>
                <w:color w:val="465E66"/>
              </w:rPr>
              <w:t>51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460" w:type="dxa"/>
            <w:vAlign w:val="bottom"/>
            <w:tcBorders>
              <w:top w:val="single" w:sz="8" w:color="465E66"/>
            </w:tcBorders>
            <w:gridSpan w:val="17"/>
          </w:tcPr>
          <w:p>
            <w:pPr>
              <w:spacing w:after="0"/>
              <w:rPr>
                <w:sz w:val="20"/>
                <w:szCs w:val="20"/>
                <w:color w:val="auto"/>
              </w:rPr>
            </w:pPr>
            <w:r>
              <w:rPr>
                <w:rFonts w:ascii="Arial" w:cs="Arial" w:eastAsia="Arial" w:hAnsi="Arial"/>
                <w:sz w:val="16"/>
                <w:szCs w:val="16"/>
                <w:color w:val="465E66"/>
              </w:rPr>
              <w:t>2023 Pay versus Performance</w:t>
            </w:r>
          </w:p>
        </w:tc>
        <w:tc>
          <w:tcPr>
            <w:tcW w:w="1080" w:type="dxa"/>
            <w:vAlign w:val="bottom"/>
            <w:gridSpan w:val="17"/>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465E66"/>
              </w:rPr>
              <w:t>52</w:t>
            </w:r>
          </w:p>
        </w:tc>
        <w:tc>
          <w:tcPr>
            <w:tcW w:w="0" w:type="dxa"/>
            <w:vAlign w:val="bottom"/>
          </w:tcPr>
          <w:p>
            <w:pPr>
              <w:spacing w:after="0"/>
              <w:rPr>
                <w:sz w:val="1"/>
                <w:szCs w:val="1"/>
                <w:color w:val="auto"/>
              </w:rPr>
            </w:pPr>
          </w:p>
        </w:tc>
      </w:tr>
      <w:tr>
        <w:trPr>
          <w:trHeight w:val="20"/>
        </w:trPr>
        <w:tc>
          <w:tcPr>
            <w:tcW w:w="340" w:type="dxa"/>
            <w:vAlign w:val="bottom"/>
            <w:tcBorders>
              <w:right w:val="single" w:sz="8" w:color="465E66"/>
            </w:tcBorders>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460" w:type="dxa"/>
            <w:vAlign w:val="bottom"/>
            <w:shd w:val="clear" w:color="auto" w:fill="465E66"/>
          </w:tcPr>
          <w:p>
            <w:pPr>
              <w:spacing w:after="0" w:line="20" w:lineRule="exact"/>
              <w:rPr>
                <w:sz w:val="1"/>
                <w:szCs w:val="1"/>
                <w:color w:val="auto"/>
              </w:rPr>
            </w:pPr>
          </w:p>
        </w:tc>
        <w:tc>
          <w:tcPr>
            <w:tcW w:w="100" w:type="dxa"/>
            <w:vAlign w:val="bottom"/>
            <w:shd w:val="clear" w:color="auto" w:fill="465E66"/>
          </w:tcPr>
          <w:p>
            <w:pPr>
              <w:spacing w:after="0" w:line="20" w:lineRule="exact"/>
              <w:rPr>
                <w:sz w:val="1"/>
                <w:szCs w:val="1"/>
                <w:color w:val="auto"/>
              </w:rPr>
            </w:pPr>
          </w:p>
        </w:tc>
        <w:tc>
          <w:tcPr>
            <w:tcW w:w="360" w:type="dxa"/>
            <w:vAlign w:val="bottom"/>
            <w:shd w:val="clear" w:color="auto" w:fill="465E66"/>
          </w:tcPr>
          <w:p>
            <w:pPr>
              <w:spacing w:after="0" w:line="20" w:lineRule="exact"/>
              <w:rPr>
                <w:sz w:val="1"/>
                <w:szCs w:val="1"/>
                <w:color w:val="auto"/>
              </w:rPr>
            </w:pPr>
          </w:p>
        </w:tc>
        <w:tc>
          <w:tcPr>
            <w:tcW w:w="60" w:type="dxa"/>
            <w:vAlign w:val="bottom"/>
            <w:shd w:val="clear" w:color="auto" w:fill="465E66"/>
          </w:tcPr>
          <w:p>
            <w:pPr>
              <w:spacing w:after="0" w:line="20" w:lineRule="exact"/>
              <w:rPr>
                <w:sz w:val="1"/>
                <w:szCs w:val="1"/>
                <w:color w:val="auto"/>
              </w:rPr>
            </w:pPr>
          </w:p>
        </w:tc>
        <w:tc>
          <w:tcPr>
            <w:tcW w:w="200" w:type="dxa"/>
            <w:vAlign w:val="bottom"/>
            <w:shd w:val="clear" w:color="auto" w:fill="465E66"/>
          </w:tcPr>
          <w:p>
            <w:pPr>
              <w:spacing w:after="0" w:line="20" w:lineRule="exact"/>
              <w:rPr>
                <w:sz w:val="1"/>
                <w:szCs w:val="1"/>
                <w:color w:val="auto"/>
              </w:rPr>
            </w:pPr>
          </w:p>
        </w:tc>
        <w:tc>
          <w:tcPr>
            <w:tcW w:w="100" w:type="dxa"/>
            <w:vAlign w:val="bottom"/>
            <w:shd w:val="clear" w:color="auto" w:fill="465E66"/>
          </w:tcPr>
          <w:p>
            <w:pPr>
              <w:spacing w:after="0" w:line="20" w:lineRule="exact"/>
              <w:rPr>
                <w:sz w:val="1"/>
                <w:szCs w:val="1"/>
                <w:color w:val="auto"/>
              </w:rPr>
            </w:pPr>
          </w:p>
        </w:tc>
        <w:tc>
          <w:tcPr>
            <w:tcW w:w="20" w:type="dxa"/>
            <w:vAlign w:val="bottom"/>
            <w:shd w:val="clear" w:color="auto" w:fill="465E66"/>
          </w:tcPr>
          <w:p>
            <w:pPr>
              <w:spacing w:after="0" w:line="20" w:lineRule="exact"/>
              <w:rPr>
                <w:sz w:val="1"/>
                <w:szCs w:val="1"/>
                <w:color w:val="auto"/>
              </w:rPr>
            </w:pPr>
          </w:p>
        </w:tc>
        <w:tc>
          <w:tcPr>
            <w:tcW w:w="120" w:type="dxa"/>
            <w:vAlign w:val="bottom"/>
            <w:shd w:val="clear" w:color="auto" w:fill="465E66"/>
          </w:tcPr>
          <w:p>
            <w:pPr>
              <w:spacing w:after="0" w:line="20" w:lineRule="exact"/>
              <w:rPr>
                <w:sz w:val="1"/>
                <w:szCs w:val="1"/>
                <w:color w:val="auto"/>
              </w:rPr>
            </w:pPr>
          </w:p>
        </w:tc>
        <w:tc>
          <w:tcPr>
            <w:tcW w:w="20" w:type="dxa"/>
            <w:vAlign w:val="bottom"/>
            <w:shd w:val="clear" w:color="auto" w:fill="465E66"/>
          </w:tcPr>
          <w:p>
            <w:pPr>
              <w:spacing w:after="0" w:line="20" w:lineRule="exact"/>
              <w:rPr>
                <w:sz w:val="1"/>
                <w:szCs w:val="1"/>
                <w:color w:val="auto"/>
              </w:rPr>
            </w:pPr>
          </w:p>
        </w:tc>
        <w:tc>
          <w:tcPr>
            <w:tcW w:w="180" w:type="dxa"/>
            <w:vAlign w:val="bottom"/>
            <w:shd w:val="clear" w:color="auto" w:fill="465E66"/>
          </w:tcPr>
          <w:p>
            <w:pPr>
              <w:spacing w:after="0" w:line="20" w:lineRule="exact"/>
              <w:rPr>
                <w:sz w:val="1"/>
                <w:szCs w:val="1"/>
                <w:color w:val="auto"/>
              </w:rPr>
            </w:pPr>
          </w:p>
        </w:tc>
        <w:tc>
          <w:tcPr>
            <w:tcW w:w="140" w:type="dxa"/>
            <w:vAlign w:val="bottom"/>
            <w:tcBorders>
              <w:right w:val="single" w:sz="8" w:color="465E66"/>
            </w:tcBorders>
            <w:shd w:val="clear" w:color="auto" w:fill="465E66"/>
          </w:tcPr>
          <w:p>
            <w:pPr>
              <w:spacing w:after="0" w:line="20" w:lineRule="exact"/>
              <w:rPr>
                <w:sz w:val="1"/>
                <w:szCs w:val="1"/>
                <w:color w:val="auto"/>
              </w:rPr>
            </w:pPr>
          </w:p>
        </w:tc>
        <w:tc>
          <w:tcPr>
            <w:tcW w:w="80" w:type="dxa"/>
            <w:vAlign w:val="bottom"/>
            <w:tcBorders>
              <w:left w:val="single" w:sz="8" w:color="465E6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AUDIT COMMITTEE MATTERS</w:t>
      </w:r>
    </w:p>
    <w:p>
      <w:pPr>
        <w:spacing w:after="0" w:line="39" w:lineRule="exact"/>
        <w:rPr>
          <w:sz w:val="20"/>
          <w:szCs w:val="20"/>
          <w:color w:val="auto"/>
        </w:rPr>
      </w:pPr>
    </w:p>
    <w:p>
      <w:pPr>
        <w:ind w:left="320" w:right="60"/>
        <w:spacing w:after="0" w:line="242" w:lineRule="auto"/>
        <w:rPr>
          <w:sz w:val="20"/>
          <w:szCs w:val="20"/>
          <w:color w:val="auto"/>
        </w:rPr>
      </w:pPr>
      <w:r>
        <w:rPr>
          <w:rFonts w:ascii="Arial" w:cs="Arial" w:eastAsia="Arial" w:hAnsi="Arial"/>
          <w:sz w:val="16"/>
          <w:szCs w:val="16"/>
          <w:u w:val="single" w:color="auto"/>
          <w:color w:val="465E66"/>
        </w:rPr>
        <w:t>Proposal No. 3: Ratification of Selection of Independent Registered Public Accounting Firm</w:t>
      </w:r>
    </w:p>
    <w:p>
      <w:pPr>
        <w:ind w:left="320"/>
        <w:spacing w:after="0"/>
        <w:rPr>
          <w:sz w:val="20"/>
          <w:szCs w:val="20"/>
          <w:color w:val="auto"/>
        </w:rPr>
      </w:pPr>
      <w:r>
        <w:rPr>
          <w:rFonts w:ascii="Arial" w:cs="Arial" w:eastAsia="Arial" w:hAnsi="Arial"/>
          <w:sz w:val="16"/>
          <w:szCs w:val="16"/>
          <w:u w:val="single" w:color="auto"/>
          <w:color w:val="465E66"/>
        </w:rPr>
        <w:t>Audit Committee Report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Independent Registered Public Accounting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STOCK OWNERSHIP</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Principal Stockholders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Share Ownership of Directors and Executive</w:t>
      </w:r>
    </w:p>
    <w:p>
      <w:pPr>
        <w:ind w:left="320"/>
        <w:spacing w:after="0"/>
        <w:rPr>
          <w:sz w:val="20"/>
          <w:szCs w:val="20"/>
          <w:color w:val="auto"/>
        </w:rPr>
      </w:pPr>
      <w:r>
        <w:rPr>
          <w:rFonts w:ascii="Arial" w:cs="Arial" w:eastAsia="Arial" w:hAnsi="Arial"/>
          <w:sz w:val="16"/>
          <w:szCs w:val="16"/>
          <w:u w:val="single" w:color="auto"/>
          <w:color w:val="465E66"/>
        </w:rPr>
        <w:t>Officers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Hedging and Pledging Restrictions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Director and Officer Stock Ownership and</w:t>
      </w:r>
    </w:p>
    <w:p>
      <w:pPr>
        <w:ind w:left="320"/>
        <w:spacing w:after="0"/>
        <w:rPr>
          <w:sz w:val="20"/>
          <w:szCs w:val="20"/>
          <w:color w:val="auto"/>
        </w:rPr>
      </w:pPr>
      <w:r>
        <w:rPr>
          <w:rFonts w:ascii="Arial" w:cs="Arial" w:eastAsia="Arial" w:hAnsi="Arial"/>
          <w:sz w:val="16"/>
          <w:szCs w:val="16"/>
          <w:u w:val="single" w:color="auto"/>
          <w:color w:val="465E66"/>
        </w:rPr>
        <w:t>Retention Guidelines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Equity Compensation Plan Information</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u w:val="single" w:color="auto"/>
          <w:color w:val="E97D2E"/>
        </w:rPr>
        <w:t>QUESTIONS AND ANSWERS ABOUT THE PROXY MATERIALS, ANNUAL MEETING AND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97D2E"/>
        </w:rPr>
        <w:t>MISCELLANEOUS INFORMATION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Annual Report/Form 10-K</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Stockholders Sharing the Same Address</w:t>
      </w:r>
    </w:p>
    <w:p>
      <w:pPr>
        <w:spacing w:after="0" w:line="32" w:lineRule="exact"/>
        <w:rPr>
          <w:sz w:val="20"/>
          <w:szCs w:val="20"/>
          <w:color w:val="auto"/>
        </w:rPr>
      </w:pPr>
    </w:p>
    <w:p>
      <w:pPr>
        <w:ind w:left="320" w:right="120"/>
        <w:spacing w:after="0" w:line="246" w:lineRule="auto"/>
        <w:rPr>
          <w:sz w:val="20"/>
          <w:szCs w:val="20"/>
          <w:color w:val="auto"/>
        </w:rPr>
      </w:pPr>
      <w:r>
        <w:rPr>
          <w:rFonts w:ascii="Arial" w:cs="Arial" w:eastAsia="Arial" w:hAnsi="Arial"/>
          <w:sz w:val="16"/>
          <w:szCs w:val="16"/>
          <w:u w:val="single" w:color="auto"/>
          <w:color w:val="465E66"/>
        </w:rPr>
        <w:t>Stockholder Communications with the Board of Directors</w:t>
      </w:r>
    </w:p>
    <w:p>
      <w:pPr>
        <w:spacing w:after="0" w:line="1" w:lineRule="exact"/>
        <w:rPr>
          <w:sz w:val="20"/>
          <w:szCs w:val="20"/>
          <w:color w:val="auto"/>
        </w:rPr>
      </w:pPr>
    </w:p>
    <w:p>
      <w:pPr>
        <w:ind w:left="320" w:right="160"/>
        <w:spacing w:after="0" w:line="246" w:lineRule="auto"/>
        <w:rPr>
          <w:sz w:val="20"/>
          <w:szCs w:val="20"/>
          <w:color w:val="auto"/>
        </w:rPr>
      </w:pPr>
      <w:r>
        <w:rPr>
          <w:rFonts w:ascii="Arial" w:cs="Arial" w:eastAsia="Arial" w:hAnsi="Arial"/>
          <w:sz w:val="16"/>
          <w:szCs w:val="16"/>
          <w:u w:val="single" w:color="auto"/>
          <w:color w:val="465E66"/>
        </w:rPr>
        <w:t>Stockholder Nominations and Proposals (Non-Proxy Access)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465E66"/>
        </w:rPr>
        <w:t>Proxy Access Nominations</w:t>
      </w:r>
    </w:p>
    <w:p>
      <w:pPr>
        <w:spacing w:after="0" w:line="32"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b w:val="1"/>
          <w:bCs w:val="1"/>
          <w:u w:val="single" w:color="auto"/>
          <w:color w:val="E97D2E"/>
        </w:rPr>
        <w:t>APPENDIX — Reconciliation of Non-GAAP Financial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E97D2E"/>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57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E97D2E"/>
        </w:rPr>
        <w:t>58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61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65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65E66"/>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465E66"/>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65E66"/>
        </w:rPr>
        <w:t>66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E97D2E"/>
        </w:rPr>
        <w:t>67</w:t>
      </w:r>
    </w:p>
    <w:p>
      <w:pPr>
        <w:spacing w:after="0" w:line="3621" w:lineRule="exact"/>
        <w:rPr>
          <w:sz w:val="20"/>
          <w:szCs w:val="20"/>
          <w:color w:val="auto"/>
        </w:rPr>
      </w:pPr>
    </w:p>
    <w:p>
      <w:pPr>
        <w:sectPr>
          <w:pgSz w:w="11900" w:h="16838" w:orient="portrait"/>
          <w:cols w:equalWidth="0" w:num="3">
            <w:col w:w="5180" w:space="720"/>
            <w:col w:w="3820" w:space="640"/>
            <w:col w:w="880"/>
          </w:cols>
          <w:pgMar w:left="320" w:top="11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540"/>
        <w:spacing w:after="0"/>
        <w:tabs>
          <w:tab w:leader="none" w:pos="11180" w:val="left"/>
        </w:tabs>
        <w:rPr>
          <w:sz w:val="20"/>
          <w:szCs w:val="20"/>
          <w:color w:val="auto"/>
        </w:rPr>
      </w:pPr>
      <w:r>
        <w:rPr>
          <w:rFonts w:ascii="Arial" w:cs="Arial" w:eastAsia="Arial" w:hAnsi="Arial"/>
          <w:sz w:val="18"/>
          <w:szCs w:val="18"/>
          <w:color w:val="E97D2E"/>
        </w:rPr>
        <w:t>onsemi 2024 Proxy Statement</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5"/>
          <w:szCs w:val="25"/>
          <w:b w:val="1"/>
          <w:bCs w:val="1"/>
          <w:color w:val="E97D2E"/>
        </w:rPr>
        <w:t>CAUTIONARY STATEMENT REGARDING FORWARD-LOOKING STATEMENTS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proxy statement includes “forward-looking statements,” as that term is defined in Section 27A of the Securities Act and Section 21E of the Exchange Act. All statements, other than statements of historical facts, included or referenced in this proxy statement could be deemed forward-looking statements, particularly statements about our plans, strategies and prospects. Forward-looking statements are often characterized by the use of words such as “believes,” “estimates,” “expects,” “projects,” “may,” “will,” “intends,” “plans,” “anticipates,” “should,” “commitments” or similar expressions, or by discussions of strategy, plans or intentions. All forward-looking statements in this proxy statement are made based on our current expectations, forecasts, estimates and assumptions, and involve risks, uncertainties and other factors that could cause results or events to differ materially from those expressed in the forward-looking statements.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Important factors that can cause our actual results to differ materially from those anticipated in forward-looking statements include, but are not limited to, those described in more detail under the heading “Risk Factors” in our annual report on Form 10-K for the year ended December 31, 2023, filed with the SEC on February 5, 2024 (Form 10-K). Many of the assumptions upon which such forward-looking statements are based are likely to change after the date the forward-looking statements are made. Further, we may make changes to our business plans that could affect our results. Readers are cautioned not to place undue reliance on forward-looking statements. We assume no obligation to update such information, which speaks only as of the date made, except as may be required by law. This proxy statement also contains non-GAAP financial measures. Please refer to the Appendix to this proxy statement for our calculation and reconciliation of certain non-GAAP financial measures and for information regarding certain limitations and considerations regarding the use of non-GAAP financial measures.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GLOSSARY OF COMMON TERMS</w:t>
      </w:r>
    </w:p>
    <w:p>
      <w:pPr>
        <w:sectPr>
          <w:pgSz w:w="11900" w:h="16838" w:orient="portrait"/>
          <w:cols w:equalWidth="0" w:num="1">
            <w:col w:w="11240"/>
          </w:cols>
          <w:pgMar w:left="320" w:top="1087" w:right="339" w:bottom="1440" w:gutter="0" w:footer="0" w:header="0"/>
        </w:sectPr>
      </w:pPr>
    </w:p>
    <w:p>
      <w:pPr>
        <w:spacing w:after="0" w:line="61" w:lineRule="exact"/>
        <w:rPr>
          <w:sz w:val="20"/>
          <w:szCs w:val="20"/>
          <w:color w:val="auto"/>
        </w:rPr>
      </w:pPr>
    </w:p>
    <w:p>
      <w:pPr>
        <w:ind w:left="20" w:right="440"/>
        <w:spacing w:after="0" w:line="500" w:lineRule="auto"/>
        <w:rPr>
          <w:sz w:val="20"/>
          <w:szCs w:val="20"/>
          <w:color w:val="auto"/>
        </w:rPr>
      </w:pPr>
      <w:r>
        <w:rPr>
          <w:rFonts w:ascii="Arial" w:cs="Arial" w:eastAsia="Arial" w:hAnsi="Arial"/>
          <w:sz w:val="18"/>
          <w:szCs w:val="18"/>
          <w:b w:val="1"/>
          <w:bCs w:val="1"/>
          <w:color w:val="auto"/>
        </w:rPr>
        <w:t xml:space="preserve">Abbreviated Term </w:t>
      </w:r>
      <w:r>
        <w:rPr>
          <w:rFonts w:ascii="Arial" w:cs="Arial" w:eastAsia="Arial" w:hAnsi="Arial"/>
          <w:sz w:val="18"/>
          <w:szCs w:val="18"/>
          <w:color w:val="auto"/>
        </w:rPr>
        <w:t>AMG</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-130175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Analog and Mixed-Signal Group, a reporting segment of the Company with effect from January 1, 2024, which combines the former ASG segment and our Integrated Circuits Division (ICD), formerly a part of our</w:t>
      </w:r>
    </w:p>
    <w:p>
      <w:pPr>
        <w:spacing w:after="0"/>
        <w:rPr>
          <w:sz w:val="20"/>
          <w:szCs w:val="20"/>
          <w:color w:val="auto"/>
        </w:rPr>
      </w:pPr>
      <w:r>
        <w:rPr>
          <w:rFonts w:ascii="Arial" w:cs="Arial" w:eastAsia="Arial" w:hAnsi="Arial"/>
          <w:sz w:val="18"/>
          <w:szCs w:val="18"/>
          <w:color w:val="auto"/>
        </w:rPr>
        <w:t>PSG segment</w:t>
      </w:r>
    </w:p>
    <w:p>
      <w:pPr>
        <w:spacing w:after="0" w:line="1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Advanced Solutions Group, a reporting segment of the Company through December 31, 2023, which was reconstituted and renamed as AMG with effect from January 1, 2024</w:t>
      </w:r>
    </w:p>
    <w:p>
      <w:pPr>
        <w:spacing w:after="0" w:line="6" w:lineRule="exact"/>
        <w:rPr>
          <w:sz w:val="20"/>
          <w:szCs w:val="20"/>
          <w:color w:val="auto"/>
        </w:rPr>
      </w:pPr>
    </w:p>
    <w:p>
      <w:pPr>
        <w:sectPr>
          <w:pgSz w:w="11900" w:h="16838" w:orient="portrait"/>
          <w:cols w:equalWidth="0" w:num="2">
            <w:col w:w="1980" w:space="720"/>
            <w:col w:w="8540"/>
          </w:cols>
          <w:pgMar w:left="320" w:top="1087"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Board</w:t>
            </w:r>
          </w:p>
        </w:tc>
        <w:tc>
          <w:tcPr>
            <w:tcW w:w="7500" w:type="dxa"/>
            <w:vAlign w:val="bottom"/>
          </w:tcPr>
          <w:p>
            <w:pPr>
              <w:ind w:left="220"/>
              <w:spacing w:after="0"/>
              <w:rPr>
                <w:sz w:val="20"/>
                <w:szCs w:val="20"/>
                <w:color w:val="auto"/>
              </w:rPr>
            </w:pPr>
            <w:r>
              <w:rPr>
                <w:rFonts w:ascii="Arial" w:cs="Arial" w:eastAsia="Arial" w:hAnsi="Arial"/>
                <w:sz w:val="18"/>
                <w:szCs w:val="18"/>
                <w:color w:val="auto"/>
              </w:rPr>
              <w:t>Board of Directors of ON Semiconductor Corporation</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CD&amp;A</w:t>
            </w:r>
          </w:p>
        </w:tc>
        <w:tc>
          <w:tcPr>
            <w:tcW w:w="7500" w:type="dxa"/>
            <w:vAlign w:val="bottom"/>
          </w:tcPr>
          <w:p>
            <w:pPr>
              <w:ind w:left="220"/>
              <w:spacing w:after="0"/>
              <w:rPr>
                <w:sz w:val="20"/>
                <w:szCs w:val="20"/>
                <w:color w:val="auto"/>
              </w:rPr>
            </w:pPr>
            <w:r>
              <w:rPr>
                <w:rFonts w:ascii="Arial" w:cs="Arial" w:eastAsia="Arial" w:hAnsi="Arial"/>
                <w:sz w:val="18"/>
                <w:szCs w:val="18"/>
                <w:color w:val="auto"/>
              </w:rPr>
              <w:t>Compensation Discussion and Analysis section of this proxy statement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Company, onsemi, we or us</w:t>
            </w:r>
          </w:p>
        </w:tc>
        <w:tc>
          <w:tcPr>
            <w:tcW w:w="7500" w:type="dxa"/>
            <w:vAlign w:val="bottom"/>
          </w:tcPr>
          <w:p>
            <w:pPr>
              <w:ind w:left="220"/>
              <w:spacing w:after="0"/>
              <w:rPr>
                <w:sz w:val="20"/>
                <w:szCs w:val="20"/>
                <w:color w:val="auto"/>
              </w:rPr>
            </w:pPr>
            <w:r>
              <w:rPr>
                <w:rFonts w:ascii="Arial" w:cs="Arial" w:eastAsia="Arial" w:hAnsi="Arial"/>
                <w:sz w:val="18"/>
                <w:szCs w:val="18"/>
                <w:color w:val="auto"/>
              </w:rPr>
              <w:t>ON Semiconductor Corporation</w:t>
            </w: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Exchange Act</w:t>
            </w:r>
          </w:p>
        </w:tc>
        <w:tc>
          <w:tcPr>
            <w:tcW w:w="7500" w:type="dxa"/>
            <w:vAlign w:val="bottom"/>
          </w:tcPr>
          <w:p>
            <w:pPr>
              <w:ind w:left="220"/>
              <w:spacing w:after="0"/>
              <w:rPr>
                <w:sz w:val="20"/>
                <w:szCs w:val="20"/>
                <w:color w:val="auto"/>
              </w:rPr>
            </w:pPr>
            <w:r>
              <w:rPr>
                <w:rFonts w:ascii="Arial" w:cs="Arial" w:eastAsia="Arial" w:hAnsi="Arial"/>
                <w:sz w:val="18"/>
                <w:szCs w:val="18"/>
                <w:color w:val="auto"/>
              </w:rPr>
              <w:t>Securities Exchange Act of 1934, as amended</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ESPP</w:t>
            </w:r>
          </w:p>
        </w:tc>
        <w:tc>
          <w:tcPr>
            <w:tcW w:w="7500" w:type="dxa"/>
            <w:vAlign w:val="bottom"/>
          </w:tcPr>
          <w:p>
            <w:pPr>
              <w:ind w:left="220"/>
              <w:spacing w:after="0"/>
              <w:rPr>
                <w:sz w:val="20"/>
                <w:szCs w:val="20"/>
                <w:color w:val="auto"/>
              </w:rPr>
            </w:pPr>
            <w:r>
              <w:rPr>
                <w:rFonts w:ascii="Arial" w:cs="Arial" w:eastAsia="Arial" w:hAnsi="Arial"/>
                <w:sz w:val="18"/>
                <w:szCs w:val="18"/>
                <w:color w:val="auto"/>
              </w:rPr>
              <w:t>ON Semiconductor Corporation 2000 Employee Stock Purchase Plan, as amended</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FASB ASC</w:t>
            </w:r>
          </w:p>
        </w:tc>
        <w:tc>
          <w:tcPr>
            <w:tcW w:w="7500" w:type="dxa"/>
            <w:vAlign w:val="bottom"/>
          </w:tcPr>
          <w:p>
            <w:pPr>
              <w:ind w:left="220"/>
              <w:spacing w:after="0"/>
              <w:rPr>
                <w:sz w:val="20"/>
                <w:szCs w:val="20"/>
                <w:color w:val="auto"/>
              </w:rPr>
            </w:pPr>
            <w:r>
              <w:rPr>
                <w:rFonts w:ascii="Arial" w:cs="Arial" w:eastAsia="Arial" w:hAnsi="Arial"/>
                <w:sz w:val="18"/>
                <w:szCs w:val="18"/>
                <w:color w:val="auto"/>
              </w:rPr>
              <w:t>Accounting Standards Codification of the Financial Accounting Standards Board</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FW Cook</w:t>
            </w:r>
          </w:p>
        </w:tc>
        <w:tc>
          <w:tcPr>
            <w:tcW w:w="7500" w:type="dxa"/>
            <w:vAlign w:val="bottom"/>
          </w:tcPr>
          <w:p>
            <w:pPr>
              <w:ind w:left="220"/>
              <w:spacing w:after="0"/>
              <w:rPr>
                <w:sz w:val="20"/>
                <w:szCs w:val="20"/>
                <w:color w:val="auto"/>
              </w:rPr>
            </w:pPr>
            <w:r>
              <w:rPr>
                <w:rFonts w:ascii="Arial" w:cs="Arial" w:eastAsia="Arial" w:hAnsi="Arial"/>
                <w:sz w:val="18"/>
                <w:szCs w:val="18"/>
                <w:color w:val="auto"/>
                <w:w w:val="99"/>
              </w:rPr>
              <w:t>Frederic W. Cook &amp; Co., Inc., independent compensation consultant to our HCC Committee</w:t>
            </w: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GAAP</w:t>
            </w:r>
          </w:p>
        </w:tc>
        <w:tc>
          <w:tcPr>
            <w:tcW w:w="7500" w:type="dxa"/>
            <w:vAlign w:val="bottom"/>
          </w:tcPr>
          <w:p>
            <w:pPr>
              <w:ind w:left="220"/>
              <w:spacing w:after="0"/>
              <w:rPr>
                <w:sz w:val="20"/>
                <w:szCs w:val="20"/>
                <w:color w:val="auto"/>
              </w:rPr>
            </w:pPr>
            <w:r>
              <w:rPr>
                <w:rFonts w:ascii="Arial" w:cs="Arial" w:eastAsia="Arial" w:hAnsi="Arial"/>
                <w:sz w:val="18"/>
                <w:szCs w:val="18"/>
                <w:color w:val="auto"/>
              </w:rPr>
              <w:t>U.S. generally accepted accounting principles</w:t>
            </w:r>
          </w:p>
        </w:tc>
      </w:tr>
      <w:tr>
        <w:trPr>
          <w:trHeight w:val="257"/>
        </w:trPr>
        <w:tc>
          <w:tcPr>
            <w:tcW w:w="2460" w:type="dxa"/>
            <w:vAlign w:val="bottom"/>
          </w:tcPr>
          <w:p>
            <w:pPr>
              <w:spacing w:after="0"/>
              <w:rPr>
                <w:sz w:val="20"/>
                <w:szCs w:val="20"/>
                <w:color w:val="auto"/>
              </w:rPr>
            </w:pPr>
            <w:r>
              <w:rPr>
                <w:rFonts w:ascii="Arial" w:cs="Arial" w:eastAsia="Arial" w:hAnsi="Arial"/>
                <w:sz w:val="18"/>
                <w:szCs w:val="18"/>
                <w:color w:val="auto"/>
              </w:rPr>
              <w:t>GS Committee</w:t>
            </w:r>
          </w:p>
        </w:tc>
        <w:tc>
          <w:tcPr>
            <w:tcW w:w="7500" w:type="dxa"/>
            <w:vAlign w:val="bottom"/>
          </w:tcPr>
          <w:p>
            <w:pPr>
              <w:ind w:left="220"/>
              <w:spacing w:after="0"/>
              <w:rPr>
                <w:sz w:val="20"/>
                <w:szCs w:val="20"/>
                <w:color w:val="auto"/>
              </w:rPr>
            </w:pPr>
            <w:r>
              <w:rPr>
                <w:rFonts w:ascii="Arial" w:cs="Arial" w:eastAsia="Arial" w:hAnsi="Arial"/>
                <w:sz w:val="18"/>
                <w:szCs w:val="18"/>
                <w:color w:val="auto"/>
              </w:rPr>
              <w:t>Governance and Sustainability Committee of the Board</w:t>
            </w:r>
          </w:p>
        </w:tc>
      </w:tr>
      <w:tr>
        <w:trPr>
          <w:trHeight w:val="257"/>
        </w:trPr>
        <w:tc>
          <w:tcPr>
            <w:tcW w:w="2460" w:type="dxa"/>
            <w:vAlign w:val="bottom"/>
          </w:tcPr>
          <w:p>
            <w:pPr>
              <w:spacing w:after="0"/>
              <w:rPr>
                <w:sz w:val="20"/>
                <w:szCs w:val="20"/>
                <w:color w:val="auto"/>
              </w:rPr>
            </w:pPr>
            <w:r>
              <w:rPr>
                <w:rFonts w:ascii="Arial" w:cs="Arial" w:eastAsia="Arial" w:hAnsi="Arial"/>
                <w:sz w:val="18"/>
                <w:szCs w:val="18"/>
                <w:color w:val="auto"/>
              </w:rPr>
              <w:t>HCC Committee</w:t>
            </w:r>
          </w:p>
        </w:tc>
        <w:tc>
          <w:tcPr>
            <w:tcW w:w="7500" w:type="dxa"/>
            <w:vAlign w:val="bottom"/>
          </w:tcPr>
          <w:p>
            <w:pPr>
              <w:ind w:left="220"/>
              <w:spacing w:after="0"/>
              <w:rPr>
                <w:sz w:val="20"/>
                <w:szCs w:val="20"/>
                <w:color w:val="auto"/>
              </w:rPr>
            </w:pPr>
            <w:r>
              <w:rPr>
                <w:rFonts w:ascii="Arial" w:cs="Arial" w:eastAsia="Arial" w:hAnsi="Arial"/>
                <w:sz w:val="18"/>
                <w:szCs w:val="18"/>
                <w:color w:val="auto"/>
              </w:rPr>
              <w:t>Human Capital and Compensation Committee of the Board</w:t>
            </w:r>
          </w:p>
        </w:tc>
      </w:tr>
      <w:tr>
        <w:trPr>
          <w:trHeight w:val="256"/>
        </w:trPr>
        <w:tc>
          <w:tcPr>
            <w:tcW w:w="2460" w:type="dxa"/>
            <w:vAlign w:val="bottom"/>
          </w:tcPr>
          <w:p>
            <w:pPr>
              <w:spacing w:after="0"/>
              <w:rPr>
                <w:sz w:val="20"/>
                <w:szCs w:val="20"/>
                <w:color w:val="auto"/>
              </w:rPr>
            </w:pPr>
            <w:r>
              <w:rPr>
                <w:rFonts w:ascii="Arial" w:cs="Arial" w:eastAsia="Arial" w:hAnsi="Arial"/>
                <w:sz w:val="18"/>
                <w:szCs w:val="18"/>
                <w:color w:val="auto"/>
              </w:rPr>
              <w:t>ISG</w:t>
            </w:r>
          </w:p>
        </w:tc>
        <w:tc>
          <w:tcPr>
            <w:tcW w:w="7500" w:type="dxa"/>
            <w:vAlign w:val="bottom"/>
          </w:tcPr>
          <w:p>
            <w:pPr>
              <w:ind w:left="220"/>
              <w:spacing w:after="0"/>
              <w:rPr>
                <w:sz w:val="20"/>
                <w:szCs w:val="20"/>
                <w:color w:val="auto"/>
              </w:rPr>
            </w:pPr>
            <w:r>
              <w:rPr>
                <w:rFonts w:ascii="Arial" w:cs="Arial" w:eastAsia="Arial" w:hAnsi="Arial"/>
                <w:sz w:val="18"/>
                <w:szCs w:val="18"/>
                <w:color w:val="auto"/>
              </w:rPr>
              <w:t>Intelligent Sensing Group</w:t>
            </w:r>
          </w:p>
        </w:tc>
      </w:tr>
      <w:tr>
        <w:trPr>
          <w:trHeight w:val="257"/>
        </w:trPr>
        <w:tc>
          <w:tcPr>
            <w:tcW w:w="2460" w:type="dxa"/>
            <w:vAlign w:val="bottom"/>
          </w:tcPr>
          <w:p>
            <w:pPr>
              <w:spacing w:after="0"/>
              <w:rPr>
                <w:sz w:val="20"/>
                <w:szCs w:val="20"/>
                <w:color w:val="auto"/>
              </w:rPr>
            </w:pPr>
            <w:r>
              <w:rPr>
                <w:rFonts w:ascii="Arial" w:cs="Arial" w:eastAsia="Arial" w:hAnsi="Arial"/>
                <w:sz w:val="18"/>
                <w:szCs w:val="18"/>
                <w:color w:val="auto"/>
              </w:rPr>
              <w:t>LTI</w:t>
            </w:r>
          </w:p>
        </w:tc>
        <w:tc>
          <w:tcPr>
            <w:tcW w:w="7500" w:type="dxa"/>
            <w:vAlign w:val="bottom"/>
          </w:tcPr>
          <w:p>
            <w:pPr>
              <w:ind w:left="220"/>
              <w:spacing w:after="0"/>
              <w:rPr>
                <w:sz w:val="20"/>
                <w:szCs w:val="20"/>
                <w:color w:val="auto"/>
              </w:rPr>
            </w:pPr>
            <w:r>
              <w:rPr>
                <w:rFonts w:ascii="Arial" w:cs="Arial" w:eastAsia="Arial" w:hAnsi="Arial"/>
                <w:sz w:val="18"/>
                <w:szCs w:val="18"/>
                <w:color w:val="auto"/>
              </w:rPr>
              <w:t>long-term incentive</w:t>
            </w:r>
          </w:p>
        </w:tc>
      </w:tr>
      <w:tr>
        <w:trPr>
          <w:trHeight w:val="256"/>
        </w:trPr>
        <w:tc>
          <w:tcPr>
            <w:tcW w:w="2460" w:type="dxa"/>
            <w:vAlign w:val="bottom"/>
          </w:tcPr>
          <w:p>
            <w:pPr>
              <w:spacing w:after="0"/>
              <w:rPr>
                <w:sz w:val="20"/>
                <w:szCs w:val="20"/>
                <w:color w:val="auto"/>
              </w:rPr>
            </w:pPr>
            <w:r>
              <w:rPr>
                <w:rFonts w:ascii="Arial" w:cs="Arial" w:eastAsia="Arial" w:hAnsi="Arial"/>
                <w:sz w:val="18"/>
                <w:szCs w:val="18"/>
                <w:color w:val="auto"/>
              </w:rPr>
              <w:t>Nasdaq</w:t>
            </w:r>
          </w:p>
        </w:tc>
        <w:tc>
          <w:tcPr>
            <w:tcW w:w="7500" w:type="dxa"/>
            <w:vAlign w:val="bottom"/>
          </w:tcPr>
          <w:p>
            <w:pPr>
              <w:ind w:left="220"/>
              <w:spacing w:after="0"/>
              <w:rPr>
                <w:sz w:val="20"/>
                <w:szCs w:val="20"/>
                <w:color w:val="auto"/>
              </w:rPr>
            </w:pPr>
            <w:r>
              <w:rPr>
                <w:rFonts w:ascii="Arial" w:cs="Arial" w:eastAsia="Arial" w:hAnsi="Arial"/>
                <w:sz w:val="18"/>
                <w:szCs w:val="18"/>
                <w:color w:val="auto"/>
              </w:rPr>
              <w:t>Nasdaq Global Select Market LLC</w:t>
            </w:r>
          </w:p>
        </w:tc>
      </w:tr>
      <w:tr>
        <w:trPr>
          <w:trHeight w:val="257"/>
        </w:trPr>
        <w:tc>
          <w:tcPr>
            <w:tcW w:w="2460" w:type="dxa"/>
            <w:vAlign w:val="bottom"/>
          </w:tcPr>
          <w:p>
            <w:pPr>
              <w:spacing w:after="0"/>
              <w:rPr>
                <w:sz w:val="20"/>
                <w:szCs w:val="20"/>
                <w:color w:val="auto"/>
              </w:rPr>
            </w:pPr>
            <w:r>
              <w:rPr>
                <w:rFonts w:ascii="Arial" w:cs="Arial" w:eastAsia="Arial" w:hAnsi="Arial"/>
                <w:sz w:val="18"/>
                <w:szCs w:val="18"/>
                <w:color w:val="auto"/>
              </w:rPr>
              <w:t>PCAOB</w:t>
            </w:r>
          </w:p>
        </w:tc>
        <w:tc>
          <w:tcPr>
            <w:tcW w:w="7500" w:type="dxa"/>
            <w:vAlign w:val="bottom"/>
          </w:tcPr>
          <w:p>
            <w:pPr>
              <w:ind w:left="220"/>
              <w:spacing w:after="0"/>
              <w:rPr>
                <w:sz w:val="20"/>
                <w:szCs w:val="20"/>
                <w:color w:val="auto"/>
              </w:rPr>
            </w:pPr>
            <w:r>
              <w:rPr>
                <w:rFonts w:ascii="Arial" w:cs="Arial" w:eastAsia="Arial" w:hAnsi="Arial"/>
                <w:sz w:val="18"/>
                <w:szCs w:val="18"/>
                <w:color w:val="auto"/>
              </w:rPr>
              <w:t>Public Company Accounting Oversight Board</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PSG</w:t>
            </w:r>
          </w:p>
        </w:tc>
        <w:tc>
          <w:tcPr>
            <w:tcW w:w="7500" w:type="dxa"/>
            <w:vAlign w:val="bottom"/>
          </w:tcPr>
          <w:p>
            <w:pPr>
              <w:ind w:left="220"/>
              <w:spacing w:after="0"/>
              <w:rPr>
                <w:sz w:val="20"/>
                <w:szCs w:val="20"/>
                <w:color w:val="auto"/>
              </w:rPr>
            </w:pPr>
            <w:r>
              <w:rPr>
                <w:rFonts w:ascii="Arial" w:cs="Arial" w:eastAsia="Arial" w:hAnsi="Arial"/>
                <w:sz w:val="18"/>
                <w:szCs w:val="18"/>
                <w:color w:val="auto"/>
              </w:rPr>
              <w:t>Power Solutions Group</w:t>
            </w: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PwC</w:t>
            </w:r>
          </w:p>
        </w:tc>
        <w:tc>
          <w:tcPr>
            <w:tcW w:w="7500" w:type="dxa"/>
            <w:vAlign w:val="bottom"/>
          </w:tcPr>
          <w:p>
            <w:pPr>
              <w:ind w:left="220"/>
              <w:spacing w:after="0"/>
              <w:rPr>
                <w:sz w:val="20"/>
                <w:szCs w:val="20"/>
                <w:color w:val="auto"/>
              </w:rPr>
            </w:pPr>
            <w:r>
              <w:rPr>
                <w:rFonts w:ascii="Arial" w:cs="Arial" w:eastAsia="Arial" w:hAnsi="Arial"/>
                <w:sz w:val="18"/>
                <w:szCs w:val="18"/>
                <w:color w:val="auto"/>
              </w:rPr>
              <w:t>PricewaterhouseCoopers LLP, our independent registered public accounting firm</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SCT</w:t>
            </w:r>
          </w:p>
        </w:tc>
        <w:tc>
          <w:tcPr>
            <w:tcW w:w="7500" w:type="dxa"/>
            <w:vAlign w:val="bottom"/>
          </w:tcPr>
          <w:p>
            <w:pPr>
              <w:ind w:left="220"/>
              <w:spacing w:after="0"/>
              <w:rPr>
                <w:sz w:val="20"/>
                <w:szCs w:val="20"/>
                <w:color w:val="auto"/>
              </w:rPr>
            </w:pPr>
            <w:r>
              <w:rPr>
                <w:rFonts w:ascii="Arial" w:cs="Arial" w:eastAsia="Arial" w:hAnsi="Arial"/>
                <w:sz w:val="18"/>
                <w:szCs w:val="18"/>
                <w:color w:val="auto"/>
              </w:rPr>
              <w:t>Summary Compensation Table</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SEC</w:t>
            </w:r>
          </w:p>
        </w:tc>
        <w:tc>
          <w:tcPr>
            <w:tcW w:w="7500" w:type="dxa"/>
            <w:vAlign w:val="bottom"/>
          </w:tcPr>
          <w:p>
            <w:pPr>
              <w:ind w:left="220"/>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SIP</w:t>
            </w:r>
          </w:p>
        </w:tc>
        <w:tc>
          <w:tcPr>
            <w:tcW w:w="7500" w:type="dxa"/>
            <w:vAlign w:val="bottom"/>
          </w:tcPr>
          <w:p>
            <w:pPr>
              <w:ind w:left="220"/>
              <w:spacing w:after="0"/>
              <w:rPr>
                <w:sz w:val="20"/>
                <w:szCs w:val="20"/>
                <w:color w:val="auto"/>
              </w:rPr>
            </w:pPr>
            <w:r>
              <w:rPr>
                <w:rFonts w:ascii="Arial" w:cs="Arial" w:eastAsia="Arial" w:hAnsi="Arial"/>
                <w:sz w:val="18"/>
                <w:szCs w:val="18"/>
                <w:color w:val="auto"/>
              </w:rPr>
              <w:t>ON Semiconductor Corporation Amended and Restated Stock Incentive Plan</w:t>
            </w: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SiC</w:t>
            </w:r>
          </w:p>
        </w:tc>
        <w:tc>
          <w:tcPr>
            <w:tcW w:w="7500" w:type="dxa"/>
            <w:vAlign w:val="bottom"/>
          </w:tcPr>
          <w:p>
            <w:pPr>
              <w:ind w:left="220"/>
              <w:spacing w:after="0"/>
              <w:rPr>
                <w:sz w:val="20"/>
                <w:szCs w:val="20"/>
                <w:color w:val="auto"/>
              </w:rPr>
            </w:pPr>
            <w:r>
              <w:rPr>
                <w:rFonts w:ascii="Arial" w:cs="Arial" w:eastAsia="Arial" w:hAnsi="Arial"/>
                <w:sz w:val="18"/>
                <w:szCs w:val="18"/>
                <w:color w:val="auto"/>
              </w:rPr>
              <w:t>Silicon carbide</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STI</w:t>
            </w:r>
          </w:p>
        </w:tc>
        <w:tc>
          <w:tcPr>
            <w:tcW w:w="7500" w:type="dxa"/>
            <w:vAlign w:val="bottom"/>
          </w:tcPr>
          <w:p>
            <w:pPr>
              <w:ind w:left="220"/>
              <w:spacing w:after="0"/>
              <w:rPr>
                <w:sz w:val="20"/>
                <w:szCs w:val="20"/>
                <w:color w:val="auto"/>
              </w:rPr>
            </w:pPr>
            <w:r>
              <w:rPr>
                <w:rFonts w:ascii="Arial" w:cs="Arial" w:eastAsia="Arial" w:hAnsi="Arial"/>
                <w:sz w:val="18"/>
                <w:szCs w:val="18"/>
                <w:color w:val="auto"/>
              </w:rPr>
              <w:t>short-term incentive</w:t>
            </w:r>
          </w:p>
        </w:tc>
      </w:tr>
      <w:tr>
        <w:trPr>
          <w:trHeight w:val="239"/>
        </w:trPr>
        <w:tc>
          <w:tcPr>
            <w:tcW w:w="2460" w:type="dxa"/>
            <w:vAlign w:val="bottom"/>
          </w:tcPr>
          <w:p>
            <w:pPr>
              <w:spacing w:after="0"/>
              <w:rPr>
                <w:sz w:val="20"/>
                <w:szCs w:val="20"/>
                <w:color w:val="auto"/>
              </w:rPr>
            </w:pPr>
            <w:r>
              <w:rPr>
                <w:rFonts w:ascii="Arial" w:cs="Arial" w:eastAsia="Arial" w:hAnsi="Arial"/>
                <w:sz w:val="18"/>
                <w:szCs w:val="18"/>
                <w:color w:val="auto"/>
              </w:rPr>
              <w:t>Securities Act</w:t>
            </w:r>
          </w:p>
        </w:tc>
        <w:tc>
          <w:tcPr>
            <w:tcW w:w="7500" w:type="dxa"/>
            <w:vAlign w:val="bottom"/>
          </w:tcPr>
          <w:p>
            <w:pPr>
              <w:ind w:left="220"/>
              <w:spacing w:after="0"/>
              <w:rPr>
                <w:sz w:val="20"/>
                <w:szCs w:val="20"/>
                <w:color w:val="auto"/>
              </w:rPr>
            </w:pPr>
            <w:r>
              <w:rPr>
                <w:rFonts w:ascii="Arial" w:cs="Arial" w:eastAsia="Arial" w:hAnsi="Arial"/>
                <w:sz w:val="18"/>
                <w:szCs w:val="18"/>
                <w:color w:val="auto"/>
              </w:rPr>
              <w:t>Securities Act of 1933,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E97D2E"/>
        </w:rPr>
        <w:t>ii</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E97D2E"/>
        </w:rPr>
        <w:t>PROXY STATEMENT SUMMARY</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summary highlights selected information contained elsewhere in this proxy statement. This summary does not contain all of the information that you should consider, and you should read the entire proxy statement carefully before voting. For more information regarding our 2023 performance, please review our 2023 annual report to stockholders, which is being made available to stockholders together with these proxy materials on or about April 4, 2024.</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2024 Annual Meeting of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r>
        <w:rPr>
          <w:rFonts w:ascii="Arial" w:cs="Arial" w:eastAsia="Arial" w:hAnsi="Arial"/>
          <w:sz w:val="18"/>
          <w:szCs w:val="18"/>
          <w:color w:val="auto"/>
        </w:rPr>
        <w:t>: Thursday, May 16, 2024, at 8:00 a.m., local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 5701 North Pima Road, Scottsdale, Arizona 85250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r>
        <w:rPr>
          <w:rFonts w:ascii="Arial" w:cs="Arial" w:eastAsia="Arial" w:hAnsi="Arial"/>
          <w:sz w:val="18"/>
          <w:szCs w:val="18"/>
          <w:color w:val="auto"/>
        </w:rPr>
        <w:t>: March 19, 2024</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Matters to be Voted 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0" w:type="dxa"/>
            <w:vAlign w:val="bottom"/>
            <w:tcBorders>
              <w:top w:val="single" w:sz="8" w:color="E97D2E"/>
            </w:tcBorders>
          </w:tcPr>
          <w:p>
            <w:pPr>
              <w:spacing w:after="0"/>
              <w:rPr>
                <w:sz w:val="12"/>
                <w:szCs w:val="12"/>
                <w:color w:val="auto"/>
              </w:rPr>
            </w:pPr>
          </w:p>
        </w:tc>
        <w:tc>
          <w:tcPr>
            <w:tcW w:w="7220" w:type="dxa"/>
            <w:vAlign w:val="bottom"/>
            <w:tcBorders>
              <w:top w:val="single" w:sz="8" w:color="E97D2E"/>
            </w:tcBorders>
          </w:tcPr>
          <w:p>
            <w:pPr>
              <w:spacing w:after="0"/>
              <w:rPr>
                <w:sz w:val="12"/>
                <w:szCs w:val="12"/>
                <w:color w:val="auto"/>
              </w:rPr>
            </w:pPr>
          </w:p>
        </w:tc>
        <w:tc>
          <w:tcPr>
            <w:tcW w:w="2420" w:type="dxa"/>
            <w:vAlign w:val="bottom"/>
            <w:tcBorders>
              <w:top w:val="single" w:sz="8" w:color="E97D2E"/>
            </w:tcBorders>
            <w:vMerge w:val="restart"/>
            <w:shd w:val="clear" w:color="auto" w:fill="F9EAE1"/>
          </w:tcPr>
          <w:p>
            <w:pPr>
              <w:jc w:val="center"/>
              <w:spacing w:after="0"/>
              <w:rPr>
                <w:sz w:val="20"/>
                <w:szCs w:val="20"/>
                <w:color w:val="auto"/>
              </w:rPr>
            </w:pPr>
            <w:r>
              <w:rPr>
                <w:rFonts w:ascii="Arial" w:cs="Arial" w:eastAsia="Arial" w:hAnsi="Arial"/>
                <w:sz w:val="14"/>
                <w:szCs w:val="14"/>
                <w:b w:val="1"/>
                <w:bCs w:val="1"/>
                <w:color w:val="auto"/>
              </w:rPr>
              <w:t>Board Recommendation</w:t>
            </w:r>
          </w:p>
        </w:tc>
        <w:tc>
          <w:tcPr>
            <w:tcW w:w="1100" w:type="dxa"/>
            <w:vAlign w:val="bottom"/>
            <w:tcBorders>
              <w:top w:val="single" w:sz="8" w:color="E97D2E"/>
            </w:tcBorders>
          </w:tcPr>
          <w:p>
            <w:pPr>
              <w:jc w:val="center"/>
              <w:spacing w:after="0" w:line="147" w:lineRule="exact"/>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460" w:type="dxa"/>
            <w:vAlign w:val="bottom"/>
            <w:tcBorders>
              <w:bottom w:val="single" w:sz="8" w:color="E97D2E"/>
            </w:tcBorders>
          </w:tcPr>
          <w:p>
            <w:pPr>
              <w:spacing w:after="0"/>
              <w:rPr>
                <w:sz w:val="16"/>
                <w:szCs w:val="16"/>
                <w:color w:val="auto"/>
              </w:rPr>
            </w:pPr>
          </w:p>
        </w:tc>
        <w:tc>
          <w:tcPr>
            <w:tcW w:w="7220" w:type="dxa"/>
            <w:vAlign w:val="bottom"/>
            <w:tcBorders>
              <w:bottom w:val="single" w:sz="8" w:color="E97D2E"/>
            </w:tcBorders>
          </w:tcPr>
          <w:p>
            <w:pPr>
              <w:spacing w:after="0"/>
              <w:rPr>
                <w:sz w:val="16"/>
                <w:szCs w:val="16"/>
                <w:color w:val="auto"/>
              </w:rPr>
            </w:pPr>
          </w:p>
        </w:tc>
        <w:tc>
          <w:tcPr>
            <w:tcW w:w="2420" w:type="dxa"/>
            <w:vAlign w:val="bottom"/>
            <w:tcBorders>
              <w:bottom w:val="single" w:sz="8" w:color="E97D2E"/>
            </w:tcBorders>
            <w:vMerge w:val="continue"/>
            <w:shd w:val="clear" w:color="auto" w:fill="F9EAE1"/>
          </w:tcPr>
          <w:p>
            <w:pPr>
              <w:spacing w:after="0"/>
              <w:rPr>
                <w:sz w:val="16"/>
                <w:szCs w:val="16"/>
                <w:color w:val="auto"/>
              </w:rPr>
            </w:pPr>
          </w:p>
        </w:tc>
        <w:tc>
          <w:tcPr>
            <w:tcW w:w="1100" w:type="dxa"/>
            <w:vAlign w:val="bottom"/>
            <w:tcBorders>
              <w:bottom w:val="single" w:sz="8" w:color="E97D2E"/>
            </w:tcBorders>
          </w:tcPr>
          <w:p>
            <w:pPr>
              <w:jc w:val="center"/>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77"/>
        </w:trPr>
        <w:tc>
          <w:tcPr>
            <w:tcW w:w="460" w:type="dxa"/>
            <w:vAlign w:val="bottom"/>
          </w:tcPr>
          <w:p>
            <w:pPr>
              <w:jc w:val="right"/>
              <w:spacing w:after="0" w:line="277" w:lineRule="exact"/>
              <w:rPr>
                <w:sz w:val="20"/>
                <w:szCs w:val="20"/>
                <w:color w:val="auto"/>
              </w:rPr>
            </w:pPr>
            <w:r>
              <w:rPr>
                <w:rFonts w:ascii="Arial" w:cs="Arial" w:eastAsia="Arial" w:hAnsi="Arial"/>
                <w:sz w:val="25"/>
                <w:szCs w:val="25"/>
                <w:b w:val="1"/>
                <w:bCs w:val="1"/>
                <w:color w:val="E97D2E"/>
              </w:rPr>
              <w:t>1</w:t>
            </w:r>
          </w:p>
        </w:tc>
        <w:tc>
          <w:tcPr>
            <w:tcW w:w="7220" w:type="dxa"/>
            <w:vAlign w:val="bottom"/>
          </w:tcPr>
          <w:p>
            <w:pPr>
              <w:ind w:left="100"/>
              <w:spacing w:after="0"/>
              <w:rPr>
                <w:sz w:val="20"/>
                <w:szCs w:val="20"/>
                <w:color w:val="auto"/>
              </w:rPr>
            </w:pPr>
            <w:r>
              <w:rPr>
                <w:rFonts w:ascii="Arial" w:cs="Arial" w:eastAsia="Arial" w:hAnsi="Arial"/>
                <w:sz w:val="18"/>
                <w:szCs w:val="18"/>
                <w:b w:val="1"/>
                <w:bCs w:val="1"/>
                <w:color w:val="auto"/>
              </w:rPr>
              <w:t>To elect 10 directors nominated by our Board of Directors</w:t>
            </w:r>
          </w:p>
        </w:tc>
        <w:tc>
          <w:tcPr>
            <w:tcW w:w="2420" w:type="dxa"/>
            <w:vAlign w:val="bottom"/>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 each director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14"/>
                <w:szCs w:val="14"/>
                <w:color w:val="auto"/>
              </w:rPr>
            </w:pPr>
          </w:p>
        </w:tc>
        <w:tc>
          <w:tcPr>
            <w:tcW w:w="7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shd w:val="clear" w:color="auto" w:fill="F9EAE1"/>
          </w:tcPr>
          <w:p>
            <w:pPr>
              <w:jc w:val="center"/>
              <w:spacing w:after="0" w:line="162" w:lineRule="exact"/>
              <w:rPr>
                <w:sz w:val="20"/>
                <w:szCs w:val="20"/>
                <w:color w:val="auto"/>
              </w:rPr>
            </w:pPr>
            <w:r>
              <w:rPr>
                <w:rFonts w:ascii="Arial" w:cs="Arial" w:eastAsia="Arial" w:hAnsi="Arial"/>
                <w:sz w:val="18"/>
                <w:szCs w:val="18"/>
                <w:b w:val="1"/>
                <w:bCs w:val="1"/>
                <w:color w:val="auto"/>
              </w:rPr>
              <w:t>nominee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2</w:t>
            </w:r>
          </w:p>
        </w:tc>
        <w:tc>
          <w:tcPr>
            <w:tcW w:w="722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To vote on an advisory (non-binding) resolution to approve the compensation of</w:t>
            </w:r>
          </w:p>
        </w:tc>
        <w:tc>
          <w:tcPr>
            <w:tcW w:w="242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25</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vMerge w:val="continue"/>
          </w:tcPr>
          <w:p>
            <w:pPr>
              <w:spacing w:after="0"/>
              <w:rPr>
                <w:sz w:val="21"/>
                <w:szCs w:val="21"/>
                <w:color w:val="auto"/>
              </w:rPr>
            </w:pPr>
          </w:p>
        </w:tc>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our named executive officers</w:t>
            </w:r>
          </w:p>
        </w:tc>
        <w:tc>
          <w:tcPr>
            <w:tcW w:w="2420" w:type="dxa"/>
            <w:vAlign w:val="bottom"/>
            <w:tcBorders>
              <w:bottom w:val="single" w:sz="8" w:color="auto"/>
            </w:tcBorders>
            <w:vMerge w:val="continue"/>
            <w:shd w:val="clear" w:color="auto" w:fill="F9EAE1"/>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60" w:type="dxa"/>
            <w:vAlign w:val="bottom"/>
            <w:vMerge w:val="restart"/>
          </w:tcPr>
          <w:p>
            <w:pPr>
              <w:jc w:val="right"/>
              <w:spacing w:after="0"/>
              <w:rPr>
                <w:sz w:val="20"/>
                <w:szCs w:val="20"/>
                <w:color w:val="auto"/>
              </w:rPr>
            </w:pPr>
            <w:r>
              <w:rPr>
                <w:rFonts w:ascii="Arial" w:cs="Arial" w:eastAsia="Arial" w:hAnsi="Arial"/>
                <w:sz w:val="25"/>
                <w:szCs w:val="25"/>
                <w:b w:val="1"/>
                <w:bCs w:val="1"/>
                <w:color w:val="E97D2E"/>
              </w:rPr>
              <w:t>3</w:t>
            </w:r>
          </w:p>
        </w:tc>
        <w:tc>
          <w:tcPr>
            <w:tcW w:w="722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To ratify the selection of PricewaterhouseCoopers LLP as our independent</w:t>
            </w:r>
          </w:p>
        </w:tc>
        <w:tc>
          <w:tcPr>
            <w:tcW w:w="2420" w:type="dxa"/>
            <w:vAlign w:val="bottom"/>
            <w:vMerge w:val="restart"/>
            <w:shd w:val="clear" w:color="auto" w:fill="F9EAE1"/>
          </w:tcPr>
          <w:p>
            <w:pPr>
              <w:jc w:val="center"/>
              <w:spacing w:after="0"/>
              <w:rPr>
                <w:sz w:val="20"/>
                <w:szCs w:val="20"/>
                <w:color w:val="auto"/>
              </w:rPr>
            </w:pPr>
            <w:r>
              <w:rPr>
                <w:rFonts w:ascii="Arial" w:cs="Arial" w:eastAsia="Arial" w:hAnsi="Arial"/>
                <w:sz w:val="20"/>
                <w:szCs w:val="20"/>
                <w:b w:val="1"/>
                <w:bCs w:val="1"/>
                <w:color w:val="auto"/>
                <w:w w:val="99"/>
              </w:rPr>
              <w:t>FOR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54</w:t>
            </w:r>
          </w:p>
        </w:tc>
        <w:tc>
          <w:tcPr>
            <w:tcW w:w="0" w:type="dxa"/>
            <w:vAlign w:val="bottom"/>
          </w:tcPr>
          <w:p>
            <w:pPr>
              <w:spacing w:after="0"/>
              <w:rPr>
                <w:sz w:val="1"/>
                <w:szCs w:val="1"/>
                <w:color w:val="auto"/>
              </w:rPr>
            </w:pPr>
          </w:p>
        </w:tc>
      </w:tr>
      <w:tr>
        <w:trPr>
          <w:trHeight w:val="243"/>
        </w:trPr>
        <w:tc>
          <w:tcPr>
            <w:tcW w:w="460" w:type="dxa"/>
            <w:vAlign w:val="bottom"/>
            <w:tcBorders>
              <w:bottom w:val="single" w:sz="8" w:color="E97D2E"/>
            </w:tcBorders>
            <w:vMerge w:val="continue"/>
          </w:tcPr>
          <w:p>
            <w:pPr>
              <w:spacing w:after="0"/>
              <w:rPr>
                <w:sz w:val="21"/>
                <w:szCs w:val="21"/>
                <w:color w:val="auto"/>
              </w:rPr>
            </w:pPr>
          </w:p>
        </w:tc>
        <w:tc>
          <w:tcPr>
            <w:tcW w:w="7220" w:type="dxa"/>
            <w:vAlign w:val="bottom"/>
            <w:tcBorders>
              <w:bottom w:val="single" w:sz="8" w:color="E97D2E"/>
            </w:tcBorders>
          </w:tcPr>
          <w:p>
            <w:pPr>
              <w:ind w:left="100"/>
              <w:spacing w:after="0"/>
              <w:rPr>
                <w:sz w:val="20"/>
                <w:szCs w:val="20"/>
                <w:color w:val="auto"/>
              </w:rPr>
            </w:pPr>
            <w:r>
              <w:rPr>
                <w:rFonts w:ascii="Arial" w:cs="Arial" w:eastAsia="Arial" w:hAnsi="Arial"/>
                <w:sz w:val="18"/>
                <w:szCs w:val="18"/>
                <w:b w:val="1"/>
                <w:bCs w:val="1"/>
                <w:color w:val="auto"/>
              </w:rPr>
              <w:t>registered public accounting firm for the year ending December 31, 2024</w:t>
            </w:r>
          </w:p>
        </w:tc>
        <w:tc>
          <w:tcPr>
            <w:tcW w:w="2420" w:type="dxa"/>
            <w:vAlign w:val="bottom"/>
            <w:tcBorders>
              <w:bottom w:val="single" w:sz="8" w:color="E97D2E"/>
            </w:tcBorders>
            <w:vMerge w:val="continue"/>
            <w:shd w:val="clear" w:color="auto" w:fill="F9EAE1"/>
          </w:tcPr>
          <w:p>
            <w:pPr>
              <w:spacing w:after="0"/>
              <w:rPr>
                <w:sz w:val="21"/>
                <w:szCs w:val="21"/>
                <w:color w:val="auto"/>
              </w:rPr>
            </w:pPr>
          </w:p>
        </w:tc>
        <w:tc>
          <w:tcPr>
            <w:tcW w:w="1100" w:type="dxa"/>
            <w:vAlign w:val="bottom"/>
            <w:tcBorders>
              <w:bottom w:val="single" w:sz="8" w:color="E97D2E"/>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2023 Performance Highlights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onsemi </w:t>
      </w:r>
      <w:r>
        <w:rPr>
          <w:rFonts w:ascii="Arial" w:cs="Arial" w:eastAsia="Arial" w:hAnsi="Arial"/>
          <w:sz w:val="20"/>
          <w:szCs w:val="20"/>
          <w:color w:val="auto"/>
        </w:rPr>
        <w:t>is driving disruptive innovations to help build a better future. With a focus on automotive and industrial end-markets, we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are accelerating change in megatrends such as vehicle electrification and safety, sustainable energy grids, industrial automation, and 5G and cloud infrastructure. </w:t>
      </w:r>
      <w:r>
        <w:rPr>
          <w:rFonts w:ascii="Arial" w:cs="Arial" w:eastAsia="Arial" w:hAnsi="Arial"/>
          <w:sz w:val="20"/>
          <w:szCs w:val="20"/>
          <w:b w:val="1"/>
          <w:bCs w:val="1"/>
          <w:color w:val="auto"/>
        </w:rPr>
        <w:t>onsemi</w:t>
      </w:r>
      <w:r>
        <w:rPr>
          <w:rFonts w:ascii="Arial" w:cs="Arial" w:eastAsia="Arial" w:hAnsi="Arial"/>
          <w:sz w:val="20"/>
          <w:szCs w:val="20"/>
          <w:color w:val="auto"/>
        </w:rPr>
        <w:t xml:space="preserve"> offers a highly differentiated and innovative product portfolio, delivering intelligent power and sensing technologies that solve the world’s most complex challenges and leads the way to creating a safer, cleaner, and smarter world.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Key highlights for </w:t>
      </w:r>
      <w:r>
        <w:rPr>
          <w:rFonts w:ascii="Arial" w:cs="Arial" w:eastAsia="Arial" w:hAnsi="Arial"/>
          <w:sz w:val="20"/>
          <w:szCs w:val="20"/>
          <w:b w:val="1"/>
          <w:bCs w:val="1"/>
          <w:color w:val="auto"/>
        </w:rPr>
        <w:t>onsemi</w:t>
      </w:r>
      <w:r>
        <w:rPr>
          <w:rFonts w:ascii="Arial" w:cs="Arial" w:eastAsia="Arial" w:hAnsi="Arial"/>
          <w:sz w:val="20"/>
          <w:szCs w:val="20"/>
          <w:color w:val="auto"/>
        </w:rPr>
        <w:t xml:space="preserve"> in fiscal 2023 include: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465E66"/>
        </w:rPr>
        <w:t>Financial</w:t>
      </w:r>
    </w:p>
    <w:p>
      <w:pPr>
        <w:spacing w:after="0" w:line="3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auto"/>
        </w:rPr>
        <w:t xml:space="preserve">Revenue of </w:t>
      </w:r>
      <w:r>
        <w:rPr>
          <w:rFonts w:ascii="Arial" w:cs="Arial" w:eastAsia="Arial" w:hAnsi="Arial"/>
          <w:sz w:val="20"/>
          <w:szCs w:val="20"/>
          <w:color w:val="E97D2E"/>
        </w:rPr>
        <w:t>$8.3 billion</w:t>
      </w:r>
      <w:r>
        <w:rPr>
          <w:rFonts w:ascii="Arial" w:cs="Arial" w:eastAsia="Arial" w:hAnsi="Arial"/>
          <w:sz w:val="20"/>
          <w:szCs w:val="20"/>
          <w:color w:val="auto"/>
        </w:rPr>
        <w:t>, with PSG and ISG revenue up 5.7% and 3.0%, respectively, year-over-year</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Record </w:t>
      </w:r>
      <w:r>
        <w:rPr>
          <w:rFonts w:ascii="Arial" w:cs="Arial" w:eastAsia="Arial" w:hAnsi="Arial"/>
          <w:sz w:val="20"/>
          <w:szCs w:val="20"/>
          <w:color w:val="000000"/>
        </w:rPr>
        <w:t>automotive revenue exceeded</w:t>
      </w:r>
      <w:r>
        <w:rPr>
          <w:rFonts w:ascii="Arial" w:cs="Arial" w:eastAsia="Arial" w:hAnsi="Arial"/>
          <w:sz w:val="20"/>
          <w:szCs w:val="20"/>
          <w:color w:val="E97D2E"/>
        </w:rPr>
        <w:t xml:space="preserve"> $4.3 billion</w:t>
      </w:r>
      <w:r>
        <w:rPr>
          <w:rFonts w:ascii="Arial" w:cs="Arial" w:eastAsia="Arial" w:hAnsi="Arial"/>
          <w:sz w:val="20"/>
          <w:szCs w:val="20"/>
          <w:color w:val="000000"/>
        </w:rPr>
        <w:t>, up 29% year-over-year</w:t>
      </w: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E97D2E"/>
        </w:rPr>
        <w:t xml:space="preserve">SiC revenue </w:t>
      </w:r>
      <w:r>
        <w:rPr>
          <w:rFonts w:ascii="Arial" w:cs="Arial" w:eastAsia="Arial" w:hAnsi="Arial"/>
          <w:sz w:val="20"/>
          <w:szCs w:val="20"/>
          <w:color w:val="000000"/>
        </w:rPr>
        <w:t>grew</w:t>
      </w:r>
      <w:r>
        <w:rPr>
          <w:rFonts w:ascii="Arial" w:cs="Arial" w:eastAsia="Arial" w:hAnsi="Arial"/>
          <w:sz w:val="20"/>
          <w:szCs w:val="20"/>
          <w:color w:val="E97D2E"/>
        </w:rPr>
        <w:t xml:space="preserve"> 4x </w:t>
      </w:r>
      <w:r>
        <w:rPr>
          <w:rFonts w:ascii="Arial" w:cs="Arial" w:eastAsia="Arial" w:hAnsi="Arial"/>
          <w:sz w:val="20"/>
          <w:szCs w:val="20"/>
          <w:color w:val="000000"/>
        </w:rPr>
        <w:t>year-over-year to over $800 million</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auto"/>
        </w:rPr>
        <w:t xml:space="preserve">GAAP operating income of </w:t>
      </w:r>
      <w:r>
        <w:rPr>
          <w:rFonts w:ascii="Arial" w:cs="Arial" w:eastAsia="Arial" w:hAnsi="Arial"/>
          <w:sz w:val="20"/>
          <w:szCs w:val="20"/>
          <w:color w:val="E97D2E"/>
        </w:rPr>
        <w:t>$2.5 billion</w:t>
      </w:r>
      <w:r>
        <w:rPr>
          <w:rFonts w:ascii="Arial" w:cs="Arial" w:eastAsia="Arial" w:hAnsi="Arial"/>
          <w:sz w:val="20"/>
          <w:szCs w:val="20"/>
          <w:color w:val="auto"/>
        </w:rPr>
        <w:t xml:space="preserve"> and non-GAAP operating income of </w:t>
      </w:r>
      <w:r>
        <w:rPr>
          <w:rFonts w:ascii="Arial" w:cs="Arial" w:eastAsia="Arial" w:hAnsi="Arial"/>
          <w:sz w:val="20"/>
          <w:szCs w:val="20"/>
          <w:color w:val="E97D2E"/>
        </w:rPr>
        <w:t>$2.7 billion</w:t>
      </w:r>
      <w:r>
        <w:rPr>
          <w:rFonts w:ascii="Arial" w:cs="Arial" w:eastAsia="Arial" w:hAnsi="Arial"/>
          <w:sz w:val="20"/>
          <w:szCs w:val="20"/>
          <w:color w:val="auto"/>
        </w:rPr>
        <w:t>*</w:t>
      </w: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auto"/>
        </w:rPr>
        <w:t xml:space="preserve">GAAP and non-GAAP gross margin of </w:t>
      </w:r>
      <w:r>
        <w:rPr>
          <w:rFonts w:ascii="Arial" w:cs="Arial" w:eastAsia="Arial" w:hAnsi="Arial"/>
          <w:sz w:val="20"/>
          <w:szCs w:val="20"/>
          <w:color w:val="E97D2E"/>
        </w:rPr>
        <w:t>47.1%</w:t>
      </w:r>
      <w:r>
        <w:rPr>
          <w:rFonts w:ascii="Arial" w:cs="Arial" w:eastAsia="Arial" w:hAnsi="Arial"/>
          <w:sz w:val="20"/>
          <w:szCs w:val="20"/>
          <w:color w:val="auto"/>
        </w:rPr>
        <w:t>*</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4"/>
        </w:numPr>
        <w:rPr>
          <w:rFonts w:ascii="Arial" w:cs="Arial" w:eastAsia="Arial" w:hAnsi="Arial"/>
          <w:sz w:val="20"/>
          <w:szCs w:val="20"/>
          <w:color w:val="276990"/>
        </w:rPr>
      </w:pPr>
      <w:r>
        <w:rPr>
          <w:rFonts w:ascii="Arial" w:cs="Arial" w:eastAsia="Arial" w:hAnsi="Arial"/>
          <w:sz w:val="20"/>
          <w:szCs w:val="20"/>
          <w:color w:val="auto"/>
        </w:rPr>
        <w:t xml:space="preserve">GAAP EPS of </w:t>
      </w:r>
      <w:r>
        <w:rPr>
          <w:rFonts w:ascii="Arial" w:cs="Arial" w:eastAsia="Arial" w:hAnsi="Arial"/>
          <w:sz w:val="20"/>
          <w:szCs w:val="20"/>
          <w:color w:val="E97D2E"/>
        </w:rPr>
        <w:t>$4.89</w:t>
      </w:r>
      <w:r>
        <w:rPr>
          <w:rFonts w:ascii="Arial" w:cs="Arial" w:eastAsia="Arial" w:hAnsi="Arial"/>
          <w:sz w:val="20"/>
          <w:szCs w:val="20"/>
          <w:color w:val="auto"/>
        </w:rPr>
        <w:t xml:space="preserve"> and non-GAAP EPS of </w:t>
      </w:r>
      <w:r>
        <w:rPr>
          <w:rFonts w:ascii="Arial" w:cs="Arial" w:eastAsia="Arial" w:hAnsi="Arial"/>
          <w:sz w:val="20"/>
          <w:szCs w:val="20"/>
          <w:color w:val="E97D2E"/>
        </w:rPr>
        <w:t>$5.16</w:t>
      </w:r>
      <w:r>
        <w:rPr>
          <w:rFonts w:ascii="Arial" w:cs="Arial" w:eastAsia="Arial" w:hAnsi="Arial"/>
          <w:sz w:val="20"/>
          <w:szCs w:val="20"/>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Reconciliations of GAAP to non-GAAP measures included in the proxy statement are located in the Appendix.</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5E66"/>
        </w:rPr>
        <w:t>Strategic</w:t>
      </w:r>
    </w:p>
    <w:p>
      <w:pPr>
        <w:spacing w:after="0" w:line="3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Ramped up operations at our 300mm fabrication facility in East Fishkill, New York</w:t>
      </w: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Expanded SiC production in Bucheon, Korea</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Intelligent Power and Sensing technologies now represent 70% of total revenue</w:t>
      </w: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Continued focus on automotive and industrial end-markets, which now represent 80% of total revenue</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Exited $180 million of non-core business in 2023</w:t>
      </w:r>
    </w:p>
    <w:p>
      <w:pPr>
        <w:spacing w:after="0" w:line="13" w:lineRule="exact"/>
        <w:rPr>
          <w:rFonts w:ascii="Arial" w:cs="Arial" w:eastAsia="Arial" w:hAnsi="Arial"/>
          <w:sz w:val="20"/>
          <w:szCs w:val="20"/>
          <w:color w:val="276990"/>
        </w:rPr>
      </w:pPr>
    </w:p>
    <w:p>
      <w:pPr>
        <w:ind w:left="180" w:hanging="172"/>
        <w:spacing w:after="0"/>
        <w:tabs>
          <w:tab w:leader="none" w:pos="180" w:val="left"/>
        </w:tabs>
        <w:numPr>
          <w:ilvl w:val="0"/>
          <w:numId w:val="5"/>
        </w:numPr>
        <w:rPr>
          <w:rFonts w:ascii="Arial" w:cs="Arial" w:eastAsia="Arial" w:hAnsi="Arial"/>
          <w:sz w:val="20"/>
          <w:szCs w:val="20"/>
          <w:color w:val="276990"/>
        </w:rPr>
      </w:pPr>
      <w:r>
        <w:rPr>
          <w:rFonts w:ascii="Arial" w:cs="Arial" w:eastAsia="Arial" w:hAnsi="Arial"/>
          <w:sz w:val="20"/>
          <w:szCs w:val="20"/>
          <w:color w:val="auto"/>
        </w:rPr>
        <w:t>Energy infrastructure revenue grew 60% year-over-year</w:t>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480"/>
        <w:spacing w:after="0"/>
        <w:tabs>
          <w:tab w:leader="none" w:pos="111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E97D2E"/>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Proxy Voting Roadmap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E97D2E"/>
              </w:rPr>
              <w:t>PROPOSAL NO. 1:</w:t>
            </w:r>
          </w:p>
        </w:tc>
        <w:tc>
          <w:tcPr>
            <w:tcW w:w="2240" w:type="dxa"/>
            <w:vAlign w:val="bottom"/>
            <w:shd w:val="clear" w:color="auto" w:fill="DBDBDB"/>
          </w:tcPr>
          <w:p>
            <w:pPr>
              <w:spacing w:after="0"/>
              <w:rPr>
                <w:sz w:val="23"/>
                <w:szCs w:val="23"/>
                <w:color w:val="auto"/>
              </w:rPr>
            </w:pPr>
          </w:p>
        </w:tc>
        <w:tc>
          <w:tcPr>
            <w:tcW w:w="2940" w:type="dxa"/>
            <w:vAlign w:val="bottom"/>
            <w:shd w:val="clear" w:color="auto" w:fill="DBDBDB"/>
          </w:tcPr>
          <w:p>
            <w:pPr>
              <w:spacing w:after="0"/>
              <w:rPr>
                <w:sz w:val="23"/>
                <w:szCs w:val="23"/>
                <w:color w:val="auto"/>
              </w:rPr>
            </w:pPr>
          </w:p>
        </w:tc>
      </w:tr>
      <w:tr>
        <w:trPr>
          <w:trHeight w:val="256"/>
        </w:trPr>
        <w:tc>
          <w:tcPr>
            <w:tcW w:w="6060" w:type="dxa"/>
            <w:vAlign w:val="bottom"/>
            <w:gridSpan w:val="3"/>
            <w:shd w:val="clear" w:color="auto" w:fill="DBDBDB"/>
          </w:tcPr>
          <w:p>
            <w:pPr>
              <w:ind w:left="20"/>
              <w:spacing w:after="0" w:line="257" w:lineRule="exact"/>
              <w:rPr>
                <w:sz w:val="20"/>
                <w:szCs w:val="20"/>
                <w:color w:val="auto"/>
              </w:rPr>
            </w:pPr>
            <w:r>
              <w:rPr>
                <w:rFonts w:ascii="Arial" w:cs="Arial" w:eastAsia="Arial" w:hAnsi="Arial"/>
                <w:sz w:val="25"/>
                <w:szCs w:val="25"/>
                <w:b w:val="1"/>
                <w:bCs w:val="1"/>
                <w:color w:val="auto"/>
              </w:rPr>
              <w:t>Election of Directors</w:t>
            </w:r>
          </w:p>
        </w:tc>
        <w:tc>
          <w:tcPr>
            <w:tcW w:w="2240" w:type="dxa"/>
            <w:vAlign w:val="bottom"/>
            <w:shd w:val="clear" w:color="auto" w:fill="DBDBDB"/>
          </w:tcPr>
          <w:p>
            <w:pPr>
              <w:ind w:left="2000"/>
              <w:spacing w:after="0" w:line="257" w:lineRule="exact"/>
              <w:rPr>
                <w:sz w:val="20"/>
                <w:szCs w:val="20"/>
                <w:color w:val="auto"/>
              </w:rPr>
            </w:pPr>
            <w:r>
              <w:rPr>
                <w:rFonts w:ascii="Wingdings" w:cs="Wingdings" w:eastAsia="Wingdings" w:hAnsi="Wingdings"/>
                <w:sz w:val="29"/>
                <w:szCs w:val="29"/>
                <w:b w:val="1"/>
                <w:bCs w:val="1"/>
                <w:color w:val="E97D2E"/>
              </w:rPr>
              <w:t>ü</w:t>
            </w:r>
          </w:p>
        </w:tc>
        <w:tc>
          <w:tcPr>
            <w:tcW w:w="29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Our Board recommends</w:t>
            </w:r>
          </w:p>
        </w:tc>
      </w:tr>
      <w:tr>
        <w:trPr>
          <w:trHeight w:val="149"/>
        </w:trPr>
        <w:tc>
          <w:tcPr>
            <w:tcW w:w="8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5660" w:type="dxa"/>
            <w:vAlign w:val="bottom"/>
            <w:shd w:val="clear" w:color="auto" w:fill="DBDBDB"/>
          </w:tcPr>
          <w:p>
            <w:pPr>
              <w:spacing w:after="0"/>
              <w:rPr>
                <w:sz w:val="12"/>
                <w:szCs w:val="12"/>
                <w:color w:val="auto"/>
              </w:rPr>
            </w:pPr>
          </w:p>
        </w:tc>
        <w:tc>
          <w:tcPr>
            <w:tcW w:w="2240" w:type="dxa"/>
            <w:vAlign w:val="bottom"/>
            <w:shd w:val="clear" w:color="auto" w:fill="DBDBDB"/>
          </w:tcPr>
          <w:p>
            <w:pPr>
              <w:spacing w:after="0"/>
              <w:rPr>
                <w:sz w:val="12"/>
                <w:szCs w:val="12"/>
                <w:color w:val="auto"/>
              </w:rPr>
            </w:pPr>
          </w:p>
        </w:tc>
        <w:tc>
          <w:tcPr>
            <w:tcW w:w="2940" w:type="dxa"/>
            <w:vAlign w:val="bottom"/>
            <w:shd w:val="clear" w:color="auto" w:fill="DBDBDB"/>
          </w:tcPr>
          <w:p>
            <w:pPr>
              <w:jc w:val="center"/>
              <w:spacing w:after="0" w:line="149" w:lineRule="exact"/>
              <w:rPr>
                <w:sz w:val="20"/>
                <w:szCs w:val="20"/>
                <w:color w:val="auto"/>
              </w:rPr>
            </w:pPr>
            <w:r>
              <w:rPr>
                <w:rFonts w:ascii="Arial" w:cs="Arial" w:eastAsia="Arial" w:hAnsi="Arial"/>
                <w:sz w:val="17"/>
                <w:szCs w:val="17"/>
                <w:b w:val="1"/>
                <w:bCs w:val="1"/>
                <w:color w:val="auto"/>
              </w:rPr>
              <w:t xml:space="preserve">a vote </w:t>
            </w:r>
            <w:r>
              <w:rPr>
                <w:rFonts w:ascii="Arial" w:cs="Arial" w:eastAsia="Arial" w:hAnsi="Arial"/>
                <w:sz w:val="17"/>
                <w:szCs w:val="17"/>
                <w:b w:val="1"/>
                <w:bCs w:val="1"/>
                <w:color w:val="E97D2E"/>
              </w:rPr>
              <w:t>FOR</w:t>
            </w:r>
            <w:r>
              <w:rPr>
                <w:rFonts w:ascii="Arial" w:cs="Arial" w:eastAsia="Arial" w:hAnsi="Arial"/>
                <w:sz w:val="17"/>
                <w:szCs w:val="17"/>
                <w:b w:val="1"/>
                <w:bCs w:val="1"/>
                <w:color w:val="auto"/>
              </w:rPr>
              <w:t xml:space="preserve"> each of our</w:t>
            </w:r>
          </w:p>
        </w:tc>
      </w:tr>
      <w:tr>
        <w:trPr>
          <w:trHeight w:val="247"/>
        </w:trPr>
        <w:tc>
          <w:tcPr>
            <w:tcW w:w="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5660" w:type="dxa"/>
            <w:vAlign w:val="bottom"/>
            <w:shd w:val="clear" w:color="auto" w:fill="DBDBDB"/>
          </w:tcPr>
          <w:p>
            <w:pPr>
              <w:spacing w:after="0"/>
              <w:rPr>
                <w:sz w:val="21"/>
                <w:szCs w:val="21"/>
                <w:color w:val="auto"/>
              </w:rPr>
            </w:pPr>
          </w:p>
        </w:tc>
        <w:tc>
          <w:tcPr>
            <w:tcW w:w="2240" w:type="dxa"/>
            <w:vAlign w:val="bottom"/>
            <w:shd w:val="clear" w:color="auto" w:fill="DBDBDB"/>
          </w:tcPr>
          <w:p>
            <w:pPr>
              <w:spacing w:after="0"/>
              <w:rPr>
                <w:sz w:val="21"/>
                <w:szCs w:val="21"/>
                <w:color w:val="auto"/>
              </w:rPr>
            </w:pPr>
          </w:p>
        </w:tc>
        <w:tc>
          <w:tcPr>
            <w:tcW w:w="29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10 director nominees.</w:t>
            </w:r>
          </w:p>
        </w:tc>
      </w:tr>
      <w:tr>
        <w:trPr>
          <w:trHeight w:val="185"/>
        </w:trPr>
        <w:tc>
          <w:tcPr>
            <w:tcW w:w="6060" w:type="dxa"/>
            <w:vAlign w:val="bottom"/>
            <w:gridSpan w:val="3"/>
            <w:shd w:val="clear" w:color="auto" w:fill="DBDBDB"/>
          </w:tcPr>
          <w:p>
            <w:pPr>
              <w:ind w:left="20"/>
              <w:spacing w:after="0"/>
              <w:rPr>
                <w:sz w:val="20"/>
                <w:szCs w:val="20"/>
                <w:color w:val="auto"/>
              </w:rPr>
            </w:pPr>
            <w:r>
              <w:rPr>
                <w:rFonts w:ascii="Arial" w:cs="Arial" w:eastAsia="Arial" w:hAnsi="Arial"/>
                <w:sz w:val="14"/>
                <w:szCs w:val="14"/>
                <w:color w:val="auto"/>
              </w:rPr>
              <w:t>(page 4)</w:t>
            </w:r>
          </w:p>
        </w:tc>
        <w:tc>
          <w:tcPr>
            <w:tcW w:w="2240" w:type="dxa"/>
            <w:vAlign w:val="bottom"/>
            <w:shd w:val="clear" w:color="auto" w:fill="DBDBDB"/>
          </w:tcPr>
          <w:p>
            <w:pPr>
              <w:spacing w:after="0"/>
              <w:rPr>
                <w:sz w:val="16"/>
                <w:szCs w:val="16"/>
                <w:color w:val="auto"/>
              </w:rPr>
            </w:pPr>
          </w:p>
        </w:tc>
        <w:tc>
          <w:tcPr>
            <w:tcW w:w="2940" w:type="dxa"/>
            <w:vAlign w:val="bottom"/>
            <w:shd w:val="clear" w:color="auto" w:fill="DBDBDB"/>
          </w:tcPr>
          <w:p>
            <w:pPr>
              <w:spacing w:after="0"/>
              <w:rPr>
                <w:sz w:val="16"/>
                <w:szCs w:val="16"/>
                <w:color w:val="auto"/>
              </w:rPr>
            </w:pPr>
          </w:p>
        </w:tc>
      </w:tr>
      <w:tr>
        <w:trPr>
          <w:trHeight w:val="21"/>
        </w:trPr>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auto"/>
            </w:tcBorders>
            <w:shd w:val="clear" w:color="auto" w:fill="DBDBDB"/>
          </w:tcPr>
          <w:p>
            <w:pPr>
              <w:spacing w:after="0" w:line="20" w:lineRule="exact"/>
              <w:rPr>
                <w:sz w:val="1"/>
                <w:szCs w:val="1"/>
                <w:color w:val="auto"/>
              </w:rPr>
            </w:pPr>
          </w:p>
        </w:tc>
        <w:tc>
          <w:tcPr>
            <w:tcW w:w="5660" w:type="dxa"/>
            <w:vAlign w:val="bottom"/>
            <w:tcBorders>
              <w:top w:val="single" w:sz="8" w:color="DBDBDB"/>
            </w:tcBorders>
            <w:shd w:val="clear" w:color="auto" w:fill="DBDBDB"/>
          </w:tcPr>
          <w:p>
            <w:pPr>
              <w:spacing w:after="0" w:line="20" w:lineRule="exact"/>
              <w:rPr>
                <w:sz w:val="1"/>
                <w:szCs w:val="1"/>
                <w:color w:val="auto"/>
              </w:rPr>
            </w:pPr>
          </w:p>
        </w:tc>
        <w:tc>
          <w:tcPr>
            <w:tcW w:w="2240" w:type="dxa"/>
            <w:vAlign w:val="bottom"/>
            <w:tcBorders>
              <w:top w:val="single" w:sz="8" w:color="DBDBDB"/>
            </w:tcBorders>
            <w:shd w:val="clear" w:color="auto" w:fill="DBDBDB"/>
          </w:tcPr>
          <w:p>
            <w:pPr>
              <w:spacing w:after="0" w:line="20" w:lineRule="exact"/>
              <w:rPr>
                <w:sz w:val="1"/>
                <w:szCs w:val="1"/>
                <w:color w:val="auto"/>
              </w:rPr>
            </w:pPr>
          </w:p>
        </w:tc>
        <w:tc>
          <w:tcPr>
            <w:tcW w:w="294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Director Nominees Overview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vMerge w:val="restart"/>
          </w:tcPr>
          <w:p>
            <w:pPr>
              <w:spacing w:after="0"/>
              <w:rPr>
                <w:sz w:val="20"/>
                <w:szCs w:val="20"/>
                <w:color w:val="auto"/>
              </w:rPr>
            </w:pPr>
            <w:r>
              <w:rPr>
                <w:rFonts w:ascii="Arial" w:cs="Arial" w:eastAsia="Arial" w:hAnsi="Arial"/>
                <w:sz w:val="16"/>
                <w:szCs w:val="16"/>
                <w:color w:val="465E66"/>
              </w:rPr>
              <w:t>Name and Principal Occupation</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Age</w:t>
            </w:r>
          </w:p>
        </w:tc>
        <w:tc>
          <w:tcPr>
            <w:tcW w:w="820" w:type="dxa"/>
            <w:vAlign w:val="bottom"/>
          </w:tcPr>
          <w:p>
            <w:pPr>
              <w:jc w:val="center"/>
              <w:ind w:left="159"/>
              <w:spacing w:after="0"/>
              <w:rPr>
                <w:sz w:val="20"/>
                <w:szCs w:val="20"/>
                <w:color w:val="auto"/>
              </w:rPr>
            </w:pPr>
            <w:r>
              <w:rPr>
                <w:rFonts w:ascii="Arial" w:cs="Arial" w:eastAsia="Arial" w:hAnsi="Arial"/>
                <w:sz w:val="16"/>
                <w:szCs w:val="16"/>
                <w:color w:val="465E66"/>
              </w:rPr>
              <w:t>Director</w:t>
            </w:r>
          </w:p>
        </w:tc>
        <w:tc>
          <w:tcPr>
            <w:tcW w:w="0" w:type="dxa"/>
            <w:vAlign w:val="bottom"/>
          </w:tcPr>
          <w:p>
            <w:pPr>
              <w:spacing w:after="0"/>
              <w:rPr>
                <w:sz w:val="1"/>
                <w:szCs w:val="1"/>
                <w:color w:val="auto"/>
              </w:rPr>
            </w:pPr>
          </w:p>
        </w:tc>
      </w:tr>
      <w:tr>
        <w:trPr>
          <w:trHeight w:val="215"/>
        </w:trPr>
        <w:tc>
          <w:tcPr>
            <w:tcW w:w="41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20" w:type="dxa"/>
            <w:vAlign w:val="bottom"/>
          </w:tcPr>
          <w:p>
            <w:pPr>
              <w:jc w:val="center"/>
              <w:ind w:left="139"/>
              <w:spacing w:after="0"/>
              <w:rPr>
                <w:sz w:val="20"/>
                <w:szCs w:val="20"/>
                <w:color w:val="auto"/>
              </w:rPr>
            </w:pPr>
            <w:r>
              <w:rPr>
                <w:rFonts w:ascii="Arial" w:cs="Arial" w:eastAsia="Arial" w:hAnsi="Arial"/>
                <w:sz w:val="16"/>
                <w:szCs w:val="16"/>
                <w:color w:val="465E66"/>
                <w:w w:val="99"/>
              </w:rPr>
              <w:t>Since</w:t>
            </w:r>
          </w:p>
        </w:tc>
        <w:tc>
          <w:tcPr>
            <w:tcW w:w="0" w:type="dxa"/>
            <w:vAlign w:val="bottom"/>
          </w:tcPr>
          <w:p>
            <w:pPr>
              <w:spacing w:after="0"/>
              <w:rPr>
                <w:sz w:val="1"/>
                <w:szCs w:val="1"/>
                <w:color w:val="auto"/>
              </w:rPr>
            </w:pPr>
          </w:p>
        </w:tc>
      </w:tr>
      <w:tr>
        <w:trPr>
          <w:trHeight w:val="285"/>
        </w:trPr>
        <w:tc>
          <w:tcPr>
            <w:tcW w:w="4100" w:type="dxa"/>
            <w:vAlign w:val="bottom"/>
          </w:tcPr>
          <w:p>
            <w:pPr>
              <w:ind w:left="1200"/>
              <w:spacing w:after="0"/>
              <w:rPr>
                <w:sz w:val="20"/>
                <w:szCs w:val="20"/>
                <w:color w:val="auto"/>
              </w:rPr>
            </w:pPr>
            <w:r>
              <w:rPr>
                <w:rFonts w:ascii="Arial" w:cs="Arial" w:eastAsia="Arial" w:hAnsi="Arial"/>
                <w:sz w:val="16"/>
                <w:szCs w:val="16"/>
                <w:color w:val="E97D2E"/>
              </w:rPr>
              <w:t>Atsushi Abe</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Managing Partner of Advanced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70</w:t>
            </w:r>
          </w:p>
        </w:tc>
        <w:tc>
          <w:tcPr>
            <w:tcW w:w="820" w:type="dxa"/>
            <w:vAlign w:val="bottom"/>
            <w:vMerge w:val="restart"/>
          </w:tcPr>
          <w:p>
            <w:pPr>
              <w:jc w:val="center"/>
              <w:ind w:left="159"/>
              <w:spacing w:after="0"/>
              <w:rPr>
                <w:sz w:val="20"/>
                <w:szCs w:val="20"/>
                <w:color w:val="auto"/>
              </w:rPr>
            </w:pPr>
            <w:r>
              <w:rPr>
                <w:rFonts w:ascii="Arial" w:cs="Arial" w:eastAsia="Arial" w:hAnsi="Arial"/>
                <w:sz w:val="16"/>
                <w:szCs w:val="16"/>
                <w:color w:val="465E66"/>
                <w:w w:val="95"/>
              </w:rPr>
              <w:t>2011</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Solutions, Inc.</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74"/>
        </w:trPr>
        <w:tc>
          <w:tcPr>
            <w:tcW w:w="4100" w:type="dxa"/>
            <w:vAlign w:val="bottom"/>
          </w:tcPr>
          <w:p>
            <w:pPr>
              <w:ind w:left="1200"/>
              <w:spacing w:after="0"/>
              <w:rPr>
                <w:sz w:val="20"/>
                <w:szCs w:val="20"/>
                <w:color w:val="auto"/>
              </w:rPr>
            </w:pPr>
            <w:r>
              <w:rPr>
                <w:rFonts w:ascii="Arial" w:cs="Arial" w:eastAsia="Arial" w:hAnsi="Arial"/>
                <w:sz w:val="16"/>
                <w:szCs w:val="16"/>
                <w:color w:val="E97D2E"/>
              </w:rPr>
              <w:t>Alan Campbell</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Chairman of the Board</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00" w:type="dxa"/>
            <w:vAlign w:val="bottom"/>
          </w:tcPr>
          <w:p>
            <w:pPr>
              <w:ind w:left="1200"/>
              <w:spacing w:after="0" w:line="178" w:lineRule="exact"/>
              <w:rPr>
                <w:sz w:val="20"/>
                <w:szCs w:val="20"/>
                <w:color w:val="auto"/>
              </w:rPr>
            </w:pPr>
            <w:r>
              <w:rPr>
                <w:rFonts w:ascii="Arial" w:cs="Arial" w:eastAsia="Arial" w:hAnsi="Arial"/>
                <w:sz w:val="16"/>
                <w:szCs w:val="16"/>
                <w:color w:val="465E66"/>
              </w:rPr>
              <w:t>Former Chief Financial Officer of</w:t>
            </w:r>
          </w:p>
        </w:tc>
        <w:tc>
          <w:tcPr>
            <w:tcW w:w="660" w:type="dxa"/>
            <w:vAlign w:val="bottom"/>
          </w:tcPr>
          <w:p>
            <w:pPr>
              <w:jc w:val="center"/>
              <w:spacing w:after="0" w:line="178" w:lineRule="exact"/>
              <w:rPr>
                <w:sz w:val="20"/>
                <w:szCs w:val="20"/>
                <w:color w:val="auto"/>
              </w:rPr>
            </w:pPr>
            <w:r>
              <w:rPr>
                <w:rFonts w:ascii="Arial" w:cs="Arial" w:eastAsia="Arial" w:hAnsi="Arial"/>
                <w:sz w:val="16"/>
                <w:szCs w:val="16"/>
                <w:color w:val="465E66"/>
              </w:rPr>
              <w:t>66</w:t>
            </w:r>
          </w:p>
        </w:tc>
        <w:tc>
          <w:tcPr>
            <w:tcW w:w="820" w:type="dxa"/>
            <w:vAlign w:val="bottom"/>
          </w:tcPr>
          <w:p>
            <w:pPr>
              <w:jc w:val="center"/>
              <w:ind w:left="139"/>
              <w:spacing w:after="0" w:line="178" w:lineRule="exact"/>
              <w:rPr>
                <w:sz w:val="20"/>
                <w:szCs w:val="20"/>
                <w:color w:val="auto"/>
              </w:rPr>
            </w:pPr>
            <w:r>
              <w:rPr>
                <w:rFonts w:ascii="Arial" w:cs="Arial" w:eastAsia="Arial" w:hAnsi="Arial"/>
                <w:sz w:val="16"/>
                <w:szCs w:val="16"/>
                <w:color w:val="465E66"/>
              </w:rPr>
              <w:t>2015</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Freescale Semiconductor, Inc.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100" w:type="dxa"/>
            <w:vAlign w:val="bottom"/>
          </w:tcPr>
          <w:p>
            <w:pPr>
              <w:ind w:left="1200"/>
              <w:spacing w:after="0"/>
              <w:rPr>
                <w:sz w:val="20"/>
                <w:szCs w:val="20"/>
                <w:color w:val="auto"/>
              </w:rPr>
            </w:pPr>
            <w:r>
              <w:rPr>
                <w:rFonts w:ascii="Arial" w:cs="Arial" w:eastAsia="Arial" w:hAnsi="Arial"/>
                <w:sz w:val="16"/>
                <w:szCs w:val="16"/>
                <w:color w:val="E97D2E"/>
              </w:rPr>
              <w:t>Susan K. Carter</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Senior Vice President and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65</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Chief Financial Officer of Ingersoll</w:t>
            </w: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Rand plc (now Trane Technologies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plc)</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100" w:type="dxa"/>
            <w:vAlign w:val="bottom"/>
          </w:tcPr>
          <w:p>
            <w:pPr>
              <w:ind w:left="1200"/>
              <w:spacing w:after="0"/>
              <w:rPr>
                <w:sz w:val="20"/>
                <w:szCs w:val="20"/>
                <w:color w:val="auto"/>
              </w:rPr>
            </w:pPr>
            <w:r>
              <w:rPr>
                <w:rFonts w:ascii="Arial" w:cs="Arial" w:eastAsia="Arial" w:hAnsi="Arial"/>
                <w:sz w:val="16"/>
                <w:szCs w:val="16"/>
                <w:color w:val="E97D2E"/>
              </w:rPr>
              <w:t>Thomas L. Deitrich</w:t>
            </w: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President and Chief Executive Officer</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57</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of Itron, Inc.</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100" w:type="dxa"/>
            <w:vAlign w:val="bottom"/>
          </w:tcPr>
          <w:p>
            <w:pPr>
              <w:ind w:left="1200"/>
              <w:spacing w:after="0"/>
              <w:rPr>
                <w:sz w:val="20"/>
                <w:szCs w:val="20"/>
                <w:color w:val="auto"/>
              </w:rPr>
            </w:pPr>
            <w:r>
              <w:rPr>
                <w:rFonts w:ascii="Arial" w:cs="Arial" w:eastAsia="Arial" w:hAnsi="Arial"/>
                <w:sz w:val="16"/>
                <w:szCs w:val="16"/>
                <w:color w:val="E97D2E"/>
              </w:rPr>
              <w:t>Hassane El-Khoury</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100" w:type="dxa"/>
            <w:vAlign w:val="bottom"/>
          </w:tcPr>
          <w:p>
            <w:pPr>
              <w:ind w:left="1200"/>
              <w:spacing w:after="0"/>
              <w:rPr>
                <w:sz w:val="20"/>
                <w:szCs w:val="20"/>
                <w:color w:val="auto"/>
              </w:rPr>
            </w:pPr>
            <w:r>
              <w:rPr>
                <w:rFonts w:ascii="Arial" w:cs="Arial" w:eastAsia="Arial" w:hAnsi="Arial"/>
                <w:sz w:val="16"/>
                <w:szCs w:val="16"/>
                <w:color w:val="465E66"/>
              </w:rPr>
              <w:t>President and Chief Executive Officer</w:t>
            </w:r>
          </w:p>
        </w:tc>
        <w:tc>
          <w:tcPr>
            <w:tcW w:w="660" w:type="dxa"/>
            <w:vAlign w:val="bottom"/>
          </w:tcPr>
          <w:p>
            <w:pPr>
              <w:jc w:val="center"/>
              <w:spacing w:after="0"/>
              <w:rPr>
                <w:sz w:val="20"/>
                <w:szCs w:val="20"/>
                <w:color w:val="auto"/>
              </w:rPr>
            </w:pPr>
            <w:r>
              <w:rPr>
                <w:rFonts w:ascii="Arial" w:cs="Arial" w:eastAsia="Arial" w:hAnsi="Arial"/>
                <w:sz w:val="16"/>
                <w:szCs w:val="16"/>
                <w:color w:val="465E66"/>
              </w:rPr>
              <w:t>44</w:t>
            </w:r>
          </w:p>
        </w:tc>
        <w:tc>
          <w:tcPr>
            <w:tcW w:w="820" w:type="dxa"/>
            <w:vAlign w:val="bottom"/>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448"/>
        </w:trPr>
        <w:tc>
          <w:tcPr>
            <w:tcW w:w="4100" w:type="dxa"/>
            <w:vAlign w:val="bottom"/>
          </w:tcPr>
          <w:p>
            <w:pPr>
              <w:ind w:left="1200"/>
              <w:spacing w:after="0"/>
              <w:rPr>
                <w:sz w:val="20"/>
                <w:szCs w:val="20"/>
                <w:color w:val="auto"/>
              </w:rPr>
            </w:pPr>
            <w:r>
              <w:rPr>
                <w:rFonts w:ascii="Arial" w:cs="Arial" w:eastAsia="Arial" w:hAnsi="Arial"/>
                <w:sz w:val="16"/>
                <w:szCs w:val="16"/>
                <w:color w:val="E97D2E"/>
              </w:rPr>
              <w:t>Bruce E. Kiddoo</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Chief Financial Officer of</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63</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Maxim Integrated Products, Inc.</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4100" w:type="dxa"/>
            <w:vAlign w:val="bottom"/>
          </w:tcPr>
          <w:p>
            <w:pPr>
              <w:ind w:left="1200"/>
              <w:spacing w:after="0"/>
              <w:rPr>
                <w:sz w:val="20"/>
                <w:szCs w:val="20"/>
                <w:color w:val="auto"/>
              </w:rPr>
            </w:pPr>
            <w:r>
              <w:rPr>
                <w:rFonts w:ascii="Arial" w:cs="Arial" w:eastAsia="Arial" w:hAnsi="Arial"/>
                <w:sz w:val="16"/>
                <w:szCs w:val="16"/>
                <w:color w:val="E97D2E"/>
              </w:rPr>
              <w:t>Christina Lampe-Önnerud</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Founder and Chief Executive Officer</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57</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2023</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of Cadenza Innovation Inc.</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2"/>
        </w:trPr>
        <w:tc>
          <w:tcPr>
            <w:tcW w:w="4100" w:type="dxa"/>
            <w:vAlign w:val="bottom"/>
          </w:tcPr>
          <w:p>
            <w:pPr>
              <w:ind w:left="1200"/>
              <w:spacing w:after="0"/>
              <w:rPr>
                <w:sz w:val="20"/>
                <w:szCs w:val="20"/>
                <w:color w:val="auto"/>
              </w:rPr>
            </w:pPr>
            <w:r>
              <w:rPr>
                <w:rFonts w:ascii="Arial" w:cs="Arial" w:eastAsia="Arial" w:hAnsi="Arial"/>
                <w:sz w:val="16"/>
                <w:szCs w:val="16"/>
                <w:color w:val="E97D2E"/>
              </w:rPr>
              <w:t>Paul A. Mascarenas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0"/>
              <w:spacing w:after="0" w:line="162" w:lineRule="exact"/>
              <w:rPr>
                <w:sz w:val="20"/>
                <w:szCs w:val="20"/>
                <w:color w:val="auto"/>
              </w:rPr>
            </w:pPr>
            <w:r>
              <w:rPr>
                <w:rFonts w:ascii="Arial" w:cs="Arial" w:eastAsia="Arial" w:hAnsi="Arial"/>
                <w:sz w:val="16"/>
                <w:szCs w:val="16"/>
                <w:color w:val="465E66"/>
              </w:rPr>
              <w:t>Former Chief Technical Officer of Ford</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465E66"/>
              </w:rPr>
              <w:t>62</w:t>
            </w:r>
          </w:p>
        </w:tc>
        <w:tc>
          <w:tcPr>
            <w:tcW w:w="820" w:type="dxa"/>
            <w:vAlign w:val="bottom"/>
            <w:vMerge w:val="restart"/>
          </w:tcPr>
          <w:p>
            <w:pPr>
              <w:jc w:val="center"/>
              <w:ind w:left="139"/>
              <w:spacing w:after="0"/>
              <w:rPr>
                <w:sz w:val="20"/>
                <w:szCs w:val="20"/>
                <w:color w:val="auto"/>
              </w:rPr>
            </w:pPr>
            <w:r>
              <w:rPr>
                <w:rFonts w:ascii="Arial" w:cs="Arial" w:eastAsia="Arial" w:hAnsi="Arial"/>
                <w:sz w:val="16"/>
                <w:szCs w:val="16"/>
                <w:color w:val="465E66"/>
              </w:rPr>
              <w:t>2014</w:t>
            </w:r>
          </w:p>
        </w:tc>
        <w:tc>
          <w:tcPr>
            <w:tcW w:w="0" w:type="dxa"/>
            <w:vAlign w:val="bottom"/>
          </w:tcPr>
          <w:p>
            <w:pPr>
              <w:spacing w:after="0"/>
              <w:rPr>
                <w:sz w:val="1"/>
                <w:szCs w:val="1"/>
                <w:color w:val="auto"/>
              </w:rPr>
            </w:pPr>
          </w:p>
        </w:tc>
      </w:tr>
      <w:tr>
        <w:trPr>
          <w:trHeight w:val="215"/>
        </w:trPr>
        <w:tc>
          <w:tcPr>
            <w:tcW w:w="4100" w:type="dxa"/>
            <w:vAlign w:val="bottom"/>
          </w:tcPr>
          <w:p>
            <w:pPr>
              <w:ind w:left="1200"/>
              <w:spacing w:after="0"/>
              <w:rPr>
                <w:sz w:val="20"/>
                <w:szCs w:val="20"/>
                <w:color w:val="auto"/>
              </w:rPr>
            </w:pPr>
            <w:r>
              <w:rPr>
                <w:rFonts w:ascii="Arial" w:cs="Arial" w:eastAsia="Arial" w:hAnsi="Arial"/>
                <w:sz w:val="16"/>
                <w:szCs w:val="16"/>
                <w:color w:val="465E66"/>
              </w:rPr>
              <w:t>Motor Company</w:t>
            </w:r>
          </w:p>
        </w:tc>
        <w:tc>
          <w:tcPr>
            <w:tcW w:w="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-4413250</wp:posOffset>
            </wp:positionV>
            <wp:extent cx="411480" cy="4551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E97D2E"/>
        </w:rPr>
      </w:pPr>
      <w:r>
        <w:rPr>
          <w:rFonts w:ascii="Arial" w:cs="Arial" w:eastAsia="Arial" w:hAnsi="Arial"/>
          <w:sz w:val="18"/>
          <w:szCs w:val="18"/>
          <w:color w:val="E97D2E"/>
        </w:rPr>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100" w:type="dxa"/>
            <w:vAlign w:val="bottom"/>
            <w:tcBorders>
              <w:bottom w:val="single" w:sz="8" w:color="465E66"/>
            </w:tcBorders>
            <w:gridSpan w:val="3"/>
          </w:tcPr>
          <w:p>
            <w:pPr>
              <w:jc w:val="center"/>
              <w:spacing w:after="0"/>
              <w:rPr>
                <w:sz w:val="20"/>
                <w:szCs w:val="20"/>
                <w:color w:val="auto"/>
              </w:rPr>
            </w:pPr>
            <w:r>
              <w:rPr>
                <w:rFonts w:ascii="Arial" w:cs="Arial" w:eastAsia="Arial" w:hAnsi="Arial"/>
                <w:sz w:val="16"/>
                <w:szCs w:val="16"/>
                <w:color w:val="465E66"/>
              </w:rPr>
              <w:t>Committee Memberships</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color w:val="465E66"/>
              </w:rPr>
              <w:t>Governance and</w:t>
            </w:r>
          </w:p>
        </w:tc>
        <w:tc>
          <w:tcPr>
            <w:tcW w:w="1340" w:type="dxa"/>
            <w:vAlign w:val="bottom"/>
          </w:tcPr>
          <w:p>
            <w:pPr>
              <w:jc w:val="center"/>
              <w:spacing w:after="0" w:line="157" w:lineRule="exact"/>
              <w:rPr>
                <w:sz w:val="20"/>
                <w:szCs w:val="20"/>
                <w:color w:val="auto"/>
              </w:rPr>
            </w:pPr>
            <w:r>
              <w:rPr>
                <w:rFonts w:ascii="Arial" w:cs="Arial" w:eastAsia="Arial" w:hAnsi="Arial"/>
                <w:sz w:val="16"/>
                <w:szCs w:val="16"/>
                <w:color w:val="465E66"/>
              </w:rPr>
              <w:t>Human Capital</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465E66"/>
              </w:rPr>
              <w:t>and</w:t>
            </w: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20"/>
                <w:szCs w:val="20"/>
                <w:color w:val="auto"/>
              </w:rPr>
            </w:pPr>
            <w:r>
              <w:rPr>
                <w:rFonts w:ascii="Arial" w:cs="Arial" w:eastAsia="Arial" w:hAnsi="Arial"/>
                <w:sz w:val="16"/>
                <w:szCs w:val="16"/>
                <w:color w:val="465E66"/>
              </w:rPr>
              <w:t>Independent</w:t>
            </w:r>
          </w:p>
        </w:tc>
        <w:tc>
          <w:tcPr>
            <w:tcW w:w="1380" w:type="dxa"/>
            <w:vAlign w:val="bottom"/>
            <w:vMerge w:val="restart"/>
          </w:tcPr>
          <w:p>
            <w:pPr>
              <w:ind w:left="100"/>
              <w:spacing w:after="0"/>
              <w:rPr>
                <w:sz w:val="20"/>
                <w:szCs w:val="20"/>
                <w:color w:val="auto"/>
              </w:rPr>
            </w:pPr>
            <w:r>
              <w:rPr>
                <w:rFonts w:ascii="Arial" w:cs="Arial" w:eastAsia="Arial" w:hAnsi="Arial"/>
                <w:sz w:val="16"/>
                <w:szCs w:val="16"/>
                <w:color w:val="465E66"/>
              </w:rPr>
              <w:t>Audit Committee</w:t>
            </w:r>
          </w:p>
        </w:tc>
        <w:tc>
          <w:tcPr>
            <w:tcW w:w="1380" w:type="dxa"/>
            <w:vAlign w:val="bottom"/>
          </w:tcPr>
          <w:p>
            <w:pPr>
              <w:jc w:val="center"/>
              <w:spacing w:after="0" w:line="162" w:lineRule="exact"/>
              <w:rPr>
                <w:sz w:val="20"/>
                <w:szCs w:val="20"/>
                <w:color w:val="auto"/>
              </w:rPr>
            </w:pPr>
            <w:r>
              <w:rPr>
                <w:rFonts w:ascii="Arial" w:cs="Arial" w:eastAsia="Arial" w:hAnsi="Arial"/>
                <w:sz w:val="16"/>
                <w:szCs w:val="16"/>
                <w:color w:val="465E66"/>
              </w:rPr>
              <w:t>Sustainability</w:t>
            </w:r>
          </w:p>
        </w:tc>
        <w:tc>
          <w:tcPr>
            <w:tcW w:w="1340" w:type="dxa"/>
            <w:vAlign w:val="bottom"/>
          </w:tcPr>
          <w:p>
            <w:pPr>
              <w:jc w:val="center"/>
              <w:spacing w:after="0" w:line="162" w:lineRule="exact"/>
              <w:rPr>
                <w:sz w:val="20"/>
                <w:szCs w:val="20"/>
                <w:color w:val="auto"/>
              </w:rPr>
            </w:pPr>
            <w:r>
              <w:rPr>
                <w:rFonts w:ascii="Arial" w:cs="Arial" w:eastAsia="Arial" w:hAnsi="Arial"/>
                <w:sz w:val="16"/>
                <w:szCs w:val="16"/>
                <w:color w:val="465E66"/>
              </w:rPr>
              <w:t>Compensation</w:t>
            </w:r>
          </w:p>
        </w:tc>
        <w:tc>
          <w:tcPr>
            <w:tcW w:w="0" w:type="dxa"/>
            <w:vAlign w:val="bottom"/>
          </w:tcPr>
          <w:p>
            <w:pPr>
              <w:spacing w:after="0"/>
              <w:rPr>
                <w:sz w:val="1"/>
                <w:szCs w:val="1"/>
                <w:color w:val="auto"/>
              </w:rPr>
            </w:pPr>
          </w:p>
        </w:tc>
      </w:tr>
      <w:tr>
        <w:trPr>
          <w:trHeight w:val="215"/>
        </w:trPr>
        <w:tc>
          <w:tcPr>
            <w:tcW w:w="11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465E66"/>
              </w:rPr>
              <w:t>Committee</w:t>
            </w:r>
          </w:p>
        </w:tc>
        <w:tc>
          <w:tcPr>
            <w:tcW w:w="1340" w:type="dxa"/>
            <w:vAlign w:val="bottom"/>
          </w:tcPr>
          <w:p>
            <w:pPr>
              <w:jc w:val="center"/>
              <w:spacing w:after="0"/>
              <w:rPr>
                <w:sz w:val="20"/>
                <w:szCs w:val="20"/>
                <w:color w:val="auto"/>
              </w:rPr>
            </w:pPr>
            <w:r>
              <w:rPr>
                <w:rFonts w:ascii="Arial" w:cs="Arial" w:eastAsia="Arial" w:hAnsi="Arial"/>
                <w:sz w:val="16"/>
                <w:szCs w:val="16"/>
                <w:color w:val="465E66"/>
              </w:rPr>
              <w:t>Committee</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740" w:hanging="1405"/>
        <w:spacing w:after="0"/>
        <w:tabs>
          <w:tab w:leader="none" w:pos="1740" w:val="left"/>
        </w:tabs>
        <w:numPr>
          <w:ilvl w:val="0"/>
          <w:numId w:val="7"/>
        </w:numPr>
        <w:rPr>
          <w:rFonts w:ascii="Wingdings" w:cs="Wingdings" w:eastAsia="Wingdings" w:hAnsi="Wingdings"/>
          <w:sz w:val="29"/>
          <w:szCs w:val="29"/>
          <w:b w:val="1"/>
          <w:bCs w:val="1"/>
          <w:color w:val="E97D2E"/>
        </w:rPr>
      </w:pPr>
      <w:r>
        <w:rPr>
          <w:rFonts w:ascii="Wingdings" w:cs="Wingdings" w:eastAsia="Wingdings" w:hAnsi="Wingdings"/>
          <w:sz w:val="18"/>
          <w:szCs w:val="18"/>
          <w:b w:val="1"/>
          <w:bCs w:val="1"/>
          <w:color w:val="E97D2E"/>
        </w:rPr>
        <w:t>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322"/>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l</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l</w:t>
            </w:r>
          </w:p>
        </w:tc>
        <w:tc>
          <w:tcPr>
            <w:tcW w:w="740" w:type="dxa"/>
            <w:vAlign w:val="bottom"/>
          </w:tcPr>
          <w:p>
            <w:pPr>
              <w:spacing w:after="0"/>
              <w:rPr>
                <w:sz w:val="24"/>
                <w:szCs w:val="24"/>
                <w:color w:val="auto"/>
              </w:rPr>
            </w:pPr>
          </w:p>
        </w:tc>
      </w:tr>
      <w:tr>
        <w:trPr>
          <w:trHeight w:val="932"/>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µ</w:t>
            </w: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l</w:t>
            </w:r>
          </w:p>
        </w:tc>
        <w:tc>
          <w:tcPr>
            <w:tcW w:w="740" w:type="dxa"/>
            <w:vAlign w:val="bottom"/>
          </w:tcPr>
          <w:p>
            <w:pPr>
              <w:spacing w:after="0"/>
              <w:rPr>
                <w:sz w:val="24"/>
                <w:szCs w:val="24"/>
                <w:color w:val="auto"/>
              </w:rPr>
            </w:pPr>
          </w:p>
        </w:tc>
      </w:tr>
      <w:tr>
        <w:trPr>
          <w:trHeight w:val="918"/>
        </w:trPr>
        <w:tc>
          <w:tcPr>
            <w:tcW w:w="800" w:type="dxa"/>
            <w:vAlign w:val="bottom"/>
          </w:tcPr>
          <w:p>
            <w:pPr>
              <w:spacing w:after="0"/>
              <w:rPr>
                <w:sz w:val="20"/>
                <w:szCs w:val="20"/>
                <w:color w:val="auto"/>
              </w:rPr>
            </w:pPr>
            <w:r>
              <w:rPr>
                <w:rFonts w:ascii="Wingdings" w:cs="Wingdings" w:eastAsia="Wingdings" w:hAnsi="Wingdings"/>
                <w:sz w:val="29"/>
                <w:szCs w:val="29"/>
                <w:b w:val="1"/>
                <w:bCs w:val="1"/>
                <w:color w:val="E97D2E"/>
              </w:rPr>
              <w:t>ü</w:t>
            </w:r>
          </w:p>
        </w:tc>
        <w:tc>
          <w:tcPr>
            <w:tcW w:w="1360" w:type="dxa"/>
            <w:vAlign w:val="bottom"/>
          </w:tcPr>
          <w:p>
            <w:pPr>
              <w:spacing w:after="0"/>
              <w:rPr>
                <w:sz w:val="24"/>
                <w:szCs w:val="24"/>
                <w:color w:val="auto"/>
              </w:rPr>
            </w:pPr>
          </w:p>
        </w:tc>
        <w:tc>
          <w:tcPr>
            <w:tcW w:w="1360" w:type="dxa"/>
            <w:vAlign w:val="bottom"/>
          </w:tcPr>
          <w:p>
            <w:pPr>
              <w:ind w:left="600"/>
              <w:spacing w:after="0"/>
              <w:rPr>
                <w:sz w:val="20"/>
                <w:szCs w:val="20"/>
                <w:color w:val="auto"/>
              </w:rPr>
            </w:pPr>
            <w:r>
              <w:rPr>
                <w:rFonts w:ascii="Wingdings" w:cs="Wingdings" w:eastAsia="Wingdings" w:hAnsi="Wingdings"/>
                <w:sz w:val="18"/>
                <w:szCs w:val="18"/>
                <w:b w:val="1"/>
                <w:bCs w:val="1"/>
                <w:color w:val="E97D2E"/>
              </w:rPr>
              <w:t>l</w:t>
            </w:r>
          </w:p>
        </w:tc>
        <w:tc>
          <w:tcPr>
            <w:tcW w:w="740" w:type="dxa"/>
            <w:vAlign w:val="bottom"/>
          </w:tcPr>
          <w:p>
            <w:pPr>
              <w:ind w:left="620"/>
              <w:spacing w:after="0"/>
              <w:rPr>
                <w:sz w:val="20"/>
                <w:szCs w:val="20"/>
                <w:color w:val="auto"/>
              </w:rPr>
            </w:pPr>
            <w:r>
              <w:rPr>
                <w:rFonts w:ascii="Wingdings" w:cs="Wingdings" w:eastAsia="Wingdings" w:hAnsi="Wingdings"/>
                <w:sz w:val="18"/>
                <w:szCs w:val="18"/>
                <w:b w:val="1"/>
                <w:bCs w:val="1"/>
                <w:color w:val="E97D2E"/>
                <w:w w:val="73"/>
              </w:rPr>
              <w:t>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40" w:hanging="1405"/>
        <w:spacing w:after="0"/>
        <w:tabs>
          <w:tab w:leader="none" w:pos="1740" w:val="left"/>
        </w:tabs>
        <w:numPr>
          <w:ilvl w:val="0"/>
          <w:numId w:val="8"/>
        </w:numPr>
        <w:rPr>
          <w:rFonts w:ascii="Wingdings" w:cs="Wingdings" w:eastAsia="Wingdings" w:hAnsi="Wingdings"/>
          <w:sz w:val="29"/>
          <w:szCs w:val="29"/>
          <w:b w:val="1"/>
          <w:bCs w:val="1"/>
          <w:color w:val="E97D2E"/>
        </w:rPr>
      </w:pPr>
      <w:r>
        <w:rPr>
          <w:rFonts w:ascii="Wingdings" w:cs="Wingdings" w:eastAsia="Wingdings" w:hAnsi="Wingdings"/>
          <w:sz w:val="18"/>
          <w:szCs w:val="18"/>
          <w:b w:val="1"/>
          <w:bCs w:val="1"/>
          <w:color w:val="E97D2E"/>
        </w:rPr>
        <w:t>l</w:t>
      </w:r>
    </w:p>
    <w:p>
      <w:pPr>
        <w:spacing w:after="0" w:line="200" w:lineRule="exact"/>
        <w:rPr>
          <w:rFonts w:ascii="Wingdings" w:cs="Wingdings" w:eastAsia="Wingdings" w:hAnsi="Wingdings"/>
          <w:sz w:val="29"/>
          <w:szCs w:val="29"/>
          <w:b w:val="1"/>
          <w:bCs w:val="1"/>
          <w:color w:val="E97D2E"/>
        </w:rPr>
      </w:pPr>
    </w:p>
    <w:p>
      <w:pPr>
        <w:spacing w:after="0" w:line="200" w:lineRule="exact"/>
        <w:rPr>
          <w:rFonts w:ascii="Wingdings" w:cs="Wingdings" w:eastAsia="Wingdings" w:hAnsi="Wingdings"/>
          <w:sz w:val="29"/>
          <w:szCs w:val="29"/>
          <w:b w:val="1"/>
          <w:bCs w:val="1"/>
          <w:color w:val="E97D2E"/>
        </w:rPr>
      </w:pPr>
    </w:p>
    <w:p>
      <w:pPr>
        <w:spacing w:after="0" w:line="209" w:lineRule="exact"/>
        <w:rPr>
          <w:rFonts w:ascii="Wingdings" w:cs="Wingdings" w:eastAsia="Wingdings" w:hAnsi="Wingdings"/>
          <w:sz w:val="29"/>
          <w:szCs w:val="29"/>
          <w:b w:val="1"/>
          <w:bCs w:val="1"/>
          <w:color w:val="E97D2E"/>
        </w:rPr>
      </w:pPr>
    </w:p>
    <w:p>
      <w:pPr>
        <w:ind w:left="1740" w:hanging="1405"/>
        <w:spacing w:after="0"/>
        <w:tabs>
          <w:tab w:leader="none" w:pos="1740" w:val="left"/>
        </w:tabs>
        <w:numPr>
          <w:ilvl w:val="0"/>
          <w:numId w:val="8"/>
        </w:numPr>
        <w:rPr>
          <w:rFonts w:ascii="Wingdings" w:cs="Wingdings" w:eastAsia="Wingdings" w:hAnsi="Wingdings"/>
          <w:sz w:val="29"/>
          <w:szCs w:val="29"/>
          <w:b w:val="1"/>
          <w:bCs w:val="1"/>
          <w:color w:val="E97D2E"/>
        </w:rPr>
      </w:pPr>
      <w:r>
        <w:rPr>
          <w:rFonts w:ascii="Wingdings" w:cs="Wingdings" w:eastAsia="Wingdings" w:hAnsi="Wingdings"/>
          <w:sz w:val="18"/>
          <w:szCs w:val="18"/>
          <w:b w:val="1"/>
          <w:bCs w:val="1"/>
          <w:color w:val="E97D2E"/>
        </w:rPr>
        <w:t>l</w:t>
      </w:r>
    </w:p>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3080" w:val="left"/>
          <w:tab w:leader="none" w:pos="4460" w:val="left"/>
        </w:tabs>
        <w:rPr>
          <w:sz w:val="20"/>
          <w:szCs w:val="20"/>
          <w:color w:val="auto"/>
        </w:rPr>
      </w:pPr>
      <w:r>
        <w:rPr>
          <w:rFonts w:ascii="Wingdings" w:cs="Wingdings" w:eastAsia="Wingdings" w:hAnsi="Wingdings"/>
          <w:sz w:val="29"/>
          <w:szCs w:val="29"/>
          <w:b w:val="1"/>
          <w:bCs w:val="1"/>
          <w:color w:val="E97D2E"/>
        </w:rPr>
        <w:t>ü</w:t>
      </w:r>
      <w:r>
        <w:rPr>
          <w:sz w:val="20"/>
          <w:szCs w:val="20"/>
          <w:color w:val="auto"/>
        </w:rPr>
        <w:tab/>
      </w:r>
      <w:r>
        <w:rPr>
          <w:rFonts w:ascii="Wingdings" w:cs="Wingdings" w:eastAsia="Wingdings" w:hAnsi="Wingdings"/>
          <w:sz w:val="16"/>
          <w:szCs w:val="16"/>
          <w:b w:val="1"/>
          <w:bCs w:val="1"/>
          <w:color w:val="E97D2E"/>
        </w:rPr>
        <w:t>µ</w:t>
      </w:r>
      <w:r>
        <w:rPr>
          <w:sz w:val="20"/>
          <w:szCs w:val="20"/>
          <w:color w:val="auto"/>
        </w:rPr>
        <w:tab/>
      </w:r>
      <w:r>
        <w:rPr>
          <w:rFonts w:ascii="Wingdings" w:cs="Wingdings" w:eastAsia="Wingdings" w:hAnsi="Wingdings"/>
          <w:sz w:val="16"/>
          <w:szCs w:val="16"/>
          <w:b w:val="1"/>
          <w:bCs w:val="1"/>
          <w:color w:val="E97D2E"/>
        </w:rPr>
        <w:t>l</w:t>
      </w:r>
    </w:p>
    <w:p>
      <w:pPr>
        <w:sectPr>
          <w:pgSz w:w="11900" w:h="16838" w:orient="portrait"/>
          <w:cols w:equalWidth="0" w:num="2">
            <w:col w:w="5600" w:space="420"/>
            <w:col w:w="5220"/>
          </w:cols>
          <w:pgMar w:left="320" w:top="121"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385445"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854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920" w:type="dxa"/>
            <w:vAlign w:val="bottom"/>
          </w:tcPr>
          <w:p>
            <w:pPr>
              <w:spacing w:after="0"/>
              <w:rPr>
                <w:sz w:val="20"/>
                <w:szCs w:val="20"/>
                <w:color w:val="auto"/>
              </w:rPr>
            </w:pPr>
            <w:r>
              <w:rPr>
                <w:rFonts w:ascii="Arial" w:cs="Arial" w:eastAsia="Arial" w:hAnsi="Arial"/>
                <w:sz w:val="16"/>
                <w:szCs w:val="16"/>
                <w:color w:val="E97D2E"/>
              </w:rPr>
              <w:t>Gregory L. Waters</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line="162" w:lineRule="exact"/>
              <w:rPr>
                <w:sz w:val="20"/>
                <w:szCs w:val="20"/>
                <w:color w:val="auto"/>
              </w:rPr>
            </w:pPr>
            <w:r>
              <w:rPr>
                <w:rFonts w:ascii="Arial" w:cs="Arial" w:eastAsia="Arial" w:hAnsi="Arial"/>
                <w:sz w:val="16"/>
                <w:szCs w:val="16"/>
                <w:color w:val="465E66"/>
              </w:rPr>
              <w:t>Former President and Chief Executive</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20" w:type="dxa"/>
            <w:vAlign w:val="bottom"/>
          </w:tcPr>
          <w:p>
            <w:pPr>
              <w:spacing w:after="0" w:line="178" w:lineRule="exact"/>
              <w:rPr>
                <w:sz w:val="20"/>
                <w:szCs w:val="20"/>
                <w:color w:val="auto"/>
              </w:rPr>
            </w:pPr>
            <w:r>
              <w:rPr>
                <w:rFonts w:ascii="Arial" w:cs="Arial" w:eastAsia="Arial" w:hAnsi="Arial"/>
                <w:sz w:val="16"/>
                <w:szCs w:val="16"/>
                <w:color w:val="465E66"/>
              </w:rPr>
              <w:t>Officer of Integrated Device</w:t>
            </w:r>
          </w:p>
        </w:tc>
        <w:tc>
          <w:tcPr>
            <w:tcW w:w="680" w:type="dxa"/>
            <w:vAlign w:val="bottom"/>
          </w:tcPr>
          <w:p>
            <w:pPr>
              <w:jc w:val="right"/>
              <w:ind w:right="239"/>
              <w:spacing w:after="0" w:line="178" w:lineRule="exact"/>
              <w:rPr>
                <w:sz w:val="20"/>
                <w:szCs w:val="20"/>
                <w:color w:val="auto"/>
              </w:rPr>
            </w:pPr>
            <w:r>
              <w:rPr>
                <w:rFonts w:ascii="Arial" w:cs="Arial" w:eastAsia="Arial" w:hAnsi="Arial"/>
                <w:sz w:val="16"/>
                <w:szCs w:val="16"/>
                <w:color w:val="465E66"/>
              </w:rPr>
              <w:t>63</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465E66"/>
              </w:rPr>
              <w:t>2020</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6"/>
                <w:szCs w:val="16"/>
                <w:color w:val="465E66"/>
              </w:rPr>
              <w:t>Technology, Inc.</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920" w:type="dxa"/>
            <w:vAlign w:val="bottom"/>
          </w:tcPr>
          <w:p>
            <w:pPr>
              <w:spacing w:after="0"/>
              <w:rPr>
                <w:sz w:val="20"/>
                <w:szCs w:val="20"/>
                <w:color w:val="auto"/>
              </w:rPr>
            </w:pPr>
            <w:r>
              <w:rPr>
                <w:rFonts w:ascii="Arial" w:cs="Arial" w:eastAsia="Arial" w:hAnsi="Arial"/>
                <w:sz w:val="16"/>
                <w:szCs w:val="16"/>
                <w:color w:val="E97D2E"/>
              </w:rPr>
              <w:t>Christine Y. Yan</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line="162" w:lineRule="exact"/>
              <w:rPr>
                <w:sz w:val="20"/>
                <w:szCs w:val="20"/>
                <w:color w:val="auto"/>
              </w:rPr>
            </w:pPr>
            <w:r>
              <w:rPr>
                <w:rFonts w:ascii="Arial" w:cs="Arial" w:eastAsia="Arial" w:hAnsi="Arial"/>
                <w:sz w:val="16"/>
                <w:szCs w:val="16"/>
                <w:color w:val="465E66"/>
              </w:rPr>
              <w:t>Former President of Asia, Stanley</w:t>
            </w:r>
          </w:p>
        </w:tc>
        <w:tc>
          <w:tcPr>
            <w:tcW w:w="680" w:type="dxa"/>
            <w:vAlign w:val="bottom"/>
            <w:vMerge w:val="restart"/>
          </w:tcPr>
          <w:p>
            <w:pPr>
              <w:jc w:val="right"/>
              <w:ind w:right="239"/>
              <w:spacing w:after="0"/>
              <w:rPr>
                <w:sz w:val="20"/>
                <w:szCs w:val="20"/>
                <w:color w:val="auto"/>
              </w:rPr>
            </w:pPr>
            <w:r>
              <w:rPr>
                <w:rFonts w:ascii="Arial" w:cs="Arial" w:eastAsia="Arial" w:hAnsi="Arial"/>
                <w:sz w:val="16"/>
                <w:szCs w:val="16"/>
                <w:color w:val="465E66"/>
              </w:rPr>
              <w:t>58</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465E66"/>
              </w:rPr>
              <w:t>2018</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6"/>
                <w:szCs w:val="16"/>
                <w:color w:val="465E66"/>
              </w:rPr>
              <w:t>Black &amp; Decker, Inc.</w:t>
            </w:r>
          </w:p>
        </w:tc>
        <w:tc>
          <w:tcPr>
            <w:tcW w:w="6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-393065</wp:posOffset>
            </wp:positionV>
            <wp:extent cx="385445" cy="548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5445" cy="548640"/>
                    </a:xfrm>
                    <a:prstGeom prst="rect">
                      <a:avLst/>
                    </a:prstGeom>
                    <a:noFill/>
                  </pic:spPr>
                </pic:pic>
              </a:graphicData>
            </a:graphic>
          </wp:anchor>
        </w:drawing>
      </w:r>
    </w:p>
    <w:p>
      <w:pPr>
        <w:spacing w:after="0" w:line="395" w:lineRule="exact"/>
        <w:rPr>
          <w:sz w:val="20"/>
          <w:szCs w:val="20"/>
          <w:color w:val="auto"/>
        </w:rPr>
      </w:pPr>
    </w:p>
    <w:p>
      <w:pPr>
        <w:spacing w:after="0"/>
        <w:tabs>
          <w:tab w:leader="none" w:pos="1040" w:val="left"/>
        </w:tabs>
        <w:rPr>
          <w:sz w:val="20"/>
          <w:szCs w:val="20"/>
          <w:color w:val="auto"/>
        </w:rPr>
      </w:pPr>
      <w:r>
        <w:rPr>
          <w:rFonts w:ascii="Wingdings" w:cs="Wingdings" w:eastAsia="Wingdings" w:hAnsi="Wingdings"/>
          <w:sz w:val="18"/>
          <w:szCs w:val="18"/>
          <w:b w:val="1"/>
          <w:bCs w:val="1"/>
          <w:color w:val="E97D2E"/>
        </w:rPr>
        <w:t xml:space="preserve">l </w:t>
      </w:r>
      <w:r>
        <w:rPr>
          <w:rFonts w:ascii="Arial" w:cs="Arial" w:eastAsia="Arial" w:hAnsi="Arial"/>
          <w:sz w:val="18"/>
          <w:szCs w:val="18"/>
          <w:color w:val="465E66"/>
        </w:rPr>
        <w:t>Member</w:t>
      </w:r>
      <w:r>
        <w:rPr>
          <w:sz w:val="20"/>
          <w:szCs w:val="20"/>
          <w:color w:val="auto"/>
        </w:rPr>
        <w:tab/>
      </w:r>
      <w:r>
        <w:rPr>
          <w:rFonts w:ascii="Wingdings" w:cs="Wingdings" w:eastAsia="Wingdings" w:hAnsi="Wingdings"/>
          <w:sz w:val="16"/>
          <w:szCs w:val="16"/>
          <w:b w:val="1"/>
          <w:bCs w:val="1"/>
          <w:color w:val="E97D2E"/>
        </w:rPr>
        <w:t xml:space="preserve">µ </w:t>
      </w:r>
      <w:r>
        <w:rPr>
          <w:rFonts w:ascii="Arial" w:cs="Arial" w:eastAsia="Arial" w:hAnsi="Arial"/>
          <w:sz w:val="16"/>
          <w:szCs w:val="16"/>
          <w:color w:val="465E66"/>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5263515" cy="728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3515" cy="728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Wingdings" w:cs="Wingdings" w:eastAsia="Wingdings" w:hAnsi="Wingdings"/>
          <w:sz w:val="29"/>
          <w:szCs w:val="29"/>
          <w:b w:val="1"/>
          <w:bCs w:val="1"/>
          <w:color w:val="E97D2E"/>
        </w:rPr>
        <w:t>ü</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Wingdings" w:cs="Wingdings" w:eastAsia="Wingdings" w:hAnsi="Wingdings"/>
          <w:sz w:val="29"/>
          <w:szCs w:val="29"/>
          <w:b w:val="1"/>
          <w:bCs w:val="1"/>
          <w:color w:val="E97D2E"/>
        </w:rPr>
        <w:t>ü</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E97D2E"/>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0"/>
        <w:spacing w:after="0"/>
        <w:rPr>
          <w:sz w:val="20"/>
          <w:szCs w:val="20"/>
          <w:color w:val="auto"/>
        </w:rPr>
      </w:pPr>
      <w:r>
        <w:rPr>
          <w:rFonts w:ascii="Wingdings" w:cs="Wingdings" w:eastAsia="Wingdings" w:hAnsi="Wingdings"/>
          <w:sz w:val="18"/>
          <w:szCs w:val="18"/>
          <w:b w:val="1"/>
          <w:bCs w:val="1"/>
          <w:color w:val="E97D2E"/>
        </w:rPr>
        <w:t>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80"/>
        <w:spacing w:after="0"/>
        <w:rPr>
          <w:sz w:val="20"/>
          <w:szCs w:val="20"/>
          <w:color w:val="auto"/>
        </w:rPr>
      </w:pPr>
      <w:r>
        <w:rPr>
          <w:rFonts w:ascii="Wingdings" w:cs="Wingdings" w:eastAsia="Wingdings" w:hAnsi="Wingdings"/>
          <w:sz w:val="16"/>
          <w:szCs w:val="16"/>
          <w:b w:val="1"/>
          <w:bCs w:val="1"/>
          <w:color w:val="E97D2E"/>
        </w:rPr>
        <w:t>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622935</wp:posOffset>
            </wp:positionV>
            <wp:extent cx="1868805" cy="728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68805" cy="728345"/>
                    </a:xfrm>
                    <a:prstGeom prst="rect">
                      <a:avLst/>
                    </a:prstGeom>
                    <a:noFill/>
                  </pic:spPr>
                </pic:pic>
              </a:graphicData>
            </a:graphic>
          </wp:anchor>
        </w:drawing>
      </w:r>
    </w:p>
    <w:p>
      <w:pPr>
        <w:spacing w:after="0" w:line="882" w:lineRule="exact"/>
        <w:rPr>
          <w:sz w:val="20"/>
          <w:szCs w:val="20"/>
          <w:color w:val="auto"/>
        </w:rPr>
      </w:pPr>
    </w:p>
    <w:p>
      <w:pPr>
        <w:sectPr>
          <w:pgSz w:w="11900" w:h="16838" w:orient="portrait"/>
          <w:cols w:equalWidth="0" w:num="3">
            <w:col w:w="5640" w:space="720"/>
            <w:col w:w="2020" w:space="720"/>
            <w:col w:w="2140"/>
          </w:cols>
          <w:pgMar w:left="320" w:top="121"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PROPOSAL NO. 2:</w:t>
      </w:r>
    </w:p>
    <w:p>
      <w:pPr>
        <w:spacing w:after="0" w:line="57" w:lineRule="exact"/>
        <w:rPr>
          <w:sz w:val="20"/>
          <w:szCs w:val="20"/>
          <w:color w:val="auto"/>
        </w:rPr>
      </w:pPr>
    </w:p>
    <w:p>
      <w:pPr>
        <w:ind w:left="20" w:right="1193"/>
        <w:spacing w:after="0" w:line="253" w:lineRule="auto"/>
        <w:rPr>
          <w:sz w:val="20"/>
          <w:szCs w:val="20"/>
          <w:color w:val="auto"/>
        </w:rPr>
      </w:pPr>
      <w:r>
        <w:rPr>
          <w:rFonts w:ascii="Arial" w:cs="Arial" w:eastAsia="Arial" w:hAnsi="Arial"/>
          <w:sz w:val="25"/>
          <w:szCs w:val="25"/>
          <w:b w:val="1"/>
          <w:bCs w:val="1"/>
          <w:color w:val="auto"/>
        </w:rPr>
        <w:t>Advisory Vote to Approve Named Executive Officer Compensation (Say-on-Pay)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page</w:t>
      </w:r>
      <w:r>
        <w:rPr>
          <w:rFonts w:ascii="Arial" w:cs="Arial" w:eastAsia="Arial" w:hAnsi="Arial"/>
          <w:sz w:val="14"/>
          <w:szCs w:val="14"/>
          <w:color w:val="auto"/>
        </w:rPr>
        <w:t xml:space="preserve"> 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both"/>
        <w:ind w:left="727" w:right="440" w:hanging="727"/>
        <w:spacing w:after="0" w:line="200" w:lineRule="auto"/>
        <w:tabs>
          <w:tab w:leader="none" w:pos="690" w:val="left"/>
        </w:tabs>
        <w:numPr>
          <w:ilvl w:val="0"/>
          <w:numId w:val="9"/>
        </w:numPr>
        <w:rPr>
          <w:rFonts w:ascii="Wingdings" w:cs="Wingdings" w:eastAsia="Wingdings" w:hAnsi="Wingdings"/>
          <w:sz w:val="28"/>
          <w:szCs w:val="28"/>
          <w:b w:val="1"/>
          <w:bCs w:val="1"/>
          <w:color w:val="E97D2E"/>
        </w:rPr>
      </w:pPr>
      <w:r>
        <w:rPr>
          <w:rFonts w:ascii="Arial" w:cs="Arial" w:eastAsia="Arial" w:hAnsi="Arial"/>
          <w:sz w:val="17"/>
          <w:szCs w:val="17"/>
          <w:b w:val="1"/>
          <w:bCs w:val="1"/>
          <w:color w:val="auto"/>
        </w:rPr>
        <w:t xml:space="preserve">Our Board recommends a vote </w:t>
      </w:r>
      <w:r>
        <w:rPr>
          <w:rFonts w:ascii="Arial" w:cs="Arial" w:eastAsia="Arial" w:hAnsi="Arial"/>
          <w:sz w:val="17"/>
          <w:szCs w:val="17"/>
          <w:b w:val="1"/>
          <w:bCs w:val="1"/>
          <w:color w:val="E97D2E"/>
        </w:rPr>
        <w:t>FOR</w:t>
      </w:r>
      <w:r>
        <w:rPr>
          <w:rFonts w:ascii="Arial" w:cs="Arial" w:eastAsia="Arial" w:hAnsi="Arial"/>
          <w:sz w:val="17"/>
          <w:szCs w:val="17"/>
          <w:b w:val="1"/>
          <w:bCs w:val="1"/>
          <w:color w:val="auto"/>
        </w:rPr>
        <w:t xml:space="preserve"> say-on-pay.</w:t>
      </w:r>
    </w:p>
    <w:p>
      <w:pPr>
        <w:spacing w:after="0" w:line="529" w:lineRule="exact"/>
        <w:rPr>
          <w:sz w:val="20"/>
          <w:szCs w:val="20"/>
          <w:color w:val="auto"/>
        </w:rPr>
      </w:pPr>
    </w:p>
    <w:p>
      <w:pPr>
        <w:sectPr>
          <w:pgSz w:w="11900" w:h="16838" w:orient="portrait"/>
          <w:cols w:equalWidth="0" w:num="2">
            <w:col w:w="7333" w:space="720"/>
            <w:col w:w="3187"/>
          </w:cols>
          <w:pgMar w:left="320" w:top="121" w:right="339" w:bottom="1440" w:gutter="0" w:footer="0" w:header="0"/>
          <w:type w:val="continuous"/>
        </w:sectPr>
      </w:pP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Board recommends that stockholders vote to approve, on a nonbinding, advisory basis,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728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PROPOSAL NO. 3:</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20" w:type="dxa"/>
            <w:vAlign w:val="bottom"/>
            <w:gridSpan w:val="3"/>
            <w:vMerge w:val="restart"/>
          </w:tcPr>
          <w:p>
            <w:pPr>
              <w:spacing w:after="0"/>
              <w:rPr>
                <w:sz w:val="20"/>
                <w:szCs w:val="20"/>
                <w:color w:val="auto"/>
              </w:rPr>
            </w:pPr>
            <w:r>
              <w:rPr>
                <w:rFonts w:ascii="Arial" w:cs="Arial" w:eastAsia="Arial" w:hAnsi="Arial"/>
                <w:sz w:val="25"/>
                <w:szCs w:val="25"/>
                <w:b w:val="1"/>
                <w:bCs w:val="1"/>
                <w:color w:val="auto"/>
              </w:rPr>
              <w:t>Ratification of Appointment of Independent Registered Public</w:t>
            </w:r>
          </w:p>
        </w:tc>
        <w:tc>
          <w:tcPr>
            <w:tcW w:w="660" w:type="dxa"/>
            <w:vAlign w:val="bottom"/>
            <w:vMerge w:val="restart"/>
            <w:shd w:val="clear" w:color="auto" w:fill="DBDBDB"/>
          </w:tcPr>
          <w:p>
            <w:pPr>
              <w:ind w:left="420"/>
              <w:spacing w:after="0"/>
              <w:rPr>
                <w:sz w:val="20"/>
                <w:szCs w:val="20"/>
                <w:color w:val="auto"/>
              </w:rPr>
            </w:pPr>
            <w:r>
              <w:rPr>
                <w:rFonts w:ascii="Wingdings" w:cs="Wingdings" w:eastAsia="Wingdings" w:hAnsi="Wingdings"/>
                <w:sz w:val="29"/>
                <w:szCs w:val="29"/>
                <w:b w:val="1"/>
                <w:bCs w:val="1"/>
                <w:color w:val="E97D2E"/>
              </w:rPr>
              <w:t>ü</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 recommends</w:t>
            </w:r>
          </w:p>
        </w:tc>
        <w:tc>
          <w:tcPr>
            <w:tcW w:w="0" w:type="dxa"/>
            <w:vAlign w:val="bottom"/>
          </w:tcPr>
          <w:p>
            <w:pPr>
              <w:spacing w:after="0"/>
              <w:rPr>
                <w:sz w:val="1"/>
                <w:szCs w:val="1"/>
                <w:color w:val="auto"/>
              </w:rPr>
            </w:pPr>
          </w:p>
        </w:tc>
      </w:tr>
      <w:tr>
        <w:trPr>
          <w:trHeight w:val="176"/>
        </w:trPr>
        <w:tc>
          <w:tcPr>
            <w:tcW w:w="7620" w:type="dxa"/>
            <w:vAlign w:val="bottom"/>
            <w:gridSpan w:val="3"/>
            <w:vMerge w:val="continue"/>
          </w:tcPr>
          <w:p>
            <w:pPr>
              <w:spacing w:after="0"/>
              <w:rPr>
                <w:sz w:val="15"/>
                <w:szCs w:val="15"/>
                <w:color w:val="auto"/>
              </w:rPr>
            </w:pPr>
          </w:p>
        </w:tc>
        <w:tc>
          <w:tcPr>
            <w:tcW w:w="660" w:type="dxa"/>
            <w:vAlign w:val="bottom"/>
            <w:vMerge w:val="continue"/>
            <w:shd w:val="clear" w:color="auto" w:fill="DBDBDB"/>
          </w:tcPr>
          <w:p>
            <w:pPr>
              <w:spacing w:after="0"/>
              <w:rPr>
                <w:sz w:val="15"/>
                <w:szCs w:val="15"/>
                <w:color w:val="auto"/>
              </w:rPr>
            </w:pPr>
          </w:p>
        </w:tc>
        <w:tc>
          <w:tcPr>
            <w:tcW w:w="2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xml:space="preserve">a vote </w:t>
            </w:r>
            <w:r>
              <w:rPr>
                <w:rFonts w:ascii="Arial" w:cs="Arial" w:eastAsia="Arial" w:hAnsi="Arial"/>
                <w:sz w:val="18"/>
                <w:szCs w:val="18"/>
                <w:b w:val="1"/>
                <w:bCs w:val="1"/>
                <w:color w:val="E97D2E"/>
                <w:w w:val="99"/>
              </w:rPr>
              <w:t>FOR</w:t>
            </w:r>
            <w:r>
              <w:rPr>
                <w:rFonts w:ascii="Arial" w:cs="Arial" w:eastAsia="Arial" w:hAnsi="Arial"/>
                <w:sz w:val="18"/>
                <w:szCs w:val="18"/>
                <w:b w:val="1"/>
                <w:bCs w:val="1"/>
                <w:color w:val="auto"/>
                <w:w w:val="99"/>
              </w:rPr>
              <w:t xml:space="preserve"> ratification of PwC as</w:t>
            </w:r>
          </w:p>
        </w:tc>
        <w:tc>
          <w:tcPr>
            <w:tcW w:w="0" w:type="dxa"/>
            <w:vAlign w:val="bottom"/>
          </w:tcPr>
          <w:p>
            <w:pPr>
              <w:spacing w:after="0"/>
              <w:rPr>
                <w:sz w:val="1"/>
                <w:szCs w:val="1"/>
                <w:color w:val="auto"/>
              </w:rPr>
            </w:pPr>
          </w:p>
        </w:tc>
      </w:tr>
      <w:tr>
        <w:trPr>
          <w:trHeight w:val="288"/>
        </w:trPr>
        <w:tc>
          <w:tcPr>
            <w:tcW w:w="7620" w:type="dxa"/>
            <w:vAlign w:val="bottom"/>
            <w:gridSpan w:val="3"/>
          </w:tcPr>
          <w:p>
            <w:pPr>
              <w:spacing w:after="0"/>
              <w:rPr>
                <w:sz w:val="20"/>
                <w:szCs w:val="20"/>
                <w:color w:val="auto"/>
              </w:rPr>
            </w:pPr>
            <w:r>
              <w:rPr>
                <w:rFonts w:ascii="Arial" w:cs="Arial" w:eastAsia="Arial" w:hAnsi="Arial"/>
                <w:sz w:val="25"/>
                <w:szCs w:val="25"/>
                <w:b w:val="1"/>
                <w:bCs w:val="1"/>
                <w:color w:val="auto"/>
              </w:rPr>
              <w:t>Accounting Firm</w:t>
            </w:r>
          </w:p>
        </w:tc>
        <w:tc>
          <w:tcPr>
            <w:tcW w:w="660" w:type="dxa"/>
            <w:vAlign w:val="bottom"/>
            <w:shd w:val="clear" w:color="auto" w:fill="DBDBDB"/>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our auditors for 2024.</w:t>
            </w:r>
          </w:p>
        </w:tc>
        <w:tc>
          <w:tcPr>
            <w:tcW w:w="0" w:type="dxa"/>
            <w:vAlign w:val="bottom"/>
          </w:tcPr>
          <w:p>
            <w:pPr>
              <w:spacing w:after="0"/>
              <w:rPr>
                <w:sz w:val="1"/>
                <w:szCs w:val="1"/>
                <w:color w:val="auto"/>
              </w:rPr>
            </w:pPr>
          </w:p>
        </w:tc>
      </w:tr>
      <w:tr>
        <w:trPr>
          <w:trHeight w:val="158"/>
        </w:trPr>
        <w:tc>
          <w:tcPr>
            <w:tcW w:w="7620" w:type="dxa"/>
            <w:vAlign w:val="bottom"/>
            <w:gridSpan w:val="3"/>
          </w:tcPr>
          <w:p>
            <w:pPr>
              <w:spacing w:after="0" w:line="158" w:lineRule="exact"/>
              <w:rPr>
                <w:sz w:val="20"/>
                <w:szCs w:val="20"/>
                <w:color w:val="auto"/>
              </w:rPr>
            </w:pPr>
            <w:r>
              <w:rPr>
                <w:rFonts w:ascii="Arial" w:cs="Arial" w:eastAsia="Arial" w:hAnsi="Arial"/>
                <w:sz w:val="14"/>
                <w:szCs w:val="14"/>
                <w:color w:val="auto"/>
              </w:rPr>
              <w:t>(page 54)</w:t>
            </w:r>
          </w:p>
        </w:tc>
        <w:tc>
          <w:tcPr>
            <w:tcW w:w="660" w:type="dxa"/>
            <w:vAlign w:val="bottom"/>
            <w:shd w:val="clear" w:color="auto" w:fill="DBDBDB"/>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appointed PricewaterhouseCoopers LLP to serve as our independent registered public accounting firm for 2024. PwC has been retained as our independent registered public accounting firm continuously since 1999. The Audit Committee and the Board believe that the continued retention of PwC as our independent registered public accounting firm is in our best interests and those of our stockholders.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E97D2E"/>
        </w:rPr>
        <w:t>THE BOARD OF DIRECTORS AND CORPORATE GOVERNANCE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Proposal No. 1: Election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a vote “FOR” each of the 10 director nominees named below.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directors are elected annually as provided in our bylaws. Once elected, directors hold office until their terms expire at the next annual meeting of stockholders and until the election of their successors (or, if earlier, upon their death, resignation or removal).</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regularly assesses its size and composition and the skill sets of each director to ensure an appropriate diversity of perspectives, viewpoints, backgrounds and skills in light of our current and future business objectives and the evolving nature of our product offerings and technology in the highly competitive semiconductor industry.</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record date, our Board had 10 directors, nine of whom were elected at our 2023 annual meeting of stockholders, as well as Ms. Lampe-Önnerud, who was appointed to the Board effective September 1, 2023. Considering its most recent assessment and upon the</w:t>
      </w:r>
    </w:p>
    <w:p>
      <w:pPr>
        <w:jc w:val="both"/>
        <w:spacing w:after="0" w:line="226" w:lineRule="auto"/>
        <w:rPr>
          <w:sz w:val="20"/>
          <w:szCs w:val="20"/>
          <w:color w:val="auto"/>
        </w:rPr>
      </w:pPr>
      <w:r>
        <w:rPr>
          <w:rFonts w:ascii="Arial" w:cs="Arial" w:eastAsia="Arial" w:hAnsi="Arial"/>
          <w:sz w:val="18"/>
          <w:szCs w:val="18"/>
          <w:color w:val="auto"/>
        </w:rPr>
        <w:t>recommendation of its GS Committee, our Board has renominated each of our current directors — Messrs. Abe, Campbell, Deitrich, El-Khoury, Kiddoo, Mascarenas and Waters and Msses. Carter, Lampe-Önnerud and Yan — for election to a new term. lf elected, each will</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serve a term beginning at the annual meeting and expiring at our 2025 annual meeting of stockholders and until the election of his or her successor.</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nominee has consented to being named as a nominee in this proxy statement and to serve as a director if elected. The designated proxies intend to vote your proxy for the election of each such nominee, unless otherwise directed. If, contrary to our expectations, any nominee is unable to serve or for good cause will not serve, your proxy will be voted for a substitute nominee designated by the Board, or the Board may choose to reduce its size.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E97D2E"/>
        </w:rPr>
      </w:pPr>
      <w:r>
        <w:rPr>
          <w:rFonts w:ascii="Arial" w:cs="Arial" w:eastAsia="Arial" w:hAnsi="Arial"/>
          <w:sz w:val="18"/>
          <w:szCs w:val="18"/>
          <w:color w:val="E97D2E"/>
        </w:rPr>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 w:name="page10"/>
    <w:bookmarkEnd w:id="9"/>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Director Nominees at a Glance</w:t>
      </w:r>
    </w:p>
    <w:p>
      <w:pPr>
        <w:spacing w:after="0" w:line="164" w:lineRule="exact"/>
        <w:rPr>
          <w:sz w:val="20"/>
          <w:szCs w:val="20"/>
          <w:color w:val="auto"/>
        </w:rPr>
      </w:pPr>
    </w:p>
    <w:p>
      <w:pPr>
        <w:ind w:left="700"/>
        <w:spacing w:after="0"/>
        <w:tabs>
          <w:tab w:leader="none" w:pos="3860" w:val="left"/>
          <w:tab w:leader="none" w:pos="6660" w:val="left"/>
          <w:tab w:leader="none" w:pos="8720" w:val="left"/>
        </w:tabs>
        <w:rPr>
          <w:sz w:val="20"/>
          <w:szCs w:val="20"/>
          <w:color w:val="auto"/>
        </w:rPr>
      </w:pPr>
      <w:r>
        <w:rPr>
          <w:rFonts w:ascii="Arial" w:cs="Arial" w:eastAsia="Arial" w:hAnsi="Arial"/>
          <w:sz w:val="18"/>
          <w:szCs w:val="18"/>
          <w:b w:val="1"/>
          <w:bCs w:val="1"/>
          <w:color w:val="auto"/>
        </w:rPr>
        <w:t>Age Distribution</w:t>
      </w:r>
      <w:r>
        <w:rPr>
          <w:sz w:val="20"/>
          <w:szCs w:val="20"/>
          <w:color w:val="auto"/>
        </w:rPr>
        <w:tab/>
      </w:r>
      <w:r>
        <w:rPr>
          <w:rFonts w:ascii="Arial" w:cs="Arial" w:eastAsia="Arial" w:hAnsi="Arial"/>
          <w:sz w:val="18"/>
          <w:szCs w:val="18"/>
          <w:b w:val="1"/>
          <w:bCs w:val="1"/>
          <w:color w:val="auto"/>
        </w:rPr>
        <w:t>Gender</w:t>
      </w:r>
      <w:r>
        <w:rPr>
          <w:sz w:val="20"/>
          <w:szCs w:val="20"/>
          <w:color w:val="auto"/>
        </w:rPr>
        <w:tab/>
      </w:r>
      <w:r>
        <w:rPr>
          <w:rFonts w:ascii="Arial" w:cs="Arial" w:eastAsia="Arial" w:hAnsi="Arial"/>
          <w:sz w:val="18"/>
          <w:szCs w:val="18"/>
          <w:b w:val="1"/>
          <w:bCs w:val="1"/>
          <w:color w:val="auto"/>
        </w:rPr>
        <w:t>Tenure</w:t>
      </w:r>
      <w:r>
        <w:rPr>
          <w:sz w:val="20"/>
          <w:szCs w:val="20"/>
          <w:color w:val="auto"/>
        </w:rPr>
        <w:tab/>
      </w:r>
      <w:r>
        <w:rPr>
          <w:rFonts w:ascii="Arial" w:cs="Arial" w:eastAsia="Arial" w:hAnsi="Arial"/>
          <w:sz w:val="17"/>
          <w:szCs w:val="17"/>
          <w:b w:val="1"/>
          <w:bCs w:val="1"/>
          <w:color w:val="auto"/>
        </w:rPr>
        <w:t>Geography/International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6600825" cy="1234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1234440"/>
                    </a:xfrm>
                    <a:prstGeom prst="rect">
                      <a:avLst/>
                    </a:prstGeom>
                    <a:noFill/>
                  </pic:spPr>
                </pic:pic>
              </a:graphicData>
            </a:graphic>
          </wp:anchor>
        </w:drawing>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586"/>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Board is committed to balancing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 2023, we increased our Board’s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tenure of the director nominees</w:t>
            </w:r>
          </w:p>
        </w:tc>
        <w:tc>
          <w:tcPr>
            <w:tcW w:w="2560" w:type="dxa"/>
            <w:vAlign w:val="bottom"/>
          </w:tcPr>
          <w:p>
            <w:pPr>
              <w:spacing w:after="0"/>
              <w:rPr>
                <w:sz w:val="20"/>
                <w:szCs w:val="20"/>
                <w:color w:val="auto"/>
              </w:rPr>
            </w:pPr>
            <w:r>
              <w:rPr>
                <w:rFonts w:ascii="Arial" w:cs="Arial" w:eastAsia="Arial" w:hAnsi="Arial"/>
                <w:sz w:val="16"/>
                <w:szCs w:val="16"/>
                <w:color w:val="auto"/>
              </w:rPr>
              <w:t>All nominees for director have</w:t>
            </w:r>
          </w:p>
        </w:tc>
      </w:tr>
      <w:tr>
        <w:trPr>
          <w:trHeight w:val="176"/>
        </w:trPr>
        <w:tc>
          <w:tcPr>
            <w:tcW w:w="28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the age and experience of its</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gender diversity to 30% female with</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demonstrates the Board’s</w:t>
            </w:r>
          </w:p>
        </w:tc>
        <w:tc>
          <w:tcPr>
            <w:tcW w:w="2560" w:type="dxa"/>
            <w:vAlign w:val="bottom"/>
          </w:tcPr>
          <w:p>
            <w:pPr>
              <w:spacing w:after="0" w:line="175" w:lineRule="exact"/>
              <w:rPr>
                <w:sz w:val="20"/>
                <w:szCs w:val="20"/>
                <w:color w:val="auto"/>
              </w:rPr>
            </w:pPr>
            <w:r>
              <w:rPr>
                <w:rFonts w:ascii="Arial" w:cs="Arial" w:eastAsia="Arial" w:hAnsi="Arial"/>
                <w:sz w:val="16"/>
                <w:szCs w:val="16"/>
                <w:color w:val="auto"/>
              </w:rPr>
              <w:t>international experience, and one is</w:t>
            </w:r>
          </w:p>
        </w:tc>
      </w:tr>
      <w:tr>
        <w:trPr>
          <w:trHeight w:val="189"/>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members with four directors under 60</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addition of Ms. Lampe-Önnerud.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commitment to balancing experience</w:t>
            </w:r>
          </w:p>
        </w:tc>
        <w:tc>
          <w:tcPr>
            <w:tcW w:w="2560" w:type="dxa"/>
            <w:vAlign w:val="bottom"/>
          </w:tcPr>
          <w:p>
            <w:pPr>
              <w:spacing w:after="0"/>
              <w:rPr>
                <w:sz w:val="20"/>
                <w:szCs w:val="20"/>
                <w:color w:val="auto"/>
              </w:rPr>
            </w:pPr>
            <w:r>
              <w:rPr>
                <w:rFonts w:ascii="Arial" w:cs="Arial" w:eastAsia="Arial" w:hAnsi="Arial"/>
                <w:sz w:val="16"/>
                <w:szCs w:val="16"/>
                <w:color w:val="auto"/>
              </w:rPr>
              <w:t>based outside of the United States.</w:t>
            </w:r>
          </w:p>
        </w:tc>
      </w:tr>
      <w:tr>
        <w:trPr>
          <w:trHeight w:val="176"/>
        </w:trPr>
        <w:tc>
          <w:tcPr>
            <w:tcW w:w="28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years of age and six directors over 60</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We have seven male and three</w:t>
            </w: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and refreshment with six directors</w:t>
            </w:r>
          </w:p>
        </w:tc>
        <w:tc>
          <w:tcPr>
            <w:tcW w:w="2560" w:type="dxa"/>
            <w:vAlign w:val="bottom"/>
          </w:tcPr>
          <w:p>
            <w:pPr>
              <w:spacing w:after="0"/>
              <w:rPr>
                <w:sz w:val="15"/>
                <w:szCs w:val="15"/>
                <w:color w:val="auto"/>
              </w:rPr>
            </w:pPr>
          </w:p>
        </w:tc>
      </w:tr>
      <w:tr>
        <w:trPr>
          <w:trHeight w:val="189"/>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years of age. All directors nominees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female director nominees.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tenures of less than five years</w:t>
            </w:r>
          </w:p>
        </w:tc>
        <w:tc>
          <w:tcPr>
            <w:tcW w:w="2560" w:type="dxa"/>
            <w:vAlign w:val="bottom"/>
          </w:tcPr>
          <w:p>
            <w:pPr>
              <w:spacing w:after="0"/>
              <w:rPr>
                <w:sz w:val="16"/>
                <w:szCs w:val="16"/>
                <w:color w:val="auto"/>
              </w:rPr>
            </w:pPr>
          </w:p>
        </w:tc>
      </w:tr>
      <w:tr>
        <w:trPr>
          <w:trHeight w:val="175"/>
        </w:trPr>
        <w:tc>
          <w:tcPr>
            <w:tcW w:w="28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are below the mandatory retirement</w:t>
            </w:r>
          </w:p>
        </w:tc>
        <w:tc>
          <w:tcPr>
            <w:tcW w:w="280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and four directors with tenures of six</w:t>
            </w:r>
          </w:p>
        </w:tc>
        <w:tc>
          <w:tcPr>
            <w:tcW w:w="2560" w:type="dxa"/>
            <w:vAlign w:val="bottom"/>
          </w:tcPr>
          <w:p>
            <w:pPr>
              <w:spacing w:after="0"/>
              <w:rPr>
                <w:sz w:val="15"/>
                <w:szCs w:val="15"/>
                <w:color w:val="auto"/>
              </w:rPr>
            </w:pPr>
          </w:p>
        </w:tc>
      </w:tr>
      <w:tr>
        <w:trPr>
          <w:trHeight w:val="230"/>
        </w:trPr>
        <w:tc>
          <w:tcPr>
            <w:tcW w:w="2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age of 75.</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or more years.</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-1070610</wp:posOffset>
            </wp:positionV>
            <wp:extent cx="655764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17145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our Director Nominees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Set forth below is biographical information about each director nominee, which is intended to highlight each nominee’s particular strengths. An individual director nominee may have other skills, experiences and personal attributes not highlighted. Our Board believes that it is important that the following qualifications, attributes, skills and experience are represented on our Board because of their particular relevance to our business. In addition to the specific qualifications described below, we believe that each director nominee has the business acumen and sound judgment required for the proper functioning of our Board and the integrity, honesty and adherence to high ethical standards necessary to set the “tone at the top.” Most of our directors also have significant experience on other public company boards, which we believe broadens their knowledge of board processes, issues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26035</wp:posOffset>
            </wp:positionV>
            <wp:extent cx="386080" cy="38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26035</wp:posOffset>
            </wp:positionV>
            <wp:extent cx="38608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26035</wp:posOffset>
            </wp:positionV>
            <wp:extent cx="386080"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Semiconductor</w:t>
            </w:r>
          </w:p>
        </w:tc>
        <w:tc>
          <w:tcPr>
            <w:tcW w:w="3040" w:type="dxa"/>
            <w:vAlign w:val="bottom"/>
          </w:tcPr>
          <w:p>
            <w:pPr>
              <w:jc w:val="center"/>
              <w:spacing w:after="0"/>
              <w:rPr>
                <w:sz w:val="20"/>
                <w:szCs w:val="20"/>
                <w:color w:val="auto"/>
              </w:rPr>
            </w:pPr>
            <w:r>
              <w:rPr>
                <w:rFonts w:ascii="Arial" w:cs="Arial" w:eastAsia="Arial" w:hAnsi="Arial"/>
                <w:sz w:val="18"/>
                <w:szCs w:val="18"/>
                <w:color w:val="auto"/>
              </w:rPr>
              <w:t>Public Company</w:t>
            </w: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660" w:type="dxa"/>
            <w:vAlign w:val="bottom"/>
            <w:vMerge w:val="restart"/>
          </w:tcPr>
          <w:p>
            <w:pPr>
              <w:jc w:val="center"/>
              <w:ind w:right="330"/>
              <w:spacing w:after="0"/>
              <w:rPr>
                <w:sz w:val="20"/>
                <w:szCs w:val="20"/>
                <w:color w:val="auto"/>
              </w:rPr>
            </w:pPr>
            <w:r>
              <w:rPr>
                <w:rFonts w:ascii="Arial" w:cs="Arial" w:eastAsia="Arial" w:hAnsi="Arial"/>
                <w:sz w:val="18"/>
                <w:szCs w:val="18"/>
                <w:color w:val="auto"/>
                <w:w w:val="97"/>
              </w:rPr>
              <w:t>/Technology</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8"/>
              </w:rPr>
              <w:t>Management</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304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1"/>
        </w:trPr>
        <w:tc>
          <w:tcPr>
            <w:tcW w:w="1700" w:type="dxa"/>
            <w:vAlign w:val="bottom"/>
          </w:tcPr>
          <w:p>
            <w:pPr>
              <w:spacing w:after="0"/>
              <w:rPr>
                <w:sz w:val="24"/>
                <w:szCs w:val="24"/>
                <w:color w:val="auto"/>
              </w:rPr>
            </w:pPr>
          </w:p>
        </w:tc>
        <w:tc>
          <w:tcPr>
            <w:tcW w:w="2660" w:type="dxa"/>
            <w:vAlign w:val="bottom"/>
          </w:tcPr>
          <w:p>
            <w:pPr>
              <w:jc w:val="center"/>
              <w:ind w:right="310"/>
              <w:spacing w:after="0"/>
              <w:rPr>
                <w:sz w:val="20"/>
                <w:szCs w:val="20"/>
                <w:color w:val="auto"/>
              </w:rPr>
            </w:pPr>
            <w:r>
              <w:rPr>
                <w:rFonts w:ascii="Arial" w:cs="Arial" w:eastAsia="Arial" w:hAnsi="Arial"/>
                <w:sz w:val="18"/>
                <w:szCs w:val="18"/>
                <w:color w:val="auto"/>
                <w:w w:val="99"/>
              </w:rPr>
              <w:t>Manufacturing</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Finance</w:t>
            </w:r>
          </w:p>
        </w:tc>
        <w:tc>
          <w:tcPr>
            <w:tcW w:w="2360" w:type="dxa"/>
            <w:vAlign w:val="bottom"/>
          </w:tcPr>
          <w:p>
            <w:pPr>
              <w:jc w:val="center"/>
              <w:ind w:left="47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531"/>
        </w:trPr>
        <w:tc>
          <w:tcPr>
            <w:tcW w:w="1700" w:type="dxa"/>
            <w:vAlign w:val="bottom"/>
          </w:tcPr>
          <w:p>
            <w:pPr>
              <w:jc w:val="center"/>
              <w:spacing w:after="0"/>
              <w:rPr>
                <w:sz w:val="20"/>
                <w:szCs w:val="20"/>
                <w:color w:val="auto"/>
              </w:rPr>
            </w:pPr>
            <w:r>
              <w:rPr>
                <w:rFonts w:ascii="Arial" w:cs="Arial" w:eastAsia="Arial" w:hAnsi="Arial"/>
                <w:sz w:val="18"/>
                <w:szCs w:val="18"/>
                <w:b w:val="1"/>
                <w:bCs w:val="1"/>
                <w:color w:val="E97D2E"/>
                <w:w w:val="98"/>
              </w:rPr>
              <w:t>Key to</w:t>
            </w:r>
          </w:p>
        </w:tc>
        <w:tc>
          <w:tcPr>
            <w:tcW w:w="2660" w:type="dxa"/>
            <w:vAlign w:val="bottom"/>
          </w:tcPr>
          <w:p>
            <w:pPr>
              <w:jc w:val="center"/>
              <w:ind w:right="310"/>
              <w:spacing w:after="0"/>
              <w:rPr>
                <w:sz w:val="20"/>
                <w:szCs w:val="20"/>
                <w:color w:val="auto"/>
              </w:rPr>
            </w:pPr>
            <w:r>
              <w:rPr>
                <w:rFonts w:ascii="Arial" w:cs="Arial" w:eastAsia="Arial" w:hAnsi="Arial"/>
                <w:sz w:val="18"/>
                <w:szCs w:val="18"/>
                <w:color w:val="auto"/>
                <w:w w:val="99"/>
              </w:rPr>
              <w:t>Enterprise Risk</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9"/>
              </w:rPr>
              <w:t>Mergers and Acquisitions</w:t>
            </w: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rPr>
              <w:t>Government Relations</w:t>
            </w:r>
          </w:p>
        </w:tc>
        <w:tc>
          <w:tcPr>
            <w:tcW w:w="0" w:type="dxa"/>
            <w:vAlign w:val="bottom"/>
          </w:tcPr>
          <w:p>
            <w:pPr>
              <w:spacing w:after="0"/>
              <w:rPr>
                <w:sz w:val="1"/>
                <w:szCs w:val="1"/>
                <w:color w:val="auto"/>
              </w:rPr>
            </w:pPr>
          </w:p>
        </w:tc>
      </w:tr>
      <w:tr>
        <w:trPr>
          <w:trHeight w:val="181"/>
        </w:trPr>
        <w:tc>
          <w:tcPr>
            <w:tcW w:w="1700" w:type="dxa"/>
            <w:vAlign w:val="bottom"/>
          </w:tcPr>
          <w:p>
            <w:pPr>
              <w:jc w:val="center"/>
              <w:spacing w:after="0" w:line="181" w:lineRule="exact"/>
              <w:rPr>
                <w:sz w:val="20"/>
                <w:szCs w:val="20"/>
                <w:color w:val="auto"/>
              </w:rPr>
            </w:pPr>
            <w:r>
              <w:rPr>
                <w:rFonts w:ascii="Arial" w:cs="Arial" w:eastAsia="Arial" w:hAnsi="Arial"/>
                <w:sz w:val="18"/>
                <w:szCs w:val="18"/>
                <w:b w:val="1"/>
                <w:bCs w:val="1"/>
                <w:color w:val="E97D2E"/>
                <w:w w:val="99"/>
              </w:rPr>
              <w:t>Relevant Skills and</w:t>
            </w:r>
          </w:p>
        </w:tc>
        <w:tc>
          <w:tcPr>
            <w:tcW w:w="2660" w:type="dxa"/>
            <w:vAlign w:val="bottom"/>
          </w:tcPr>
          <w:p>
            <w:pPr>
              <w:jc w:val="center"/>
              <w:ind w:right="330"/>
              <w:spacing w:after="0" w:line="181" w:lineRule="exact"/>
              <w:rPr>
                <w:sz w:val="20"/>
                <w:szCs w:val="20"/>
                <w:color w:val="auto"/>
              </w:rPr>
            </w:pPr>
            <w:r>
              <w:rPr>
                <w:rFonts w:ascii="Arial" w:cs="Arial" w:eastAsia="Arial" w:hAnsi="Arial"/>
                <w:sz w:val="18"/>
                <w:szCs w:val="18"/>
                <w:color w:val="auto"/>
                <w:w w:val="98"/>
              </w:rPr>
              <w:t>Management</w:t>
            </w:r>
          </w:p>
        </w:tc>
        <w:tc>
          <w:tcPr>
            <w:tcW w:w="304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700" w:type="dxa"/>
            <w:vAlign w:val="bottom"/>
          </w:tcPr>
          <w:p>
            <w:pPr>
              <w:jc w:val="center"/>
              <w:spacing w:after="0"/>
              <w:rPr>
                <w:sz w:val="20"/>
                <w:szCs w:val="20"/>
                <w:color w:val="auto"/>
              </w:rPr>
            </w:pPr>
            <w:r>
              <w:rPr>
                <w:rFonts w:ascii="Arial" w:cs="Arial" w:eastAsia="Arial" w:hAnsi="Arial"/>
                <w:sz w:val="18"/>
                <w:szCs w:val="18"/>
                <w:b w:val="1"/>
                <w:bCs w:val="1"/>
                <w:color w:val="E97D2E"/>
                <w:w w:val="99"/>
              </w:rPr>
              <w:t>Qualifications</w:t>
            </w: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(ERM)</w:t>
            </w:r>
          </w:p>
        </w:tc>
        <w:tc>
          <w:tcPr>
            <w:tcW w:w="30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1700" w:type="dxa"/>
            <w:vAlign w:val="bottom"/>
          </w:tcPr>
          <w:p>
            <w:pPr>
              <w:spacing w:after="0"/>
              <w:rPr>
                <w:sz w:val="24"/>
                <w:szCs w:val="24"/>
                <w:color w:val="auto"/>
              </w:rPr>
            </w:pPr>
          </w:p>
        </w:tc>
        <w:tc>
          <w:tcPr>
            <w:tcW w:w="2660" w:type="dxa"/>
            <w:vAlign w:val="bottom"/>
          </w:tcPr>
          <w:p>
            <w:pPr>
              <w:jc w:val="center"/>
              <w:ind w:right="330"/>
              <w:spacing w:after="0"/>
              <w:rPr>
                <w:sz w:val="20"/>
                <w:szCs w:val="20"/>
                <w:color w:val="auto"/>
              </w:rPr>
            </w:pPr>
            <w:r>
              <w:rPr>
                <w:rFonts w:ascii="Arial" w:cs="Arial" w:eastAsia="Arial" w:hAnsi="Arial"/>
                <w:sz w:val="18"/>
                <w:szCs w:val="18"/>
                <w:color w:val="auto"/>
                <w:w w:val="99"/>
              </w:rPr>
              <w:t>Environmental, Social and</w:t>
            </w:r>
          </w:p>
        </w:tc>
        <w:tc>
          <w:tcPr>
            <w:tcW w:w="3040" w:type="dxa"/>
            <w:vAlign w:val="bottom"/>
            <w:vMerge w:val="restart"/>
          </w:tcPr>
          <w:p>
            <w:pPr>
              <w:jc w:val="center"/>
              <w:spacing w:after="0"/>
              <w:rPr>
                <w:sz w:val="20"/>
                <w:szCs w:val="20"/>
                <w:color w:val="auto"/>
              </w:rPr>
            </w:pPr>
            <w:r>
              <w:rPr>
                <w:rFonts w:ascii="Arial" w:cs="Arial" w:eastAsia="Arial" w:hAnsi="Arial"/>
                <w:sz w:val="18"/>
                <w:szCs w:val="18"/>
                <w:color w:val="auto"/>
                <w:w w:val="99"/>
              </w:rPr>
              <w:t>Sustainability/Climate</w:t>
            </w:r>
          </w:p>
        </w:tc>
        <w:tc>
          <w:tcPr>
            <w:tcW w:w="2360" w:type="dxa"/>
            <w:vAlign w:val="bottom"/>
          </w:tcPr>
          <w:p>
            <w:pPr>
              <w:jc w:val="center"/>
              <w:ind w:left="450"/>
              <w:spacing w:after="0"/>
              <w:rPr>
                <w:sz w:val="20"/>
                <w:szCs w:val="20"/>
                <w:color w:val="auto"/>
              </w:rPr>
            </w:pPr>
            <w:r>
              <w:rPr>
                <w:rFonts w:ascii="Arial" w:cs="Arial" w:eastAsia="Arial" w:hAnsi="Arial"/>
                <w:sz w:val="18"/>
                <w:szCs w:val="18"/>
                <w:color w:val="auto"/>
                <w:w w:val="99"/>
              </w:rPr>
              <w:t>Information</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266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Governance (ESG)</w:t>
            </w:r>
          </w:p>
        </w:tc>
        <w:tc>
          <w:tcPr>
            <w:tcW w:w="3040" w:type="dxa"/>
            <w:vAlign w:val="bottom"/>
            <w:vMerge w:val="continue"/>
          </w:tcPr>
          <w:p>
            <w:pPr>
              <w:spacing w:after="0"/>
              <w:rPr>
                <w:sz w:val="12"/>
                <w:szCs w:val="12"/>
                <w:color w:val="auto"/>
              </w:rPr>
            </w:pPr>
          </w:p>
        </w:tc>
        <w:tc>
          <w:tcPr>
            <w:tcW w:w="2360" w:type="dxa"/>
            <w:vAlign w:val="bottom"/>
            <w:vMerge w:val="restart"/>
          </w:tcPr>
          <w:p>
            <w:pPr>
              <w:jc w:val="center"/>
              <w:ind w:left="470"/>
              <w:spacing w:after="0"/>
              <w:rPr>
                <w:sz w:val="20"/>
                <w:szCs w:val="20"/>
                <w:color w:val="auto"/>
              </w:rPr>
            </w:pPr>
            <w:r>
              <w:rPr>
                <w:rFonts w:ascii="Arial" w:cs="Arial" w:eastAsia="Arial" w:hAnsi="Arial"/>
                <w:sz w:val="18"/>
                <w:szCs w:val="18"/>
                <w:color w:val="auto"/>
                <w:w w:val="98"/>
              </w:rPr>
              <w:t>Security</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1"/>
        </w:trPr>
        <w:tc>
          <w:tcPr>
            <w:tcW w:w="1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rPr>
              <w:t>Marketing</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-1733550</wp:posOffset>
            </wp:positionV>
            <wp:extent cx="38608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-1733550</wp:posOffset>
            </wp:positionV>
            <wp:extent cx="38608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-1733550</wp:posOffset>
            </wp:positionV>
            <wp:extent cx="38608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-1253490</wp:posOffset>
            </wp:positionV>
            <wp:extent cx="386080" cy="385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6080" cy="3854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-1253490</wp:posOffset>
            </wp:positionV>
            <wp:extent cx="386080" cy="385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6080" cy="3854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-1253490</wp:posOffset>
            </wp:positionV>
            <wp:extent cx="386080" cy="385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6080" cy="38544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-773430</wp:posOffset>
            </wp:positionV>
            <wp:extent cx="386080" cy="386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-773430</wp:posOffset>
            </wp:positionV>
            <wp:extent cx="386080"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-773430</wp:posOffset>
            </wp:positionV>
            <wp:extent cx="386080" cy="38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6080" cy="38608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-293370</wp:posOffset>
            </wp:positionV>
            <wp:extent cx="386080" cy="38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480"/>
        <w:spacing w:after="0"/>
        <w:tabs>
          <w:tab w:leader="none" w:pos="111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0" w:name="page11"/>
    <w:bookmarkEnd w:id="10"/>
    <w:p>
      <w:pPr>
        <w:ind w:left="12"/>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709803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ectPr>
          <w:pgSz w:w="11900" w:h="16838" w:orient="portrait"/>
          <w:cols w:equalWidth="0" w:num="1">
            <w:col w:w="11112"/>
          </w:cols>
          <w:pgMar w:left="328" w:top="16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E97D2E"/>
        </w:rPr>
        <w:t>ATSUSHI 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57785</wp:posOffset>
            </wp:positionV>
            <wp:extent cx="1080135" cy="1508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1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Age 70</w:t>
      </w:r>
    </w:p>
    <w:p>
      <w:pPr>
        <w:spacing w:after="0" w:line="3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Director since 2011</w:t>
      </w:r>
    </w:p>
    <w:p>
      <w:pPr>
        <w:spacing w:after="0" w:line="2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432" w:hanging="171"/>
        <w:spacing w:after="0" w:line="291" w:lineRule="auto"/>
        <w:tabs>
          <w:tab w:leader="none" w:pos="4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Fujitsu Ltd., 2015 - Present (Chairman of the Board, 2019 -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Career Highlights</w:t>
      </w:r>
    </w:p>
    <w:p>
      <w:pPr>
        <w:spacing w:after="0" w:line="67" w:lineRule="exact"/>
        <w:rPr>
          <w:sz w:val="20"/>
          <w:szCs w:val="20"/>
          <w:color w:val="auto"/>
        </w:rPr>
      </w:pPr>
    </w:p>
    <w:p>
      <w:pPr>
        <w:ind w:left="145" w:hanging="145"/>
        <w:spacing w:after="0"/>
        <w:tabs>
          <w:tab w:leader="none" w:pos="145"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Advanced Solutions, Inc. </w:t>
      </w:r>
      <w:r>
        <w:rPr>
          <w:rFonts w:ascii="Arial" w:cs="Arial" w:eastAsia="Arial" w:hAnsi="Arial"/>
          <w:sz w:val="16"/>
          <w:szCs w:val="16"/>
          <w:color w:val="auto"/>
        </w:rPr>
        <w:t>(a consulting and financial advisory firm)</w:t>
      </w:r>
      <w:r>
        <w:rPr>
          <w:rFonts w:ascii="Arial" w:cs="Arial" w:eastAsia="Arial" w:hAnsi="Arial"/>
          <w:sz w:val="16"/>
          <w:szCs w:val="16"/>
          <w:b w:val="1"/>
          <w:bCs w:val="1"/>
          <w:color w:val="auto"/>
        </w:rPr>
        <w:t>, 2022 – Present</w:t>
      </w:r>
    </w:p>
    <w:p>
      <w:pPr>
        <w:ind w:left="325"/>
        <w:spacing w:after="0"/>
        <w:rPr>
          <w:rFonts w:ascii="Arial" w:cs="Arial" w:eastAsia="Arial" w:hAnsi="Arial"/>
          <w:sz w:val="16"/>
          <w:szCs w:val="16"/>
          <w:color w:val="276990"/>
        </w:rPr>
      </w:pPr>
      <w:r>
        <w:rPr>
          <w:rFonts w:ascii="Arial" w:cs="Arial" w:eastAsia="Arial" w:hAnsi="Arial"/>
          <w:sz w:val="16"/>
          <w:szCs w:val="16"/>
          <w:color w:val="auto"/>
        </w:rPr>
        <w:t>— Managing Partner</w:t>
      </w:r>
    </w:p>
    <w:p>
      <w:pPr>
        <w:spacing w:after="0" w:line="205" w:lineRule="exact"/>
        <w:rPr>
          <w:rFonts w:ascii="Arial" w:cs="Arial" w:eastAsia="Arial" w:hAnsi="Arial"/>
          <w:sz w:val="16"/>
          <w:szCs w:val="16"/>
          <w:color w:val="276990"/>
        </w:rPr>
      </w:pPr>
    </w:p>
    <w:p>
      <w:pPr>
        <w:ind w:left="245" w:right="500" w:hanging="245"/>
        <w:spacing w:after="0" w:line="221" w:lineRule="auto"/>
        <w:tabs>
          <w:tab w:leader="none" w:pos="145"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Sangyo Sosei Advisory Inc. </w:t>
      </w:r>
      <w:r>
        <w:rPr>
          <w:rFonts w:ascii="Arial" w:cs="Arial" w:eastAsia="Arial" w:hAnsi="Arial"/>
          <w:sz w:val="16"/>
          <w:szCs w:val="16"/>
          <w:color w:val="auto"/>
        </w:rPr>
        <w:t>(a technology, media and telecommunication industry-focused mergers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advisory firm)</w:t>
      </w:r>
      <w:r>
        <w:rPr>
          <w:rFonts w:ascii="Arial" w:cs="Arial" w:eastAsia="Arial" w:hAnsi="Arial"/>
          <w:sz w:val="16"/>
          <w:szCs w:val="16"/>
          <w:b w:val="1"/>
          <w:bCs w:val="1"/>
          <w:color w:val="auto"/>
        </w:rPr>
        <w:t>, 2009 – 2022</w:t>
      </w:r>
    </w:p>
    <w:p>
      <w:pPr>
        <w:spacing w:after="0" w:line="1" w:lineRule="exact"/>
        <w:rPr>
          <w:rFonts w:ascii="Arial" w:cs="Arial" w:eastAsia="Arial" w:hAnsi="Arial"/>
          <w:sz w:val="16"/>
          <w:szCs w:val="16"/>
          <w:color w:val="276990"/>
        </w:rPr>
      </w:pPr>
    </w:p>
    <w:p>
      <w:pPr>
        <w:ind w:left="325"/>
        <w:spacing w:after="0"/>
        <w:rPr>
          <w:rFonts w:ascii="Arial" w:cs="Arial" w:eastAsia="Arial" w:hAnsi="Arial"/>
          <w:sz w:val="16"/>
          <w:szCs w:val="16"/>
          <w:color w:val="276990"/>
        </w:rPr>
      </w:pPr>
      <w:r>
        <w:rPr>
          <w:rFonts w:ascii="Arial" w:cs="Arial" w:eastAsia="Arial" w:hAnsi="Arial"/>
          <w:sz w:val="16"/>
          <w:szCs w:val="16"/>
          <w:color w:val="auto"/>
        </w:rPr>
        <w:t>— Senior Advisor</w:t>
      </w:r>
    </w:p>
    <w:p>
      <w:pPr>
        <w:spacing w:after="0" w:line="199" w:lineRule="exact"/>
        <w:rPr>
          <w:rFonts w:ascii="Arial" w:cs="Arial" w:eastAsia="Arial" w:hAnsi="Arial"/>
          <w:sz w:val="16"/>
          <w:szCs w:val="16"/>
          <w:color w:val="276990"/>
        </w:rPr>
      </w:pPr>
    </w:p>
    <w:p>
      <w:pPr>
        <w:ind w:left="145" w:hanging="145"/>
        <w:spacing w:after="0"/>
        <w:tabs>
          <w:tab w:leader="none" w:pos="145" w:val="left"/>
        </w:tabs>
        <w:numPr>
          <w:ilvl w:val="0"/>
          <w:numId w:val="12"/>
        </w:numPr>
        <w:rPr>
          <w:rFonts w:ascii="Arial" w:cs="Arial" w:eastAsia="Arial" w:hAnsi="Arial"/>
          <w:sz w:val="16"/>
          <w:szCs w:val="16"/>
          <w:color w:val="276990"/>
        </w:rPr>
      </w:pPr>
      <w:r>
        <w:rPr>
          <w:rFonts w:ascii="Arial" w:cs="Arial" w:eastAsia="Arial" w:hAnsi="Arial"/>
          <w:sz w:val="16"/>
          <w:szCs w:val="16"/>
          <w:b w:val="1"/>
          <w:bCs w:val="1"/>
          <w:color w:val="auto"/>
        </w:rPr>
        <w:t xml:space="preserve">Unitas Capital </w:t>
      </w:r>
      <w:r>
        <w:rPr>
          <w:rFonts w:ascii="Arial" w:cs="Arial" w:eastAsia="Arial" w:hAnsi="Arial"/>
          <w:sz w:val="16"/>
          <w:szCs w:val="16"/>
          <w:color w:val="auto"/>
        </w:rPr>
        <w:t>(formerly JPMorgan Partners Asia)</w:t>
      </w:r>
      <w:r>
        <w:rPr>
          <w:rFonts w:ascii="Arial" w:cs="Arial" w:eastAsia="Arial" w:hAnsi="Arial"/>
          <w:sz w:val="16"/>
          <w:szCs w:val="16"/>
          <w:b w:val="1"/>
          <w:bCs w:val="1"/>
          <w:color w:val="auto"/>
        </w:rPr>
        <w:t>, 2004 – 2009</w:t>
      </w:r>
    </w:p>
    <w:p>
      <w:pPr>
        <w:ind w:left="325"/>
        <w:spacing w:after="0"/>
        <w:rPr>
          <w:rFonts w:ascii="Arial" w:cs="Arial" w:eastAsia="Arial" w:hAnsi="Arial"/>
          <w:sz w:val="16"/>
          <w:szCs w:val="16"/>
          <w:color w:val="276990"/>
        </w:rPr>
      </w:pPr>
      <w:r>
        <w:rPr>
          <w:rFonts w:ascii="Arial" w:cs="Arial" w:eastAsia="Arial" w:hAnsi="Arial"/>
          <w:sz w:val="16"/>
          <w:szCs w:val="16"/>
          <w:color w:val="auto"/>
        </w:rPr>
        <w:t>— Partner</w:t>
      </w:r>
    </w:p>
    <w:p>
      <w:pPr>
        <w:spacing w:after="0" w:line="200" w:lineRule="exact"/>
        <w:rPr>
          <w:sz w:val="20"/>
          <w:szCs w:val="20"/>
          <w:color w:val="auto"/>
        </w:rPr>
      </w:pPr>
    </w:p>
    <w:p>
      <w:pPr>
        <w:spacing w:after="0" w:line="24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Other Board Experience</w:t>
      </w:r>
    </w:p>
    <w:p>
      <w:pPr>
        <w:ind w:left="145" w:hanging="145"/>
        <w:spacing w:after="0"/>
        <w:tabs>
          <w:tab w:leader="none" w:pos="145" w:val="left"/>
        </w:tabs>
        <w:numPr>
          <w:ilvl w:val="0"/>
          <w:numId w:val="13"/>
        </w:numPr>
        <w:rPr>
          <w:rFonts w:ascii="Arial" w:cs="Arial" w:eastAsia="Arial" w:hAnsi="Arial"/>
          <w:sz w:val="16"/>
          <w:szCs w:val="16"/>
          <w:color w:val="276990"/>
        </w:rPr>
      </w:pPr>
      <w:r>
        <w:rPr>
          <w:rFonts w:ascii="Arial" w:cs="Arial" w:eastAsia="Arial" w:hAnsi="Arial"/>
          <w:sz w:val="16"/>
          <w:szCs w:val="16"/>
          <w:b w:val="1"/>
          <w:bCs w:val="1"/>
          <w:color w:val="auto"/>
        </w:rPr>
        <w:t>Binfinity AG, 2018 – 2022</w:t>
      </w:r>
    </w:p>
    <w:p>
      <w:pPr>
        <w:spacing w:after="0" w:line="205" w:lineRule="exact"/>
        <w:rPr>
          <w:rFonts w:ascii="Arial" w:cs="Arial" w:eastAsia="Arial" w:hAnsi="Arial"/>
          <w:sz w:val="16"/>
          <w:szCs w:val="16"/>
          <w:color w:val="276990"/>
        </w:rPr>
      </w:pPr>
    </w:p>
    <w:p>
      <w:pPr>
        <w:ind w:left="5" w:right="5240" w:hanging="5"/>
        <w:spacing w:after="0" w:line="349" w:lineRule="auto"/>
        <w:tabs>
          <w:tab w:leader="none" w:pos="148" w:val="left"/>
        </w:tabs>
        <w:numPr>
          <w:ilvl w:val="0"/>
          <w:numId w:val="13"/>
        </w:numPr>
        <w:rPr>
          <w:rFonts w:ascii="Arial" w:cs="Arial" w:eastAsia="Arial" w:hAnsi="Arial"/>
          <w:sz w:val="16"/>
          <w:szCs w:val="16"/>
          <w:color w:val="276990"/>
        </w:rPr>
      </w:pPr>
      <w:r>
        <w:rPr>
          <w:rFonts w:ascii="Arial" w:cs="Arial" w:eastAsia="Arial" w:hAnsi="Arial"/>
          <w:sz w:val="16"/>
          <w:szCs w:val="16"/>
          <w:b w:val="1"/>
          <w:bCs w:val="1"/>
          <w:color w:val="auto"/>
        </w:rPr>
        <w:t xml:space="preserve">Edwards Group Limited, 2007 – 2009 </w:t>
      </w: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color w:val="276990"/>
        </w:rPr>
      </w:pPr>
    </w:p>
    <w:p>
      <w:pPr>
        <w:spacing w:after="0" w:line="358" w:lineRule="exact"/>
        <w:rPr>
          <w:rFonts w:ascii="Arial" w:cs="Arial" w:eastAsia="Arial" w:hAnsi="Arial"/>
          <w:sz w:val="16"/>
          <w:szCs w:val="16"/>
          <w:color w:val="276990"/>
        </w:rPr>
      </w:pPr>
    </w:p>
    <w:p>
      <w:pPr>
        <w:ind w:left="165" w:hanging="165"/>
        <w:spacing w:after="0" w:line="280" w:lineRule="auto"/>
        <w:tabs>
          <w:tab w:leader="none" w:pos="146" w:val="left"/>
        </w:tabs>
        <w:numPr>
          <w:ilvl w:val="0"/>
          <w:numId w:val="13"/>
        </w:numPr>
        <w:rPr>
          <w:rFonts w:ascii="Arial" w:cs="Arial" w:eastAsia="Arial" w:hAnsi="Arial"/>
          <w:sz w:val="16"/>
          <w:szCs w:val="16"/>
          <w:b w:val="1"/>
          <w:bCs w:val="1"/>
          <w:color w:val="276990"/>
        </w:rPr>
      </w:pPr>
      <w:r>
        <w:rPr>
          <w:rFonts w:ascii="Arial" w:cs="Arial" w:eastAsia="Arial" w:hAnsi="Arial"/>
          <w:sz w:val="16"/>
          <w:szCs w:val="16"/>
          <w:color w:val="auto"/>
        </w:rPr>
        <w:t>Extensive experience in the investment banking and private equity industry, particularly in the area of technology, and familiarity with businesses throughout Asia, including Japan</w:t>
      </w:r>
    </w:p>
    <w:p>
      <w:pPr>
        <w:spacing w:after="0" w:line="1" w:lineRule="exact"/>
        <w:rPr>
          <w:rFonts w:ascii="Arial" w:cs="Arial" w:eastAsia="Arial" w:hAnsi="Arial"/>
          <w:sz w:val="16"/>
          <w:szCs w:val="16"/>
          <w:b w:val="1"/>
          <w:bCs w:val="1"/>
          <w:color w:val="276990"/>
        </w:rPr>
      </w:pPr>
    </w:p>
    <w:p>
      <w:pPr>
        <w:ind w:left="165" w:right="340" w:hanging="165"/>
        <w:spacing w:after="0" w:line="272" w:lineRule="auto"/>
        <w:tabs>
          <w:tab w:leader="none" w:pos="146" w:val="left"/>
        </w:tabs>
        <w:numPr>
          <w:ilvl w:val="0"/>
          <w:numId w:val="13"/>
        </w:numPr>
        <w:rPr>
          <w:rFonts w:ascii="Arial" w:cs="Arial" w:eastAsia="Arial" w:hAnsi="Arial"/>
          <w:sz w:val="16"/>
          <w:szCs w:val="16"/>
          <w:color w:val="276990"/>
        </w:rPr>
      </w:pPr>
      <w:r>
        <w:rPr>
          <w:rFonts w:ascii="Arial" w:cs="Arial" w:eastAsia="Arial" w:hAnsi="Arial"/>
          <w:sz w:val="16"/>
          <w:szCs w:val="16"/>
          <w:color w:val="auto"/>
        </w:rPr>
        <w:t>Experience in mergers and acquisitions as well as in capital markets transactions, financial transactions and negotiations</w:t>
      </w:r>
    </w:p>
    <w:p>
      <w:pPr>
        <w:spacing w:after="0" w:line="1" w:lineRule="exact"/>
        <w:rPr>
          <w:rFonts w:ascii="Arial" w:cs="Arial" w:eastAsia="Arial" w:hAnsi="Arial"/>
          <w:sz w:val="16"/>
          <w:szCs w:val="16"/>
          <w:color w:val="276990"/>
        </w:rPr>
      </w:pPr>
    </w:p>
    <w:p>
      <w:pPr>
        <w:ind w:left="145" w:hanging="145"/>
        <w:spacing w:after="0"/>
        <w:tabs>
          <w:tab w:leader="none" w:pos="145" w:val="left"/>
        </w:tabs>
        <w:numPr>
          <w:ilvl w:val="0"/>
          <w:numId w:val="13"/>
        </w:numPr>
        <w:rPr>
          <w:rFonts w:ascii="Arial" w:cs="Arial" w:eastAsia="Arial" w:hAnsi="Arial"/>
          <w:sz w:val="16"/>
          <w:szCs w:val="16"/>
          <w:b w:val="1"/>
          <w:bCs w:val="1"/>
          <w:color w:val="276990"/>
        </w:rPr>
      </w:pPr>
      <w:r>
        <w:rPr>
          <w:rFonts w:ascii="Arial" w:cs="Arial" w:eastAsia="Arial" w:hAnsi="Arial"/>
          <w:sz w:val="16"/>
          <w:szCs w:val="16"/>
          <w:color w:val="auto"/>
        </w:rPr>
        <w:t>22 years of cumulative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150495</wp:posOffset>
            </wp:positionV>
            <wp:extent cx="709803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6858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-1031875</wp:posOffset>
            </wp:positionV>
            <wp:extent cx="255460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460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52" w:space="255"/>
            <w:col w:w="8205"/>
          </w:cols>
          <w:pgMar w:left="328" w:top="161" w:right="459" w:bottom="1440" w:gutter="0" w:footer="0" w:header="0"/>
          <w:type w:val="continuous"/>
        </w:sectPr>
      </w:pPr>
    </w:p>
    <w:p>
      <w:pPr>
        <w:spacing w:after="0" w:line="148" w:lineRule="exact"/>
        <w:rPr>
          <w:sz w:val="20"/>
          <w:szCs w:val="20"/>
          <w:color w:val="auto"/>
        </w:rPr>
      </w:pPr>
    </w:p>
    <w:p>
      <w:pPr>
        <w:ind w:left="12"/>
        <w:spacing w:after="0"/>
        <w:rPr>
          <w:sz w:val="20"/>
          <w:szCs w:val="20"/>
          <w:color w:val="auto"/>
        </w:rPr>
      </w:pPr>
      <w:r>
        <w:rPr>
          <w:rFonts w:ascii="Arial" w:cs="Arial" w:eastAsia="Arial" w:hAnsi="Arial"/>
          <w:sz w:val="20"/>
          <w:szCs w:val="20"/>
          <w:b w:val="1"/>
          <w:bCs w:val="1"/>
          <w:color w:val="E97D2E"/>
        </w:rPr>
        <w:t>ALAN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57785</wp:posOffset>
            </wp:positionV>
            <wp:extent cx="1200150" cy="164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465E66"/>
        </w:rPr>
        <w:t>Age 66</w:t>
      </w:r>
    </w:p>
    <w:p>
      <w:pPr>
        <w:spacing w:after="0" w:line="35" w:lineRule="exact"/>
        <w:rPr>
          <w:sz w:val="20"/>
          <w:szCs w:val="20"/>
          <w:color w:val="auto"/>
        </w:rPr>
      </w:pPr>
    </w:p>
    <w:p>
      <w:pPr>
        <w:ind w:left="12" w:right="175"/>
        <w:spacing w:after="0" w:line="311" w:lineRule="auto"/>
        <w:rPr>
          <w:sz w:val="20"/>
          <w:szCs w:val="20"/>
          <w:color w:val="auto"/>
        </w:rPr>
      </w:pPr>
      <w:r>
        <w:rPr>
          <w:rFonts w:ascii="Arial" w:cs="Arial" w:eastAsia="Arial" w:hAnsi="Arial"/>
          <w:sz w:val="16"/>
          <w:szCs w:val="16"/>
          <w:b w:val="1"/>
          <w:bCs w:val="1"/>
          <w:color w:val="465E66"/>
        </w:rPr>
        <w:t>Director since 2015 Chair of Board since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Career Highlights</w:t>
      </w:r>
    </w:p>
    <w:p>
      <w:pPr>
        <w:spacing w:after="0" w:line="86" w:lineRule="exact"/>
        <w:rPr>
          <w:sz w:val="20"/>
          <w:szCs w:val="20"/>
          <w:color w:val="auto"/>
        </w:rPr>
      </w:pPr>
    </w:p>
    <w:p>
      <w:pPr>
        <w:ind w:left="145" w:hanging="145"/>
        <w:spacing w:after="0"/>
        <w:tabs>
          <w:tab w:leader="none" w:pos="145" w:val="left"/>
        </w:tabs>
        <w:numPr>
          <w:ilvl w:val="0"/>
          <w:numId w:val="14"/>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Freescale Semiconductor, Inc. </w:t>
      </w:r>
      <w:r>
        <w:rPr>
          <w:rFonts w:ascii="Arial" w:cs="Arial" w:eastAsia="Arial" w:hAnsi="Arial"/>
          <w:sz w:val="16"/>
          <w:szCs w:val="16"/>
          <w:color w:val="auto"/>
        </w:rPr>
        <w:t>(acquired by NXP Semiconductors N.V.)</w:t>
      </w:r>
      <w:r>
        <w:rPr>
          <w:rFonts w:ascii="Arial" w:cs="Arial" w:eastAsia="Arial" w:hAnsi="Arial"/>
          <w:sz w:val="16"/>
          <w:szCs w:val="16"/>
          <w:b w:val="1"/>
          <w:bCs w:val="1"/>
          <w:color w:val="auto"/>
        </w:rPr>
        <w:t>, 2004 – 2014</w:t>
      </w:r>
    </w:p>
    <w:p>
      <w:pPr>
        <w:spacing w:after="0" w:line="38" w:lineRule="exact"/>
        <w:rPr>
          <w:rFonts w:ascii="Arial" w:cs="Arial" w:eastAsia="Arial" w:hAnsi="Arial"/>
          <w:sz w:val="16"/>
          <w:szCs w:val="16"/>
          <w:b w:val="1"/>
          <w:bCs w:val="1"/>
          <w:color w:val="276990"/>
        </w:rPr>
      </w:pPr>
    </w:p>
    <w:p>
      <w:pPr>
        <w:ind w:left="245"/>
        <w:spacing w:after="0"/>
        <w:rPr>
          <w:rFonts w:ascii="Arial" w:cs="Arial" w:eastAsia="Arial" w:hAnsi="Arial"/>
          <w:sz w:val="16"/>
          <w:szCs w:val="16"/>
          <w:b w:val="1"/>
          <w:bCs w:val="1"/>
          <w:color w:val="276990"/>
        </w:rPr>
      </w:pPr>
      <w:r>
        <w:rPr>
          <w:rFonts w:ascii="Arial" w:cs="Arial" w:eastAsia="Arial" w:hAnsi="Arial"/>
          <w:sz w:val="16"/>
          <w:szCs w:val="16"/>
          <w:color w:val="auto"/>
        </w:rPr>
        <w:t>— Chief Financial Officer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Other Board Experience</w:t>
      </w:r>
    </w:p>
    <w:p>
      <w:pPr>
        <w:spacing w:after="0" w:line="39" w:lineRule="exact"/>
        <w:rPr>
          <w:sz w:val="20"/>
          <w:szCs w:val="20"/>
          <w:color w:val="auto"/>
        </w:rPr>
      </w:pPr>
    </w:p>
    <w:p>
      <w:pPr>
        <w:ind w:left="145" w:hanging="145"/>
        <w:spacing w:after="0"/>
        <w:tabs>
          <w:tab w:leader="none" w:pos="145" w:val="left"/>
        </w:tabs>
        <w:numPr>
          <w:ilvl w:val="0"/>
          <w:numId w:val="15"/>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Dialog Semiconductor Plc </w:t>
      </w:r>
      <w:r>
        <w:rPr>
          <w:rFonts w:ascii="Arial" w:cs="Arial" w:eastAsia="Arial" w:hAnsi="Arial"/>
          <w:sz w:val="16"/>
          <w:szCs w:val="16"/>
          <w:color w:val="auto"/>
        </w:rPr>
        <w:t>(acquired by Renesas Electronics Corporation)</w:t>
      </w:r>
      <w:r>
        <w:rPr>
          <w:rFonts w:ascii="Arial" w:cs="Arial" w:eastAsia="Arial" w:hAnsi="Arial"/>
          <w:sz w:val="16"/>
          <w:szCs w:val="16"/>
          <w:b w:val="1"/>
          <w:bCs w:val="1"/>
          <w:color w:val="auto"/>
        </w:rPr>
        <w:t>, 2015 – 2021</w:t>
      </w:r>
    </w:p>
    <w:p>
      <w:pPr>
        <w:spacing w:after="0" w:line="65" w:lineRule="exact"/>
        <w:rPr>
          <w:rFonts w:ascii="Arial" w:cs="Arial" w:eastAsia="Arial" w:hAnsi="Arial"/>
          <w:sz w:val="16"/>
          <w:szCs w:val="16"/>
          <w:b w:val="1"/>
          <w:bCs w:val="1"/>
          <w:color w:val="276990"/>
        </w:rPr>
      </w:pPr>
    </w:p>
    <w:p>
      <w:pPr>
        <w:ind w:left="5"/>
        <w:spacing w:after="0"/>
        <w:rPr>
          <w:rFonts w:ascii="Arial" w:cs="Arial" w:eastAsia="Arial" w:hAnsi="Arial"/>
          <w:sz w:val="16"/>
          <w:szCs w:val="16"/>
          <w:b w:val="1"/>
          <w:bCs w:val="1"/>
          <w:color w:val="276990"/>
        </w:rPr>
      </w:pP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b w:val="1"/>
          <w:bCs w:val="1"/>
          <w:color w:val="276990"/>
        </w:rPr>
      </w:pPr>
    </w:p>
    <w:p>
      <w:pPr>
        <w:spacing w:after="0" w:line="200" w:lineRule="exact"/>
        <w:rPr>
          <w:rFonts w:ascii="Arial" w:cs="Arial" w:eastAsia="Arial" w:hAnsi="Arial"/>
          <w:sz w:val="16"/>
          <w:szCs w:val="16"/>
          <w:b w:val="1"/>
          <w:bCs w:val="1"/>
          <w:color w:val="276990"/>
        </w:rPr>
      </w:pPr>
    </w:p>
    <w:p>
      <w:pPr>
        <w:spacing w:after="0" w:line="280" w:lineRule="exact"/>
        <w:rPr>
          <w:rFonts w:ascii="Arial" w:cs="Arial" w:eastAsia="Arial" w:hAnsi="Arial"/>
          <w:sz w:val="16"/>
          <w:szCs w:val="16"/>
          <w:b w:val="1"/>
          <w:bCs w:val="1"/>
          <w:color w:val="276990"/>
        </w:rPr>
      </w:pPr>
    </w:p>
    <w:p>
      <w:pPr>
        <w:ind w:left="145" w:hanging="145"/>
        <w:spacing w:after="0"/>
        <w:tabs>
          <w:tab w:leader="none" w:pos="145"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Extensive experience in the semiconductor industry</w:t>
      </w:r>
    </w:p>
    <w:p>
      <w:pPr>
        <w:spacing w:after="0" w:line="38" w:lineRule="exact"/>
        <w:rPr>
          <w:rFonts w:ascii="Arial" w:cs="Arial" w:eastAsia="Arial" w:hAnsi="Arial"/>
          <w:sz w:val="16"/>
          <w:szCs w:val="16"/>
          <w:b w:val="1"/>
          <w:bCs w:val="1"/>
          <w:color w:val="276990"/>
        </w:rPr>
      </w:pPr>
    </w:p>
    <w:p>
      <w:pPr>
        <w:ind w:left="145" w:hanging="145"/>
        <w:spacing w:after="0"/>
        <w:tabs>
          <w:tab w:leader="none" w:pos="145"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Experience as chief financial officer of a publicly held semiconductor company</w:t>
      </w:r>
    </w:p>
    <w:p>
      <w:pPr>
        <w:spacing w:after="0" w:line="27" w:lineRule="exact"/>
        <w:rPr>
          <w:rFonts w:ascii="Arial" w:cs="Arial" w:eastAsia="Arial" w:hAnsi="Arial"/>
          <w:sz w:val="16"/>
          <w:szCs w:val="16"/>
          <w:b w:val="1"/>
          <w:bCs w:val="1"/>
          <w:color w:val="276990"/>
        </w:rPr>
      </w:pPr>
    </w:p>
    <w:p>
      <w:pPr>
        <w:ind w:left="165" w:right="220" w:hanging="165"/>
        <w:spacing w:after="0" w:line="270" w:lineRule="auto"/>
        <w:tabs>
          <w:tab w:leader="none" w:pos="146"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Significant management experience and relevant knowledge of financial statement preparation and regulatory compliance</w:t>
      </w:r>
    </w:p>
    <w:p>
      <w:pPr>
        <w:ind w:left="145" w:hanging="145"/>
        <w:spacing w:after="0"/>
        <w:tabs>
          <w:tab w:leader="none" w:pos="145" w:val="left"/>
        </w:tabs>
        <w:numPr>
          <w:ilvl w:val="0"/>
          <w:numId w:val="15"/>
        </w:numPr>
        <w:rPr>
          <w:rFonts w:ascii="Arial" w:cs="Arial" w:eastAsia="Arial" w:hAnsi="Arial"/>
          <w:sz w:val="16"/>
          <w:szCs w:val="16"/>
          <w:b w:val="1"/>
          <w:bCs w:val="1"/>
          <w:color w:val="276990"/>
        </w:rPr>
      </w:pPr>
      <w:r>
        <w:rPr>
          <w:rFonts w:ascii="Arial" w:cs="Arial" w:eastAsia="Arial" w:hAnsi="Arial"/>
          <w:sz w:val="16"/>
          <w:szCs w:val="16"/>
          <w:color w:val="auto"/>
        </w:rPr>
        <w:t>Significant mergers and acquisitions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193040</wp:posOffset>
            </wp:positionV>
            <wp:extent cx="7098030" cy="60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6032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-1031875</wp:posOffset>
            </wp:positionV>
            <wp:extent cx="328295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295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7" w:space="720"/>
            <w:col w:w="8205"/>
          </w:cols>
          <w:pgMar w:left="328" w:top="16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2" w:hanging="352"/>
        <w:spacing w:after="0"/>
        <w:tabs>
          <w:tab w:leader="none" w:pos="352" w:val="left"/>
        </w:tabs>
        <w:numPr>
          <w:ilvl w:val="0"/>
          <w:numId w:val="16"/>
        </w:numPr>
        <w:rPr>
          <w:rFonts w:ascii="Arial" w:cs="Arial" w:eastAsia="Arial" w:hAnsi="Arial"/>
          <w:sz w:val="17"/>
          <w:szCs w:val="17"/>
          <w:color w:val="E97D2E"/>
        </w:rPr>
      </w:pPr>
      <w:r>
        <w:rPr>
          <w:rFonts w:ascii="Arial" w:cs="Arial" w:eastAsia="Arial" w:hAnsi="Arial"/>
          <w:sz w:val="17"/>
          <w:szCs w:val="17"/>
          <w:color w:val="E97D2E"/>
        </w:rPr>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61" w:right="459" w:bottom="1440" w:gutter="0" w:footer="0" w:header="0"/>
          <w:type w:val="continuous"/>
        </w:sectPr>
      </w:pPr>
    </w:p>
    <w:bookmarkStart w:id="11" w:name="page12"/>
    <w:bookmarkEnd w:id="11"/>
    <w:p>
      <w:pPr>
        <w:ind w:left="718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09803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7D2E"/>
        </w:rPr>
        <w:t>SUSAN K.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57785</wp:posOffset>
            </wp:positionV>
            <wp:extent cx="1139825" cy="154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398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65</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420" w:hanging="15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Amcor plc</w:t>
      </w:r>
    </w:p>
    <w:p>
      <w:pPr>
        <w:spacing w:after="0" w:line="16" w:lineRule="exact"/>
        <w:rPr>
          <w:rFonts w:ascii="Arial" w:cs="Arial" w:eastAsia="Arial" w:hAnsi="Arial"/>
          <w:sz w:val="16"/>
          <w:szCs w:val="16"/>
          <w:color w:val="auto"/>
        </w:rPr>
      </w:pPr>
    </w:p>
    <w:p>
      <w:pPr>
        <w:ind w:left="420" w:hanging="151"/>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Stanley Black &amp; Decker,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73" w:lineRule="exact"/>
        <w:rPr>
          <w:sz w:val="20"/>
          <w:szCs w:val="20"/>
          <w:color w:val="auto"/>
        </w:rPr>
      </w:pPr>
    </w:p>
    <w:p>
      <w:pPr>
        <w:ind w:left="180" w:right="240" w:hanging="172"/>
        <w:spacing w:after="0" w:line="221" w:lineRule="auto"/>
        <w:tabs>
          <w:tab w:leader="none" w:pos="161" w:val="left"/>
        </w:tabs>
        <w:numPr>
          <w:ilvl w:val="0"/>
          <w:numId w:val="18"/>
        </w:numPr>
        <w:rPr>
          <w:rFonts w:ascii="Arial" w:cs="Arial" w:eastAsia="Arial" w:hAnsi="Arial"/>
          <w:sz w:val="16"/>
          <w:szCs w:val="16"/>
          <w:color w:val="276990"/>
        </w:rPr>
      </w:pPr>
      <w:r>
        <w:rPr>
          <w:rFonts w:ascii="Arial" w:cs="Arial" w:eastAsia="Arial" w:hAnsi="Arial"/>
          <w:sz w:val="16"/>
          <w:szCs w:val="16"/>
          <w:b w:val="1"/>
          <w:bCs w:val="1"/>
          <w:color w:val="auto"/>
        </w:rPr>
        <w:t xml:space="preserve">Ingersoll Rand plc </w:t>
      </w:r>
      <w:r>
        <w:rPr>
          <w:rFonts w:ascii="Arial" w:cs="Arial" w:eastAsia="Arial" w:hAnsi="Arial"/>
          <w:sz w:val="16"/>
          <w:szCs w:val="16"/>
          <w:color w:val="auto"/>
        </w:rPr>
        <w:t>(now known as Trane Technologies plc) (an industrial manufacturing company domiciled in</w:t>
      </w:r>
      <w:r>
        <w:rPr>
          <w:rFonts w:ascii="Arial" w:cs="Arial" w:eastAsia="Arial" w:hAnsi="Arial"/>
          <w:sz w:val="16"/>
          <w:szCs w:val="16"/>
          <w:b w:val="1"/>
          <w:bCs w:val="1"/>
          <w:color w:val="auto"/>
        </w:rPr>
        <w:t xml:space="preserve"> </w:t>
      </w:r>
      <w:r>
        <w:rPr>
          <w:rFonts w:ascii="Arial" w:cs="Arial" w:eastAsia="Arial" w:hAnsi="Arial"/>
          <w:sz w:val="16"/>
          <w:szCs w:val="16"/>
          <w:color w:val="auto"/>
        </w:rPr>
        <w:t>Ireland)</w:t>
      </w:r>
      <w:r>
        <w:rPr>
          <w:rFonts w:ascii="Arial" w:cs="Arial" w:eastAsia="Arial" w:hAnsi="Arial"/>
          <w:sz w:val="16"/>
          <w:szCs w:val="16"/>
          <w:b w:val="1"/>
          <w:bCs w:val="1"/>
          <w:color w:val="auto"/>
        </w:rPr>
        <w:t>, 2013 – 2020</w:t>
      </w:r>
    </w:p>
    <w:p>
      <w:pPr>
        <w:spacing w:after="0" w:line="1" w:lineRule="exact"/>
        <w:rPr>
          <w:rFonts w:ascii="Arial" w:cs="Arial" w:eastAsia="Arial" w:hAnsi="Arial"/>
          <w:sz w:val="16"/>
          <w:szCs w:val="16"/>
          <w:color w:val="276990"/>
        </w:rPr>
      </w:pPr>
    </w:p>
    <w:p>
      <w:pPr>
        <w:ind w:left="340"/>
        <w:spacing w:after="0"/>
        <w:rPr>
          <w:rFonts w:ascii="Arial" w:cs="Arial" w:eastAsia="Arial" w:hAnsi="Arial"/>
          <w:sz w:val="16"/>
          <w:szCs w:val="16"/>
          <w:color w:val="276990"/>
        </w:rPr>
      </w:pPr>
      <w:r>
        <w:rPr>
          <w:rFonts w:ascii="Arial" w:cs="Arial" w:eastAsia="Arial" w:hAnsi="Arial"/>
          <w:sz w:val="16"/>
          <w:szCs w:val="16"/>
          <w:color w:val="auto"/>
        </w:rPr>
        <w:t>— Senior Vice President and Chief Financial Officer</w:t>
      </w:r>
    </w:p>
    <w:p>
      <w:pPr>
        <w:spacing w:after="0" w:line="199" w:lineRule="exact"/>
        <w:rPr>
          <w:rFonts w:ascii="Arial" w:cs="Arial" w:eastAsia="Arial" w:hAnsi="Arial"/>
          <w:sz w:val="16"/>
          <w:szCs w:val="16"/>
          <w:color w:val="276990"/>
        </w:rPr>
      </w:pPr>
    </w:p>
    <w:p>
      <w:pPr>
        <w:ind w:left="160" w:hanging="152"/>
        <w:spacing w:after="0"/>
        <w:tabs>
          <w:tab w:leader="none" w:pos="160" w:val="left"/>
        </w:tabs>
        <w:numPr>
          <w:ilvl w:val="0"/>
          <w:numId w:val="18"/>
        </w:numPr>
        <w:rPr>
          <w:rFonts w:ascii="Arial" w:cs="Arial" w:eastAsia="Arial" w:hAnsi="Arial"/>
          <w:sz w:val="16"/>
          <w:szCs w:val="16"/>
          <w:color w:val="276990"/>
        </w:rPr>
      </w:pPr>
      <w:r>
        <w:rPr>
          <w:rFonts w:ascii="Arial" w:cs="Arial" w:eastAsia="Arial" w:hAnsi="Arial"/>
          <w:sz w:val="16"/>
          <w:szCs w:val="16"/>
          <w:b w:val="1"/>
          <w:bCs w:val="1"/>
          <w:color w:val="auto"/>
        </w:rPr>
        <w:t>KBR, Inc., 2009 – 2013</w:t>
      </w:r>
    </w:p>
    <w:p>
      <w:pPr>
        <w:ind w:left="340"/>
        <w:spacing w:after="0"/>
        <w:rPr>
          <w:rFonts w:ascii="Arial" w:cs="Arial" w:eastAsia="Arial" w:hAnsi="Arial"/>
          <w:sz w:val="16"/>
          <w:szCs w:val="16"/>
          <w:color w:val="276990"/>
        </w:rPr>
      </w:pPr>
      <w:r>
        <w:rPr>
          <w:rFonts w:ascii="Arial" w:cs="Arial" w:eastAsia="Arial" w:hAnsi="Arial"/>
          <w:sz w:val="16"/>
          <w:szCs w:val="16"/>
          <w:color w:val="auto"/>
        </w:rPr>
        <w:t>— Executive Vice President and Chief Financial Officer</w:t>
      </w:r>
    </w:p>
    <w:p>
      <w:pPr>
        <w:spacing w:after="0" w:line="199" w:lineRule="exact"/>
        <w:rPr>
          <w:rFonts w:ascii="Arial" w:cs="Arial" w:eastAsia="Arial" w:hAnsi="Arial"/>
          <w:sz w:val="16"/>
          <w:szCs w:val="16"/>
          <w:color w:val="276990"/>
        </w:rPr>
      </w:pPr>
    </w:p>
    <w:p>
      <w:pPr>
        <w:ind w:left="160" w:hanging="152"/>
        <w:spacing w:after="0"/>
        <w:tabs>
          <w:tab w:leader="none" w:pos="160" w:val="left"/>
        </w:tabs>
        <w:numPr>
          <w:ilvl w:val="0"/>
          <w:numId w:val="18"/>
        </w:numPr>
        <w:rPr>
          <w:rFonts w:ascii="Arial" w:cs="Arial" w:eastAsia="Arial" w:hAnsi="Arial"/>
          <w:sz w:val="16"/>
          <w:szCs w:val="16"/>
          <w:color w:val="276990"/>
        </w:rPr>
      </w:pPr>
      <w:r>
        <w:rPr>
          <w:rFonts w:ascii="Arial" w:cs="Arial" w:eastAsia="Arial" w:hAnsi="Arial"/>
          <w:sz w:val="16"/>
          <w:szCs w:val="16"/>
          <w:b w:val="1"/>
          <w:bCs w:val="1"/>
          <w:color w:val="auto"/>
        </w:rPr>
        <w:t>Lennox International, Inc., 2004 – 2009</w:t>
      </w:r>
    </w:p>
    <w:p>
      <w:pPr>
        <w:ind w:left="340"/>
        <w:spacing w:after="0"/>
        <w:rPr>
          <w:rFonts w:ascii="Arial" w:cs="Arial" w:eastAsia="Arial" w:hAnsi="Arial"/>
          <w:sz w:val="16"/>
          <w:szCs w:val="16"/>
          <w:color w:val="276990"/>
        </w:rPr>
      </w:pPr>
      <w:r>
        <w:rPr>
          <w:rFonts w:ascii="Arial" w:cs="Arial" w:eastAsia="Arial" w:hAnsi="Arial"/>
          <w:sz w:val="16"/>
          <w:szCs w:val="16"/>
          <w:color w:val="auto"/>
        </w:rPr>
        <w:t>—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ind w:left="160" w:hanging="152"/>
        <w:spacing w:after="0"/>
        <w:tabs>
          <w:tab w:leader="none" w:pos="160" w:val="left"/>
        </w:tabs>
        <w:numPr>
          <w:ilvl w:val="0"/>
          <w:numId w:val="19"/>
        </w:numPr>
        <w:rPr>
          <w:rFonts w:ascii="Arial" w:cs="Arial" w:eastAsia="Arial" w:hAnsi="Arial"/>
          <w:sz w:val="16"/>
          <w:szCs w:val="16"/>
          <w:color w:val="276990"/>
        </w:rPr>
      </w:pPr>
      <w:r>
        <w:rPr>
          <w:rFonts w:ascii="Arial" w:cs="Arial" w:eastAsia="Arial" w:hAnsi="Arial"/>
          <w:sz w:val="16"/>
          <w:szCs w:val="16"/>
          <w:b w:val="1"/>
          <w:bCs w:val="1"/>
          <w:color w:val="auto"/>
        </w:rPr>
        <w:t>Pursuit Aerospace</w:t>
      </w:r>
    </w:p>
    <w:p>
      <w:pPr>
        <w:spacing w:after="0" w:line="205" w:lineRule="exact"/>
        <w:rPr>
          <w:rFonts w:ascii="Arial" w:cs="Arial" w:eastAsia="Arial" w:hAnsi="Arial"/>
          <w:sz w:val="16"/>
          <w:szCs w:val="16"/>
          <w:color w:val="276990"/>
        </w:rPr>
      </w:pPr>
    </w:p>
    <w:p>
      <w:pPr>
        <w:ind w:right="4660" w:firstLine="8"/>
        <w:spacing w:after="0" w:line="349" w:lineRule="auto"/>
        <w:tabs>
          <w:tab w:leader="none" w:pos="143" w:val="left"/>
        </w:tabs>
        <w:numPr>
          <w:ilvl w:val="0"/>
          <w:numId w:val="19"/>
        </w:numPr>
        <w:rPr>
          <w:rFonts w:ascii="Arial" w:cs="Arial" w:eastAsia="Arial" w:hAnsi="Arial"/>
          <w:sz w:val="16"/>
          <w:szCs w:val="16"/>
          <w:color w:val="276990"/>
        </w:rPr>
      </w:pPr>
      <w:r>
        <w:rPr>
          <w:rFonts w:ascii="Arial" w:cs="Arial" w:eastAsia="Arial" w:hAnsi="Arial"/>
          <w:sz w:val="16"/>
          <w:szCs w:val="16"/>
          <w:b w:val="1"/>
          <w:bCs w:val="1"/>
          <w:color w:val="auto"/>
        </w:rPr>
        <w:t xml:space="preserve">Air Products and Chemicals, Inc., 2011 – 2021 </w:t>
      </w:r>
      <w:r>
        <w:rPr>
          <w:rFonts w:ascii="Arial" w:cs="Arial" w:eastAsia="Arial" w:hAnsi="Arial"/>
          <w:sz w:val="16"/>
          <w:szCs w:val="16"/>
          <w:b w:val="1"/>
          <w:bCs w:val="1"/>
          <w:color w:val="465E66"/>
        </w:rPr>
        <w:t>Relevant Skills and Qualifications</w:t>
      </w:r>
    </w:p>
    <w:p>
      <w:pPr>
        <w:spacing w:after="0" w:line="200" w:lineRule="exact"/>
        <w:rPr>
          <w:rFonts w:ascii="Arial" w:cs="Arial" w:eastAsia="Arial" w:hAnsi="Arial"/>
          <w:sz w:val="16"/>
          <w:szCs w:val="16"/>
          <w:color w:val="276990"/>
        </w:rPr>
      </w:pPr>
    </w:p>
    <w:p>
      <w:pPr>
        <w:spacing w:after="0" w:line="358" w:lineRule="exact"/>
        <w:rPr>
          <w:rFonts w:ascii="Arial" w:cs="Arial" w:eastAsia="Arial" w:hAnsi="Arial"/>
          <w:sz w:val="16"/>
          <w:szCs w:val="16"/>
          <w:color w:val="276990"/>
        </w:rPr>
      </w:pPr>
    </w:p>
    <w:p>
      <w:pPr>
        <w:ind w:left="160" w:hanging="152"/>
        <w:spacing w:after="0"/>
        <w:tabs>
          <w:tab w:leader="none" w:pos="160" w:val="left"/>
        </w:tabs>
        <w:numPr>
          <w:ilvl w:val="0"/>
          <w:numId w:val="19"/>
        </w:numPr>
        <w:rPr>
          <w:rFonts w:ascii="Arial" w:cs="Arial" w:eastAsia="Arial" w:hAnsi="Arial"/>
          <w:sz w:val="16"/>
          <w:szCs w:val="16"/>
          <w:b w:val="1"/>
          <w:bCs w:val="1"/>
          <w:color w:val="276990"/>
        </w:rPr>
      </w:pPr>
      <w:r>
        <w:rPr>
          <w:rFonts w:ascii="Arial" w:cs="Arial" w:eastAsia="Arial" w:hAnsi="Arial"/>
          <w:sz w:val="16"/>
          <w:szCs w:val="16"/>
          <w:color w:val="auto"/>
        </w:rPr>
        <w:t>Experience as chief financial officer of a publicly held industrial company</w:t>
      </w:r>
    </w:p>
    <w:p>
      <w:pPr>
        <w:spacing w:after="0" w:line="38" w:lineRule="exact"/>
        <w:rPr>
          <w:rFonts w:ascii="Arial" w:cs="Arial" w:eastAsia="Arial" w:hAnsi="Arial"/>
          <w:sz w:val="16"/>
          <w:szCs w:val="16"/>
          <w:b w:val="1"/>
          <w:bCs w:val="1"/>
          <w:color w:val="276990"/>
        </w:rPr>
      </w:pPr>
    </w:p>
    <w:p>
      <w:pPr>
        <w:ind w:left="180" w:right="320" w:hanging="172"/>
        <w:spacing w:after="0" w:line="268" w:lineRule="auto"/>
        <w:tabs>
          <w:tab w:leader="none" w:pos="161" w:val="left"/>
        </w:tabs>
        <w:numPr>
          <w:ilvl w:val="0"/>
          <w:numId w:val="19"/>
        </w:numPr>
        <w:rPr>
          <w:rFonts w:ascii="Arial" w:cs="Arial" w:eastAsia="Arial" w:hAnsi="Arial"/>
          <w:sz w:val="16"/>
          <w:szCs w:val="16"/>
          <w:color w:val="276990"/>
        </w:rPr>
      </w:pPr>
      <w:r>
        <w:rPr>
          <w:rFonts w:ascii="Arial" w:cs="Arial" w:eastAsia="Arial" w:hAnsi="Arial"/>
          <w:sz w:val="16"/>
          <w:szCs w:val="16"/>
          <w:color w:val="auto"/>
        </w:rPr>
        <w:t>Significant management experience and relevant knowledge of financial statement preparation and regulatory compliance</w:t>
      </w:r>
    </w:p>
    <w:p>
      <w:pPr>
        <w:ind w:left="180" w:right="500" w:hanging="172"/>
        <w:spacing w:after="0" w:line="272" w:lineRule="auto"/>
        <w:tabs>
          <w:tab w:leader="none" w:pos="161" w:val="left"/>
        </w:tabs>
        <w:numPr>
          <w:ilvl w:val="0"/>
          <w:numId w:val="19"/>
        </w:numPr>
        <w:rPr>
          <w:rFonts w:ascii="Arial" w:cs="Arial" w:eastAsia="Arial" w:hAnsi="Arial"/>
          <w:sz w:val="16"/>
          <w:szCs w:val="16"/>
          <w:b w:val="1"/>
          <w:bCs w:val="1"/>
          <w:color w:val="276990"/>
        </w:rPr>
      </w:pPr>
      <w:r>
        <w:rPr>
          <w:rFonts w:ascii="Arial" w:cs="Arial" w:eastAsia="Arial" w:hAnsi="Arial"/>
          <w:sz w:val="16"/>
          <w:szCs w:val="16"/>
          <w:color w:val="auto"/>
        </w:rPr>
        <w:t>Significant experience in manufacturing, automotive, aerospace, defense and engineering and construction industries</w:t>
      </w:r>
    </w:p>
    <w:p>
      <w:pPr>
        <w:spacing w:after="0" w:line="1" w:lineRule="exact"/>
        <w:rPr>
          <w:rFonts w:ascii="Arial" w:cs="Arial" w:eastAsia="Arial" w:hAnsi="Arial"/>
          <w:sz w:val="16"/>
          <w:szCs w:val="16"/>
          <w:b w:val="1"/>
          <w:bCs w:val="1"/>
          <w:color w:val="276990"/>
        </w:rPr>
      </w:pPr>
    </w:p>
    <w:p>
      <w:pPr>
        <w:ind w:left="180" w:right="400" w:hanging="172"/>
        <w:spacing w:after="0" w:line="292" w:lineRule="auto"/>
        <w:tabs>
          <w:tab w:leader="none" w:pos="161" w:val="left"/>
        </w:tabs>
        <w:numPr>
          <w:ilvl w:val="0"/>
          <w:numId w:val="19"/>
        </w:numPr>
        <w:rPr>
          <w:rFonts w:ascii="Arial" w:cs="Arial" w:eastAsia="Arial" w:hAnsi="Arial"/>
          <w:sz w:val="16"/>
          <w:szCs w:val="16"/>
          <w:color w:val="276990"/>
        </w:rPr>
      </w:pPr>
      <w:r>
        <w:rPr>
          <w:rFonts w:ascii="Arial" w:cs="Arial" w:eastAsia="Arial" w:hAnsi="Arial"/>
          <w:sz w:val="16"/>
          <w:szCs w:val="16"/>
          <w:color w:val="auto"/>
        </w:rPr>
        <w:t>Extensive experience in accounting and financial reporting, international business, mergers and acquisitions, investor relations, information technology, finance and capital management, government relations and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2540</wp:posOffset>
            </wp:positionV>
            <wp:extent cx="709803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6858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-1471295</wp:posOffset>
            </wp:positionV>
            <wp:extent cx="40208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20820" cy="3003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2460" w:space="460"/>
            <w:col w:w="8320"/>
          </w:cols>
          <w:pgMar w:left="320" w:top="161" w:right="339" w:bottom="1440" w:gutter="0" w:footer="0" w:header="0"/>
          <w:type w:val="continuous"/>
        </w:sectPr>
      </w:pPr>
    </w:p>
    <w:p>
      <w:pPr>
        <w:ind w:left="20"/>
        <w:spacing w:after="0"/>
        <w:rPr>
          <w:sz w:val="20"/>
          <w:szCs w:val="20"/>
          <w:color w:val="auto"/>
        </w:rPr>
      </w:pPr>
      <w:r>
        <w:rPr>
          <w:rFonts w:ascii="Arial" w:cs="Arial" w:eastAsia="Arial" w:hAnsi="Arial"/>
          <w:sz w:val="20"/>
          <w:szCs w:val="20"/>
          <w:b w:val="1"/>
          <w:bCs w:val="1"/>
          <w:color w:val="E97D2E"/>
        </w:rPr>
        <w:t>THOMAS L. DEITRICH</w:t>
      </w:r>
    </w:p>
    <w:p>
      <w:pPr>
        <w:spacing w:after="0" w:line="77"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465E66"/>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-107315</wp:posOffset>
            </wp:positionV>
            <wp:extent cx="1011555" cy="1423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11555" cy="1423035"/>
                    </a:xfrm>
                    <a:prstGeom prst="rect">
                      <a:avLst/>
                    </a:prstGeom>
                    <a:noFill/>
                  </pic:spPr>
                </pic:pic>
              </a:graphicData>
            </a:graphic>
          </wp:anchor>
        </w:drawing>
      </w:r>
    </w:p>
    <w:p>
      <w:pPr>
        <w:spacing w:after="0" w:line="47" w:lineRule="exact"/>
        <w:rPr>
          <w:sz w:val="20"/>
          <w:szCs w:val="20"/>
          <w:color w:val="auto"/>
        </w:rPr>
      </w:pPr>
    </w:p>
    <w:p>
      <w:pPr>
        <w:ind w:left="29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Itron, Inc.</w:t>
      </w:r>
      <w:r>
        <w:rPr>
          <w:rFonts w:ascii="Arial" w:cs="Arial" w:eastAsia="Arial" w:hAnsi="Arial"/>
          <w:sz w:val="16"/>
          <w:szCs w:val="16"/>
          <w:color w:val="276990"/>
        </w:rPr>
        <w:t xml:space="preserve"> </w:t>
      </w:r>
      <w:r>
        <w:rPr>
          <w:rFonts w:ascii="Arial" w:cs="Arial" w:eastAsia="Arial" w:hAnsi="Arial"/>
          <w:sz w:val="16"/>
          <w:szCs w:val="16"/>
          <w:color w:val="000000"/>
        </w:rPr>
        <w:t>(an energy and water resource management technology company)</w:t>
      </w:r>
      <w:r>
        <w:rPr>
          <w:rFonts w:ascii="Arial" w:cs="Arial" w:eastAsia="Arial" w:hAnsi="Arial"/>
          <w:sz w:val="16"/>
          <w:szCs w:val="16"/>
          <w:b w:val="1"/>
          <w:bCs w:val="1"/>
          <w:color w:val="000000"/>
        </w:rPr>
        <w:t>, 2015 – Present</w:t>
      </w:r>
    </w:p>
    <w:p>
      <w:pPr>
        <w:ind w:left="3260" w:right="3260"/>
        <w:spacing w:after="0" w:line="235" w:lineRule="auto"/>
        <w:rPr>
          <w:sz w:val="20"/>
          <w:szCs w:val="20"/>
          <w:color w:val="auto"/>
        </w:rPr>
      </w:pPr>
      <w:r>
        <w:rPr>
          <w:rFonts w:ascii="Arial" w:cs="Arial" w:eastAsia="Arial" w:hAnsi="Arial"/>
          <w:sz w:val="16"/>
          <w:szCs w:val="16"/>
          <w:color w:val="auto"/>
        </w:rPr>
        <w:t>— President, Chief Executive Officer and Director, 2019 – Present — Chief Operating Officer, 2015 – 2019</w:t>
      </w:r>
    </w:p>
    <w:p>
      <w:pPr>
        <w:spacing w:after="0" w:line="185" w:lineRule="exact"/>
        <w:rPr>
          <w:sz w:val="20"/>
          <w:szCs w:val="20"/>
          <w:color w:val="auto"/>
        </w:rPr>
      </w:pPr>
    </w:p>
    <w:p>
      <w:pPr>
        <w:ind w:left="29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Freescale Semiconductor, Inc.</w:t>
      </w:r>
      <w:r>
        <w:rPr>
          <w:rFonts w:ascii="Arial" w:cs="Arial" w:eastAsia="Arial" w:hAnsi="Arial"/>
          <w:sz w:val="16"/>
          <w:szCs w:val="16"/>
          <w:color w:val="276990"/>
        </w:rPr>
        <w:t xml:space="preserve"> </w:t>
      </w:r>
      <w:r>
        <w:rPr>
          <w:rFonts w:ascii="Arial" w:cs="Arial" w:eastAsia="Arial" w:hAnsi="Arial"/>
          <w:sz w:val="16"/>
          <w:szCs w:val="16"/>
          <w:color w:val="000000"/>
        </w:rPr>
        <w:t>(acquired by NXP Semiconductors N.V.)</w:t>
      </w:r>
      <w:r>
        <w:rPr>
          <w:rFonts w:ascii="Arial" w:cs="Arial" w:eastAsia="Arial" w:hAnsi="Arial"/>
          <w:sz w:val="16"/>
          <w:szCs w:val="16"/>
          <w:b w:val="1"/>
          <w:bCs w:val="1"/>
          <w:color w:val="000000"/>
        </w:rPr>
        <w:t>, 2006 – 2015</w:t>
      </w:r>
    </w:p>
    <w:p>
      <w:pPr>
        <w:ind w:left="3260"/>
        <w:spacing w:after="0"/>
        <w:rPr>
          <w:sz w:val="20"/>
          <w:szCs w:val="20"/>
          <w:color w:val="auto"/>
        </w:rPr>
      </w:pPr>
      <w:r>
        <w:rPr>
          <w:rFonts w:ascii="Arial" w:cs="Arial" w:eastAsia="Arial" w:hAnsi="Arial"/>
          <w:sz w:val="16"/>
          <w:szCs w:val="16"/>
          <w:color w:val="auto"/>
        </w:rPr>
        <w:t>— Senior Vice President and General Manager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6"/>
                <w:szCs w:val="16"/>
                <w:b w:val="1"/>
                <w:bCs w:val="1"/>
                <w:color w:val="465E66"/>
              </w:rPr>
              <w:t>Other Board Experience</w:t>
            </w:r>
          </w:p>
        </w:tc>
        <w:tc>
          <w:tcPr>
            <w:tcW w:w="0" w:type="dxa"/>
            <w:vAlign w:val="bottom"/>
          </w:tcPr>
          <w:p>
            <w:pPr>
              <w:spacing w:after="0"/>
              <w:rPr>
                <w:sz w:val="1"/>
                <w:szCs w:val="1"/>
                <w:color w:val="auto"/>
              </w:rPr>
            </w:pPr>
          </w:p>
        </w:tc>
      </w:tr>
      <w:tr>
        <w:trPr>
          <w:trHeight w:val="223"/>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465E66"/>
              </w:rPr>
              <w:t>Age 57</w:t>
            </w:r>
          </w:p>
        </w:tc>
        <w:tc>
          <w:tcPr>
            <w:tcW w:w="8500" w:type="dxa"/>
            <w:vAlign w:val="bottom"/>
          </w:tcPr>
          <w:p>
            <w:pPr>
              <w:ind w:left="2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National Electrical Manufacturers Association</w:t>
            </w:r>
          </w:p>
        </w:tc>
        <w:tc>
          <w:tcPr>
            <w:tcW w:w="0" w:type="dxa"/>
            <w:vAlign w:val="bottom"/>
          </w:tcPr>
          <w:p>
            <w:pPr>
              <w:spacing w:after="0"/>
              <w:rPr>
                <w:sz w:val="1"/>
                <w:szCs w:val="1"/>
                <w:color w:val="auto"/>
              </w:rPr>
            </w:pPr>
          </w:p>
        </w:tc>
      </w:tr>
      <w:tr>
        <w:trPr>
          <w:trHeight w:val="114"/>
        </w:trPr>
        <w:tc>
          <w:tcPr>
            <w:tcW w:w="2680" w:type="dxa"/>
            <w:vAlign w:val="bottom"/>
            <w:vMerge w:val="continue"/>
          </w:tcPr>
          <w:p>
            <w:pPr>
              <w:spacing w:after="0"/>
              <w:rPr>
                <w:sz w:val="9"/>
                <w:szCs w:val="9"/>
                <w:color w:val="auto"/>
              </w:rPr>
            </w:pPr>
          </w:p>
        </w:tc>
        <w:tc>
          <w:tcPr>
            <w:tcW w:w="8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6"/>
                <w:szCs w:val="16"/>
                <w:b w:val="1"/>
                <w:bCs w:val="1"/>
                <w:color w:val="465E66"/>
              </w:rPr>
              <w:t>Director since 2020</w:t>
            </w:r>
          </w:p>
        </w:tc>
        <w:tc>
          <w:tcPr>
            <w:tcW w:w="8500" w:type="dxa"/>
            <w:vAlign w:val="bottom"/>
            <w:vMerge w:val="restart"/>
          </w:tcPr>
          <w:p>
            <w:pPr>
              <w:ind w:left="2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Ferric, Inc., 2016 – 2020</w:t>
            </w:r>
          </w:p>
        </w:tc>
        <w:tc>
          <w:tcPr>
            <w:tcW w:w="0" w:type="dxa"/>
            <w:vAlign w:val="bottom"/>
          </w:tcPr>
          <w:p>
            <w:pPr>
              <w:spacing w:after="0"/>
              <w:rPr>
                <w:sz w:val="1"/>
                <w:szCs w:val="1"/>
                <w:color w:val="auto"/>
              </w:rPr>
            </w:pPr>
          </w:p>
        </w:tc>
      </w:tr>
      <w:tr>
        <w:trPr>
          <w:trHeight w:val="68"/>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465E66"/>
              </w:rPr>
              <w:t>Other Public Company Boards:</w:t>
            </w:r>
          </w:p>
        </w:tc>
        <w:tc>
          <w:tcPr>
            <w:tcW w:w="8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80" w:type="dxa"/>
            <w:vAlign w:val="bottom"/>
            <w:vMerge w:val="continue"/>
          </w:tcPr>
          <w:p>
            <w:pPr>
              <w:spacing w:after="0"/>
              <w:rPr>
                <w:sz w:val="11"/>
                <w:szCs w:val="11"/>
                <w:color w:val="auto"/>
              </w:rPr>
            </w:pPr>
          </w:p>
        </w:tc>
        <w:tc>
          <w:tcPr>
            <w:tcW w:w="8500" w:type="dxa"/>
            <w:vAlign w:val="bottom"/>
            <w:vMerge w:val="restart"/>
          </w:tcPr>
          <w:p>
            <w:pPr>
              <w:ind w:left="240"/>
              <w:spacing w:after="0"/>
              <w:rPr>
                <w:sz w:val="20"/>
                <w:szCs w:val="20"/>
                <w:color w:val="auto"/>
              </w:rPr>
            </w:pPr>
            <w:r>
              <w:rPr>
                <w:rFonts w:ascii="Arial" w:cs="Arial" w:eastAsia="Arial" w:hAnsi="Arial"/>
                <w:sz w:val="16"/>
                <w:szCs w:val="16"/>
                <w:b w:val="1"/>
                <w:bCs w:val="1"/>
                <w:color w:val="465E66"/>
              </w:rPr>
              <w:t>Relevant Skills and Qualifications</w:t>
            </w: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60"/>
              <w:spacing w:after="0"/>
              <w:rPr>
                <w:sz w:val="20"/>
                <w:szCs w:val="20"/>
                <w:color w:val="auto"/>
              </w:rPr>
            </w:pPr>
            <w:r>
              <w:rPr>
                <w:rFonts w:ascii="Arial" w:cs="Arial" w:eastAsia="Arial" w:hAnsi="Arial"/>
                <w:sz w:val="16"/>
                <w:szCs w:val="16"/>
                <w:color w:val="auto"/>
              </w:rPr>
              <w:t>• Itron, Inc.</w:t>
            </w:r>
          </w:p>
        </w:tc>
        <w:tc>
          <w:tcPr>
            <w:tcW w:w="8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80" w:type="dxa"/>
            <w:vAlign w:val="bottom"/>
            <w:vMerge w:val="continue"/>
          </w:tcPr>
          <w:p>
            <w:pPr>
              <w:spacing w:after="0"/>
              <w:rPr>
                <w:sz w:val="9"/>
                <w:szCs w:val="9"/>
                <w:color w:val="auto"/>
              </w:rPr>
            </w:pPr>
          </w:p>
        </w:tc>
        <w:tc>
          <w:tcPr>
            <w:tcW w:w="8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4"/>
        </w:trPr>
        <w:tc>
          <w:tcPr>
            <w:tcW w:w="2680" w:type="dxa"/>
            <w:vAlign w:val="bottom"/>
          </w:tcPr>
          <w:p>
            <w:pPr>
              <w:spacing w:after="0"/>
              <w:rPr>
                <w:sz w:val="24"/>
                <w:szCs w:val="24"/>
                <w:color w:val="auto"/>
              </w:rPr>
            </w:pPr>
          </w:p>
        </w:tc>
        <w:tc>
          <w:tcPr>
            <w:tcW w:w="8500" w:type="dxa"/>
            <w:vAlign w:val="bottom"/>
          </w:tcPr>
          <w:p>
            <w:pPr>
              <w:ind w:left="240"/>
              <w:spacing w:after="0"/>
              <w:rPr>
                <w:sz w:val="20"/>
                <w:szCs w:val="20"/>
                <w:color w:val="auto"/>
              </w:rPr>
            </w:pPr>
            <w:r>
              <w:rPr>
                <w:rFonts w:ascii="Arial" w:cs="Arial" w:eastAsia="Arial" w:hAnsi="Arial"/>
                <w:sz w:val="16"/>
                <w:szCs w:val="16"/>
                <w:b w:val="1"/>
                <w:bCs w:val="1"/>
                <w:color w:val="276990"/>
              </w:rPr>
              <w:t xml:space="preserve">■ </w:t>
            </w:r>
            <w:r>
              <w:rPr>
                <w:rFonts w:ascii="Arial" w:cs="Arial" w:eastAsia="Arial" w:hAnsi="Arial"/>
                <w:sz w:val="16"/>
                <w:szCs w:val="16"/>
                <w:color w:val="000000"/>
              </w:rPr>
              <w:t>Experience as chief executive officer of a publicly held technology company</w:t>
            </w: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8500" w:type="dxa"/>
            <w:vAlign w:val="bottom"/>
          </w:tcPr>
          <w:p>
            <w:pPr>
              <w:ind w:left="2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Extensive experience in product management, research and development, supply chain management, business</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6"/>
                <w:szCs w:val="16"/>
                <w:color w:val="auto"/>
              </w:rPr>
              <w:t>development and sales</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500" w:type="dxa"/>
            <w:vAlign w:val="bottom"/>
          </w:tcPr>
          <w:p>
            <w:pPr>
              <w:ind w:left="2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management experience and relevant knowledge in semiconductor and industrial markets served</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8500" w:type="dxa"/>
            <w:vAlign w:val="bottom"/>
          </w:tcPr>
          <w:p>
            <w:pPr>
              <w:ind w:left="24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mergers and acquisitions and global experience</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680" w:type="dxa"/>
            <w:vAlign w:val="bottom"/>
            <w:shd w:val="clear" w:color="auto" w:fill="465E66"/>
          </w:tcPr>
          <w:p>
            <w:pPr>
              <w:spacing w:after="0"/>
              <w:rPr>
                <w:sz w:val="8"/>
                <w:szCs w:val="8"/>
                <w:color w:val="auto"/>
              </w:rPr>
            </w:pPr>
          </w:p>
        </w:tc>
        <w:tc>
          <w:tcPr>
            <w:tcW w:w="8500" w:type="dxa"/>
            <w:vAlign w:val="bottom"/>
            <w:shd w:val="clear" w:color="auto" w:fill="465E66"/>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-1242695</wp:posOffset>
            </wp:positionV>
            <wp:extent cx="435483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54830" cy="3003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ectPr>
          <w:pgSz w:w="11900" w:h="16838" w:orient="portrait"/>
          <w:cols w:equalWidth="0" w:num="1">
            <w:col w:w="11180"/>
          </w:cols>
          <w:pgMar w:left="320" w:top="161" w:right="3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E97D2E"/>
        </w:rPr>
        <w:t>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64770</wp:posOffset>
            </wp:positionV>
            <wp:extent cx="1285875" cy="1457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58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44</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Career Highlights</w:t>
      </w:r>
    </w:p>
    <w:p>
      <w:pPr>
        <w:spacing w:after="0" w:line="67" w:lineRule="exact"/>
        <w:rPr>
          <w:sz w:val="20"/>
          <w:szCs w:val="20"/>
          <w:color w:val="auto"/>
        </w:rPr>
      </w:pPr>
    </w:p>
    <w:p>
      <w:pPr>
        <w:ind w:left="145" w:hanging="145"/>
        <w:spacing w:after="0"/>
        <w:tabs>
          <w:tab w:leader="none" w:pos="145" w:val="left"/>
        </w:tabs>
        <w:numPr>
          <w:ilvl w:val="0"/>
          <w:numId w:val="20"/>
        </w:numPr>
        <w:rPr>
          <w:rFonts w:ascii="Arial" w:cs="Arial" w:eastAsia="Arial" w:hAnsi="Arial"/>
          <w:sz w:val="16"/>
          <w:szCs w:val="16"/>
          <w:color w:val="276990"/>
        </w:rPr>
      </w:pPr>
      <w:r>
        <w:rPr>
          <w:rFonts w:ascii="Arial" w:cs="Arial" w:eastAsia="Arial" w:hAnsi="Arial"/>
          <w:sz w:val="16"/>
          <w:szCs w:val="16"/>
          <w:b w:val="1"/>
          <w:bCs w:val="1"/>
          <w:color w:val="auto"/>
        </w:rPr>
        <w:t>ON Semiconductor Corporation, December 2020 – Present</w:t>
      </w:r>
    </w:p>
    <w:p>
      <w:pPr>
        <w:ind w:left="325"/>
        <w:spacing w:after="0"/>
        <w:rPr>
          <w:rFonts w:ascii="Arial" w:cs="Arial" w:eastAsia="Arial" w:hAnsi="Arial"/>
          <w:sz w:val="16"/>
          <w:szCs w:val="16"/>
          <w:color w:val="276990"/>
        </w:rPr>
      </w:pPr>
      <w:r>
        <w:rPr>
          <w:rFonts w:ascii="Arial" w:cs="Arial" w:eastAsia="Arial" w:hAnsi="Arial"/>
          <w:sz w:val="16"/>
          <w:szCs w:val="16"/>
          <w:color w:val="auto"/>
        </w:rPr>
        <w:t>— President, Chief Executive Officer and Director</w:t>
      </w:r>
    </w:p>
    <w:p>
      <w:pPr>
        <w:spacing w:after="0" w:line="205" w:lineRule="exact"/>
        <w:rPr>
          <w:rFonts w:ascii="Arial" w:cs="Arial" w:eastAsia="Arial" w:hAnsi="Arial"/>
          <w:sz w:val="16"/>
          <w:szCs w:val="16"/>
          <w:color w:val="276990"/>
        </w:rPr>
      </w:pPr>
    </w:p>
    <w:p>
      <w:pPr>
        <w:ind w:left="245" w:right="280" w:hanging="245"/>
        <w:spacing w:after="0" w:line="221" w:lineRule="auto"/>
        <w:tabs>
          <w:tab w:leader="none" w:pos="145" w:val="left"/>
        </w:tabs>
        <w:numPr>
          <w:ilvl w:val="0"/>
          <w:numId w:val="20"/>
        </w:numPr>
        <w:rPr>
          <w:rFonts w:ascii="Arial" w:cs="Arial" w:eastAsia="Arial" w:hAnsi="Arial"/>
          <w:sz w:val="16"/>
          <w:szCs w:val="16"/>
          <w:color w:val="276990"/>
        </w:rPr>
      </w:pPr>
      <w:r>
        <w:rPr>
          <w:rFonts w:ascii="Arial" w:cs="Arial" w:eastAsia="Arial" w:hAnsi="Arial"/>
          <w:sz w:val="16"/>
          <w:szCs w:val="16"/>
          <w:b w:val="1"/>
          <w:bCs w:val="1"/>
          <w:color w:val="auto"/>
        </w:rPr>
        <w:t xml:space="preserve">Cypress Semiconductor Corporation </w:t>
      </w:r>
      <w:r>
        <w:rPr>
          <w:rFonts w:ascii="Arial" w:cs="Arial" w:eastAsia="Arial" w:hAnsi="Arial"/>
          <w:sz w:val="16"/>
          <w:szCs w:val="16"/>
          <w:color w:val="auto"/>
        </w:rPr>
        <w:t>(acquired by Infineon Technologies AG) (a semiconductor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company)</w:t>
      </w:r>
      <w:r>
        <w:rPr>
          <w:rFonts w:ascii="Arial" w:cs="Arial" w:eastAsia="Arial" w:hAnsi="Arial"/>
          <w:sz w:val="16"/>
          <w:szCs w:val="16"/>
          <w:b w:val="1"/>
          <w:bCs w:val="1"/>
          <w:color w:val="auto"/>
        </w:rPr>
        <w:t>, 2007 – 2020</w:t>
      </w:r>
    </w:p>
    <w:p>
      <w:pPr>
        <w:spacing w:after="0" w:line="1" w:lineRule="exact"/>
        <w:rPr>
          <w:rFonts w:ascii="Arial" w:cs="Arial" w:eastAsia="Arial" w:hAnsi="Arial"/>
          <w:sz w:val="16"/>
          <w:szCs w:val="16"/>
          <w:color w:val="276990"/>
        </w:rPr>
      </w:pP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President, Chief Executive Officer and Director, 2016 – 2020</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Executive Vice President, Programmable Systems Division, 2012 – 2016</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Senior Director of Automotive Business Unit, 2010 – 2012</w:t>
      </w:r>
    </w:p>
    <w:p>
      <w:pPr>
        <w:ind w:left="325"/>
        <w:spacing w:after="0" w:line="211" w:lineRule="auto"/>
        <w:rPr>
          <w:rFonts w:ascii="Arial" w:cs="Arial" w:eastAsia="Arial" w:hAnsi="Arial"/>
          <w:sz w:val="16"/>
          <w:szCs w:val="16"/>
          <w:color w:val="276990"/>
        </w:rPr>
      </w:pPr>
      <w:r>
        <w:rPr>
          <w:rFonts w:ascii="Arial" w:cs="Arial" w:eastAsia="Arial" w:hAnsi="Arial"/>
          <w:sz w:val="16"/>
          <w:szCs w:val="16"/>
          <w:color w:val="auto"/>
        </w:rPr>
        <w:t>— Senior Business Development Manager, 2008 – 2010</w:t>
      </w:r>
    </w:p>
    <w:p>
      <w:pPr>
        <w:ind w:left="325"/>
        <w:spacing w:after="0"/>
        <w:rPr>
          <w:rFonts w:ascii="Arial" w:cs="Arial" w:eastAsia="Arial" w:hAnsi="Arial"/>
          <w:sz w:val="16"/>
          <w:szCs w:val="16"/>
          <w:color w:val="276990"/>
        </w:rPr>
      </w:pPr>
      <w:r>
        <w:rPr>
          <w:rFonts w:ascii="Arial" w:cs="Arial" w:eastAsia="Arial" w:hAnsi="Arial"/>
          <w:sz w:val="16"/>
          <w:szCs w:val="16"/>
          <w:color w:val="auto"/>
        </w:rPr>
        <w:t>— Staff Application Engineer, 2007 – 2008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465E66"/>
        </w:rPr>
        <w:t>Other Board Experience</w:t>
      </w:r>
    </w:p>
    <w:p>
      <w:pPr>
        <w:ind w:left="145" w:hanging="145"/>
        <w:spacing w:after="0"/>
        <w:tabs>
          <w:tab w:leader="none" w:pos="145" w:val="left"/>
        </w:tabs>
        <w:numPr>
          <w:ilvl w:val="0"/>
          <w:numId w:val="21"/>
        </w:numPr>
        <w:rPr>
          <w:rFonts w:ascii="Arial" w:cs="Arial" w:eastAsia="Arial" w:hAnsi="Arial"/>
          <w:sz w:val="16"/>
          <w:szCs w:val="16"/>
          <w:color w:val="276990"/>
        </w:rPr>
      </w:pPr>
      <w:r>
        <w:rPr>
          <w:rFonts w:ascii="Arial" w:cs="Arial" w:eastAsia="Arial" w:hAnsi="Arial"/>
          <w:sz w:val="16"/>
          <w:szCs w:val="16"/>
          <w:b w:val="1"/>
          <w:bCs w:val="1"/>
          <w:color w:val="auto"/>
        </w:rPr>
        <w:t>Leia, Inc.</w:t>
      </w:r>
    </w:p>
    <w:p>
      <w:pPr>
        <w:spacing w:after="0" w:line="205" w:lineRule="exact"/>
        <w:rPr>
          <w:rFonts w:ascii="Arial" w:cs="Arial" w:eastAsia="Arial" w:hAnsi="Arial"/>
          <w:sz w:val="16"/>
          <w:szCs w:val="16"/>
          <w:color w:val="276990"/>
        </w:rPr>
      </w:pPr>
    </w:p>
    <w:p>
      <w:pPr>
        <w:ind w:left="5" w:right="5160" w:hanging="5"/>
        <w:spacing w:after="0" w:line="349" w:lineRule="auto"/>
        <w:tabs>
          <w:tab w:leader="none" w:pos="148" w:val="left"/>
        </w:tabs>
        <w:numPr>
          <w:ilvl w:val="0"/>
          <w:numId w:val="21"/>
        </w:numPr>
        <w:rPr>
          <w:rFonts w:ascii="Arial" w:cs="Arial" w:eastAsia="Arial" w:hAnsi="Arial"/>
          <w:sz w:val="16"/>
          <w:szCs w:val="16"/>
          <w:color w:val="276990"/>
        </w:rPr>
      </w:pPr>
      <w:r>
        <w:rPr>
          <w:rFonts w:ascii="Arial" w:cs="Arial" w:eastAsia="Arial" w:hAnsi="Arial"/>
          <w:sz w:val="16"/>
          <w:szCs w:val="16"/>
          <w:b w:val="1"/>
          <w:bCs w:val="1"/>
          <w:color w:val="auto"/>
        </w:rPr>
        <w:t xml:space="preserve">Sakuú Corporation, 2020 – March 2023 </w:t>
      </w: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468884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8884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95"/>
            <w:col w:w="8265"/>
          </w:cols>
          <w:pgMar w:left="320" w:top="161" w:right="399" w:bottom="1440" w:gutter="0" w:footer="0" w:header="0"/>
          <w:type w:val="continuous"/>
        </w:sectPr>
      </w:pPr>
    </w:p>
    <w:p>
      <w:pPr>
        <w:spacing w:after="0" w:line="358" w:lineRule="exact"/>
        <w:rPr>
          <w:sz w:val="20"/>
          <w:szCs w:val="20"/>
          <w:color w:val="auto"/>
        </w:rPr>
      </w:pPr>
    </w:p>
    <w:p>
      <w:pPr>
        <w:ind w:left="2760" w:right="2460"/>
        <w:spacing w:after="0" w:line="283" w:lineRule="auto"/>
        <w:rPr>
          <w:sz w:val="20"/>
          <w:szCs w:val="20"/>
          <w:color w:val="auto"/>
        </w:rPr>
      </w:pPr>
      <w:r>
        <w:rPr>
          <w:rFonts w:ascii="Arial" w:cs="Arial" w:eastAsia="Arial" w:hAnsi="Arial"/>
          <w:sz w:val="16"/>
          <w:szCs w:val="16"/>
          <w:b w:val="1"/>
          <w:bCs w:val="1"/>
          <w:color w:val="276990"/>
        </w:rPr>
        <w:t xml:space="preserve">■ ■ </w:t>
      </w:r>
      <w:r>
        <w:rPr>
          <w:rFonts w:ascii="Arial" w:cs="Arial" w:eastAsia="Arial" w:hAnsi="Arial"/>
          <w:sz w:val="16"/>
          <w:szCs w:val="16"/>
          <w:color w:val="000000"/>
        </w:rPr>
        <w:t>Experience as chief executive officer of a publicly held semiconductor company</w:t>
      </w:r>
      <w:r>
        <w:rPr>
          <w:rFonts w:ascii="Arial" w:cs="Arial" w:eastAsia="Arial" w:hAnsi="Arial"/>
          <w:sz w:val="16"/>
          <w:szCs w:val="16"/>
          <w:b w:val="1"/>
          <w:bCs w:val="1"/>
          <w:color w:val="276990"/>
        </w:rPr>
        <w:t xml:space="preserve"> </w:t>
      </w:r>
      <w:r>
        <w:rPr>
          <w:rFonts w:ascii="Arial" w:cs="Arial" w:eastAsia="Arial" w:hAnsi="Arial"/>
          <w:sz w:val="16"/>
          <w:szCs w:val="16"/>
          <w:color w:val="276990"/>
        </w:rPr>
        <w:t xml:space="preserve">■ </w:t>
      </w:r>
      <w:r>
        <w:rPr>
          <w:rFonts w:ascii="Arial" w:cs="Arial" w:eastAsia="Arial" w:hAnsi="Arial"/>
          <w:sz w:val="16"/>
          <w:szCs w:val="16"/>
          <w:b w:val="1"/>
          <w:bCs w:val="1"/>
          <w:color w:val="276990"/>
        </w:rPr>
        <w:t>■</w:t>
      </w:r>
      <w:r>
        <w:rPr>
          <w:rFonts w:ascii="Arial" w:cs="Arial" w:eastAsia="Arial" w:hAnsi="Arial"/>
          <w:sz w:val="16"/>
          <w:szCs w:val="16"/>
          <w:color w:val="276990"/>
        </w:rPr>
        <w:t xml:space="preserve"> </w:t>
      </w:r>
      <w:r>
        <w:rPr>
          <w:rFonts w:ascii="Arial" w:cs="Arial" w:eastAsia="Arial" w:hAnsi="Arial"/>
          <w:sz w:val="16"/>
          <w:szCs w:val="16"/>
          <w:color w:val="000000"/>
        </w:rPr>
        <w:t>Extensive experience in the semiconductor and automotive industries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276990"/>
        </w:rPr>
        <w:t xml:space="preserve">■ ■ </w:t>
      </w:r>
      <w:r>
        <w:rPr>
          <w:rFonts w:ascii="Arial" w:cs="Arial" w:eastAsia="Arial" w:hAnsi="Arial"/>
          <w:sz w:val="16"/>
          <w:szCs w:val="16"/>
          <w:color w:val="000000"/>
        </w:rPr>
        <w:t>Significant management and product development experience</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276990"/>
        </w:rPr>
        <w:t>■</w:t>
      </w:r>
      <w:r>
        <w:rPr>
          <w:rFonts w:ascii="Arial" w:cs="Arial" w:eastAsia="Arial" w:hAnsi="Arial"/>
          <w:sz w:val="16"/>
          <w:szCs w:val="16"/>
          <w:color w:val="276990"/>
        </w:rPr>
        <w:t xml:space="preserve"> </w:t>
      </w:r>
      <w:r>
        <w:rPr>
          <w:rFonts w:ascii="Arial" w:cs="Arial" w:eastAsia="Arial" w:hAnsi="Arial"/>
          <w:sz w:val="16"/>
          <w:szCs w:val="16"/>
          <w:color w:val="000000"/>
        </w:rPr>
        <w:t>Significant mergers and acquisitions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09803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7D2E"/>
        </w:rPr>
        <w:t>BRUCE E. KIDDOO</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465E66"/>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-107315</wp:posOffset>
            </wp:positionV>
            <wp:extent cx="1294130" cy="1448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94130" cy="1448435"/>
                    </a:xfrm>
                    <a:prstGeom prst="rect">
                      <a:avLst/>
                    </a:prstGeom>
                    <a:noFill/>
                  </pic:spPr>
                </pic:pic>
              </a:graphicData>
            </a:graphic>
          </wp:anchor>
        </w:drawing>
      </w:r>
    </w:p>
    <w:p>
      <w:pPr>
        <w:spacing w:after="0" w:line="47" w:lineRule="exact"/>
        <w:rPr>
          <w:sz w:val="20"/>
          <w:szCs w:val="20"/>
          <w:color w:val="auto"/>
        </w:rPr>
      </w:pPr>
    </w:p>
    <w:p>
      <w:pPr>
        <w:jc w:val="right"/>
        <w:ind w:right="70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Maxim Integrated Products, Inc.</w:t>
      </w:r>
      <w:r>
        <w:rPr>
          <w:rFonts w:ascii="Arial" w:cs="Arial" w:eastAsia="Arial" w:hAnsi="Arial"/>
          <w:sz w:val="16"/>
          <w:szCs w:val="16"/>
          <w:color w:val="276990"/>
        </w:rPr>
        <w:t xml:space="preserve"> </w:t>
      </w:r>
      <w:r>
        <w:rPr>
          <w:rFonts w:ascii="Arial" w:cs="Arial" w:eastAsia="Arial" w:hAnsi="Arial"/>
          <w:sz w:val="16"/>
          <w:szCs w:val="16"/>
          <w:color w:val="000000"/>
        </w:rPr>
        <w:t>(a semiconductor design and manufacturing company)</w:t>
      </w:r>
      <w:r>
        <w:rPr>
          <w:rFonts w:ascii="Arial" w:cs="Arial" w:eastAsia="Arial" w:hAnsi="Arial"/>
          <w:sz w:val="16"/>
          <w:szCs w:val="16"/>
          <w:b w:val="1"/>
          <w:bCs w:val="1"/>
          <w:color w:val="000000"/>
        </w:rPr>
        <w:t>, 2007 – 2019</w:t>
      </w:r>
    </w:p>
    <w:p>
      <w:pPr>
        <w:ind w:left="3260"/>
        <w:spacing w:after="0"/>
        <w:rPr>
          <w:sz w:val="20"/>
          <w:szCs w:val="20"/>
          <w:color w:val="auto"/>
        </w:rPr>
      </w:pPr>
      <w:r>
        <w:rPr>
          <w:rFonts w:ascii="Arial" w:cs="Arial" w:eastAsia="Arial" w:hAnsi="Arial"/>
          <w:sz w:val="16"/>
          <w:szCs w:val="16"/>
          <w:color w:val="auto"/>
        </w:rPr>
        <w:t>— Chief Financial Officer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896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Broadcom Corporation, 1999 – 2007</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8960" w:type="dxa"/>
            <w:vAlign w:val="bottom"/>
          </w:tcPr>
          <w:p>
            <w:pPr>
              <w:ind w:left="1040"/>
              <w:spacing w:after="0" w:line="162" w:lineRule="exact"/>
              <w:rPr>
                <w:sz w:val="20"/>
                <w:szCs w:val="20"/>
                <w:color w:val="auto"/>
              </w:rPr>
            </w:pPr>
            <w:r>
              <w:rPr>
                <w:rFonts w:ascii="Arial" w:cs="Arial" w:eastAsia="Arial" w:hAnsi="Arial"/>
                <w:sz w:val="16"/>
                <w:szCs w:val="16"/>
                <w:color w:val="auto"/>
              </w:rPr>
              <w:t>— Vice President and Acting Chief Financial Officer, 2006 – 2007</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8960" w:type="dxa"/>
            <w:vAlign w:val="bottom"/>
          </w:tcPr>
          <w:p>
            <w:pPr>
              <w:ind w:left="1040"/>
              <w:spacing w:after="0" w:line="162" w:lineRule="exact"/>
              <w:rPr>
                <w:sz w:val="20"/>
                <w:szCs w:val="20"/>
                <w:color w:val="auto"/>
              </w:rPr>
            </w:pPr>
            <w:r>
              <w:rPr>
                <w:rFonts w:ascii="Arial" w:cs="Arial" w:eastAsia="Arial" w:hAnsi="Arial"/>
                <w:sz w:val="16"/>
                <w:szCs w:val="16"/>
                <w:color w:val="auto"/>
              </w:rPr>
              <w:t>— Vice President, Finance and Corporate Controller</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960" w:type="dxa"/>
            <w:vAlign w:val="bottom"/>
          </w:tcPr>
          <w:p>
            <w:pPr>
              <w:ind w:left="1040"/>
              <w:spacing w:after="0"/>
              <w:rPr>
                <w:sz w:val="20"/>
                <w:szCs w:val="20"/>
                <w:color w:val="auto"/>
              </w:rPr>
            </w:pPr>
            <w:r>
              <w:rPr>
                <w:rFonts w:ascii="Arial" w:cs="Arial" w:eastAsia="Arial" w:hAnsi="Arial"/>
                <w:sz w:val="16"/>
                <w:szCs w:val="16"/>
                <w:color w:val="auto"/>
              </w:rPr>
              <w:t>— Controller, Broadband Communications</w:t>
            </w:r>
          </w:p>
        </w:tc>
        <w:tc>
          <w:tcPr>
            <w:tcW w:w="0" w:type="dxa"/>
            <w:vAlign w:val="bottom"/>
          </w:tcPr>
          <w:p>
            <w:pPr>
              <w:spacing w:after="0"/>
              <w:rPr>
                <w:sz w:val="1"/>
                <w:szCs w:val="1"/>
                <w:color w:val="auto"/>
              </w:rPr>
            </w:pPr>
          </w:p>
        </w:tc>
      </w:tr>
      <w:tr>
        <w:trPr>
          <w:trHeight w:val="838"/>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465E66"/>
              </w:rPr>
              <w:t>Age 63</w:t>
            </w:r>
          </w:p>
        </w:tc>
        <w:tc>
          <w:tcPr>
            <w:tcW w:w="8960" w:type="dxa"/>
            <w:vAlign w:val="bottom"/>
          </w:tcPr>
          <w:p>
            <w:pPr>
              <w:ind w:left="720"/>
              <w:spacing w:after="0"/>
              <w:rPr>
                <w:sz w:val="20"/>
                <w:szCs w:val="20"/>
                <w:color w:val="auto"/>
              </w:rPr>
            </w:pPr>
            <w:r>
              <w:rPr>
                <w:rFonts w:ascii="Arial" w:cs="Arial" w:eastAsia="Arial" w:hAnsi="Arial"/>
                <w:sz w:val="16"/>
                <w:szCs w:val="16"/>
                <w:b w:val="1"/>
                <w:bCs w:val="1"/>
                <w:color w:val="465E66"/>
              </w:rPr>
              <w:t>Other Board Experience</w:t>
            </w:r>
          </w:p>
        </w:tc>
        <w:tc>
          <w:tcPr>
            <w:tcW w:w="0" w:type="dxa"/>
            <w:vAlign w:val="bottom"/>
          </w:tcPr>
          <w:p>
            <w:pPr>
              <w:spacing w:after="0"/>
              <w:rPr>
                <w:sz w:val="1"/>
                <w:szCs w:val="1"/>
                <w:color w:val="auto"/>
              </w:rPr>
            </w:pPr>
          </w:p>
        </w:tc>
      </w:tr>
      <w:tr>
        <w:trPr>
          <w:trHeight w:val="215"/>
        </w:trPr>
        <w:tc>
          <w:tcPr>
            <w:tcW w:w="2220" w:type="dxa"/>
            <w:vAlign w:val="bottom"/>
            <w:vMerge w:val="continue"/>
          </w:tcPr>
          <w:p>
            <w:pPr>
              <w:spacing w:after="0"/>
              <w:rPr>
                <w:sz w:val="18"/>
                <w:szCs w:val="18"/>
                <w:color w:val="auto"/>
              </w:rPr>
            </w:pPr>
          </w:p>
        </w:tc>
        <w:tc>
          <w:tcPr>
            <w:tcW w:w="896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b w:val="1"/>
                <w:bCs w:val="1"/>
                <w:color w:val="000000"/>
              </w:rPr>
              <w:t>San Onofre Parks Foundation</w:t>
            </w:r>
          </w:p>
        </w:tc>
        <w:tc>
          <w:tcPr>
            <w:tcW w:w="0" w:type="dxa"/>
            <w:vAlign w:val="bottom"/>
          </w:tcPr>
          <w:p>
            <w:pPr>
              <w:spacing w:after="0"/>
              <w:rPr>
                <w:sz w:val="1"/>
                <w:szCs w:val="1"/>
                <w:color w:val="auto"/>
              </w:rPr>
            </w:pPr>
          </w:p>
        </w:tc>
      </w:tr>
      <w:tr>
        <w:trPr>
          <w:trHeight w:val="236"/>
        </w:trPr>
        <w:tc>
          <w:tcPr>
            <w:tcW w:w="2220" w:type="dxa"/>
            <w:vAlign w:val="bottom"/>
          </w:tcPr>
          <w:p>
            <w:pPr>
              <w:ind w:left="20"/>
              <w:spacing w:after="0"/>
              <w:rPr>
                <w:sz w:val="20"/>
                <w:szCs w:val="20"/>
                <w:color w:val="auto"/>
              </w:rPr>
            </w:pPr>
            <w:r>
              <w:rPr>
                <w:rFonts w:ascii="Arial" w:cs="Arial" w:eastAsia="Arial" w:hAnsi="Arial"/>
                <w:sz w:val="16"/>
                <w:szCs w:val="16"/>
                <w:b w:val="1"/>
                <w:bCs w:val="1"/>
                <w:color w:val="465E66"/>
              </w:rPr>
              <w:t>Director since 2020</w:t>
            </w:r>
          </w:p>
        </w:tc>
        <w:tc>
          <w:tcPr>
            <w:tcW w:w="8960" w:type="dxa"/>
            <w:vAlign w:val="bottom"/>
          </w:tcPr>
          <w:p>
            <w:pPr>
              <w:ind w:left="720"/>
              <w:spacing w:after="0"/>
              <w:rPr>
                <w:sz w:val="20"/>
                <w:szCs w:val="20"/>
                <w:color w:val="auto"/>
              </w:rPr>
            </w:pPr>
            <w:r>
              <w:rPr>
                <w:rFonts w:ascii="Arial" w:cs="Arial" w:eastAsia="Arial" w:hAnsi="Arial"/>
                <w:sz w:val="16"/>
                <w:szCs w:val="16"/>
                <w:b w:val="1"/>
                <w:bCs w:val="1"/>
                <w:color w:val="465E66"/>
              </w:rPr>
              <w:t>Relevant Skills and Qualifications</w:t>
            </w:r>
          </w:p>
        </w:tc>
        <w:tc>
          <w:tcPr>
            <w:tcW w:w="0" w:type="dxa"/>
            <w:vAlign w:val="bottom"/>
          </w:tcPr>
          <w:p>
            <w:pPr>
              <w:spacing w:after="0"/>
              <w:rPr>
                <w:sz w:val="1"/>
                <w:szCs w:val="1"/>
                <w:color w:val="auto"/>
              </w:rPr>
            </w:pPr>
          </w:p>
        </w:tc>
      </w:tr>
      <w:tr>
        <w:trPr>
          <w:trHeight w:val="844"/>
        </w:trPr>
        <w:tc>
          <w:tcPr>
            <w:tcW w:w="2220" w:type="dxa"/>
            <w:vAlign w:val="bottom"/>
          </w:tcPr>
          <w:p>
            <w:pPr>
              <w:spacing w:after="0"/>
              <w:rPr>
                <w:sz w:val="24"/>
                <w:szCs w:val="24"/>
                <w:color w:val="auto"/>
              </w:rPr>
            </w:pPr>
          </w:p>
        </w:tc>
        <w:tc>
          <w:tcPr>
            <w:tcW w:w="8960" w:type="dxa"/>
            <w:vAlign w:val="bottom"/>
          </w:tcPr>
          <w:p>
            <w:pPr>
              <w:ind w:left="720"/>
              <w:spacing w:after="0"/>
              <w:rPr>
                <w:sz w:val="20"/>
                <w:szCs w:val="20"/>
                <w:color w:val="auto"/>
              </w:rPr>
            </w:pPr>
            <w:r>
              <w:rPr>
                <w:rFonts w:ascii="Arial" w:cs="Arial" w:eastAsia="Arial" w:hAnsi="Arial"/>
                <w:sz w:val="16"/>
                <w:szCs w:val="16"/>
                <w:b w:val="1"/>
                <w:bCs w:val="1"/>
                <w:color w:val="276990"/>
              </w:rPr>
              <w:t xml:space="preserve">■ </w:t>
            </w:r>
            <w:r>
              <w:rPr>
                <w:rFonts w:ascii="Arial" w:cs="Arial" w:eastAsia="Arial" w:hAnsi="Arial"/>
                <w:sz w:val="16"/>
                <w:szCs w:val="16"/>
                <w:color w:val="000000"/>
              </w:rPr>
              <w:t>Extensive experience in the semiconductor industry and with mergers and acquisitions</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96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Experience as chief financial officer of a publicly held semiconductor company</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8960" w:type="dxa"/>
            <w:vAlign w:val="bottom"/>
          </w:tcPr>
          <w:p>
            <w:pPr>
              <w:ind w:left="720"/>
              <w:spacing w:after="0"/>
              <w:rPr>
                <w:sz w:val="20"/>
                <w:szCs w:val="20"/>
                <w:color w:val="auto"/>
              </w:rPr>
            </w:pPr>
            <w:r>
              <w:rPr>
                <w:rFonts w:ascii="Arial" w:cs="Arial" w:eastAsia="Arial" w:hAnsi="Arial"/>
                <w:sz w:val="16"/>
                <w:szCs w:val="16"/>
                <w:color w:val="276990"/>
              </w:rPr>
              <w:t xml:space="preserve">■ </w:t>
            </w:r>
            <w:r>
              <w:rPr>
                <w:rFonts w:ascii="Arial" w:cs="Arial" w:eastAsia="Arial" w:hAnsi="Arial"/>
                <w:sz w:val="16"/>
                <w:szCs w:val="16"/>
                <w:color w:val="000000"/>
              </w:rPr>
              <w:t>Significant management experience and relevant knowledge of financial statement preparation and regulatory</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8960" w:type="dxa"/>
            <w:vAlign w:val="bottom"/>
          </w:tcPr>
          <w:p>
            <w:pPr>
              <w:ind w:left="880"/>
              <w:spacing w:after="0"/>
              <w:rPr>
                <w:sz w:val="20"/>
                <w:szCs w:val="20"/>
                <w:color w:val="auto"/>
              </w:rPr>
            </w:pPr>
            <w:r>
              <w:rPr>
                <w:rFonts w:ascii="Arial" w:cs="Arial" w:eastAsia="Arial" w:hAnsi="Arial"/>
                <w:sz w:val="16"/>
                <w:szCs w:val="16"/>
                <w:color w:val="auto"/>
              </w:rPr>
              <w:t>compliance</w:t>
            </w:r>
          </w:p>
        </w:tc>
        <w:tc>
          <w:tcPr>
            <w:tcW w:w="0" w:type="dxa"/>
            <w:vAlign w:val="bottom"/>
          </w:tcPr>
          <w:p>
            <w:pPr>
              <w:spacing w:after="0"/>
              <w:rPr>
                <w:sz w:val="1"/>
                <w:szCs w:val="1"/>
                <w:color w:val="auto"/>
              </w:rPr>
            </w:pPr>
          </w:p>
        </w:tc>
      </w:tr>
      <w:tr>
        <w:trPr>
          <w:trHeight w:val="96"/>
        </w:trPr>
        <w:tc>
          <w:tcPr>
            <w:tcW w:w="22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20" w:type="dxa"/>
            <w:vAlign w:val="bottom"/>
            <w:shd w:val="clear" w:color="auto" w:fill="465E66"/>
          </w:tcPr>
          <w:p>
            <w:pPr>
              <w:spacing w:after="0"/>
              <w:rPr>
                <w:sz w:val="8"/>
                <w:szCs w:val="8"/>
                <w:color w:val="auto"/>
              </w:rPr>
            </w:pPr>
          </w:p>
        </w:tc>
        <w:tc>
          <w:tcPr>
            <w:tcW w:w="8960" w:type="dxa"/>
            <w:vAlign w:val="bottom"/>
            <w:shd w:val="clear" w:color="auto" w:fill="465E66"/>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-1028065</wp:posOffset>
            </wp:positionV>
            <wp:extent cx="377190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71900" cy="3003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E97D2E"/>
        </w:rPr>
      </w:pPr>
      <w:r>
        <w:rPr>
          <w:rFonts w:ascii="Arial" w:cs="Arial" w:eastAsia="Arial" w:hAnsi="Arial"/>
          <w:sz w:val="18"/>
          <w:szCs w:val="18"/>
          <w:color w:val="E97D2E"/>
        </w:rPr>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1" w:right="399" w:bottom="1440" w:gutter="0" w:footer="0" w:header="0"/>
          <w:type w:val="continuous"/>
        </w:sectPr>
      </w:pPr>
    </w:p>
    <w:bookmarkStart w:id="13" w:name="page14"/>
    <w:bookmarkEnd w:id="13"/>
    <w:p>
      <w:pPr>
        <w:jc w:val="right"/>
        <w:ind w:right="20"/>
        <w:spacing w:after="0"/>
        <w:rPr>
          <w:sz w:val="20"/>
          <w:szCs w:val="20"/>
          <w:color w:val="auto"/>
        </w:rPr>
      </w:pPr>
      <w:r>
        <w:rPr>
          <w:rFonts w:ascii="Arial" w:cs="Arial" w:eastAsia="Arial" w:hAnsi="Arial"/>
          <w:sz w:val="18"/>
          <w:szCs w:val="18"/>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09803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E97D2E"/>
        </w:rPr>
        <w:t>CHRISTINA LAMPE-ÖNNERUD</w:t>
      </w:r>
    </w:p>
    <w:p>
      <w:pPr>
        <w:sectPr>
          <w:pgSz w:w="11900" w:h="16838" w:orient="portrait"/>
          <w:cols w:equalWidth="0" w:num="1">
            <w:col w:w="11220"/>
          </w:cols>
          <w:pgMar w:left="34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-2387600</wp:posOffset>
            </wp:positionV>
            <wp:extent cx="1474470" cy="2219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4470" cy="22199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Director since 2023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Public Company Boards:</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Arcadium Lithium plc</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86" w:lineRule="exact"/>
        <w:rPr>
          <w:sz w:val="20"/>
          <w:szCs w:val="20"/>
          <w:color w:val="auto"/>
        </w:rPr>
      </w:pPr>
    </w:p>
    <w:p>
      <w:pPr>
        <w:ind w:left="160" w:right="480" w:hanging="158"/>
        <w:spacing w:after="0" w:line="283" w:lineRule="auto"/>
        <w:tabs>
          <w:tab w:leader="none" w:pos="141" w:val="left"/>
        </w:tabs>
        <w:numPr>
          <w:ilvl w:val="0"/>
          <w:numId w:val="23"/>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Cadenza Innovation, Inc. </w:t>
      </w:r>
      <w:r>
        <w:rPr>
          <w:rFonts w:ascii="Arial" w:cs="Arial" w:eastAsia="Arial" w:hAnsi="Arial"/>
          <w:sz w:val="16"/>
          <w:szCs w:val="16"/>
          <w:color w:val="auto"/>
        </w:rPr>
        <w:t>(a developer and designer of lithium-ion battery batteries and storage solutions)</w:t>
      </w:r>
      <w:r>
        <w:rPr>
          <w:rFonts w:ascii="Arial" w:cs="Arial" w:eastAsia="Arial" w:hAnsi="Arial"/>
          <w:sz w:val="16"/>
          <w:szCs w:val="16"/>
          <w:b w:val="1"/>
          <w:bCs w:val="1"/>
          <w:color w:val="auto"/>
        </w:rPr>
        <w:t>, 2012 – Present</w:t>
      </w: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Founder, Chief Executive Officer and Director</w:t>
      </w:r>
    </w:p>
    <w:p>
      <w:pPr>
        <w:spacing w:after="0" w:line="259"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3"/>
        </w:numPr>
        <w:rPr>
          <w:rFonts w:ascii="Arial" w:cs="Arial" w:eastAsia="Arial" w:hAnsi="Arial"/>
          <w:sz w:val="16"/>
          <w:szCs w:val="16"/>
          <w:b w:val="1"/>
          <w:bCs w:val="1"/>
          <w:color w:val="276990"/>
        </w:rPr>
      </w:pPr>
      <w:r>
        <w:rPr>
          <w:rFonts w:ascii="Arial" w:cs="Arial" w:eastAsia="Arial" w:hAnsi="Arial"/>
          <w:sz w:val="16"/>
          <w:szCs w:val="16"/>
          <w:b w:val="1"/>
          <w:bCs w:val="1"/>
          <w:color w:val="auto"/>
        </w:rPr>
        <w:t>Boston-Power, Inc., 2004 – 2012</w:t>
      </w:r>
    </w:p>
    <w:p>
      <w:pPr>
        <w:spacing w:after="0" w:line="34" w:lineRule="exact"/>
        <w:rPr>
          <w:rFonts w:ascii="Arial" w:cs="Arial" w:eastAsia="Arial" w:hAnsi="Arial"/>
          <w:sz w:val="16"/>
          <w:szCs w:val="16"/>
          <w:b w:val="1"/>
          <w:bCs w:val="1"/>
          <w:color w:val="276990"/>
        </w:rPr>
      </w:pP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Founder and Chairman, 2004 – 2012</w:t>
      </w:r>
    </w:p>
    <w:p>
      <w:pPr>
        <w:spacing w:after="0" w:line="16" w:lineRule="exact"/>
        <w:rPr>
          <w:rFonts w:ascii="Arial" w:cs="Arial" w:eastAsia="Arial" w:hAnsi="Arial"/>
          <w:sz w:val="16"/>
          <w:szCs w:val="16"/>
          <w:b w:val="1"/>
          <w:bCs w:val="1"/>
          <w:color w:val="276990"/>
        </w:rPr>
      </w:pPr>
    </w:p>
    <w:p>
      <w:pPr>
        <w:ind w:left="240"/>
        <w:spacing w:after="0"/>
        <w:rPr>
          <w:rFonts w:ascii="Arial" w:cs="Arial" w:eastAsia="Arial" w:hAnsi="Arial"/>
          <w:sz w:val="16"/>
          <w:szCs w:val="16"/>
          <w:b w:val="1"/>
          <w:bCs w:val="1"/>
          <w:color w:val="276990"/>
        </w:rPr>
      </w:pPr>
      <w:r>
        <w:rPr>
          <w:rFonts w:ascii="Arial" w:cs="Arial" w:eastAsia="Arial" w:hAnsi="Arial"/>
          <w:sz w:val="16"/>
          <w:szCs w:val="16"/>
          <w:color w:val="auto"/>
        </w:rPr>
        <w:t>— Chief Executive Officer, 2004 – 2011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spacing w:after="0" w:line="35" w:lineRule="exact"/>
        <w:rPr>
          <w:sz w:val="20"/>
          <w:szCs w:val="20"/>
          <w:color w:val="auto"/>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MIT Corporation Visiting Committee for Department of Chemistry</w:t>
      </w:r>
    </w:p>
    <w:p>
      <w:pPr>
        <w:spacing w:after="0" w:line="259"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NYBEST – New York Battery and Energy Storage Technology Consortium, 2016 – 2024</w:t>
      </w:r>
    </w:p>
    <w:p>
      <w:pPr>
        <w:spacing w:after="0" w:line="26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Future Battery Industry Collaborative Research Center, 2019 – 2022</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FuelCell Energy, Inc., 2018 – 2019</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4"/>
        </w:numPr>
        <w:rPr>
          <w:rFonts w:ascii="Arial" w:cs="Arial" w:eastAsia="Arial" w:hAnsi="Arial"/>
          <w:sz w:val="16"/>
          <w:szCs w:val="16"/>
          <w:b w:val="1"/>
          <w:bCs w:val="1"/>
          <w:color w:val="276990"/>
        </w:rPr>
      </w:pPr>
      <w:r>
        <w:rPr>
          <w:rFonts w:ascii="Arial" w:cs="Arial" w:eastAsia="Arial" w:hAnsi="Arial"/>
          <w:sz w:val="16"/>
          <w:szCs w:val="16"/>
          <w:b w:val="1"/>
          <w:bCs w:val="1"/>
          <w:color w:val="auto"/>
        </w:rPr>
        <w:t>Syrah Resources Ltd, 2016 –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55245</wp:posOffset>
            </wp:positionV>
            <wp:extent cx="184277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427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hanging="138"/>
        <w:spacing w:after="0"/>
        <w:tabs>
          <w:tab w:leader="none" w:pos="140" w:val="left"/>
        </w:tabs>
        <w:numPr>
          <w:ilvl w:val="0"/>
          <w:numId w:val="25"/>
        </w:numPr>
        <w:rPr>
          <w:rFonts w:ascii="Arial" w:cs="Arial" w:eastAsia="Arial" w:hAnsi="Arial"/>
          <w:sz w:val="16"/>
          <w:szCs w:val="16"/>
          <w:b w:val="1"/>
          <w:bCs w:val="1"/>
          <w:color w:val="276990"/>
        </w:rPr>
      </w:pPr>
      <w:r>
        <w:rPr>
          <w:rFonts w:ascii="Arial" w:cs="Arial" w:eastAsia="Arial" w:hAnsi="Arial"/>
          <w:sz w:val="16"/>
          <w:szCs w:val="16"/>
          <w:color w:val="auto"/>
        </w:rPr>
        <w:t>Leadership in Lithium-ion battery technology and energy storage innovation</w:t>
      </w:r>
    </w:p>
    <w:p>
      <w:pPr>
        <w:spacing w:after="0" w:line="38"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5"/>
        </w:numPr>
        <w:rPr>
          <w:rFonts w:ascii="Arial" w:cs="Arial" w:eastAsia="Arial" w:hAnsi="Arial"/>
          <w:sz w:val="16"/>
          <w:szCs w:val="16"/>
          <w:b w:val="1"/>
          <w:bCs w:val="1"/>
          <w:color w:val="276990"/>
        </w:rPr>
      </w:pPr>
      <w:r>
        <w:rPr>
          <w:rFonts w:ascii="Arial" w:cs="Arial" w:eastAsia="Arial" w:hAnsi="Arial"/>
          <w:sz w:val="16"/>
          <w:szCs w:val="16"/>
          <w:color w:val="auto"/>
        </w:rPr>
        <w:t>Significant advisory experience in the battery industry and energy and economic forums</w:t>
      </w:r>
    </w:p>
    <w:p>
      <w:pPr>
        <w:spacing w:after="0" w:line="27" w:lineRule="exact"/>
        <w:rPr>
          <w:rFonts w:ascii="Arial" w:cs="Arial" w:eastAsia="Arial" w:hAnsi="Arial"/>
          <w:sz w:val="16"/>
          <w:szCs w:val="16"/>
          <w:b w:val="1"/>
          <w:bCs w:val="1"/>
          <w:color w:val="276990"/>
        </w:rPr>
      </w:pPr>
    </w:p>
    <w:p>
      <w:pPr>
        <w:ind w:left="140" w:hanging="138"/>
        <w:spacing w:after="0"/>
        <w:tabs>
          <w:tab w:leader="none" w:pos="140" w:val="left"/>
        </w:tabs>
        <w:numPr>
          <w:ilvl w:val="0"/>
          <w:numId w:val="25"/>
        </w:numPr>
        <w:rPr>
          <w:rFonts w:ascii="Arial" w:cs="Arial" w:eastAsia="Arial" w:hAnsi="Arial"/>
          <w:sz w:val="16"/>
          <w:szCs w:val="16"/>
          <w:b w:val="1"/>
          <w:bCs w:val="1"/>
          <w:color w:val="276990"/>
        </w:rPr>
      </w:pPr>
      <w:r>
        <w:rPr>
          <w:rFonts w:ascii="Arial" w:cs="Arial" w:eastAsia="Arial" w:hAnsi="Arial"/>
          <w:sz w:val="16"/>
          <w:szCs w:val="16"/>
          <w:color w:val="auto"/>
        </w:rPr>
        <w:t>Experience as a chief executive officer and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36195</wp:posOffset>
            </wp:positionV>
            <wp:extent cx="7098030" cy="60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6032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400" w:space="520"/>
            <w:col w:w="8300"/>
          </w:cols>
          <w:pgMar w:left="340" w:top="161"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E97D2E"/>
        </w:rPr>
        <w:t>PAUL A. MASCARENAS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57785</wp:posOffset>
            </wp:positionV>
            <wp:extent cx="1311275" cy="1808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1275" cy="1808480"/>
                    </a:xfrm>
                    <a:prstGeom prst="rect">
                      <a:avLst/>
                    </a:prstGeom>
                    <a:noFill/>
                  </pic:spPr>
                </pic:pic>
              </a:graphicData>
            </a:graphic>
          </wp:anchor>
        </w:drawing>
      </w:r>
    </w:p>
    <w:p>
      <w:pPr>
        <w:spacing w:after="0" w:line="84"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465E66"/>
        </w:rPr>
        <w:t>Career Highlights</w:t>
      </w:r>
    </w:p>
    <w:p>
      <w:pPr>
        <w:spacing w:after="0" w:line="79" w:lineRule="exact"/>
        <w:rPr>
          <w:sz w:val="20"/>
          <w:szCs w:val="20"/>
          <w:color w:val="auto"/>
        </w:rPr>
      </w:pPr>
    </w:p>
    <w:p>
      <w:pPr>
        <w:ind w:left="3100" w:hanging="178"/>
        <w:spacing w:after="0"/>
        <w:tabs>
          <w:tab w:leader="none" w:pos="3100" w:val="left"/>
        </w:tabs>
        <w:numPr>
          <w:ilvl w:val="0"/>
          <w:numId w:val="26"/>
        </w:numPr>
        <w:rPr>
          <w:rFonts w:ascii="Arial" w:cs="Arial" w:eastAsia="Arial" w:hAnsi="Arial"/>
          <w:sz w:val="20"/>
          <w:szCs w:val="20"/>
          <w:b w:val="1"/>
          <w:bCs w:val="1"/>
          <w:color w:val="276990"/>
        </w:rPr>
      </w:pPr>
      <w:r>
        <w:rPr>
          <w:rFonts w:ascii="Arial" w:cs="Arial" w:eastAsia="Arial" w:hAnsi="Arial"/>
          <w:sz w:val="16"/>
          <w:szCs w:val="16"/>
          <w:b w:val="1"/>
          <w:bCs w:val="1"/>
          <w:color w:val="auto"/>
        </w:rPr>
        <w:t>Ford Motor Company, 1982 – 2014</w:t>
      </w:r>
    </w:p>
    <w:p>
      <w:pPr>
        <w:spacing w:after="0" w:line="9" w:lineRule="exact"/>
        <w:rPr>
          <w:rFonts w:ascii="Arial" w:cs="Arial" w:eastAsia="Arial" w:hAnsi="Arial"/>
          <w:sz w:val="20"/>
          <w:szCs w:val="20"/>
          <w:b w:val="1"/>
          <w:bCs w:val="1"/>
          <w:color w:val="276990"/>
        </w:rPr>
      </w:pPr>
    </w:p>
    <w:p>
      <w:pPr>
        <w:ind w:left="3400" w:right="2040" w:hanging="243"/>
        <w:spacing w:after="0" w:line="246" w:lineRule="auto"/>
        <w:rPr>
          <w:rFonts w:ascii="Arial" w:cs="Arial" w:eastAsia="Arial" w:hAnsi="Arial"/>
          <w:sz w:val="20"/>
          <w:szCs w:val="20"/>
          <w:b w:val="1"/>
          <w:bCs w:val="1"/>
          <w:color w:val="276990"/>
        </w:rPr>
      </w:pPr>
      <w:r>
        <w:rPr>
          <w:rFonts w:ascii="Arial" w:cs="Arial" w:eastAsia="Arial" w:hAnsi="Arial"/>
          <w:sz w:val="16"/>
          <w:szCs w:val="16"/>
          <w:color w:val="auto"/>
        </w:rPr>
        <w:t>— Vice President of Research &amp; Advanced Engineering and Chief Technical Officer, 2011 – 2014</w:t>
      </w:r>
    </w:p>
    <w:p>
      <w:pPr>
        <w:ind w:left="3160"/>
        <w:spacing w:after="0"/>
        <w:rPr>
          <w:rFonts w:ascii="Arial" w:cs="Arial" w:eastAsia="Arial" w:hAnsi="Arial"/>
          <w:sz w:val="20"/>
          <w:szCs w:val="20"/>
          <w:b w:val="1"/>
          <w:bCs w:val="1"/>
          <w:color w:val="276990"/>
        </w:rPr>
      </w:pPr>
      <w:r>
        <w:rPr>
          <w:rFonts w:ascii="Arial" w:cs="Arial" w:eastAsia="Arial" w:hAnsi="Arial"/>
          <w:sz w:val="16"/>
          <w:szCs w:val="16"/>
          <w:color w:val="auto"/>
        </w:rPr>
        <w:t>— Vice President of Engineering, 2007 – 2011</w:t>
      </w:r>
    </w:p>
    <w:p>
      <w:pPr>
        <w:spacing w:after="0" w:line="14" w:lineRule="exact"/>
        <w:rPr>
          <w:rFonts w:ascii="Arial" w:cs="Arial" w:eastAsia="Arial" w:hAnsi="Arial"/>
          <w:sz w:val="20"/>
          <w:szCs w:val="20"/>
          <w:b w:val="1"/>
          <w:bCs w:val="1"/>
          <w:color w:val="276990"/>
        </w:rPr>
      </w:pPr>
    </w:p>
    <w:p>
      <w:pPr>
        <w:ind w:left="3160"/>
        <w:spacing w:after="0"/>
        <w:rPr>
          <w:rFonts w:ascii="Arial" w:cs="Arial" w:eastAsia="Arial" w:hAnsi="Arial"/>
          <w:sz w:val="20"/>
          <w:szCs w:val="20"/>
          <w:b w:val="1"/>
          <w:bCs w:val="1"/>
          <w:color w:val="276990"/>
        </w:rPr>
      </w:pPr>
      <w:r>
        <w:rPr>
          <w:rFonts w:ascii="Arial" w:cs="Arial" w:eastAsia="Arial" w:hAnsi="Arial"/>
          <w:sz w:val="16"/>
          <w:szCs w:val="16"/>
          <w:color w:val="auto"/>
        </w:rPr>
        <w:t>— Vice President, North American Vehicle Programs, 2005 – 2007</w:t>
      </w:r>
    </w:p>
    <w:p>
      <w:pPr>
        <w:spacing w:after="0" w:line="8" w:lineRule="exact"/>
        <w:rPr>
          <w:rFonts w:ascii="Arial" w:cs="Arial" w:eastAsia="Arial" w:hAnsi="Arial"/>
          <w:sz w:val="20"/>
          <w:szCs w:val="20"/>
          <w:b w:val="1"/>
          <w:bCs w:val="1"/>
          <w:color w:val="276990"/>
        </w:rPr>
      </w:pPr>
    </w:p>
    <w:p>
      <w:pPr>
        <w:ind w:left="3400" w:right="2220" w:hanging="243"/>
        <w:spacing w:after="0" w:line="283" w:lineRule="auto"/>
        <w:rPr>
          <w:rFonts w:ascii="Arial" w:cs="Arial" w:eastAsia="Arial" w:hAnsi="Arial"/>
          <w:sz w:val="20"/>
          <w:szCs w:val="20"/>
          <w:b w:val="1"/>
          <w:bCs w:val="1"/>
          <w:color w:val="276990"/>
        </w:rPr>
      </w:pPr>
      <w:r>
        <w:rPr>
          <w:rFonts w:ascii="Arial" w:cs="Arial" w:eastAsia="Arial" w:hAnsi="Arial"/>
          <w:sz w:val="16"/>
          <w:szCs w:val="16"/>
          <w:color w:val="auto"/>
        </w:rPr>
        <w:t>— Various positions in product development, program management and business leadership, 1982 – 2005</w:t>
      </w:r>
    </w:p>
    <w:p>
      <w:pPr>
        <w:sectPr>
          <w:pgSz w:w="11900" w:h="16838" w:orient="portrait"/>
          <w:cols w:equalWidth="0" w:num="1">
            <w:col w:w="11220"/>
          </w:cols>
          <w:pgMar w:left="34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Age 62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Director since 2014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Public Company Boards:</w:t>
      </w:r>
    </w:p>
    <w:p>
      <w:pPr>
        <w:spacing w:after="0" w:line="19" w:lineRule="exact"/>
        <w:rPr>
          <w:sz w:val="20"/>
          <w:szCs w:val="20"/>
          <w:color w:val="auto"/>
        </w:rPr>
      </w:pPr>
    </w:p>
    <w:p>
      <w:pPr>
        <w:ind w:left="400" w:hanging="151"/>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Shyft Group</w:t>
      </w:r>
    </w:p>
    <w:p>
      <w:pPr>
        <w:spacing w:after="0" w:line="5" w:lineRule="exact"/>
        <w:rPr>
          <w:rFonts w:ascii="Arial" w:cs="Arial" w:eastAsia="Arial" w:hAnsi="Arial"/>
          <w:sz w:val="16"/>
          <w:szCs w:val="16"/>
          <w:color w:val="auto"/>
        </w:rPr>
      </w:pPr>
    </w:p>
    <w:p>
      <w:pPr>
        <w:ind w:left="400" w:hanging="151"/>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United States Steel Corporation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465E66"/>
        </w:rPr>
        <w:t>Other Board Experience</w:t>
      </w:r>
    </w:p>
    <w:p>
      <w:pPr>
        <w:spacing w:after="0" w:line="42" w:lineRule="exact"/>
        <w:rPr>
          <w:sz w:val="20"/>
          <w:szCs w:val="20"/>
          <w:color w:val="auto"/>
        </w:rPr>
      </w:pPr>
    </w:p>
    <w:p>
      <w:pPr>
        <w:ind w:left="180" w:hanging="178"/>
        <w:spacing w:after="0"/>
        <w:tabs>
          <w:tab w:leader="none" w:pos="180" w:val="left"/>
        </w:tabs>
        <w:numPr>
          <w:ilvl w:val="0"/>
          <w:numId w:val="28"/>
        </w:numPr>
        <w:rPr>
          <w:rFonts w:ascii="Arial" w:cs="Arial" w:eastAsia="Arial" w:hAnsi="Arial"/>
          <w:sz w:val="20"/>
          <w:szCs w:val="20"/>
          <w:b w:val="1"/>
          <w:bCs w:val="1"/>
          <w:color w:val="276990"/>
        </w:rPr>
      </w:pPr>
      <w:r>
        <w:rPr>
          <w:rFonts w:ascii="Arial" w:cs="Arial" w:eastAsia="Arial" w:hAnsi="Arial"/>
          <w:sz w:val="16"/>
          <w:szCs w:val="16"/>
          <w:b w:val="1"/>
          <w:bCs w:val="1"/>
          <w:color w:val="auto"/>
        </w:rPr>
        <w:t>BorgWarner, Inc., 2018 – 2022</w:t>
      </w:r>
    </w:p>
    <w:p>
      <w:pPr>
        <w:spacing w:after="0" w:line="242" w:lineRule="exact"/>
        <w:rPr>
          <w:rFonts w:ascii="Arial" w:cs="Arial" w:eastAsia="Arial" w:hAnsi="Arial"/>
          <w:sz w:val="20"/>
          <w:szCs w:val="20"/>
          <w:b w:val="1"/>
          <w:bCs w:val="1"/>
          <w:color w:val="276990"/>
        </w:rPr>
      </w:pPr>
    </w:p>
    <w:p>
      <w:pPr>
        <w:ind w:left="180" w:hanging="178"/>
        <w:spacing w:after="0"/>
        <w:tabs>
          <w:tab w:leader="none" w:pos="180" w:val="left"/>
        </w:tabs>
        <w:numPr>
          <w:ilvl w:val="0"/>
          <w:numId w:val="28"/>
        </w:numPr>
        <w:rPr>
          <w:rFonts w:ascii="Arial" w:cs="Arial" w:eastAsia="Arial" w:hAnsi="Arial"/>
          <w:sz w:val="20"/>
          <w:szCs w:val="20"/>
          <w:b w:val="1"/>
          <w:bCs w:val="1"/>
          <w:color w:val="276990"/>
        </w:rPr>
      </w:pPr>
      <w:r>
        <w:rPr>
          <w:rFonts w:ascii="Arial" w:cs="Arial" w:eastAsia="Arial" w:hAnsi="Arial"/>
          <w:sz w:val="16"/>
          <w:szCs w:val="16"/>
          <w:b w:val="1"/>
          <w:bCs w:val="1"/>
          <w:color w:val="auto"/>
        </w:rPr>
        <w:t>FISITA – The International Federation of Automotive Engineering Societies, 2012 – 2021</w:t>
      </w:r>
    </w:p>
    <w:p>
      <w:pPr>
        <w:spacing w:after="0" w:line="256" w:lineRule="exact"/>
        <w:rPr>
          <w:rFonts w:ascii="Arial" w:cs="Arial" w:eastAsia="Arial" w:hAnsi="Arial"/>
          <w:sz w:val="20"/>
          <w:szCs w:val="20"/>
          <w:b w:val="1"/>
          <w:bCs w:val="1"/>
          <w:color w:val="276990"/>
        </w:rPr>
      </w:pPr>
    </w:p>
    <w:p>
      <w:pPr>
        <w:ind w:left="180" w:hanging="178"/>
        <w:spacing w:after="0"/>
        <w:tabs>
          <w:tab w:leader="none" w:pos="180" w:val="left"/>
        </w:tabs>
        <w:numPr>
          <w:ilvl w:val="0"/>
          <w:numId w:val="28"/>
        </w:numPr>
        <w:rPr>
          <w:rFonts w:ascii="Arial" w:cs="Arial" w:eastAsia="Arial" w:hAnsi="Arial"/>
          <w:sz w:val="20"/>
          <w:szCs w:val="20"/>
          <w:b w:val="1"/>
          <w:bCs w:val="1"/>
          <w:color w:val="276990"/>
        </w:rPr>
      </w:pPr>
      <w:r>
        <w:rPr>
          <w:rFonts w:ascii="Arial" w:cs="Arial" w:eastAsia="Arial" w:hAnsi="Arial"/>
          <w:sz w:val="16"/>
          <w:szCs w:val="16"/>
          <w:b w:val="1"/>
          <w:bCs w:val="1"/>
          <w:color w:val="auto"/>
        </w:rPr>
        <w:t>British-American Business Council, Michigan Chapter, 2015 – 2021</w:t>
      </w:r>
    </w:p>
    <w:p>
      <w:pPr>
        <w:spacing w:after="0" w:line="242" w:lineRule="exact"/>
        <w:rPr>
          <w:rFonts w:ascii="Arial" w:cs="Arial" w:eastAsia="Arial" w:hAnsi="Arial"/>
          <w:sz w:val="20"/>
          <w:szCs w:val="20"/>
          <w:b w:val="1"/>
          <w:bCs w:val="1"/>
          <w:color w:val="276990"/>
        </w:rPr>
      </w:pPr>
    </w:p>
    <w:p>
      <w:pPr>
        <w:ind w:left="180" w:hanging="178"/>
        <w:spacing w:after="0"/>
        <w:tabs>
          <w:tab w:leader="none" w:pos="180" w:val="left"/>
        </w:tabs>
        <w:numPr>
          <w:ilvl w:val="0"/>
          <w:numId w:val="28"/>
        </w:numPr>
        <w:rPr>
          <w:rFonts w:ascii="Arial" w:cs="Arial" w:eastAsia="Arial" w:hAnsi="Arial"/>
          <w:sz w:val="20"/>
          <w:szCs w:val="20"/>
          <w:b w:val="1"/>
          <w:bCs w:val="1"/>
          <w:color w:val="276990"/>
        </w:rPr>
      </w:pPr>
      <w:r>
        <w:rPr>
          <w:rFonts w:ascii="Arial" w:cs="Arial" w:eastAsia="Arial" w:hAnsi="Arial"/>
          <w:sz w:val="16"/>
          <w:szCs w:val="16"/>
          <w:b w:val="1"/>
          <w:bCs w:val="1"/>
          <w:color w:val="auto"/>
        </w:rPr>
        <w:t>Society of Automotive Engineers International, 2018 – 2021</w:t>
      </w:r>
    </w:p>
    <w:p>
      <w:pPr>
        <w:spacing w:after="0" w:line="256" w:lineRule="exact"/>
        <w:rPr>
          <w:rFonts w:ascii="Arial" w:cs="Arial" w:eastAsia="Arial" w:hAnsi="Arial"/>
          <w:sz w:val="20"/>
          <w:szCs w:val="20"/>
          <w:b w:val="1"/>
          <w:bCs w:val="1"/>
          <w:color w:val="276990"/>
        </w:rPr>
      </w:pPr>
    </w:p>
    <w:p>
      <w:pPr>
        <w:ind w:left="180" w:hanging="178"/>
        <w:spacing w:after="0"/>
        <w:tabs>
          <w:tab w:leader="none" w:pos="180" w:val="left"/>
        </w:tabs>
        <w:numPr>
          <w:ilvl w:val="0"/>
          <w:numId w:val="28"/>
        </w:numPr>
        <w:rPr>
          <w:rFonts w:ascii="Arial" w:cs="Arial" w:eastAsia="Arial" w:hAnsi="Arial"/>
          <w:sz w:val="20"/>
          <w:szCs w:val="20"/>
          <w:b w:val="1"/>
          <w:bCs w:val="1"/>
          <w:color w:val="276990"/>
        </w:rPr>
      </w:pPr>
      <w:r>
        <w:rPr>
          <w:rFonts w:ascii="Arial" w:cs="Arial" w:eastAsia="Arial" w:hAnsi="Arial"/>
          <w:sz w:val="16"/>
          <w:szCs w:val="16"/>
          <w:b w:val="1"/>
          <w:bCs w:val="1"/>
          <w:color w:val="auto"/>
        </w:rPr>
        <w:t>Mentor Graphics, 2015 – 2017</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3000375"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03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hanging="178"/>
        <w:spacing w:after="0"/>
        <w:tabs>
          <w:tab w:leader="none" w:pos="180" w:val="left"/>
        </w:tabs>
        <w:numPr>
          <w:ilvl w:val="0"/>
          <w:numId w:val="29"/>
        </w:numPr>
        <w:rPr>
          <w:rFonts w:ascii="Arial" w:cs="Arial" w:eastAsia="Arial" w:hAnsi="Arial"/>
          <w:sz w:val="20"/>
          <w:szCs w:val="20"/>
          <w:b w:val="1"/>
          <w:bCs w:val="1"/>
          <w:color w:val="276990"/>
        </w:rPr>
      </w:pPr>
      <w:r>
        <w:rPr>
          <w:rFonts w:ascii="Arial" w:cs="Arial" w:eastAsia="Arial" w:hAnsi="Arial"/>
          <w:sz w:val="16"/>
          <w:szCs w:val="16"/>
          <w:color w:val="auto"/>
        </w:rPr>
        <w:t>Extensive experience in technical strategy, planning and research and development</w:t>
      </w:r>
    </w:p>
    <w:p>
      <w:pPr>
        <w:spacing w:after="0" w:line="21" w:lineRule="exact"/>
        <w:rPr>
          <w:rFonts w:ascii="Arial" w:cs="Arial" w:eastAsia="Arial" w:hAnsi="Arial"/>
          <w:sz w:val="20"/>
          <w:szCs w:val="20"/>
          <w:b w:val="1"/>
          <w:bCs w:val="1"/>
          <w:color w:val="276990"/>
        </w:rPr>
      </w:pPr>
    </w:p>
    <w:p>
      <w:pPr>
        <w:ind w:left="180" w:hanging="178"/>
        <w:spacing w:after="0" w:line="230" w:lineRule="auto"/>
        <w:tabs>
          <w:tab w:leader="none" w:pos="180" w:val="left"/>
        </w:tabs>
        <w:numPr>
          <w:ilvl w:val="0"/>
          <w:numId w:val="29"/>
        </w:numPr>
        <w:rPr>
          <w:rFonts w:ascii="Arial" w:cs="Arial" w:eastAsia="Arial" w:hAnsi="Arial"/>
          <w:sz w:val="20"/>
          <w:szCs w:val="20"/>
          <w:b w:val="1"/>
          <w:bCs w:val="1"/>
          <w:color w:val="276990"/>
        </w:rPr>
      </w:pPr>
      <w:r>
        <w:rPr>
          <w:rFonts w:ascii="Arial" w:cs="Arial" w:eastAsia="Arial" w:hAnsi="Arial"/>
          <w:sz w:val="16"/>
          <w:szCs w:val="16"/>
          <w:color w:val="auto"/>
        </w:rPr>
        <w:t>Leadership and strategic planning expertise in automotive industry</w:t>
      </w:r>
    </w:p>
    <w:p>
      <w:pPr>
        <w:spacing w:after="0" w:line="22" w:lineRule="exact"/>
        <w:rPr>
          <w:rFonts w:ascii="Arial" w:cs="Arial" w:eastAsia="Arial" w:hAnsi="Arial"/>
          <w:sz w:val="20"/>
          <w:szCs w:val="20"/>
          <w:b w:val="1"/>
          <w:bCs w:val="1"/>
          <w:color w:val="276990"/>
        </w:rPr>
      </w:pPr>
    </w:p>
    <w:p>
      <w:pPr>
        <w:ind w:left="180" w:hanging="178"/>
        <w:spacing w:after="0" w:line="216" w:lineRule="auto"/>
        <w:tabs>
          <w:tab w:leader="none" w:pos="180" w:val="left"/>
        </w:tabs>
        <w:numPr>
          <w:ilvl w:val="0"/>
          <w:numId w:val="29"/>
        </w:numPr>
        <w:rPr>
          <w:rFonts w:ascii="Arial" w:cs="Arial" w:eastAsia="Arial" w:hAnsi="Arial"/>
          <w:sz w:val="20"/>
          <w:szCs w:val="20"/>
          <w:b w:val="1"/>
          <w:bCs w:val="1"/>
          <w:color w:val="276990"/>
        </w:rPr>
      </w:pPr>
      <w:r>
        <w:rPr>
          <w:rFonts w:ascii="Arial" w:cs="Arial" w:eastAsia="Arial" w:hAnsi="Arial"/>
          <w:sz w:val="16"/>
          <w:szCs w:val="16"/>
          <w:color w:val="auto"/>
        </w:rPr>
        <w:t>Significant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27305</wp:posOffset>
            </wp:positionV>
            <wp:extent cx="7098030" cy="60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240"/>
            <w:col w:w="8300"/>
          </w:cols>
          <w:pgMar w:left="340" w:top="161"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8460"/>
        <w:spacing w:after="0"/>
        <w:tabs>
          <w:tab w:leader="none" w:pos="1110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61" w:right="33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7"/>
          <w:szCs w:val="17"/>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098030" cy="60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60325"/>
                    </a:xfrm>
                    <a:prstGeom prst="rect">
                      <a:avLst/>
                    </a:prstGeom>
                    <a:noFill/>
                  </pic:spPr>
                </pic:pic>
              </a:graphicData>
            </a:graphic>
          </wp:anchor>
        </w:drawing>
      </w:r>
    </w:p>
    <w:p>
      <w:pPr>
        <w:sectPr>
          <w:pgSz w:w="11900" w:h="16838" w:orient="portrait"/>
          <w:cols w:equalWidth="0" w:num="1">
            <w:col w:w="11200"/>
          </w:cols>
          <w:pgMar w:left="320" w:top="161" w:right="379" w:bottom="216"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E97D2E"/>
        </w:rPr>
        <w:t>GREGORY 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64770</wp:posOffset>
            </wp:positionV>
            <wp:extent cx="994410" cy="1500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441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63</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39" w:lineRule="exact"/>
        <w:rPr>
          <w:sz w:val="20"/>
          <w:szCs w:val="20"/>
          <w:color w:val="auto"/>
        </w:rPr>
      </w:pPr>
    </w:p>
    <w:p>
      <w:pPr>
        <w:ind w:left="140" w:hanging="138"/>
        <w:spacing w:after="0"/>
        <w:tabs>
          <w:tab w:leader="none" w:pos="140" w:val="left"/>
        </w:tabs>
        <w:numPr>
          <w:ilvl w:val="0"/>
          <w:numId w:val="30"/>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MatrixSpace, Inc. </w:t>
      </w:r>
      <w:r>
        <w:rPr>
          <w:rFonts w:ascii="Arial" w:cs="Arial" w:eastAsia="Arial" w:hAnsi="Arial"/>
          <w:sz w:val="16"/>
          <w:szCs w:val="16"/>
          <w:color w:val="auto"/>
        </w:rPr>
        <w:t>(an artificial intelligence software company)</w:t>
      </w:r>
      <w:r>
        <w:rPr>
          <w:rFonts w:ascii="Arial" w:cs="Arial" w:eastAsia="Arial" w:hAnsi="Arial"/>
          <w:sz w:val="16"/>
          <w:szCs w:val="16"/>
          <w:b w:val="1"/>
          <w:bCs w:val="1"/>
          <w:color w:val="auto"/>
        </w:rPr>
        <w:t>, 2019 – Present</w:t>
      </w:r>
    </w:p>
    <w:p>
      <w:pPr>
        <w:spacing w:after="0" w:line="27" w:lineRule="exact"/>
        <w:rPr>
          <w:rFonts w:ascii="Arial" w:cs="Arial" w:eastAsia="Arial" w:hAnsi="Arial"/>
          <w:sz w:val="16"/>
          <w:szCs w:val="16"/>
          <w:b w:val="1"/>
          <w:bCs w:val="1"/>
          <w:color w:val="276990"/>
        </w:rPr>
      </w:pP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Founder</w:t>
      </w:r>
    </w:p>
    <w:p>
      <w:pPr>
        <w:spacing w:after="0" w:line="259" w:lineRule="exact"/>
        <w:rPr>
          <w:rFonts w:ascii="Arial" w:cs="Arial" w:eastAsia="Arial" w:hAnsi="Arial"/>
          <w:sz w:val="16"/>
          <w:szCs w:val="16"/>
          <w:b w:val="1"/>
          <w:bCs w:val="1"/>
          <w:color w:val="276990"/>
        </w:rPr>
      </w:pPr>
    </w:p>
    <w:p>
      <w:pPr>
        <w:ind w:left="160" w:right="680" w:hanging="158"/>
        <w:spacing w:after="0" w:line="277" w:lineRule="auto"/>
        <w:tabs>
          <w:tab w:leader="none" w:pos="141" w:val="left"/>
        </w:tabs>
        <w:numPr>
          <w:ilvl w:val="0"/>
          <w:numId w:val="30"/>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Integrated Device Technology, Inc. </w:t>
      </w:r>
      <w:r>
        <w:rPr>
          <w:rFonts w:ascii="Arial" w:cs="Arial" w:eastAsia="Arial" w:hAnsi="Arial"/>
          <w:sz w:val="16"/>
          <w:szCs w:val="16"/>
          <w:color w:val="auto"/>
        </w:rPr>
        <w:t>(a semiconductor design and manufacturing company acquired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Renesas Electronics Corporation)</w:t>
      </w:r>
      <w:r>
        <w:rPr>
          <w:rFonts w:ascii="Arial" w:cs="Arial" w:eastAsia="Arial" w:hAnsi="Arial"/>
          <w:sz w:val="16"/>
          <w:szCs w:val="16"/>
          <w:b w:val="1"/>
          <w:bCs w:val="1"/>
          <w:color w:val="auto"/>
        </w:rPr>
        <w:t>, 2014 – 2019</w:t>
      </w: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President, Chief Executive Officer and Director</w:t>
      </w:r>
    </w:p>
    <w:p>
      <w:pPr>
        <w:spacing w:after="0" w:line="268"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0"/>
        </w:numPr>
        <w:rPr>
          <w:rFonts w:ascii="Arial" w:cs="Arial" w:eastAsia="Arial" w:hAnsi="Arial"/>
          <w:sz w:val="16"/>
          <w:szCs w:val="16"/>
          <w:b w:val="1"/>
          <w:bCs w:val="1"/>
          <w:color w:val="276990"/>
        </w:rPr>
      </w:pPr>
      <w:r>
        <w:rPr>
          <w:rFonts w:ascii="Arial" w:cs="Arial" w:eastAsia="Arial" w:hAnsi="Arial"/>
          <w:sz w:val="16"/>
          <w:szCs w:val="16"/>
          <w:b w:val="1"/>
          <w:bCs w:val="1"/>
          <w:color w:val="auto"/>
        </w:rPr>
        <w:t>Skyworks Solutions, Inc., 2003 – 2012</w:t>
      </w:r>
    </w:p>
    <w:p>
      <w:pPr>
        <w:spacing w:after="0" w:line="34" w:lineRule="exact"/>
        <w:rPr>
          <w:rFonts w:ascii="Arial" w:cs="Arial" w:eastAsia="Arial" w:hAnsi="Arial"/>
          <w:sz w:val="16"/>
          <w:szCs w:val="16"/>
          <w:b w:val="1"/>
          <w:bCs w:val="1"/>
          <w:color w:val="276990"/>
        </w:rPr>
      </w:pPr>
    </w:p>
    <w:p>
      <w:pPr>
        <w:ind w:left="320"/>
        <w:spacing w:after="0"/>
        <w:rPr>
          <w:rFonts w:ascii="Arial" w:cs="Arial" w:eastAsia="Arial" w:hAnsi="Arial"/>
          <w:sz w:val="16"/>
          <w:szCs w:val="16"/>
          <w:b w:val="1"/>
          <w:bCs w:val="1"/>
          <w:color w:val="276990"/>
        </w:rPr>
      </w:pPr>
      <w:r>
        <w:rPr>
          <w:rFonts w:ascii="Arial" w:cs="Arial" w:eastAsia="Arial" w:hAnsi="Arial"/>
          <w:sz w:val="16"/>
          <w:szCs w:val="16"/>
          <w:color w:val="auto"/>
        </w:rPr>
        <w:t>— Executive Vice President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Other Board Experience</w:t>
      </w:r>
    </w:p>
    <w:p>
      <w:pPr>
        <w:spacing w:after="0" w:line="35" w:lineRule="exact"/>
        <w:rPr>
          <w:sz w:val="20"/>
          <w:szCs w:val="20"/>
          <w:color w:val="auto"/>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Cyxtera Technologies, Inc. </w:t>
      </w:r>
      <w:r>
        <w:rPr>
          <w:rFonts w:ascii="Arial" w:cs="Arial" w:eastAsia="Arial" w:hAnsi="Arial"/>
          <w:sz w:val="16"/>
          <w:szCs w:val="16"/>
          <w:color w:val="auto"/>
        </w:rPr>
        <w:t>(acquired by Brookfield Infrastructure Partners L.P.)</w:t>
      </w:r>
      <w:r>
        <w:rPr>
          <w:rFonts w:ascii="Arial" w:cs="Arial" w:eastAsia="Arial" w:hAnsi="Arial"/>
          <w:sz w:val="16"/>
          <w:szCs w:val="16"/>
          <w:b w:val="1"/>
          <w:bCs w:val="1"/>
          <w:color w:val="auto"/>
        </w:rPr>
        <w:t>, 2021 – 2024</w:t>
      </w:r>
    </w:p>
    <w:p>
      <w:pPr>
        <w:spacing w:after="0" w:line="259"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b w:val="1"/>
          <w:bCs w:val="1"/>
          <w:color w:val="auto"/>
        </w:rPr>
        <w:t>Mythic Inc., 2020 – 2023</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Sierra Wireless, Inc. </w:t>
      </w:r>
      <w:r>
        <w:rPr>
          <w:rFonts w:ascii="Arial" w:cs="Arial" w:eastAsia="Arial" w:hAnsi="Arial"/>
          <w:sz w:val="16"/>
          <w:szCs w:val="16"/>
          <w:color w:val="auto"/>
        </w:rPr>
        <w:t>(acquired by Semtech Corporation)</w:t>
      </w:r>
      <w:r>
        <w:rPr>
          <w:rFonts w:ascii="Arial" w:cs="Arial" w:eastAsia="Arial" w:hAnsi="Arial"/>
          <w:sz w:val="16"/>
          <w:szCs w:val="16"/>
          <w:b w:val="1"/>
          <w:bCs w:val="1"/>
          <w:color w:val="auto"/>
        </w:rPr>
        <w:t>, 2020 – 2023</w:t>
      </w:r>
    </w:p>
    <w:p>
      <w:pPr>
        <w:spacing w:after="0" w:line="26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Mellanox Technologies Ltd. </w:t>
      </w:r>
      <w:r>
        <w:rPr>
          <w:rFonts w:ascii="Arial" w:cs="Arial" w:eastAsia="Arial" w:hAnsi="Arial"/>
          <w:sz w:val="16"/>
          <w:szCs w:val="16"/>
          <w:color w:val="auto"/>
        </w:rPr>
        <w:t>(acquired by NVIDIA Corporation)</w:t>
      </w:r>
      <w:r>
        <w:rPr>
          <w:rFonts w:ascii="Arial" w:cs="Arial" w:eastAsia="Arial" w:hAnsi="Arial"/>
          <w:sz w:val="16"/>
          <w:szCs w:val="16"/>
          <w:b w:val="1"/>
          <w:bCs w:val="1"/>
          <w:color w:val="auto"/>
        </w:rPr>
        <w:t>, 2018 – 2020</w:t>
      </w:r>
    </w:p>
    <w:p>
      <w:pPr>
        <w:spacing w:after="0" w:line="275"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1"/>
        </w:numPr>
        <w:rPr>
          <w:rFonts w:ascii="Arial" w:cs="Arial" w:eastAsia="Arial" w:hAnsi="Arial"/>
          <w:sz w:val="16"/>
          <w:szCs w:val="16"/>
          <w:b w:val="1"/>
          <w:bCs w:val="1"/>
          <w:color w:val="276990"/>
        </w:rPr>
      </w:pPr>
      <w:r>
        <w:rPr>
          <w:rFonts w:ascii="Arial" w:cs="Arial" w:eastAsia="Arial" w:hAnsi="Arial"/>
          <w:sz w:val="16"/>
          <w:szCs w:val="16"/>
          <w:b w:val="1"/>
          <w:bCs w:val="1"/>
          <w:color w:val="auto"/>
        </w:rPr>
        <w:t xml:space="preserve">Sand 9 Inc. </w:t>
      </w:r>
      <w:r>
        <w:rPr>
          <w:rFonts w:ascii="Arial" w:cs="Arial" w:eastAsia="Arial" w:hAnsi="Arial"/>
          <w:sz w:val="16"/>
          <w:szCs w:val="16"/>
          <w:color w:val="auto"/>
        </w:rPr>
        <w:t>(acquired by Analog Devices Inc.)</w:t>
      </w:r>
      <w:r>
        <w:rPr>
          <w:rFonts w:ascii="Arial" w:cs="Arial" w:eastAsia="Arial" w:hAnsi="Arial"/>
          <w:sz w:val="16"/>
          <w:szCs w:val="16"/>
          <w:b w:val="1"/>
          <w:bCs w:val="1"/>
          <w:color w:val="auto"/>
        </w:rPr>
        <w:t>, 2011 – 2014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4149090" cy="299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4909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hanging="138"/>
        <w:spacing w:after="0"/>
        <w:tabs>
          <w:tab w:leader="none" w:pos="140" w:val="left"/>
        </w:tabs>
        <w:numPr>
          <w:ilvl w:val="0"/>
          <w:numId w:val="32"/>
        </w:numPr>
        <w:rPr>
          <w:rFonts w:ascii="Arial" w:cs="Arial" w:eastAsia="Arial" w:hAnsi="Arial"/>
          <w:sz w:val="16"/>
          <w:szCs w:val="16"/>
          <w:color w:val="276990"/>
        </w:rPr>
      </w:pPr>
      <w:r>
        <w:rPr>
          <w:rFonts w:ascii="Arial" w:cs="Arial" w:eastAsia="Arial" w:hAnsi="Arial"/>
          <w:sz w:val="16"/>
          <w:szCs w:val="16"/>
          <w:color w:val="auto"/>
        </w:rPr>
        <w:t>Extensive experience with device technology companies</w:t>
      </w:r>
    </w:p>
    <w:p>
      <w:pPr>
        <w:spacing w:after="0" w:line="32" w:lineRule="exact"/>
        <w:rPr>
          <w:rFonts w:ascii="Arial" w:cs="Arial" w:eastAsia="Arial" w:hAnsi="Arial"/>
          <w:sz w:val="16"/>
          <w:szCs w:val="16"/>
          <w:color w:val="276990"/>
        </w:rPr>
      </w:pPr>
    </w:p>
    <w:p>
      <w:pPr>
        <w:ind w:left="140" w:hanging="138"/>
        <w:spacing w:after="0"/>
        <w:tabs>
          <w:tab w:leader="none" w:pos="140" w:val="left"/>
        </w:tabs>
        <w:numPr>
          <w:ilvl w:val="0"/>
          <w:numId w:val="32"/>
        </w:numPr>
        <w:rPr>
          <w:rFonts w:ascii="Arial" w:cs="Arial" w:eastAsia="Arial" w:hAnsi="Arial"/>
          <w:sz w:val="16"/>
          <w:szCs w:val="16"/>
          <w:color w:val="276990"/>
        </w:rPr>
      </w:pPr>
      <w:r>
        <w:rPr>
          <w:rFonts w:ascii="Arial" w:cs="Arial" w:eastAsia="Arial" w:hAnsi="Arial"/>
          <w:sz w:val="16"/>
          <w:szCs w:val="16"/>
          <w:color w:val="auto"/>
        </w:rPr>
        <w:t>Experience as chief executive officer of a publicly held technology company</w:t>
      </w:r>
    </w:p>
    <w:p>
      <w:pPr>
        <w:spacing w:after="0" w:line="30" w:lineRule="exact"/>
        <w:rPr>
          <w:rFonts w:ascii="Arial" w:cs="Arial" w:eastAsia="Arial" w:hAnsi="Arial"/>
          <w:sz w:val="16"/>
          <w:szCs w:val="16"/>
          <w:color w:val="276990"/>
        </w:rPr>
      </w:pPr>
    </w:p>
    <w:p>
      <w:pPr>
        <w:ind w:left="160" w:right="260" w:hanging="158"/>
        <w:spacing w:after="0" w:line="305" w:lineRule="auto"/>
        <w:tabs>
          <w:tab w:leader="none" w:pos="141" w:val="left"/>
        </w:tabs>
        <w:numPr>
          <w:ilvl w:val="0"/>
          <w:numId w:val="32"/>
        </w:numPr>
        <w:rPr>
          <w:rFonts w:ascii="Arial" w:cs="Arial" w:eastAsia="Arial" w:hAnsi="Arial"/>
          <w:sz w:val="16"/>
          <w:szCs w:val="16"/>
          <w:b w:val="1"/>
          <w:bCs w:val="1"/>
          <w:color w:val="276990"/>
        </w:rPr>
      </w:pPr>
      <w:r>
        <w:rPr>
          <w:rFonts w:ascii="Arial" w:cs="Arial" w:eastAsia="Arial" w:hAnsi="Arial"/>
          <w:sz w:val="16"/>
          <w:szCs w:val="16"/>
          <w:color w:val="auto"/>
        </w:rPr>
        <w:t>Significant management experience and relevant knowledge of financial statement preparation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64135</wp:posOffset>
            </wp:positionV>
            <wp:extent cx="713232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8260"/>
          </w:cols>
          <w:pgMar w:left="320" w:top="161" w:right="379" w:bottom="216"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7D2E"/>
        </w:rPr>
        <w:t>CHRISTINE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40640</wp:posOffset>
            </wp:positionV>
            <wp:extent cx="1251585" cy="1791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158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Age 58</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Director since 2018</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465E66"/>
        </w:rPr>
        <w:t>Other Public Company Boards:</w:t>
      </w:r>
    </w:p>
    <w:p>
      <w:pPr>
        <w:spacing w:after="0" w:line="23" w:lineRule="exact"/>
        <w:rPr>
          <w:sz w:val="20"/>
          <w:szCs w:val="20"/>
          <w:color w:val="auto"/>
        </w:rPr>
      </w:pPr>
    </w:p>
    <w:p>
      <w:pPr>
        <w:ind w:left="420" w:hanging="151"/>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Ansell Limited</w:t>
      </w:r>
    </w:p>
    <w:p>
      <w:pPr>
        <w:spacing w:after="0" w:line="24" w:lineRule="exact"/>
        <w:rPr>
          <w:rFonts w:ascii="Arial" w:cs="Arial" w:eastAsia="Arial" w:hAnsi="Arial"/>
          <w:sz w:val="16"/>
          <w:szCs w:val="16"/>
          <w:color w:val="auto"/>
        </w:rPr>
      </w:pPr>
    </w:p>
    <w:p>
      <w:pPr>
        <w:ind w:left="420" w:hanging="151"/>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Cabot Corporation</w:t>
      </w:r>
    </w:p>
    <w:p>
      <w:pPr>
        <w:spacing w:after="0" w:line="19" w:lineRule="exact"/>
        <w:rPr>
          <w:rFonts w:ascii="Arial" w:cs="Arial" w:eastAsia="Arial" w:hAnsi="Arial"/>
          <w:sz w:val="16"/>
          <w:szCs w:val="16"/>
          <w:color w:val="auto"/>
        </w:rPr>
      </w:pPr>
    </w:p>
    <w:p>
      <w:pPr>
        <w:ind w:left="420" w:hanging="151"/>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Modine Manufacturing Company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Career Highlights</w:t>
      </w:r>
    </w:p>
    <w:p>
      <w:pPr>
        <w:spacing w:after="0" w:line="208" w:lineRule="exact"/>
        <w:rPr>
          <w:sz w:val="20"/>
          <w:szCs w:val="20"/>
          <w:color w:val="auto"/>
        </w:rPr>
      </w:pPr>
    </w:p>
    <w:p>
      <w:pPr>
        <w:ind w:left="240" w:hanging="238"/>
        <w:spacing w:after="0" w:line="221" w:lineRule="auto"/>
        <w:tabs>
          <w:tab w:leader="none" w:pos="140" w:val="left"/>
        </w:tabs>
        <w:numPr>
          <w:ilvl w:val="0"/>
          <w:numId w:val="34"/>
        </w:numPr>
        <w:rPr>
          <w:rFonts w:ascii="Arial" w:cs="Arial" w:eastAsia="Arial" w:hAnsi="Arial"/>
          <w:sz w:val="16"/>
          <w:szCs w:val="16"/>
          <w:color w:val="276990"/>
        </w:rPr>
      </w:pPr>
      <w:r>
        <w:rPr>
          <w:rFonts w:ascii="Arial" w:cs="Arial" w:eastAsia="Arial" w:hAnsi="Arial"/>
          <w:sz w:val="16"/>
          <w:szCs w:val="16"/>
          <w:b w:val="1"/>
          <w:bCs w:val="1"/>
          <w:color w:val="auto"/>
        </w:rPr>
        <w:t xml:space="preserve">Stanley Black &amp; Decker, Inc. </w:t>
      </w:r>
      <w:r>
        <w:rPr>
          <w:rFonts w:ascii="Arial" w:cs="Arial" w:eastAsia="Arial" w:hAnsi="Arial"/>
          <w:sz w:val="16"/>
          <w:szCs w:val="16"/>
          <w:color w:val="auto"/>
        </w:rPr>
        <w:t>(leading global provider of innovative tools and solutions for industrial,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DIY markets)</w:t>
      </w:r>
      <w:r>
        <w:rPr>
          <w:rFonts w:ascii="Arial" w:cs="Arial" w:eastAsia="Arial" w:hAnsi="Arial"/>
          <w:sz w:val="16"/>
          <w:szCs w:val="16"/>
          <w:b w:val="1"/>
          <w:bCs w:val="1"/>
          <w:color w:val="auto"/>
        </w:rPr>
        <w:t>, 1989 – 2018</w:t>
      </w:r>
    </w:p>
    <w:p>
      <w:pPr>
        <w:spacing w:after="0" w:line="1" w:lineRule="exact"/>
        <w:rPr>
          <w:rFonts w:ascii="Arial" w:cs="Arial" w:eastAsia="Arial" w:hAnsi="Arial"/>
          <w:sz w:val="16"/>
          <w:szCs w:val="16"/>
          <w:color w:val="276990"/>
        </w:rPr>
      </w:pP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Vice President, Integration, January 2018 – November 2018</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Asia, 2014 – January 2018</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Stanley Storage and Workspace Systems, 2013 – 2014</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Americas, Stanley Engineered Fastening, 2008 – 2013</w:t>
      </w:r>
    </w:p>
    <w:p>
      <w:pPr>
        <w:ind w:left="320"/>
        <w:spacing w:after="0" w:line="211" w:lineRule="auto"/>
        <w:rPr>
          <w:rFonts w:ascii="Arial" w:cs="Arial" w:eastAsia="Arial" w:hAnsi="Arial"/>
          <w:sz w:val="16"/>
          <w:szCs w:val="16"/>
          <w:color w:val="276990"/>
        </w:rPr>
      </w:pPr>
      <w:r>
        <w:rPr>
          <w:rFonts w:ascii="Arial" w:cs="Arial" w:eastAsia="Arial" w:hAnsi="Arial"/>
          <w:sz w:val="16"/>
          <w:szCs w:val="16"/>
          <w:color w:val="auto"/>
        </w:rPr>
        <w:t>— President, Global Automotive, Stanley Engineered Fastening, 2006 – 2008</w:t>
      </w:r>
    </w:p>
    <w:p>
      <w:pPr>
        <w:ind w:left="320"/>
        <w:spacing w:after="0"/>
        <w:rPr>
          <w:rFonts w:ascii="Arial" w:cs="Arial" w:eastAsia="Arial" w:hAnsi="Arial"/>
          <w:sz w:val="16"/>
          <w:szCs w:val="16"/>
          <w:color w:val="276990"/>
        </w:rPr>
      </w:pPr>
      <w:r>
        <w:rPr>
          <w:rFonts w:ascii="Arial" w:cs="Arial" w:eastAsia="Arial" w:hAnsi="Arial"/>
          <w:sz w:val="16"/>
          <w:szCs w:val="16"/>
          <w:color w:val="auto"/>
        </w:rPr>
        <w:t>— Various roles in sales and marketing, engineering and research and development, 1989 – 2006</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465E66"/>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55245</wp:posOffset>
            </wp:positionV>
            <wp:extent cx="2880360" cy="299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8036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right="480" w:hanging="238"/>
        <w:spacing w:after="0" w:line="272" w:lineRule="auto"/>
        <w:tabs>
          <w:tab w:leader="none" w:pos="140" w:val="left"/>
        </w:tabs>
        <w:numPr>
          <w:ilvl w:val="0"/>
          <w:numId w:val="35"/>
        </w:numPr>
        <w:rPr>
          <w:rFonts w:ascii="Arial" w:cs="Arial" w:eastAsia="Arial" w:hAnsi="Arial"/>
          <w:sz w:val="16"/>
          <w:szCs w:val="16"/>
          <w:b w:val="1"/>
          <w:bCs w:val="1"/>
          <w:color w:val="276990"/>
        </w:rPr>
      </w:pPr>
      <w:r>
        <w:rPr>
          <w:rFonts w:ascii="Arial" w:cs="Arial" w:eastAsia="Arial" w:hAnsi="Arial"/>
          <w:sz w:val="16"/>
          <w:szCs w:val="16"/>
          <w:color w:val="auto"/>
        </w:rPr>
        <w:t>Extensive commercial, technology and operations management experience, including as member of senior management team of a Fortune 500 company</w:t>
      </w:r>
    </w:p>
    <w:p>
      <w:pPr>
        <w:spacing w:after="0" w:line="1"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5"/>
        </w:numPr>
        <w:rPr>
          <w:rFonts w:ascii="Arial" w:cs="Arial" w:eastAsia="Arial" w:hAnsi="Arial"/>
          <w:sz w:val="16"/>
          <w:szCs w:val="16"/>
          <w:color w:val="276990"/>
        </w:rPr>
      </w:pPr>
      <w:r>
        <w:rPr>
          <w:rFonts w:ascii="Arial" w:cs="Arial" w:eastAsia="Arial" w:hAnsi="Arial"/>
          <w:sz w:val="16"/>
          <w:szCs w:val="16"/>
          <w:color w:val="auto"/>
        </w:rPr>
        <w:t>Deep experience running global businesses, especially emerging markets</w:t>
      </w:r>
    </w:p>
    <w:p>
      <w:pPr>
        <w:spacing w:after="0" w:line="30" w:lineRule="exact"/>
        <w:rPr>
          <w:rFonts w:ascii="Arial" w:cs="Arial" w:eastAsia="Arial" w:hAnsi="Arial"/>
          <w:sz w:val="16"/>
          <w:szCs w:val="16"/>
          <w:color w:val="276990"/>
        </w:rPr>
      </w:pPr>
    </w:p>
    <w:p>
      <w:pPr>
        <w:ind w:left="140" w:hanging="138"/>
        <w:spacing w:after="0"/>
        <w:tabs>
          <w:tab w:leader="none" w:pos="140" w:val="left"/>
        </w:tabs>
        <w:numPr>
          <w:ilvl w:val="0"/>
          <w:numId w:val="35"/>
        </w:numPr>
        <w:rPr>
          <w:rFonts w:ascii="Arial" w:cs="Arial" w:eastAsia="Arial" w:hAnsi="Arial"/>
          <w:sz w:val="16"/>
          <w:szCs w:val="16"/>
          <w:b w:val="1"/>
          <w:bCs w:val="1"/>
          <w:color w:val="276990"/>
        </w:rPr>
      </w:pPr>
      <w:r>
        <w:rPr>
          <w:rFonts w:ascii="Arial" w:cs="Arial" w:eastAsia="Arial" w:hAnsi="Arial"/>
          <w:sz w:val="16"/>
          <w:szCs w:val="16"/>
          <w:color w:val="auto"/>
        </w:rPr>
        <w:t>Significant mergers and acquisitions experience</w:t>
      </w:r>
    </w:p>
    <w:p>
      <w:pPr>
        <w:spacing w:after="0" w:line="26" w:lineRule="exact"/>
        <w:rPr>
          <w:rFonts w:ascii="Arial" w:cs="Arial" w:eastAsia="Arial" w:hAnsi="Arial"/>
          <w:sz w:val="16"/>
          <w:szCs w:val="16"/>
          <w:b w:val="1"/>
          <w:bCs w:val="1"/>
          <w:color w:val="276990"/>
        </w:rPr>
      </w:pPr>
    </w:p>
    <w:p>
      <w:pPr>
        <w:ind w:left="140" w:hanging="138"/>
        <w:spacing w:after="0"/>
        <w:tabs>
          <w:tab w:leader="none" w:pos="140" w:val="left"/>
        </w:tabs>
        <w:numPr>
          <w:ilvl w:val="0"/>
          <w:numId w:val="35"/>
        </w:numPr>
        <w:rPr>
          <w:rFonts w:ascii="Arial" w:cs="Arial" w:eastAsia="Arial" w:hAnsi="Arial"/>
          <w:sz w:val="16"/>
          <w:szCs w:val="16"/>
          <w:color w:val="276990"/>
        </w:rPr>
      </w:pPr>
      <w:r>
        <w:rPr>
          <w:rFonts w:ascii="Arial" w:cs="Arial" w:eastAsia="Arial" w:hAnsi="Arial"/>
          <w:sz w:val="16"/>
          <w:szCs w:val="16"/>
          <w:color w:val="auto"/>
        </w:rPr>
        <w:t>Extensive management experience in the automotive, industrial and consumer markets</w:t>
      </w:r>
    </w:p>
    <w:p>
      <w:pPr>
        <w:spacing w:after="0" w:line="25" w:lineRule="exact"/>
        <w:rPr>
          <w:rFonts w:ascii="Arial" w:cs="Arial" w:eastAsia="Arial" w:hAnsi="Arial"/>
          <w:sz w:val="16"/>
          <w:szCs w:val="16"/>
          <w:color w:val="276990"/>
        </w:rPr>
      </w:pPr>
    </w:p>
    <w:p>
      <w:pPr>
        <w:ind w:left="140" w:hanging="138"/>
        <w:spacing w:after="0"/>
        <w:tabs>
          <w:tab w:leader="none" w:pos="140" w:val="left"/>
        </w:tabs>
        <w:numPr>
          <w:ilvl w:val="0"/>
          <w:numId w:val="35"/>
        </w:numPr>
        <w:rPr>
          <w:rFonts w:ascii="Arial" w:cs="Arial" w:eastAsia="Arial" w:hAnsi="Arial"/>
          <w:sz w:val="16"/>
          <w:szCs w:val="16"/>
          <w:color w:val="276990"/>
        </w:rPr>
      </w:pPr>
      <w:r>
        <w:rPr>
          <w:rFonts w:ascii="Arial" w:cs="Arial" w:eastAsia="Arial" w:hAnsi="Arial"/>
          <w:sz w:val="16"/>
          <w:szCs w:val="16"/>
          <w:color w:val="auto"/>
        </w:rPr>
        <w:t>Experience in corporate governance and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372110</wp:posOffset>
            </wp:positionV>
            <wp:extent cx="713232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96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2760" w:space="180"/>
            <w:col w:w="8260"/>
          </w:cols>
          <w:pgMar w:left="320" w:top="161" w:right="379" w:bottom="216"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Additional information regarding our Board, its committees, director compensation and our corporate governance practices may be found immediately following this Proposal.</w:t>
      </w:r>
    </w:p>
    <w:p>
      <w:pPr>
        <w:sectPr>
          <w:pgSz w:w="11900" w:h="16838" w:orient="portrait"/>
          <w:cols w:equalWidth="0" w:num="1">
            <w:col w:w="11200"/>
          </w:cols>
          <w:pgMar w:left="320" w:top="161" w:right="379" w:bottom="2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10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1" w:right="379" w:bottom="216" w:gutter="0" w:footer="0" w:header="0"/>
          <w:type w:val="continuous"/>
        </w:sectPr>
      </w:pPr>
    </w:p>
    <w:bookmarkStart w:id="15" w:name="page16"/>
    <w:bookmarkEnd w:id="15"/>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to Elect Ten Directors Nominated by our Board of Directors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an uncontested election (meaning, the number of nominees does not exceed the number of open seats), each director nominee must receive a majority of the votes cast by holders of shares entitled to vote at the annual meeting in order to be duly elected, which means that the number of votes cast “FOR” such director must exceed the number of votes cast “AGAINST” him or her. Abstentions and broker non-votes are not treated as votes cast and, therefore, will have no effect on the outcome of the election of any director nominee. For information regarding the voting standard in a contested election, please see the section titled “Majority Voting for Directors” below.</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6"/>
          <w:szCs w:val="16"/>
          <w:color w:val="E97D2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Overview of our Corporate Governance Practices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has adopted corporate governance practices designed to aid the Board and management in the fulfillment of their duties and responsibilities to our stockholders. The following chart highlights certain corporate governance practices, many of which are discussed in greater detail elsewhere in this proxy statement.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shd w:val="clear" w:color="auto" w:fill="465E66"/>
          </w:tcPr>
          <w:p>
            <w:pPr>
              <w:spacing w:after="0"/>
              <w:rPr>
                <w:sz w:val="19"/>
                <w:szCs w:val="19"/>
                <w:color w:val="auto"/>
              </w:rPr>
            </w:pPr>
          </w:p>
        </w:tc>
        <w:tc>
          <w:tcPr>
            <w:tcW w:w="5240" w:type="dxa"/>
            <w:vAlign w:val="bottom"/>
            <w:shd w:val="clear" w:color="auto" w:fill="465E66"/>
          </w:tcPr>
          <w:p>
            <w:pPr>
              <w:ind w:left="2040"/>
              <w:spacing w:after="0"/>
              <w:rPr>
                <w:sz w:val="20"/>
                <w:szCs w:val="20"/>
                <w:color w:val="auto"/>
              </w:rPr>
            </w:pPr>
            <w:r>
              <w:rPr>
                <w:rFonts w:ascii="Arial" w:cs="Arial" w:eastAsia="Arial" w:hAnsi="Arial"/>
                <w:sz w:val="18"/>
                <w:szCs w:val="18"/>
                <w:b w:val="1"/>
                <w:bCs w:val="1"/>
                <w:color w:val="FFFFFF"/>
              </w:rPr>
              <w:t>WHAT WE DO</w:t>
            </w:r>
          </w:p>
        </w:tc>
        <w:tc>
          <w:tcPr>
            <w:tcW w:w="5620" w:type="dxa"/>
            <w:vAlign w:val="bottom"/>
            <w:shd w:val="clear" w:color="auto" w:fill="E97D2E"/>
          </w:tcPr>
          <w:p>
            <w:pPr>
              <w:ind w:left="2060"/>
              <w:spacing w:after="0"/>
              <w:rPr>
                <w:sz w:val="20"/>
                <w:szCs w:val="20"/>
                <w:color w:val="auto"/>
              </w:rPr>
            </w:pPr>
            <w:r>
              <w:rPr>
                <w:rFonts w:ascii="Arial" w:cs="Arial" w:eastAsia="Arial" w:hAnsi="Arial"/>
                <w:sz w:val="18"/>
                <w:szCs w:val="18"/>
                <w:b w:val="1"/>
                <w:bCs w:val="1"/>
                <w:color w:val="FFFFFF"/>
              </w:rPr>
              <w:t>WHAT WE DO NOT DO</w:t>
            </w:r>
          </w:p>
        </w:tc>
        <w:tc>
          <w:tcPr>
            <w:tcW w:w="0" w:type="dxa"/>
            <w:vAlign w:val="bottom"/>
          </w:tcPr>
          <w:p>
            <w:pPr>
              <w:spacing w:after="0"/>
              <w:rPr>
                <w:sz w:val="1"/>
                <w:szCs w:val="1"/>
                <w:color w:val="auto"/>
              </w:rPr>
            </w:pPr>
          </w:p>
        </w:tc>
      </w:tr>
      <w:tr>
        <w:trPr>
          <w:trHeight w:val="162"/>
        </w:trPr>
        <w:tc>
          <w:tcPr>
            <w:tcW w:w="380" w:type="dxa"/>
            <w:vAlign w:val="bottom"/>
            <w:vMerge w:val="restart"/>
            <w:shd w:val="clear" w:color="auto" w:fill="DBDBDB"/>
          </w:tcPr>
          <w:p>
            <w:pPr>
              <w:ind w:left="100"/>
              <w:spacing w:after="0"/>
              <w:rPr>
                <w:sz w:val="20"/>
                <w:szCs w:val="20"/>
                <w:color w:val="auto"/>
              </w:rPr>
            </w:pPr>
            <w:r>
              <w:rPr>
                <w:rFonts w:ascii="Wingdings" w:cs="Wingdings" w:eastAsia="Wingdings" w:hAnsi="Wingdings"/>
                <w:sz w:val="29"/>
                <w:szCs w:val="29"/>
                <w:b w:val="1"/>
                <w:bCs w:val="1"/>
                <w:color w:val="465E66"/>
              </w:rPr>
              <w:t>ü</w:t>
            </w:r>
          </w:p>
        </w:tc>
        <w:tc>
          <w:tcPr>
            <w:tcW w:w="524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b w:val="1"/>
                <w:bCs w:val="1"/>
                <w:i w:val="1"/>
                <w:iCs w:val="1"/>
                <w:color w:val="auto"/>
              </w:rPr>
              <w:t xml:space="preserve">Independent Board Chair: </w:t>
            </w:r>
            <w:r>
              <w:rPr>
                <w:rFonts w:ascii="Arial" w:cs="Arial" w:eastAsia="Arial" w:hAnsi="Arial"/>
                <w:sz w:val="16"/>
                <w:szCs w:val="16"/>
                <w:color w:val="auto"/>
              </w:rPr>
              <w:t>We separate the roles of Chief Executive</w:t>
            </w:r>
          </w:p>
        </w:tc>
        <w:tc>
          <w:tcPr>
            <w:tcW w:w="5620" w:type="dxa"/>
            <w:vAlign w:val="bottom"/>
            <w:shd w:val="clear" w:color="auto" w:fill="DBDBDB"/>
          </w:tcPr>
          <w:p>
            <w:pPr>
              <w:ind w:left="440"/>
              <w:spacing w:after="0" w:line="162" w:lineRule="exact"/>
              <w:rPr>
                <w:sz w:val="20"/>
                <w:szCs w:val="20"/>
                <w:color w:val="auto"/>
              </w:rPr>
            </w:pPr>
            <w:r>
              <w:rPr>
                <w:rFonts w:ascii="Arial" w:cs="Arial" w:eastAsia="Arial" w:hAnsi="Arial"/>
                <w:sz w:val="16"/>
                <w:szCs w:val="16"/>
                <w:b w:val="1"/>
                <w:bCs w:val="1"/>
                <w:i w:val="1"/>
                <w:iCs w:val="1"/>
                <w:color w:val="auto"/>
              </w:rPr>
              <w:t xml:space="preserve">No Classified Board: </w:t>
            </w:r>
            <w:r>
              <w:rPr>
                <w:rFonts w:ascii="Arial" w:cs="Arial" w:eastAsia="Arial" w:hAnsi="Arial"/>
                <w:sz w:val="16"/>
                <w:szCs w:val="16"/>
                <w:color w:val="auto"/>
              </w:rPr>
              <w:t>All of our directors are elected by our</w:t>
            </w:r>
          </w:p>
        </w:tc>
        <w:tc>
          <w:tcPr>
            <w:tcW w:w="0" w:type="dxa"/>
            <w:vAlign w:val="bottom"/>
          </w:tcPr>
          <w:p>
            <w:pPr>
              <w:spacing w:after="0"/>
              <w:rPr>
                <w:sz w:val="1"/>
                <w:szCs w:val="1"/>
                <w:color w:val="auto"/>
              </w:rPr>
            </w:pPr>
          </w:p>
        </w:tc>
      </w:tr>
      <w:tr>
        <w:trPr>
          <w:trHeight w:val="177"/>
        </w:trPr>
        <w:tc>
          <w:tcPr>
            <w:tcW w:w="380" w:type="dxa"/>
            <w:vAlign w:val="bottom"/>
            <w:vMerge w:val="continue"/>
            <w:shd w:val="clear" w:color="auto" w:fill="DBDBDB"/>
          </w:tcPr>
          <w:p>
            <w:pPr>
              <w:spacing w:after="0"/>
              <w:rPr>
                <w:sz w:val="15"/>
                <w:szCs w:val="15"/>
                <w:color w:val="auto"/>
              </w:rPr>
            </w:pPr>
          </w:p>
        </w:tc>
        <w:tc>
          <w:tcPr>
            <w:tcW w:w="5240" w:type="dxa"/>
            <w:vAlign w:val="bottom"/>
            <w:shd w:val="clear" w:color="auto" w:fill="DBDBDB"/>
          </w:tcPr>
          <w:p>
            <w:pPr>
              <w:ind w:left="60"/>
              <w:spacing w:after="0" w:line="178" w:lineRule="exact"/>
              <w:rPr>
                <w:sz w:val="20"/>
                <w:szCs w:val="20"/>
                <w:color w:val="auto"/>
              </w:rPr>
            </w:pPr>
            <w:r>
              <w:rPr>
                <w:rFonts w:ascii="Arial" w:cs="Arial" w:eastAsia="Arial" w:hAnsi="Arial"/>
                <w:sz w:val="16"/>
                <w:szCs w:val="16"/>
                <w:color w:val="auto"/>
              </w:rPr>
              <w:t>Officer (CEO) and Chair of the Board to ensure that Board leadership is</w:t>
            </w:r>
          </w:p>
        </w:tc>
        <w:tc>
          <w:tcPr>
            <w:tcW w:w="5620" w:type="dxa"/>
            <w:vAlign w:val="bottom"/>
            <w:shd w:val="clear" w:color="auto" w:fill="DBDBDB"/>
          </w:tcPr>
          <w:p>
            <w:pPr>
              <w:ind w:left="80"/>
              <w:spacing w:after="0" w:line="178" w:lineRule="exact"/>
              <w:rPr>
                <w:sz w:val="20"/>
                <w:szCs w:val="20"/>
                <w:color w:val="auto"/>
              </w:rPr>
            </w:pPr>
            <w:r>
              <w:rPr>
                <w:rFonts w:ascii="MS PGothic" w:cs="MS PGothic" w:eastAsia="MS PGothic" w:hAnsi="MS PGothic"/>
                <w:sz w:val="20"/>
                <w:szCs w:val="20"/>
                <w:color w:val="E97D2E"/>
              </w:rPr>
              <w:t>☒</w:t>
            </w:r>
            <w:r>
              <w:rPr>
                <w:rFonts w:ascii="Arial" w:cs="Arial" w:eastAsia="Arial" w:hAnsi="Arial"/>
                <w:sz w:val="12"/>
                <w:szCs w:val="12"/>
                <w:color w:val="auto"/>
              </w:rPr>
              <w:t xml:space="preserve"> stockholders on an annual basis using a majority voting standard for</w:t>
            </w:r>
          </w:p>
        </w:tc>
        <w:tc>
          <w:tcPr>
            <w:tcW w:w="0" w:type="dxa"/>
            <w:vAlign w:val="bottom"/>
          </w:tcPr>
          <w:p>
            <w:pPr>
              <w:spacing w:after="0"/>
              <w:rPr>
                <w:sz w:val="1"/>
                <w:szCs w:val="1"/>
                <w:color w:val="auto"/>
              </w:rPr>
            </w:pPr>
          </w:p>
        </w:tc>
      </w:tr>
      <w:tr>
        <w:trPr>
          <w:trHeight w:val="201"/>
        </w:trPr>
        <w:tc>
          <w:tcPr>
            <w:tcW w:w="380" w:type="dxa"/>
            <w:vAlign w:val="bottom"/>
            <w:shd w:val="clear" w:color="auto" w:fill="DBDBDB"/>
          </w:tcPr>
          <w:p>
            <w:pPr>
              <w:spacing w:after="0"/>
              <w:rPr>
                <w:sz w:val="17"/>
                <w:szCs w:val="17"/>
                <w:color w:val="auto"/>
              </w:rPr>
            </w:pPr>
          </w:p>
        </w:tc>
        <w:tc>
          <w:tcPr>
            <w:tcW w:w="5240" w:type="dxa"/>
            <w:vAlign w:val="bottom"/>
            <w:shd w:val="clear" w:color="auto" w:fill="DBDBDB"/>
          </w:tcPr>
          <w:p>
            <w:pPr>
              <w:ind w:left="60"/>
              <w:spacing w:after="0"/>
              <w:rPr>
                <w:sz w:val="20"/>
                <w:szCs w:val="20"/>
                <w:color w:val="auto"/>
              </w:rPr>
            </w:pPr>
            <w:r>
              <w:rPr>
                <w:rFonts w:ascii="Arial" w:cs="Arial" w:eastAsia="Arial" w:hAnsi="Arial"/>
                <w:sz w:val="16"/>
                <w:szCs w:val="16"/>
                <w:color w:val="auto"/>
              </w:rPr>
              <w:t>independent from management.</w:t>
            </w:r>
          </w:p>
        </w:tc>
        <w:tc>
          <w:tcPr>
            <w:tcW w:w="56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uncontested elections.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p>
      <w:pPr>
        <w:jc w:val="center"/>
        <w:ind w:left="140"/>
        <w:spacing w:after="0" w:line="231" w:lineRule="auto"/>
        <w:rPr>
          <w:sz w:val="20"/>
          <w:szCs w:val="20"/>
          <w:color w:val="auto"/>
        </w:rPr>
      </w:pPr>
      <w:r>
        <w:rPr>
          <w:rFonts w:ascii="Arial" w:cs="Arial" w:eastAsia="Arial" w:hAnsi="Arial"/>
          <w:sz w:val="16"/>
          <w:szCs w:val="16"/>
          <w:b w:val="1"/>
          <w:bCs w:val="1"/>
          <w:i w:val="1"/>
          <w:iCs w:val="1"/>
          <w:color w:val="auto"/>
        </w:rPr>
        <w:t>Annual Committee, Board and Individual Director Evaluations:</w:t>
      </w:r>
    </w:p>
    <w:p>
      <w:pPr>
        <w:jc w:val="both"/>
        <w:ind w:left="440" w:right="60" w:hanging="336"/>
        <w:spacing w:after="0"/>
        <w:tabs>
          <w:tab w:leader="none" w:pos="440" w:val="left"/>
        </w:tabs>
        <w:numPr>
          <w:ilvl w:val="0"/>
          <w:numId w:val="36"/>
        </w:numPr>
        <w:rPr>
          <w:rFonts w:ascii="Wingdings" w:cs="Wingdings" w:eastAsia="Wingdings" w:hAnsi="Wingdings"/>
          <w:sz w:val="33"/>
          <w:szCs w:val="33"/>
          <w:b w:val="1"/>
          <w:bCs w:val="1"/>
          <w:color w:val="465E66"/>
          <w:vertAlign w:val="subscript"/>
        </w:rPr>
      </w:pPr>
      <w:r>
        <w:rPr>
          <w:rFonts w:ascii="Arial" w:cs="Arial" w:eastAsia="Arial" w:hAnsi="Arial"/>
          <w:sz w:val="13"/>
          <w:szCs w:val="13"/>
          <w:color w:val="auto"/>
        </w:rPr>
        <w:t>Each committee and the Board as a whole conduct a self-evaluation at least annually, and each director’s individual performance is evaluated annually by other directors.</w:t>
      </w:r>
    </w:p>
    <w:p>
      <w:pPr>
        <w:spacing w:after="0" w:line="8" w:lineRule="exact"/>
        <w:rPr>
          <w:rFonts w:ascii="Wingdings" w:cs="Wingdings" w:eastAsia="Wingdings" w:hAnsi="Wingdings"/>
          <w:sz w:val="33"/>
          <w:szCs w:val="33"/>
          <w:b w:val="1"/>
          <w:bCs w:val="1"/>
          <w:color w:val="465E66"/>
          <w:vertAlign w:val="subscript"/>
        </w:rPr>
      </w:pPr>
    </w:p>
    <w:p>
      <w:pPr>
        <w:ind w:left="440"/>
        <w:spacing w:after="0" w:line="221" w:lineRule="auto"/>
        <w:rPr>
          <w:rFonts w:ascii="Wingdings" w:cs="Wingdings" w:eastAsia="Wingdings" w:hAnsi="Wingdings"/>
          <w:sz w:val="33"/>
          <w:szCs w:val="33"/>
          <w:b w:val="1"/>
          <w:bCs w:val="1"/>
          <w:color w:val="465E66"/>
          <w:vertAlign w:val="subscript"/>
        </w:rPr>
      </w:pPr>
      <w:r>
        <w:rPr>
          <w:rFonts w:ascii="Arial" w:cs="Arial" w:eastAsia="Arial" w:hAnsi="Arial"/>
          <w:sz w:val="16"/>
          <w:szCs w:val="16"/>
          <w:b w:val="1"/>
          <w:bCs w:val="1"/>
          <w:i w:val="1"/>
          <w:iCs w:val="1"/>
          <w:color w:val="auto"/>
        </w:rPr>
        <w:t xml:space="preserve">Stockholder Proxy Access: </w:t>
      </w:r>
      <w:r>
        <w:rPr>
          <w:rFonts w:ascii="Arial" w:cs="Arial" w:eastAsia="Arial" w:hAnsi="Arial"/>
          <w:sz w:val="16"/>
          <w:szCs w:val="16"/>
          <w:color w:val="auto"/>
        </w:rPr>
        <w:t>We permit a stockholder, or a group of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 stockholders, owning at least 3% of the Company’s outstanding</w:t>
      </w:r>
    </w:p>
    <w:p>
      <w:pPr>
        <w:spacing w:after="0" w:line="1" w:lineRule="exact"/>
        <w:rPr>
          <w:rFonts w:ascii="Wingdings" w:cs="Wingdings" w:eastAsia="Wingdings" w:hAnsi="Wingdings"/>
          <w:sz w:val="33"/>
          <w:szCs w:val="33"/>
          <w:b w:val="1"/>
          <w:bCs w:val="1"/>
          <w:color w:val="465E66"/>
          <w:vertAlign w:val="subscript"/>
        </w:rPr>
      </w:pPr>
    </w:p>
    <w:p>
      <w:pPr>
        <w:ind w:left="440" w:right="80" w:hanging="336"/>
        <w:spacing w:after="0" w:line="181" w:lineRule="auto"/>
        <w:tabs>
          <w:tab w:leader="none" w:pos="440" w:val="left"/>
        </w:tabs>
        <w:numPr>
          <w:ilvl w:val="0"/>
          <w:numId w:val="36"/>
        </w:numPr>
        <w:rPr>
          <w:rFonts w:ascii="Wingdings" w:cs="Wingdings" w:eastAsia="Wingdings" w:hAnsi="Wingdings"/>
          <w:sz w:val="38"/>
          <w:szCs w:val="38"/>
          <w:b w:val="1"/>
          <w:bCs w:val="1"/>
          <w:color w:val="465E66"/>
          <w:vertAlign w:val="subscript"/>
        </w:rPr>
      </w:pPr>
      <w:r>
        <w:rPr>
          <w:rFonts w:ascii="Arial" w:cs="Arial" w:eastAsia="Arial" w:hAnsi="Arial"/>
          <w:sz w:val="14"/>
          <w:szCs w:val="14"/>
          <w:color w:val="auto"/>
        </w:rPr>
        <w:t>shares of common stock continuously for at least three years, to nominate and include in our annual meeting proxy materials director nominees constituting up to the greater of two nominees or 20% of the board, subject to the requirements specified in our bylaws.</w:t>
      </w:r>
    </w:p>
    <w:p>
      <w:pPr>
        <w:spacing w:after="0" w:line="2" w:lineRule="exact"/>
        <w:rPr>
          <w:rFonts w:ascii="Wingdings" w:cs="Wingdings" w:eastAsia="Wingdings" w:hAnsi="Wingdings"/>
          <w:sz w:val="38"/>
          <w:szCs w:val="38"/>
          <w:b w:val="1"/>
          <w:bCs w:val="1"/>
          <w:color w:val="465E66"/>
          <w:vertAlign w:val="subscript"/>
        </w:rPr>
      </w:pPr>
    </w:p>
    <w:p>
      <w:pPr>
        <w:ind w:left="440"/>
        <w:spacing w:after="0" w:line="234" w:lineRule="auto"/>
        <w:rPr>
          <w:rFonts w:ascii="Wingdings" w:cs="Wingdings" w:eastAsia="Wingdings" w:hAnsi="Wingdings"/>
          <w:sz w:val="38"/>
          <w:szCs w:val="38"/>
          <w:b w:val="1"/>
          <w:bCs w:val="1"/>
          <w:color w:val="465E66"/>
          <w:vertAlign w:val="subscript"/>
        </w:rPr>
      </w:pPr>
      <w:r>
        <w:rPr>
          <w:rFonts w:ascii="Arial" w:cs="Arial" w:eastAsia="Arial" w:hAnsi="Arial"/>
          <w:sz w:val="16"/>
          <w:szCs w:val="16"/>
          <w:b w:val="1"/>
          <w:bCs w:val="1"/>
          <w:i w:val="1"/>
          <w:iCs w:val="1"/>
          <w:color w:val="auto"/>
        </w:rPr>
        <w:t xml:space="preserve">Robust Stock Ownership Guidelines: </w:t>
      </w:r>
      <w:r>
        <w:rPr>
          <w:rFonts w:ascii="Arial" w:cs="Arial" w:eastAsia="Arial" w:hAnsi="Arial"/>
          <w:sz w:val="16"/>
          <w:szCs w:val="16"/>
          <w:color w:val="auto"/>
        </w:rPr>
        <w:t>In order to align the interests</w:t>
      </w:r>
    </w:p>
    <w:p>
      <w:pPr>
        <w:ind w:left="440" w:right="40" w:hanging="336"/>
        <w:spacing w:after="0" w:line="180" w:lineRule="auto"/>
        <w:tabs>
          <w:tab w:leader="none" w:pos="440" w:val="left"/>
        </w:tabs>
        <w:numPr>
          <w:ilvl w:val="0"/>
          <w:numId w:val="36"/>
        </w:numPr>
        <w:rPr>
          <w:rFonts w:ascii="Wingdings" w:cs="Wingdings" w:eastAsia="Wingdings" w:hAnsi="Wingdings"/>
          <w:sz w:val="47"/>
          <w:szCs w:val="47"/>
          <w:b w:val="1"/>
          <w:bCs w:val="1"/>
          <w:color w:val="465E66"/>
          <w:vertAlign w:val="subscript"/>
        </w:rPr>
      </w:pPr>
      <w:r>
        <w:rPr>
          <w:rFonts w:ascii="Arial" w:cs="Arial" w:eastAsia="Arial" w:hAnsi="Arial"/>
          <w:sz w:val="15"/>
          <w:szCs w:val="15"/>
          <w:color w:val="auto"/>
        </w:rPr>
        <w:t>and objectives of our directors, executive officers and stockholders, we have established competitive guidelines for our stock ownership and retention.</w:t>
      </w:r>
    </w:p>
    <w:p>
      <w:pPr>
        <w:spacing w:after="0" w:line="78" w:lineRule="exact"/>
        <w:rPr>
          <w:rFonts w:ascii="Wingdings" w:cs="Wingdings" w:eastAsia="Wingdings" w:hAnsi="Wingdings"/>
          <w:sz w:val="47"/>
          <w:szCs w:val="47"/>
          <w:b w:val="1"/>
          <w:bCs w:val="1"/>
          <w:color w:val="465E66"/>
          <w:vertAlign w:val="subscript"/>
        </w:rPr>
      </w:pPr>
    </w:p>
    <w:p>
      <w:pPr>
        <w:ind w:left="440"/>
        <w:spacing w:after="0"/>
        <w:rPr>
          <w:rFonts w:ascii="Wingdings" w:cs="Wingdings" w:eastAsia="Wingdings" w:hAnsi="Wingdings"/>
          <w:sz w:val="47"/>
          <w:szCs w:val="47"/>
          <w:b w:val="1"/>
          <w:bCs w:val="1"/>
          <w:color w:val="465E66"/>
          <w:vertAlign w:val="subscript"/>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We have a clawback policy that allows us to recoup</w:t>
      </w:r>
    </w:p>
    <w:p>
      <w:pPr>
        <w:ind w:left="440" w:right="220" w:hanging="336"/>
        <w:spacing w:after="0" w:line="183" w:lineRule="auto"/>
        <w:tabs>
          <w:tab w:leader="none" w:pos="440" w:val="left"/>
        </w:tabs>
        <w:numPr>
          <w:ilvl w:val="0"/>
          <w:numId w:val="36"/>
        </w:numPr>
        <w:rPr>
          <w:rFonts w:ascii="Wingdings" w:cs="Wingdings" w:eastAsia="Wingdings" w:hAnsi="Wingdings"/>
          <w:sz w:val="27"/>
          <w:szCs w:val="27"/>
          <w:b w:val="1"/>
          <w:bCs w:val="1"/>
          <w:color w:val="465E66"/>
        </w:rPr>
      </w:pPr>
      <w:r>
        <w:rPr>
          <w:rFonts w:ascii="Arial" w:cs="Arial" w:eastAsia="Arial" w:hAnsi="Arial"/>
          <w:sz w:val="15"/>
          <w:szCs w:val="15"/>
          <w:color w:val="auto"/>
        </w:rPr>
        <w:t>compensation awards paid to NEOs who engage in certain acts detrimental to our interests or in the event of a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651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454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62" w:right="40" w:hanging="362"/>
        <w:spacing w:after="0" w:line="190" w:lineRule="auto"/>
        <w:tabs>
          <w:tab w:leader="none" w:pos="362" w:val="left"/>
        </w:tabs>
        <w:numPr>
          <w:ilvl w:val="0"/>
          <w:numId w:val="37"/>
        </w:numPr>
        <w:rPr>
          <w:rFonts w:ascii="MS PGothic" w:cs="MS PGothic" w:eastAsia="MS PGothic" w:hAnsi="MS PGothic"/>
          <w:sz w:val="29"/>
          <w:szCs w:val="29"/>
          <w:color w:val="E97D2E"/>
        </w:rPr>
      </w:pPr>
      <w:r>
        <w:rPr>
          <w:rFonts w:ascii="Arial" w:cs="Arial" w:eastAsia="Arial" w:hAnsi="Arial"/>
          <w:sz w:val="16"/>
          <w:szCs w:val="16"/>
          <w:color w:val="auto"/>
        </w:rPr>
        <w:t>have the authority to remove any director from office without cause by a majority vote.</w:t>
      </w:r>
    </w:p>
    <w:p>
      <w:pPr>
        <w:spacing w:after="0" w:line="200" w:lineRule="exact"/>
        <w:rPr>
          <w:rFonts w:ascii="MS PGothic" w:cs="MS PGothic" w:eastAsia="MS PGothic" w:hAnsi="MS PGothic"/>
          <w:sz w:val="29"/>
          <w:szCs w:val="29"/>
          <w:color w:val="E97D2E"/>
        </w:rPr>
      </w:pPr>
    </w:p>
    <w:p>
      <w:pPr>
        <w:spacing w:after="0" w:line="207" w:lineRule="exact"/>
        <w:rPr>
          <w:rFonts w:ascii="MS PGothic" w:cs="MS PGothic" w:eastAsia="MS PGothic" w:hAnsi="MS PGothic"/>
          <w:sz w:val="29"/>
          <w:szCs w:val="29"/>
          <w:color w:val="E97D2E"/>
        </w:rPr>
      </w:pPr>
    </w:p>
    <w:p>
      <w:pPr>
        <w:ind w:left="362" w:right="120" w:hanging="362"/>
        <w:spacing w:after="0" w:line="180" w:lineRule="auto"/>
        <w:tabs>
          <w:tab w:leader="none" w:pos="362" w:val="left"/>
        </w:tabs>
        <w:numPr>
          <w:ilvl w:val="0"/>
          <w:numId w:val="37"/>
        </w:numPr>
        <w:rPr>
          <w:rFonts w:ascii="MS PGothic" w:cs="MS PGothic" w:eastAsia="MS PGothic" w:hAnsi="MS PGothic"/>
          <w:sz w:val="34"/>
          <w:szCs w:val="34"/>
          <w:color w:val="E97D2E"/>
          <w:vertAlign w:val="subscript"/>
        </w:rPr>
      </w:pPr>
      <w:r>
        <w:rPr>
          <w:rFonts w:ascii="Arial" w:cs="Arial" w:eastAsia="Arial" w:hAnsi="Arial"/>
          <w:sz w:val="14"/>
          <w:szCs w:val="14"/>
          <w:b w:val="1"/>
          <w:bCs w:val="1"/>
          <w:i w:val="1"/>
          <w:iCs w:val="1"/>
          <w:color w:val="auto"/>
        </w:rPr>
        <w:t xml:space="preserve">No Excise Tax Gross-ups: </w:t>
      </w:r>
      <w:r>
        <w:rPr>
          <w:rFonts w:ascii="Arial" w:cs="Arial" w:eastAsia="Arial" w:hAnsi="Arial"/>
          <w:sz w:val="14"/>
          <w:szCs w:val="14"/>
          <w:color w:val="auto"/>
        </w:rPr>
        <w:t>We do not provide excise tax gross-ups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named executive officers (our NEOs) or directors.</w:t>
      </w:r>
    </w:p>
    <w:p>
      <w:pPr>
        <w:spacing w:after="0" w:line="200" w:lineRule="exact"/>
        <w:rPr>
          <w:rFonts w:ascii="MS PGothic" w:cs="MS PGothic" w:eastAsia="MS PGothic" w:hAnsi="MS PGothic"/>
          <w:sz w:val="34"/>
          <w:szCs w:val="34"/>
          <w:color w:val="E97D2E"/>
          <w:vertAlign w:val="subscript"/>
        </w:rPr>
      </w:pPr>
    </w:p>
    <w:p>
      <w:pPr>
        <w:spacing w:after="0" w:line="288" w:lineRule="exact"/>
        <w:rPr>
          <w:rFonts w:ascii="MS PGothic" w:cs="MS PGothic" w:eastAsia="MS PGothic" w:hAnsi="MS PGothic"/>
          <w:sz w:val="34"/>
          <w:szCs w:val="34"/>
          <w:color w:val="E97D2E"/>
          <w:vertAlign w:val="subscript"/>
        </w:rPr>
      </w:pPr>
    </w:p>
    <w:p>
      <w:pPr>
        <w:ind w:left="362" w:right="120" w:hanging="362"/>
        <w:spacing w:after="0" w:line="180" w:lineRule="auto"/>
        <w:tabs>
          <w:tab w:leader="none" w:pos="362" w:val="left"/>
        </w:tabs>
        <w:numPr>
          <w:ilvl w:val="0"/>
          <w:numId w:val="37"/>
        </w:numPr>
        <w:rPr>
          <w:rFonts w:ascii="MS PGothic" w:cs="MS PGothic" w:eastAsia="MS PGothic" w:hAnsi="MS PGothic"/>
          <w:sz w:val="34"/>
          <w:szCs w:val="34"/>
          <w:color w:val="E97D2E"/>
          <w:vertAlign w:val="subscript"/>
        </w:rPr>
      </w:pPr>
      <w:r>
        <w:rPr>
          <w:rFonts w:ascii="Arial" w:cs="Arial" w:eastAsia="Arial" w:hAnsi="Arial"/>
          <w:sz w:val="14"/>
          <w:szCs w:val="14"/>
          <w:b w:val="1"/>
          <w:bCs w:val="1"/>
          <w:i w:val="1"/>
          <w:iCs w:val="1"/>
          <w:color w:val="auto"/>
        </w:rPr>
        <w:t xml:space="preserve">No “Single-Trigger” Change in Control Arrangements: </w:t>
      </w:r>
      <w:r>
        <w:rPr>
          <w:rFonts w:ascii="Arial" w:cs="Arial" w:eastAsia="Arial" w:hAnsi="Arial"/>
          <w:sz w:val="14"/>
          <w:szCs w:val="14"/>
          <w:color w:val="auto"/>
        </w:rPr>
        <w:t>None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NEOs will receive payments solely on account of a change in control.</w:t>
      </w:r>
    </w:p>
    <w:p>
      <w:pPr>
        <w:spacing w:after="0" w:line="158" w:lineRule="exact"/>
        <w:rPr>
          <w:rFonts w:ascii="MS PGothic" w:cs="MS PGothic" w:eastAsia="MS PGothic" w:hAnsi="MS PGothic"/>
          <w:sz w:val="34"/>
          <w:szCs w:val="34"/>
          <w:color w:val="E97D2E"/>
          <w:vertAlign w:val="subscript"/>
        </w:rPr>
      </w:pPr>
    </w:p>
    <w:p>
      <w:pPr>
        <w:ind w:left="362"/>
        <w:spacing w:after="0"/>
        <w:rPr>
          <w:rFonts w:ascii="MS PGothic" w:cs="MS PGothic" w:eastAsia="MS PGothic" w:hAnsi="MS PGothic"/>
          <w:sz w:val="34"/>
          <w:szCs w:val="34"/>
          <w:color w:val="E97D2E"/>
          <w:vertAlign w:val="subscript"/>
        </w:rPr>
      </w:pPr>
      <w:r>
        <w:rPr>
          <w:rFonts w:ascii="Arial" w:cs="Arial" w:eastAsia="Arial" w:hAnsi="Arial"/>
          <w:sz w:val="16"/>
          <w:szCs w:val="16"/>
          <w:b w:val="1"/>
          <w:bCs w:val="1"/>
          <w:i w:val="1"/>
          <w:iCs w:val="1"/>
          <w:color w:val="auto"/>
        </w:rPr>
        <w:t xml:space="preserve">No Hedging or Pledging: </w:t>
      </w:r>
      <w:r>
        <w:rPr>
          <w:rFonts w:ascii="Arial" w:cs="Arial" w:eastAsia="Arial" w:hAnsi="Arial"/>
          <w:sz w:val="16"/>
          <w:szCs w:val="16"/>
          <w:color w:val="auto"/>
        </w:rPr>
        <w:t>Our NEOs and directors are prohibited from</w:t>
      </w:r>
    </w:p>
    <w:p>
      <w:pPr>
        <w:jc w:val="both"/>
        <w:ind w:left="362" w:right="140" w:hanging="362"/>
        <w:spacing w:after="0" w:line="180" w:lineRule="auto"/>
        <w:tabs>
          <w:tab w:leader="none" w:pos="362" w:val="left"/>
        </w:tabs>
        <w:numPr>
          <w:ilvl w:val="0"/>
          <w:numId w:val="37"/>
        </w:numPr>
        <w:rPr>
          <w:rFonts w:ascii="MS PGothic" w:cs="MS PGothic" w:eastAsia="MS PGothic" w:hAnsi="MS PGothic"/>
          <w:sz w:val="28"/>
          <w:szCs w:val="28"/>
          <w:color w:val="E97D2E"/>
          <w:vertAlign w:val="subscript"/>
        </w:rPr>
      </w:pPr>
      <w:r>
        <w:rPr>
          <w:rFonts w:ascii="Arial" w:cs="Arial" w:eastAsia="Arial" w:hAnsi="Arial"/>
          <w:sz w:val="13"/>
          <w:szCs w:val="13"/>
          <w:color w:val="auto"/>
        </w:rPr>
        <w:t xml:space="preserve">engaging in hedging transactions with our stock and from pledging our stock as collateral for a loan. Other employees are also encouraged to </w:t>
      </w:r>
      <w:r>
        <w:rPr>
          <w:rFonts w:ascii="Arial" w:cs="Arial" w:eastAsia="Arial" w:hAnsi="Arial"/>
          <w:sz w:val="18"/>
          <w:szCs w:val="18"/>
          <w:color w:val="auto"/>
          <w:vertAlign w:val="subscript"/>
        </w:rPr>
        <w:t>adhere to these rules.</w:t>
      </w:r>
      <w:r>
        <w:rPr>
          <w:rFonts w:ascii="Arial" w:cs="Arial" w:eastAsia="Arial" w:hAnsi="Arial"/>
          <w:sz w:val="13"/>
          <w:szCs w:val="13"/>
          <w:b w:val="1"/>
          <w:bCs w:val="1"/>
          <w:i w:val="1"/>
          <w:iCs w:val="1"/>
          <w:color w:val="auto"/>
        </w:rPr>
        <w:t xml:space="preserve">NoBurdensomeDirector Removal Restrictions: </w:t>
      </w:r>
      <w:r>
        <w:rPr>
          <w:rFonts w:ascii="Arial" w:cs="Arial" w:eastAsia="Arial" w:hAnsi="Arial"/>
          <w:sz w:val="13"/>
          <w:szCs w:val="13"/>
          <w:color w:val="auto"/>
        </w:rPr>
        <w:t>Our stockholders</w:t>
      </w:r>
    </w:p>
    <w:p>
      <w:pPr>
        <w:spacing w:after="0" w:line="200" w:lineRule="exact"/>
        <w:rPr>
          <w:sz w:val="20"/>
          <w:szCs w:val="20"/>
          <w:color w:val="auto"/>
        </w:rPr>
      </w:pPr>
    </w:p>
    <w:p>
      <w:pPr>
        <w:sectPr>
          <w:pgSz w:w="11900" w:h="16838" w:orient="portrait"/>
          <w:cols w:equalWidth="0" w:num="2">
            <w:col w:w="5560" w:space="138"/>
            <w:col w:w="5542"/>
          </w:cols>
          <w:pgMar w:left="320" w:top="161" w:right="3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Framework</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has adopted Corporate Governance Principles, which, together with our certificate of incorporation, bylaws, and committee charters, form the framework for our governance practices. The GS Committee reviews these principles at least annually to assess the</w:t>
      </w:r>
    </w:p>
    <w:p>
      <w:pPr>
        <w:jc w:val="both"/>
        <w:spacing w:after="0" w:line="271" w:lineRule="auto"/>
        <w:rPr>
          <w:sz w:val="20"/>
          <w:szCs w:val="20"/>
          <w:color w:val="auto"/>
        </w:rPr>
      </w:pPr>
      <w:r>
        <w:rPr>
          <w:rFonts w:ascii="Arial" w:cs="Arial" w:eastAsia="Arial" w:hAnsi="Arial"/>
          <w:sz w:val="18"/>
          <w:szCs w:val="18"/>
          <w:color w:val="auto"/>
        </w:rPr>
        <w:t>continued appropriateness of those guidelines in light of any new regulatory requirements and evolving governance practices. After this review, the GS committee recommends any proposed changes to the principles to the Board for its consideration and approval.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Role of the Board and Management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Our business is conducted by our employees and officers, under the direction of the CEO and the oversight of the Board, to enhance long-term value for our stockholders. Both our Board and management recognize that the long-term interests of stockholders are advanced by responsibly addressing the concerns of other stakeholders and interested parties, including employees, recruits, customers, suppliers, creditors,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communities, government officials and the public at large.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Leadership Structure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separate the roles of CEO and Chair of the Board. Our Board believes that, at this time, our current leadership structure best</w:t>
      </w:r>
    </w:p>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serves the interests of our Company and our stockholders by clearly allocating responsibilities between the two offices. As our President and CEO, Mr. El-Khoury is primarily responsible for managing the day-to-day business and developing and implementing our business strategy with the oversight of, and input from, the Board. As our Chair, Mr. Campbell is primarily responsible for leading the Board in its responsibilities of providing guidance to,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7" w:name="page18"/>
    <w:bookmarkEnd w:id="17"/>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oversight of, management. Our Chair works closely with our CEO and Chief Legal Officer to set the agendas for meetings, facilitate information flow between the Board and management and gain the benefit of the CEO’s company-specific knowledge and expertise.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Functions of the Board</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Board has at least four regularly-scheduled meetings per year at which it reviews and discusses reports by management on our performance, plans and prospects and immediate issues. The Board may choose to schedule additional meetings in accordance with our bylaws. In addition to general oversight of management, the Board, acting directly or through its various committees, also performs specific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functions, including, among other things: (i) selecting, evaluating and compensating the CEO and other senior executives and overseeing CEO and other senior executive succession planning; (ii) reviewing, monitoring and, where appropriate, approving fundamental financial and</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business strategies and major corporate actions; (iii) providing oversight for our ERM Program, including the establishment of corporate risk tolerance parameters and management’s implementation of processes for assessing and managing risks; (iv) ensuring that processes are in place for maintaining the integrity of our financial statements, compliance with law and ethics, relationships with customers and suppliers and relationships with other stakeholders; (v) overseeing climate, sustainability and other ESG-related initiatives; and (vi) performing such other functions as are prescribed by law or our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Code of Business Conduct, which sets forth principles of ethical and legal conduct to be followed by our directors,</w:t>
      </w:r>
    </w:p>
    <w:p>
      <w:pPr>
        <w:spacing w:after="0" w:line="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officers and employees. As described in greater detail below under “Ethics and Compliance Program,” this code requires anyone who reasonably believes or suspects that any director, officer or employee has violated the code, company policy or applicable law to report such activities to his or her supervisor or to our Chief Compliance Officer, either directly or anonymously.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Availability of Corporate Governance Materials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You may access our Corporate Governance Principles, our Code of Business Conduct, and all committee charters in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or a paper copy of each of these (and of our certificate of incorporation and our bylaws) is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available upon request by (i) writing to our Investor Relations Department, ON Semiconductor Corporation, 5701 North Pima Road, Scottsdale, Arizona 85250, (ii) calling our Investor Relations Department at (602) 244-3437 or (iii) emailing your request to investor@onsemi.com.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Diversity and Director Qualifications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shd w:val="clear" w:color="auto" w:fill="465E66"/>
          </w:tcPr>
          <w:p>
            <w:pPr>
              <w:spacing w:after="0"/>
              <w:rPr>
                <w:sz w:val="19"/>
                <w:szCs w:val="19"/>
                <w:color w:val="auto"/>
              </w:rPr>
            </w:pPr>
          </w:p>
        </w:tc>
        <w:tc>
          <w:tcPr>
            <w:tcW w:w="4500" w:type="dxa"/>
            <w:vAlign w:val="bottom"/>
            <w:shd w:val="clear" w:color="auto" w:fill="465E66"/>
          </w:tcPr>
          <w:p>
            <w:pPr>
              <w:ind w:left="360"/>
              <w:spacing w:after="0"/>
              <w:rPr>
                <w:sz w:val="20"/>
                <w:szCs w:val="20"/>
                <w:color w:val="auto"/>
              </w:rPr>
            </w:pPr>
            <w:r>
              <w:rPr>
                <w:rFonts w:ascii="Arial" w:cs="Arial" w:eastAsia="Arial" w:hAnsi="Arial"/>
                <w:sz w:val="18"/>
                <w:szCs w:val="18"/>
                <w:b w:val="1"/>
                <w:bCs w:val="1"/>
                <w:color w:val="FFFFFF"/>
              </w:rPr>
              <w:t>Board Diversity Matrix (as of January 26, 2024)</w:t>
            </w:r>
          </w:p>
        </w:tc>
        <w:tc>
          <w:tcPr>
            <w:tcW w:w="700" w:type="dxa"/>
            <w:vAlign w:val="bottom"/>
            <w:shd w:val="clear" w:color="auto" w:fill="465E66"/>
          </w:tcPr>
          <w:p>
            <w:pPr>
              <w:spacing w:after="0"/>
              <w:rPr>
                <w:sz w:val="19"/>
                <w:szCs w:val="19"/>
                <w:color w:val="auto"/>
              </w:rPr>
            </w:pPr>
          </w:p>
        </w:tc>
        <w:tc>
          <w:tcPr>
            <w:tcW w:w="1580" w:type="dxa"/>
            <w:vAlign w:val="bottom"/>
            <w:shd w:val="clear" w:color="auto" w:fill="465E66"/>
          </w:tcPr>
          <w:p>
            <w:pPr>
              <w:spacing w:after="0"/>
              <w:rPr>
                <w:sz w:val="19"/>
                <w:szCs w:val="19"/>
                <w:color w:val="auto"/>
              </w:rPr>
            </w:pPr>
          </w:p>
        </w:tc>
        <w:tc>
          <w:tcPr>
            <w:tcW w:w="1200" w:type="dxa"/>
            <w:vAlign w:val="bottom"/>
            <w:shd w:val="clear" w:color="auto" w:fill="465E6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 Number of Directors</w:t>
            </w:r>
          </w:p>
        </w:tc>
        <w:tc>
          <w:tcPr>
            <w:tcW w:w="4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ind w:right="1130"/>
              <w:spacing w:after="0"/>
              <w:rPr>
                <w:sz w:val="20"/>
                <w:szCs w:val="20"/>
                <w:color w:val="auto"/>
              </w:rPr>
            </w:pPr>
            <w:r>
              <w:rPr>
                <w:rFonts w:ascii="Arial" w:cs="Arial" w:eastAsia="Arial" w:hAnsi="Arial"/>
                <w:sz w:val="18"/>
                <w:szCs w:val="18"/>
                <w:b w:val="1"/>
                <w:bCs w:val="1"/>
                <w:color w:val="auto"/>
              </w:rPr>
              <w:t>10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60" w:type="dxa"/>
            <w:vAlign w:val="bottom"/>
            <w:shd w:val="clear" w:color="auto" w:fill="465E66"/>
          </w:tcPr>
          <w:p>
            <w:pPr>
              <w:spacing w:after="0"/>
              <w:rPr>
                <w:sz w:val="15"/>
                <w:szCs w:val="15"/>
                <w:color w:val="auto"/>
              </w:rPr>
            </w:pPr>
          </w:p>
        </w:tc>
        <w:tc>
          <w:tcPr>
            <w:tcW w:w="4500" w:type="dxa"/>
            <w:vAlign w:val="bottom"/>
            <w:shd w:val="clear" w:color="auto" w:fill="465E66"/>
          </w:tcPr>
          <w:p>
            <w:pPr>
              <w:spacing w:after="0"/>
              <w:rPr>
                <w:sz w:val="15"/>
                <w:szCs w:val="15"/>
                <w:color w:val="auto"/>
              </w:rPr>
            </w:pPr>
          </w:p>
        </w:tc>
        <w:tc>
          <w:tcPr>
            <w:tcW w:w="700" w:type="dxa"/>
            <w:vAlign w:val="bottom"/>
            <w:shd w:val="clear" w:color="auto" w:fill="465E66"/>
          </w:tcPr>
          <w:p>
            <w:pPr>
              <w:spacing w:after="0"/>
              <w:rPr>
                <w:sz w:val="15"/>
                <w:szCs w:val="15"/>
                <w:color w:val="auto"/>
              </w:rPr>
            </w:pPr>
          </w:p>
        </w:tc>
        <w:tc>
          <w:tcPr>
            <w:tcW w:w="1580" w:type="dxa"/>
            <w:vAlign w:val="bottom"/>
            <w:shd w:val="clear" w:color="auto" w:fill="465E66"/>
          </w:tcPr>
          <w:p>
            <w:pPr>
              <w:spacing w:after="0"/>
              <w:rPr>
                <w:sz w:val="15"/>
                <w:szCs w:val="15"/>
                <w:color w:val="auto"/>
              </w:rPr>
            </w:pPr>
          </w:p>
        </w:tc>
        <w:tc>
          <w:tcPr>
            <w:tcW w:w="1200" w:type="dxa"/>
            <w:vAlign w:val="bottom"/>
            <w:shd w:val="clear" w:color="auto" w:fill="465E66"/>
          </w:tcPr>
          <w:p>
            <w:pPr>
              <w:jc w:val="center"/>
              <w:spacing w:after="0" w:line="183" w:lineRule="exact"/>
              <w:rPr>
                <w:sz w:val="20"/>
                <w:szCs w:val="20"/>
                <w:color w:val="auto"/>
              </w:rPr>
            </w:pPr>
            <w:r>
              <w:rPr>
                <w:rFonts w:ascii="Arial" w:cs="Arial" w:eastAsia="Arial" w:hAnsi="Arial"/>
                <w:sz w:val="18"/>
                <w:szCs w:val="18"/>
                <w:b w:val="1"/>
                <w:bCs w:val="1"/>
                <w:color w:val="FFFFFF"/>
                <w:w w:val="99"/>
              </w:rPr>
              <w:t>Did Not</w:t>
            </w:r>
          </w:p>
        </w:tc>
        <w:tc>
          <w:tcPr>
            <w:tcW w:w="0" w:type="dxa"/>
            <w:vAlign w:val="bottom"/>
          </w:tcPr>
          <w:p>
            <w:pPr>
              <w:spacing w:after="0"/>
              <w:rPr>
                <w:sz w:val="1"/>
                <w:szCs w:val="1"/>
                <w:color w:val="auto"/>
              </w:rPr>
            </w:pPr>
          </w:p>
        </w:tc>
      </w:tr>
      <w:tr>
        <w:trPr>
          <w:trHeight w:val="181"/>
        </w:trPr>
        <w:tc>
          <w:tcPr>
            <w:tcW w:w="3260" w:type="dxa"/>
            <w:vAlign w:val="bottom"/>
            <w:shd w:val="clear" w:color="auto" w:fill="465E66"/>
          </w:tcPr>
          <w:p>
            <w:pPr>
              <w:spacing w:after="0"/>
              <w:rPr>
                <w:sz w:val="15"/>
                <w:szCs w:val="15"/>
                <w:color w:val="auto"/>
              </w:rPr>
            </w:pPr>
          </w:p>
        </w:tc>
        <w:tc>
          <w:tcPr>
            <w:tcW w:w="4500" w:type="dxa"/>
            <w:vAlign w:val="bottom"/>
            <w:vMerge w:val="restart"/>
            <w:shd w:val="clear" w:color="auto" w:fill="465E66"/>
          </w:tcPr>
          <w:p>
            <w:pPr>
              <w:jc w:val="center"/>
              <w:ind w:left="2590"/>
              <w:spacing w:after="0"/>
              <w:rPr>
                <w:sz w:val="20"/>
                <w:szCs w:val="20"/>
                <w:color w:val="auto"/>
              </w:rPr>
            </w:pPr>
            <w:r>
              <w:rPr>
                <w:rFonts w:ascii="Arial" w:cs="Arial" w:eastAsia="Arial" w:hAnsi="Arial"/>
                <w:sz w:val="18"/>
                <w:szCs w:val="18"/>
                <w:b w:val="1"/>
                <w:bCs w:val="1"/>
                <w:color w:val="FFFFFF"/>
                <w:w w:val="99"/>
              </w:rPr>
              <w:t>Female</w:t>
            </w:r>
          </w:p>
        </w:tc>
        <w:tc>
          <w:tcPr>
            <w:tcW w:w="700" w:type="dxa"/>
            <w:vAlign w:val="bottom"/>
            <w:vMerge w:val="restart"/>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Male</w:t>
            </w:r>
          </w:p>
        </w:tc>
        <w:tc>
          <w:tcPr>
            <w:tcW w:w="1580" w:type="dxa"/>
            <w:vAlign w:val="bottom"/>
            <w:vMerge w:val="restart"/>
            <w:shd w:val="clear" w:color="auto" w:fill="465E66"/>
          </w:tcPr>
          <w:p>
            <w:pPr>
              <w:jc w:val="right"/>
              <w:ind w:right="110"/>
              <w:spacing w:after="0"/>
              <w:rPr>
                <w:sz w:val="20"/>
                <w:szCs w:val="20"/>
                <w:color w:val="auto"/>
              </w:rPr>
            </w:pPr>
            <w:r>
              <w:rPr>
                <w:rFonts w:ascii="Arial" w:cs="Arial" w:eastAsia="Arial" w:hAnsi="Arial"/>
                <w:sz w:val="18"/>
                <w:szCs w:val="18"/>
                <w:b w:val="1"/>
                <w:bCs w:val="1"/>
                <w:color w:val="FFFFFF"/>
              </w:rPr>
              <w:t>Non-Binary</w:t>
            </w:r>
          </w:p>
        </w:tc>
        <w:tc>
          <w:tcPr>
            <w:tcW w:w="120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w w:val="99"/>
              </w:rPr>
              <w:t>Disclose</w:t>
            </w:r>
          </w:p>
        </w:tc>
        <w:tc>
          <w:tcPr>
            <w:tcW w:w="0" w:type="dxa"/>
            <w:vAlign w:val="bottom"/>
          </w:tcPr>
          <w:p>
            <w:pPr>
              <w:spacing w:after="0"/>
              <w:rPr>
                <w:sz w:val="1"/>
                <w:szCs w:val="1"/>
                <w:color w:val="auto"/>
              </w:rPr>
            </w:pPr>
          </w:p>
        </w:tc>
      </w:tr>
      <w:tr>
        <w:trPr>
          <w:trHeight w:val="247"/>
        </w:trPr>
        <w:tc>
          <w:tcPr>
            <w:tcW w:w="326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Part I. Gender Identity</w:t>
            </w:r>
          </w:p>
        </w:tc>
        <w:tc>
          <w:tcPr>
            <w:tcW w:w="4500" w:type="dxa"/>
            <w:vAlign w:val="bottom"/>
            <w:vMerge w:val="continue"/>
            <w:shd w:val="clear" w:color="auto" w:fill="465E66"/>
          </w:tcPr>
          <w:p>
            <w:pPr>
              <w:spacing w:after="0"/>
              <w:rPr>
                <w:sz w:val="21"/>
                <w:szCs w:val="21"/>
                <w:color w:val="auto"/>
              </w:rPr>
            </w:pPr>
          </w:p>
        </w:tc>
        <w:tc>
          <w:tcPr>
            <w:tcW w:w="700" w:type="dxa"/>
            <w:vAlign w:val="bottom"/>
            <w:vMerge w:val="continue"/>
            <w:shd w:val="clear" w:color="auto" w:fill="465E66"/>
          </w:tcPr>
          <w:p>
            <w:pPr>
              <w:spacing w:after="0"/>
              <w:rPr>
                <w:sz w:val="21"/>
                <w:szCs w:val="21"/>
                <w:color w:val="auto"/>
              </w:rPr>
            </w:pPr>
          </w:p>
        </w:tc>
        <w:tc>
          <w:tcPr>
            <w:tcW w:w="1580" w:type="dxa"/>
            <w:vAlign w:val="bottom"/>
            <w:vMerge w:val="continue"/>
            <w:shd w:val="clear" w:color="auto" w:fill="465E66"/>
          </w:tcPr>
          <w:p>
            <w:pPr>
              <w:spacing w:after="0"/>
              <w:rPr>
                <w:sz w:val="21"/>
                <w:szCs w:val="21"/>
                <w:color w:val="auto"/>
              </w:rPr>
            </w:pPr>
          </w:p>
        </w:tc>
        <w:tc>
          <w:tcPr>
            <w:tcW w:w="120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8"/>
              </w:rPr>
              <w:t>Gender</w:t>
            </w:r>
          </w:p>
        </w:tc>
        <w:tc>
          <w:tcPr>
            <w:tcW w:w="0" w:type="dxa"/>
            <w:vAlign w:val="bottom"/>
          </w:tcPr>
          <w:p>
            <w:pPr>
              <w:spacing w:after="0"/>
              <w:rPr>
                <w:sz w:val="1"/>
                <w:szCs w:val="1"/>
                <w:color w:val="auto"/>
              </w:rPr>
            </w:pPr>
          </w:p>
        </w:tc>
      </w:tr>
      <w:tr>
        <w:trPr>
          <w:trHeight w:val="212"/>
        </w:trPr>
        <w:tc>
          <w:tcPr>
            <w:tcW w:w="3260" w:type="dxa"/>
            <w:vAlign w:val="bottom"/>
            <w:vMerge w:val="continue"/>
            <w:shd w:val="clear" w:color="auto" w:fill="465E66"/>
          </w:tcPr>
          <w:p>
            <w:pPr>
              <w:spacing w:after="0"/>
              <w:rPr>
                <w:sz w:val="18"/>
                <w:szCs w:val="18"/>
                <w:color w:val="auto"/>
              </w:rPr>
            </w:pPr>
          </w:p>
        </w:tc>
        <w:tc>
          <w:tcPr>
            <w:tcW w:w="4500" w:type="dxa"/>
            <w:vAlign w:val="bottom"/>
            <w:shd w:val="clear" w:color="auto" w:fill="465E66"/>
          </w:tcPr>
          <w:p>
            <w:pPr>
              <w:spacing w:after="0"/>
              <w:rPr>
                <w:sz w:val="18"/>
                <w:szCs w:val="18"/>
                <w:color w:val="auto"/>
              </w:rPr>
            </w:pPr>
          </w:p>
        </w:tc>
        <w:tc>
          <w:tcPr>
            <w:tcW w:w="700" w:type="dxa"/>
            <w:vAlign w:val="bottom"/>
            <w:shd w:val="clear" w:color="auto" w:fill="465E66"/>
          </w:tcPr>
          <w:p>
            <w:pPr>
              <w:spacing w:after="0"/>
              <w:rPr>
                <w:sz w:val="18"/>
                <w:szCs w:val="18"/>
                <w:color w:val="auto"/>
              </w:rPr>
            </w:pPr>
          </w:p>
        </w:tc>
        <w:tc>
          <w:tcPr>
            <w:tcW w:w="1580" w:type="dxa"/>
            <w:vAlign w:val="bottom"/>
            <w:shd w:val="clear" w:color="auto" w:fill="465E66"/>
          </w:tcPr>
          <w:p>
            <w:pPr>
              <w:spacing w:after="0"/>
              <w:rPr>
                <w:sz w:val="18"/>
                <w:szCs w:val="18"/>
                <w:color w:val="auto"/>
              </w:rPr>
            </w:pPr>
          </w:p>
        </w:tc>
        <w:tc>
          <w:tcPr>
            <w:tcW w:w="1200" w:type="dxa"/>
            <w:vAlign w:val="bottom"/>
            <w:shd w:val="clear" w:color="auto" w:fill="465E6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Directors</w:t>
            </w:r>
          </w:p>
        </w:tc>
        <w:tc>
          <w:tcPr>
            <w:tcW w:w="4500" w:type="dxa"/>
            <w:vAlign w:val="bottom"/>
          </w:tcPr>
          <w:p>
            <w:pPr>
              <w:jc w:val="center"/>
              <w:ind w:left="2590"/>
              <w:spacing w:after="0"/>
              <w:rPr>
                <w:sz w:val="20"/>
                <w:szCs w:val="20"/>
                <w:color w:val="auto"/>
              </w:rPr>
            </w:pPr>
            <w:r>
              <w:rPr>
                <w:rFonts w:ascii="Arial" w:cs="Arial" w:eastAsia="Arial" w:hAnsi="Arial"/>
                <w:sz w:val="18"/>
                <w:szCs w:val="18"/>
                <w:color w:val="auto"/>
                <w:w w:val="99"/>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Part II. Demographic Background</w:t>
            </w:r>
          </w:p>
        </w:tc>
        <w:tc>
          <w:tcPr>
            <w:tcW w:w="4500" w:type="dxa"/>
            <w:vAlign w:val="bottom"/>
            <w:shd w:val="clear" w:color="auto" w:fill="465E66"/>
          </w:tcPr>
          <w:p>
            <w:pPr>
              <w:spacing w:after="0"/>
              <w:rPr>
                <w:sz w:val="19"/>
                <w:szCs w:val="19"/>
                <w:color w:val="auto"/>
              </w:rPr>
            </w:pPr>
          </w:p>
        </w:tc>
        <w:tc>
          <w:tcPr>
            <w:tcW w:w="700" w:type="dxa"/>
            <w:vAlign w:val="bottom"/>
            <w:shd w:val="clear" w:color="auto" w:fill="465E66"/>
          </w:tcPr>
          <w:p>
            <w:pPr>
              <w:spacing w:after="0"/>
              <w:rPr>
                <w:sz w:val="19"/>
                <w:szCs w:val="19"/>
                <w:color w:val="auto"/>
              </w:rPr>
            </w:pPr>
          </w:p>
        </w:tc>
        <w:tc>
          <w:tcPr>
            <w:tcW w:w="1580" w:type="dxa"/>
            <w:vAlign w:val="bottom"/>
            <w:shd w:val="clear" w:color="auto" w:fill="465E66"/>
          </w:tcPr>
          <w:p>
            <w:pPr>
              <w:spacing w:after="0"/>
              <w:rPr>
                <w:sz w:val="19"/>
                <w:szCs w:val="19"/>
                <w:color w:val="auto"/>
              </w:rPr>
            </w:pPr>
          </w:p>
        </w:tc>
        <w:tc>
          <w:tcPr>
            <w:tcW w:w="1200" w:type="dxa"/>
            <w:vAlign w:val="bottom"/>
            <w:shd w:val="clear" w:color="auto" w:fill="465E66"/>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0"/>
              <w:spacing w:after="0"/>
              <w:rPr>
                <w:sz w:val="20"/>
                <w:szCs w:val="20"/>
                <w:color w:val="auto"/>
              </w:rPr>
            </w:pPr>
            <w:r>
              <w:rPr>
                <w:rFonts w:ascii="Arial" w:cs="Arial" w:eastAsia="Arial" w:hAnsi="Arial"/>
                <w:sz w:val="18"/>
                <w:szCs w:val="18"/>
                <w:color w:val="auto"/>
              </w:rPr>
              <w:t>African American or Black</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8"/>
                <w:szCs w:val="18"/>
                <w:color w:val="auto"/>
              </w:rPr>
              <w:t>Alaskan Native or Native American</w:t>
            </w:r>
          </w:p>
        </w:tc>
        <w:tc>
          <w:tcPr>
            <w:tcW w:w="4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Asian</w:t>
            </w:r>
          </w:p>
        </w:tc>
        <w:tc>
          <w:tcPr>
            <w:tcW w:w="4500" w:type="dxa"/>
            <w:vAlign w:val="bottom"/>
          </w:tcPr>
          <w:p>
            <w:pPr>
              <w:jc w:val="center"/>
              <w:ind w:left="2590"/>
              <w:spacing w:after="0"/>
              <w:rPr>
                <w:sz w:val="20"/>
                <w:szCs w:val="20"/>
                <w:color w:val="auto"/>
              </w:rPr>
            </w:pPr>
            <w:r>
              <w:rPr>
                <w:rFonts w:ascii="Arial" w:cs="Arial" w:eastAsia="Arial" w:hAnsi="Arial"/>
                <w:sz w:val="18"/>
                <w:szCs w:val="18"/>
                <w:color w:val="auto"/>
                <w:w w:val="9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Hispanic or Latinx</w:t>
            </w:r>
          </w:p>
        </w:tc>
        <w:tc>
          <w:tcPr>
            <w:tcW w:w="4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Native Hawaiian or Pacific Islander</w:t>
            </w:r>
          </w:p>
        </w:tc>
        <w:tc>
          <w:tcPr>
            <w:tcW w:w="4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White</w:t>
            </w:r>
          </w:p>
        </w:tc>
        <w:tc>
          <w:tcPr>
            <w:tcW w:w="4500" w:type="dxa"/>
            <w:vAlign w:val="bottom"/>
          </w:tcPr>
          <w:p>
            <w:pPr>
              <w:jc w:val="center"/>
              <w:ind w:left="2590"/>
              <w:spacing w:after="0"/>
              <w:rPr>
                <w:sz w:val="20"/>
                <w:szCs w:val="20"/>
                <w:color w:val="auto"/>
              </w:rPr>
            </w:pPr>
            <w:r>
              <w:rPr>
                <w:rFonts w:ascii="Arial" w:cs="Arial" w:eastAsia="Arial" w:hAnsi="Arial"/>
                <w:sz w:val="18"/>
                <w:szCs w:val="18"/>
                <w:color w:val="auto"/>
                <w:w w:val="99"/>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Two or More Races or Ethnicities</w:t>
            </w:r>
          </w:p>
        </w:tc>
        <w:tc>
          <w:tcPr>
            <w:tcW w:w="4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LGBTQ+</w:t>
            </w:r>
          </w:p>
        </w:tc>
        <w:tc>
          <w:tcPr>
            <w:tcW w:w="4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577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-1094740</wp:posOffset>
            </wp:positionV>
            <wp:extent cx="71577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34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Did Not Disclose Demographic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To see our Board Diversity Matrix as of January 26, 2023, please see our proxy statement filed with the SEC on April 6, 2023.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Diversity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endeavor to have a Board representing diverse experiences in areas that are relevant to our global activities. In particular, we value international business experience and, as such, our directorship mix reflects that emphasis. With respect to traditional diversity concepts, we have two directors who identify as Asian and, in 2023, we increased our Board’s gender diversity to 30% female with the appointment of Ms. Lampe-Önnerud. As a group, our non-employee directors, each of whom has been nominated for re-election to the Board, have a balance of tenure (average tenure of approximately 6 years), age (average age of 62 years) and racial, ethnic and gender diversity (approximately</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44%), which we believe provides our Board with an effective mix of experience and fresh perspectives. The Board will continue to evaluate from time to time the composition of the Board, including addition to the Board of any director candidate that may complement the</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knowledge, skills and experience possessed by the nominees for director, to ensure that the composition of the Board appropriately reflects changes in our evolving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Qualifications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GS Committee is required to develop and periodically review criteria for nominees for director. When the GS Committee considers diversity, as it did in connection with the Board’s 2023 self-evaluation process, it considers diversity of experience, thought, skills and viewpoints, as well as diversity concepts, such as race, ethnicity or gender identification, as it deems appropriate. Among other matters, the GS Committee may consider the following nomination criteria regarding Board membership:</w:t>
      </w:r>
    </w:p>
    <w:p>
      <w:pPr>
        <w:spacing w:after="0" w:line="20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appropriate size of the Board;</w:t>
      </w:r>
    </w:p>
    <w:p>
      <w:pPr>
        <w:spacing w:after="0" w:line="13"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nominee’s knowledge, skills and experience, including, without limitation, experience in: finance and accounting, general business management, the semiconductor industry and semiconductor technology, international business, cybersecurity, sales and marketing, corporate governance and compliance and intellectual property;</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needs of the Company with respect to particular skills and experience;</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nominee’s experience leading and supporting ESG criteria, sustainability initiatives and civic responsibility;</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nominee’s independence as defined in Nasdaq and SEC rules and regulations;</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diversity, which fosters diversity of thought;</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nominee’s age and tenure;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desire to balance the benefit of continuity with the periodic injection of fresh perspectives provided by new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9" w:name="page20"/>
    <w:bookmarkEnd w:id="19"/>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Board’s goal is to assemble a diverse set of directors who bring together a variety of perspectives and skills derived from high-quality business and professional and personal experiences. Directors must be willing to devote sufficient time to carrying out their duties and responsibilities effectively and should be committed to serve on the Board for an extended period of time. Current members of the Board with skills and experience that are relevant to our business and who are willing to continue in service are considered for re-nomination. If any member of the Board does not wish to continue in service, if the GS Committee decides not to re-nominate a member for re-election or determines to replace that director or if the Board considers increasing the size of the Board, the Board identifies the desired skills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experience for a new nominee in light of the criteria described above. Pursuant to its charter, if a stockholder nominates a director in accordance with the director nomination procedures described in the bylaws, the GS Committee will consider that nomination and evaluate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such stockholder nomination in the same manner as it evaluates other nominees. Additionally, certain eligible stockholders may include one or more director nominees in our proxy statement without the GS Committee’s approval of such nominees, provided that the stockholders comply with certain disclosure requirements and notification procedures as described in greater detail in our bylaws.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Independence and Related Party Transactions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 Determination</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Governance Principles require that we seek to have, at a minimum, a majority of independent directors to comply at all times with relevant and applicable SEC, Nasdaq and other rules and regulations. Currently, the Board has affirmatively determined that each member of our Board, other than our President and CEO, Mr. El-Khoury, is an independent director. The Audit, HCC and GS Committees are composed entirely of independent directors, in each case under the Nasdaq listing standard’s independence definition.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and Relationships Considered in Independence Determinations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To determine independence, the Nasdaq listing standard’s definition of independence employs a series of objective tests, which include that the director is not an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 and that the director must not have engaged in certain types of business dealings with us. Additionally, the Board has made a subjective determination that no relationship exists with respect to each non-employee director which, in the opinion of the Board, would interfere with his or her exercise of independent judgment in carrying out the responsibilities of a director. In making such determinations, the Board reviewed and discussed information provided by the directors and our Legal Department with regard to each director’s business and other outside activities as they may relate to us and our management. This information included commercial transactions that we entered into, or proposed entering into, in fiscal year 2023 with Fujitsu Ltd., BorgWarner Inc., Itron, Inc., Sierra Wireless,</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 Stanley Black &amp; Decker and the Semiconductor Industry Association. Certain of our non-employee directors or their immediate family members have relationships with these companies. We consider each of these transactions to be at arm's-length and in the ordinary course</w:t>
      </w:r>
    </w:p>
    <w:p>
      <w:pPr>
        <w:spacing w:after="0" w:line="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of business and, as discussed in greater detail below, none are related party transactions requiring disclosure under SEC rules. Based on this review and consistent with our independence criteria, the Board has affirmatively determined that each of our current non-employee directors, all of whom are standing for re-election to our Board, is independent.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written policy on related party transactions to which all employees and our non-employee directors are required to adhere. This policy provides for review and oversight requirements and related procedures with respect to transactions in which: (i) we were, are or will be a participant; (ii) the amount involved exceeds $120,000; and (iii) any related party had, has or will have a direct or indirect material interest. Our related party transaction policy defines “related party” more broadly than SEC rules. As set forth in the Audit Committee’s charter, certain related party transactions are submitted to the Audit Committee (or another independent body of the Board) for review and oversight. In addition, all related party transactions must be reviewed by our Finance Department, in conjunction with our Legal Department, for potential conflict of interest situations and related matters on an ongoing basis. When review and oversight by the Audit Committee (or other</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independent body) is required, the reviewing body must be provided the details of such transactions, including, but not limited to, the terms of the transaction, the business purpose of the transaction and the benefits to us and to the other party. Our internal review process seeks to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ensure that any related party transaction is conducted on an arm’s-length basis and on terms that are fair and in the best interests of our stockholders. Since January 1, 2023, there have been no related party transactions required to be reported under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Board and Committee Meetings and Attendance</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met five times in 2023, and its committees, including any special committees, held a total of 25 meetings. In 2023, each director attended at least 75% of all meetings of the Board and any committees on which he or she served. While we do not have a formal policy requiring director attendance at annual meetings, our practice is to schedule Board and committee meetings on the same day in order to facilitate director attendance at the annual meeting. All of our directors who were serving at the time of the 2023 annual meeting of stockholders were in attendance at that meeting.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Committees of the Board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Board has four standing committees, with membership as follows:</w:t>
      </w:r>
    </w:p>
    <w:p>
      <w:pPr>
        <w:spacing w:after="0" w:line="3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480" w:type="dxa"/>
            <w:vAlign w:val="bottom"/>
            <w:shd w:val="clear" w:color="auto" w:fill="465E66"/>
          </w:tcPr>
          <w:p>
            <w:pPr>
              <w:spacing w:after="0"/>
              <w:rPr>
                <w:sz w:val="17"/>
                <w:szCs w:val="17"/>
                <w:color w:val="auto"/>
              </w:rPr>
            </w:pPr>
          </w:p>
        </w:tc>
        <w:tc>
          <w:tcPr>
            <w:tcW w:w="2080" w:type="dxa"/>
            <w:vAlign w:val="bottom"/>
            <w:shd w:val="clear" w:color="auto" w:fill="465E66"/>
          </w:tcPr>
          <w:p>
            <w:pPr>
              <w:spacing w:after="0"/>
              <w:rPr>
                <w:sz w:val="17"/>
                <w:szCs w:val="17"/>
                <w:color w:val="auto"/>
              </w:rPr>
            </w:pPr>
          </w:p>
        </w:tc>
        <w:tc>
          <w:tcPr>
            <w:tcW w:w="2260" w:type="dxa"/>
            <w:vAlign w:val="bottom"/>
            <w:shd w:val="clear" w:color="auto" w:fill="465E66"/>
          </w:tcPr>
          <w:p>
            <w:pPr>
              <w:spacing w:after="0"/>
              <w:rPr>
                <w:sz w:val="17"/>
                <w:szCs w:val="17"/>
                <w:color w:val="auto"/>
              </w:rPr>
            </w:pPr>
          </w:p>
        </w:tc>
        <w:tc>
          <w:tcPr>
            <w:tcW w:w="194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rPr>
              <w:t>Governance and</w:t>
            </w:r>
          </w:p>
        </w:tc>
        <w:tc>
          <w:tcPr>
            <w:tcW w:w="212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Human Capital and</w:t>
            </w:r>
          </w:p>
        </w:tc>
        <w:tc>
          <w:tcPr>
            <w:tcW w:w="0" w:type="dxa"/>
            <w:vAlign w:val="bottom"/>
          </w:tcPr>
          <w:p>
            <w:pPr>
              <w:spacing w:after="0"/>
              <w:rPr>
                <w:sz w:val="1"/>
                <w:szCs w:val="1"/>
                <w:color w:val="auto"/>
              </w:rPr>
            </w:pPr>
          </w:p>
        </w:tc>
      </w:tr>
      <w:tr>
        <w:trPr>
          <w:trHeight w:val="181"/>
        </w:trPr>
        <w:tc>
          <w:tcPr>
            <w:tcW w:w="248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Director</w:t>
            </w:r>
          </w:p>
        </w:tc>
        <w:tc>
          <w:tcPr>
            <w:tcW w:w="2080" w:type="dxa"/>
            <w:vAlign w:val="bottom"/>
            <w:vMerge w:val="restart"/>
            <w:shd w:val="clear" w:color="auto" w:fill="465E66"/>
          </w:tcPr>
          <w:p>
            <w:pPr>
              <w:jc w:val="center"/>
              <w:ind w:left="46"/>
              <w:spacing w:after="0"/>
              <w:rPr>
                <w:sz w:val="20"/>
                <w:szCs w:val="20"/>
                <w:color w:val="auto"/>
              </w:rPr>
            </w:pPr>
            <w:r>
              <w:rPr>
                <w:rFonts w:ascii="Arial" w:cs="Arial" w:eastAsia="Arial" w:hAnsi="Arial"/>
                <w:sz w:val="18"/>
                <w:szCs w:val="18"/>
                <w:b w:val="1"/>
                <w:bCs w:val="1"/>
                <w:color w:val="FFFFFF"/>
                <w:w w:val="99"/>
              </w:rPr>
              <w:t>Audit Committee</w:t>
            </w:r>
          </w:p>
        </w:tc>
        <w:tc>
          <w:tcPr>
            <w:tcW w:w="2260" w:type="dxa"/>
            <w:vAlign w:val="bottom"/>
            <w:vMerge w:val="restart"/>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Executive Committee</w:t>
            </w:r>
          </w:p>
        </w:tc>
        <w:tc>
          <w:tcPr>
            <w:tcW w:w="194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rPr>
              <w:t>Sustainability</w:t>
            </w:r>
          </w:p>
        </w:tc>
        <w:tc>
          <w:tcPr>
            <w:tcW w:w="2120" w:type="dxa"/>
            <w:vAlign w:val="bottom"/>
            <w:shd w:val="clear" w:color="auto" w:fill="465E66"/>
          </w:tcPr>
          <w:p>
            <w:pPr>
              <w:jc w:val="center"/>
              <w:spacing w:after="0" w:line="181" w:lineRule="exact"/>
              <w:rPr>
                <w:sz w:val="20"/>
                <w:szCs w:val="20"/>
                <w:color w:val="auto"/>
              </w:rPr>
            </w:pPr>
            <w:r>
              <w:rPr>
                <w:rFonts w:ascii="Arial" w:cs="Arial" w:eastAsia="Arial" w:hAnsi="Arial"/>
                <w:sz w:val="18"/>
                <w:szCs w:val="18"/>
                <w:b w:val="1"/>
                <w:bCs w:val="1"/>
                <w:color w:val="FFFFFF"/>
                <w:w w:val="99"/>
              </w:rPr>
              <w:t>Compensation</w:t>
            </w:r>
          </w:p>
        </w:tc>
        <w:tc>
          <w:tcPr>
            <w:tcW w:w="0" w:type="dxa"/>
            <w:vAlign w:val="bottom"/>
          </w:tcPr>
          <w:p>
            <w:pPr>
              <w:spacing w:after="0"/>
              <w:rPr>
                <w:sz w:val="1"/>
                <w:szCs w:val="1"/>
                <w:color w:val="auto"/>
              </w:rPr>
            </w:pPr>
          </w:p>
        </w:tc>
      </w:tr>
      <w:tr>
        <w:trPr>
          <w:trHeight w:val="230"/>
        </w:trPr>
        <w:tc>
          <w:tcPr>
            <w:tcW w:w="2480" w:type="dxa"/>
            <w:vAlign w:val="bottom"/>
            <w:vMerge w:val="continue"/>
            <w:shd w:val="clear" w:color="auto" w:fill="465E66"/>
          </w:tcPr>
          <w:p>
            <w:pPr>
              <w:spacing w:after="0"/>
              <w:rPr>
                <w:sz w:val="19"/>
                <w:szCs w:val="19"/>
                <w:color w:val="auto"/>
              </w:rPr>
            </w:pPr>
          </w:p>
        </w:tc>
        <w:tc>
          <w:tcPr>
            <w:tcW w:w="2080" w:type="dxa"/>
            <w:vAlign w:val="bottom"/>
            <w:vMerge w:val="continue"/>
            <w:shd w:val="clear" w:color="auto" w:fill="465E66"/>
          </w:tcPr>
          <w:p>
            <w:pPr>
              <w:spacing w:after="0"/>
              <w:rPr>
                <w:sz w:val="19"/>
                <w:szCs w:val="19"/>
                <w:color w:val="auto"/>
              </w:rPr>
            </w:pPr>
          </w:p>
        </w:tc>
        <w:tc>
          <w:tcPr>
            <w:tcW w:w="2260" w:type="dxa"/>
            <w:vAlign w:val="bottom"/>
            <w:vMerge w:val="continue"/>
            <w:shd w:val="clear" w:color="auto" w:fill="465E66"/>
          </w:tcPr>
          <w:p>
            <w:pPr>
              <w:spacing w:after="0"/>
              <w:rPr>
                <w:sz w:val="19"/>
                <w:szCs w:val="19"/>
                <w:color w:val="auto"/>
              </w:rPr>
            </w:pPr>
          </w:p>
        </w:tc>
        <w:tc>
          <w:tcPr>
            <w:tcW w:w="194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rPr>
              <w:t>Committee</w:t>
            </w:r>
          </w:p>
        </w:tc>
        <w:tc>
          <w:tcPr>
            <w:tcW w:w="212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0" w:type="dxa"/>
            <w:vAlign w:val="bottom"/>
          </w:tcPr>
          <w:p>
            <w:pPr>
              <w:spacing w:after="0"/>
              <w:rPr>
                <w:sz w:val="1"/>
                <w:szCs w:val="1"/>
                <w:color w:val="auto"/>
              </w:rPr>
            </w:pPr>
          </w:p>
        </w:tc>
      </w:tr>
      <w:tr>
        <w:trPr>
          <w:trHeight w:val="290"/>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Atsushi Abe</w:t>
            </w:r>
          </w:p>
        </w:tc>
        <w:tc>
          <w:tcPr>
            <w:tcW w:w="2080" w:type="dxa"/>
            <w:vAlign w:val="bottom"/>
            <w:tcBorders>
              <w:bottom w:val="single" w:sz="8" w:color="DBDBDB"/>
            </w:tcBorders>
            <w:shd w:val="clear" w:color="auto" w:fill="DBDBDB"/>
          </w:tcPr>
          <w:p>
            <w:pPr>
              <w:jc w:val="center"/>
              <w:ind w:left="46"/>
              <w:spacing w:after="0"/>
              <w:rPr>
                <w:sz w:val="20"/>
                <w:szCs w:val="20"/>
                <w:color w:val="auto"/>
              </w:rPr>
            </w:pPr>
            <w:r>
              <w:rPr>
                <w:rFonts w:ascii="Wingdings" w:cs="Wingdings" w:eastAsia="Wingdings" w:hAnsi="Wingdings"/>
                <w:sz w:val="25"/>
                <w:szCs w:val="25"/>
                <w:b w:val="1"/>
                <w:bCs w:val="1"/>
                <w:color w:val="auto"/>
              </w:rPr>
              <w:t>ü</w:t>
            </w:r>
          </w:p>
        </w:tc>
        <w:tc>
          <w:tcPr>
            <w:tcW w:w="2260" w:type="dxa"/>
            <w:vAlign w:val="bottom"/>
            <w:tcBorders>
              <w:bottom w:val="single" w:sz="8" w:color="DBDBDB"/>
            </w:tcBorders>
            <w:shd w:val="clear" w:color="auto" w:fill="DBDBDB"/>
          </w:tcPr>
          <w:p>
            <w:pPr>
              <w:spacing w:after="0"/>
              <w:rPr>
                <w:sz w:val="24"/>
                <w:szCs w:val="24"/>
                <w:color w:val="auto"/>
              </w:rPr>
            </w:pPr>
          </w:p>
        </w:tc>
        <w:tc>
          <w:tcPr>
            <w:tcW w:w="1940" w:type="dxa"/>
            <w:vAlign w:val="bottom"/>
            <w:tcBorders>
              <w:bottom w:val="single" w:sz="8" w:color="DBDBDB"/>
            </w:tcBorders>
            <w:shd w:val="clear" w:color="auto" w:fill="DBDBDB"/>
          </w:tcPr>
          <w:p>
            <w:pPr>
              <w:spacing w:after="0"/>
              <w:rPr>
                <w:sz w:val="24"/>
                <w:szCs w:val="24"/>
                <w:color w:val="auto"/>
              </w:rPr>
            </w:pPr>
          </w:p>
        </w:tc>
        <w:tc>
          <w:tcPr>
            <w:tcW w:w="212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480" w:type="dxa"/>
            <w:vAlign w:val="bottom"/>
          </w:tcPr>
          <w:p>
            <w:pPr>
              <w:ind w:left="20"/>
              <w:spacing w:after="0"/>
              <w:rPr>
                <w:sz w:val="20"/>
                <w:szCs w:val="20"/>
                <w:color w:val="auto"/>
              </w:rPr>
            </w:pPr>
            <w:r>
              <w:rPr>
                <w:rFonts w:ascii="Arial" w:cs="Arial" w:eastAsia="Arial" w:hAnsi="Arial"/>
                <w:sz w:val="18"/>
                <w:szCs w:val="18"/>
                <w:color w:val="auto"/>
              </w:rPr>
              <w:t>Alan Campbell</w:t>
            </w:r>
          </w:p>
        </w:tc>
        <w:tc>
          <w:tcPr>
            <w:tcW w:w="2080" w:type="dxa"/>
            <w:vAlign w:val="bottom"/>
          </w:tcPr>
          <w:p>
            <w:pPr>
              <w:jc w:val="center"/>
              <w:ind w:left="46"/>
              <w:spacing w:after="0"/>
              <w:rPr>
                <w:sz w:val="20"/>
                <w:szCs w:val="20"/>
                <w:color w:val="auto"/>
              </w:rPr>
            </w:pPr>
            <w:r>
              <w:rPr>
                <w:rFonts w:ascii="Wingdings" w:cs="Wingdings" w:eastAsia="Wingdings" w:hAnsi="Wingdings"/>
                <w:sz w:val="25"/>
                <w:szCs w:val="25"/>
                <w:b w:val="1"/>
                <w:bCs w:val="1"/>
                <w:color w:val="auto"/>
              </w:rPr>
              <w:t>ü</w:t>
            </w:r>
          </w:p>
        </w:tc>
        <w:tc>
          <w:tcPr>
            <w:tcW w:w="226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94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Susan K. Carter</w:t>
            </w:r>
          </w:p>
        </w:tc>
        <w:tc>
          <w:tcPr>
            <w:tcW w:w="2080" w:type="dxa"/>
            <w:vAlign w:val="bottom"/>
            <w:tcBorders>
              <w:bottom w:val="single" w:sz="8" w:color="DBDBDB"/>
            </w:tcBorders>
            <w:shd w:val="clear" w:color="auto" w:fill="DBDBDB"/>
          </w:tcPr>
          <w:p>
            <w:pPr>
              <w:jc w:val="center"/>
              <w:ind w:left="66"/>
              <w:spacing w:after="0"/>
              <w:rPr>
                <w:sz w:val="20"/>
                <w:szCs w:val="20"/>
                <w:color w:val="auto"/>
              </w:rPr>
            </w:pPr>
            <w:r>
              <w:rPr>
                <w:rFonts w:ascii="Arial" w:cs="Arial" w:eastAsia="Arial" w:hAnsi="Arial"/>
                <w:sz w:val="18"/>
                <w:szCs w:val="18"/>
                <w:color w:val="auto"/>
                <w:w w:val="97"/>
              </w:rPr>
              <w:t>Chair</w:t>
            </w:r>
          </w:p>
        </w:tc>
        <w:tc>
          <w:tcPr>
            <w:tcW w:w="2260" w:type="dxa"/>
            <w:vAlign w:val="bottom"/>
            <w:tcBorders>
              <w:bottom w:val="single" w:sz="8" w:color="DBDBDB"/>
            </w:tcBorders>
            <w:shd w:val="clear" w:color="auto" w:fill="DBDBDB"/>
          </w:tcPr>
          <w:p>
            <w:pPr>
              <w:spacing w:after="0"/>
              <w:rPr>
                <w:sz w:val="24"/>
                <w:szCs w:val="24"/>
                <w:color w:val="auto"/>
              </w:rPr>
            </w:pPr>
          </w:p>
        </w:tc>
        <w:tc>
          <w:tcPr>
            <w:tcW w:w="1940" w:type="dxa"/>
            <w:vAlign w:val="bottom"/>
            <w:tcBorders>
              <w:bottom w:val="single" w:sz="8" w:color="DBDBDB"/>
            </w:tcBorders>
            <w:shd w:val="clear" w:color="auto" w:fill="DBDBDB"/>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2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80" w:type="dxa"/>
            <w:vAlign w:val="bottom"/>
          </w:tcPr>
          <w:p>
            <w:pPr>
              <w:ind w:left="20"/>
              <w:spacing w:after="0"/>
              <w:rPr>
                <w:sz w:val="20"/>
                <w:szCs w:val="20"/>
                <w:color w:val="auto"/>
              </w:rPr>
            </w:pPr>
            <w:r>
              <w:rPr>
                <w:rFonts w:ascii="Arial" w:cs="Arial" w:eastAsia="Arial" w:hAnsi="Arial"/>
                <w:sz w:val="18"/>
                <w:szCs w:val="18"/>
                <w:color w:val="auto"/>
              </w:rPr>
              <w:t>Thomas L. Deitrich</w:t>
            </w:r>
          </w:p>
        </w:tc>
        <w:tc>
          <w:tcPr>
            <w:tcW w:w="2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120" w:type="dxa"/>
            <w:vAlign w:val="bottom"/>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Hassane El-Khoury</w:t>
            </w:r>
          </w:p>
        </w:tc>
        <w:tc>
          <w:tcPr>
            <w:tcW w:w="2080" w:type="dxa"/>
            <w:vAlign w:val="bottom"/>
            <w:tcBorders>
              <w:bottom w:val="single" w:sz="8" w:color="DBDBDB"/>
            </w:tcBorders>
            <w:shd w:val="clear" w:color="auto" w:fill="DBDBDB"/>
          </w:tcPr>
          <w:p>
            <w:pPr>
              <w:spacing w:after="0"/>
              <w:rPr>
                <w:sz w:val="24"/>
                <w:szCs w:val="24"/>
                <w:color w:val="auto"/>
              </w:rPr>
            </w:pPr>
          </w:p>
        </w:tc>
        <w:tc>
          <w:tcPr>
            <w:tcW w:w="2260" w:type="dxa"/>
            <w:vAlign w:val="bottom"/>
            <w:tcBorders>
              <w:bottom w:val="single" w:sz="8" w:color="DBDBDB"/>
            </w:tcBorders>
            <w:shd w:val="clear" w:color="auto" w:fill="DBDBDB"/>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940" w:type="dxa"/>
            <w:vAlign w:val="bottom"/>
            <w:tcBorders>
              <w:bottom w:val="single" w:sz="8" w:color="DBDBDB"/>
            </w:tcBorders>
            <w:shd w:val="clear" w:color="auto" w:fill="DBDBDB"/>
          </w:tcPr>
          <w:p>
            <w:pPr>
              <w:spacing w:after="0"/>
              <w:rPr>
                <w:sz w:val="24"/>
                <w:szCs w:val="24"/>
                <w:color w:val="auto"/>
              </w:rPr>
            </w:pPr>
          </w:p>
        </w:tc>
        <w:tc>
          <w:tcPr>
            <w:tcW w:w="212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80" w:type="dxa"/>
            <w:vAlign w:val="bottom"/>
          </w:tcPr>
          <w:p>
            <w:pPr>
              <w:ind w:left="20"/>
              <w:spacing w:after="0"/>
              <w:rPr>
                <w:sz w:val="20"/>
                <w:szCs w:val="20"/>
                <w:color w:val="auto"/>
              </w:rPr>
            </w:pPr>
            <w:r>
              <w:rPr>
                <w:rFonts w:ascii="Arial" w:cs="Arial" w:eastAsia="Arial" w:hAnsi="Arial"/>
                <w:sz w:val="18"/>
                <w:szCs w:val="18"/>
                <w:color w:val="auto"/>
              </w:rPr>
              <w:t>Bruce E. Kiddoo</w:t>
            </w:r>
          </w:p>
        </w:tc>
        <w:tc>
          <w:tcPr>
            <w:tcW w:w="2080" w:type="dxa"/>
            <w:vAlign w:val="bottom"/>
          </w:tcPr>
          <w:p>
            <w:pPr>
              <w:jc w:val="center"/>
              <w:ind w:left="46"/>
              <w:spacing w:after="0"/>
              <w:rPr>
                <w:sz w:val="20"/>
                <w:szCs w:val="20"/>
                <w:color w:val="auto"/>
              </w:rPr>
            </w:pPr>
            <w:r>
              <w:rPr>
                <w:rFonts w:ascii="Wingdings" w:cs="Wingdings" w:eastAsia="Wingdings" w:hAnsi="Wingdings"/>
                <w:sz w:val="25"/>
                <w:szCs w:val="25"/>
                <w:b w:val="1"/>
                <w:bCs w:val="1"/>
                <w:color w:val="auto"/>
              </w:rPr>
              <w:t>ü</w:t>
            </w:r>
          </w:p>
        </w:tc>
        <w:tc>
          <w:tcPr>
            <w:tcW w:w="2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Christina Lampe-Önnerud</w:t>
            </w:r>
          </w:p>
        </w:tc>
        <w:tc>
          <w:tcPr>
            <w:tcW w:w="2080" w:type="dxa"/>
            <w:vAlign w:val="bottom"/>
            <w:shd w:val="clear" w:color="auto" w:fill="DBDBDB"/>
          </w:tcPr>
          <w:p>
            <w:pPr>
              <w:jc w:val="center"/>
              <w:ind w:left="46"/>
              <w:spacing w:after="0"/>
              <w:rPr>
                <w:sz w:val="20"/>
                <w:szCs w:val="20"/>
                <w:color w:val="auto"/>
              </w:rPr>
            </w:pPr>
            <w:r>
              <w:rPr>
                <w:rFonts w:ascii="Wingdings" w:cs="Wingdings" w:eastAsia="Wingdings" w:hAnsi="Wingdings"/>
                <w:sz w:val="25"/>
                <w:szCs w:val="25"/>
                <w:b w:val="1"/>
                <w:bCs w:val="1"/>
                <w:color w:val="auto"/>
              </w:rPr>
              <w:t>ü</w:t>
            </w:r>
          </w:p>
        </w:tc>
        <w:tc>
          <w:tcPr>
            <w:tcW w:w="2260" w:type="dxa"/>
            <w:vAlign w:val="bottom"/>
            <w:shd w:val="clear" w:color="auto" w:fill="DBDBDB"/>
          </w:tcPr>
          <w:p>
            <w:pPr>
              <w:spacing w:after="0"/>
              <w:rPr>
                <w:sz w:val="24"/>
                <w:szCs w:val="24"/>
                <w:color w:val="auto"/>
              </w:rPr>
            </w:pPr>
          </w:p>
        </w:tc>
        <w:tc>
          <w:tcPr>
            <w:tcW w:w="1940" w:type="dxa"/>
            <w:vAlign w:val="bottom"/>
            <w:shd w:val="clear" w:color="auto" w:fill="DBDBDB"/>
          </w:tcPr>
          <w:p>
            <w:pPr>
              <w:spacing w:after="0"/>
              <w:rPr>
                <w:sz w:val="24"/>
                <w:szCs w:val="24"/>
                <w:color w:val="auto"/>
              </w:rPr>
            </w:pPr>
          </w:p>
        </w:tc>
        <w:tc>
          <w:tcPr>
            <w:tcW w:w="2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480" w:type="dxa"/>
            <w:vAlign w:val="bottom"/>
            <w:shd w:val="clear" w:color="auto" w:fill="DBDBDB"/>
          </w:tcPr>
          <w:p>
            <w:pPr>
              <w:spacing w:after="0"/>
              <w:rPr>
                <w:sz w:val="2"/>
                <w:szCs w:val="2"/>
                <w:color w:val="auto"/>
              </w:rPr>
            </w:pPr>
          </w:p>
        </w:tc>
        <w:tc>
          <w:tcPr>
            <w:tcW w:w="2080" w:type="dxa"/>
            <w:vAlign w:val="bottom"/>
            <w:shd w:val="clear" w:color="auto" w:fill="DBDBDB"/>
          </w:tcPr>
          <w:p>
            <w:pPr>
              <w:spacing w:after="0"/>
              <w:rPr>
                <w:sz w:val="2"/>
                <w:szCs w:val="2"/>
                <w:color w:val="auto"/>
              </w:rPr>
            </w:pPr>
          </w:p>
        </w:tc>
        <w:tc>
          <w:tcPr>
            <w:tcW w:w="2260" w:type="dxa"/>
            <w:vAlign w:val="bottom"/>
            <w:shd w:val="clear" w:color="auto" w:fill="DBDBDB"/>
          </w:tcPr>
          <w:p>
            <w:pPr>
              <w:spacing w:after="0"/>
              <w:rPr>
                <w:sz w:val="2"/>
                <w:szCs w:val="2"/>
                <w:color w:val="auto"/>
              </w:rPr>
            </w:pPr>
          </w:p>
        </w:tc>
        <w:tc>
          <w:tcPr>
            <w:tcW w:w="1940" w:type="dxa"/>
            <w:vAlign w:val="bottom"/>
            <w:shd w:val="clear" w:color="auto" w:fill="DBDBDB"/>
          </w:tcPr>
          <w:p>
            <w:pPr>
              <w:spacing w:after="0"/>
              <w:rPr>
                <w:sz w:val="2"/>
                <w:szCs w:val="2"/>
                <w:color w:val="auto"/>
              </w:rPr>
            </w:pPr>
          </w:p>
        </w:tc>
        <w:tc>
          <w:tcPr>
            <w:tcW w:w="21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61" w:right="339" w:bottom="1440" w:gutter="0" w:footer="0" w:header="0"/>
        </w:sectPr>
      </w:pP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Paul A. Mascarenas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Gregory L. Waters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Christine Y. Yan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25"/>
          <w:szCs w:val="25"/>
          <w:b w:val="1"/>
          <w:bCs w:val="1"/>
          <w:color w:val="auto"/>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19050</wp:posOffset>
            </wp:positionV>
            <wp:extent cx="6909435"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09435" cy="1968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Wingdings" w:cs="Wingdings" w:eastAsia="Wingdings" w:hAnsi="Wingdings"/>
          <w:sz w:val="25"/>
          <w:szCs w:val="25"/>
          <w:b w:val="1"/>
          <w:bCs w:val="1"/>
          <w:color w:val="auto"/>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164465</wp:posOffset>
            </wp:positionV>
            <wp:extent cx="6909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240" w:val="left"/>
        </w:tabs>
        <w:rPr>
          <w:sz w:val="20"/>
          <w:szCs w:val="20"/>
          <w:color w:val="auto"/>
        </w:rPr>
      </w:pPr>
      <w:r>
        <w:rPr>
          <w:rFonts w:ascii="Arial" w:cs="Arial" w:eastAsia="Arial" w:hAnsi="Arial"/>
          <w:sz w:val="18"/>
          <w:szCs w:val="18"/>
          <w:color w:val="auto"/>
        </w:rPr>
        <w:t>Chair</w:t>
      </w:r>
      <w:r>
        <w:rPr>
          <w:sz w:val="20"/>
          <w:szCs w:val="20"/>
          <w:color w:val="auto"/>
        </w:rPr>
        <w:tab/>
      </w:r>
      <w:r>
        <w:rPr>
          <w:rFonts w:ascii="Wingdings" w:cs="Wingdings" w:eastAsia="Wingdings" w:hAnsi="Wingdings"/>
          <w:sz w:val="25"/>
          <w:szCs w:val="25"/>
          <w:b w:val="1"/>
          <w:bCs w:val="1"/>
          <w:color w:val="auto"/>
        </w:rPr>
        <w:t>ü</w:t>
      </w:r>
    </w:p>
    <w:p>
      <w:pPr>
        <w:spacing w:after="0" w:line="33" w:lineRule="exact"/>
        <w:rPr>
          <w:sz w:val="20"/>
          <w:szCs w:val="20"/>
          <w:color w:val="auto"/>
        </w:rPr>
      </w:pPr>
    </w:p>
    <w:p>
      <w:pPr>
        <w:jc w:val="right"/>
        <w:ind w:right="1120"/>
        <w:spacing w:after="0"/>
        <w:rPr>
          <w:sz w:val="20"/>
          <w:szCs w:val="20"/>
          <w:color w:val="auto"/>
        </w:rPr>
      </w:pPr>
      <w:r>
        <w:rPr>
          <w:rFonts w:ascii="Wingdings" w:cs="Wingdings" w:eastAsia="Wingdings" w:hAnsi="Wingdings"/>
          <w:sz w:val="25"/>
          <w:szCs w:val="25"/>
          <w:b w:val="1"/>
          <w:bCs w:val="1"/>
          <w:color w:val="auto"/>
        </w:rPr>
        <w:t>ü</w:t>
      </w:r>
    </w:p>
    <w:p>
      <w:pPr>
        <w:spacing w:after="0" w:line="25"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ectPr>
          <w:pgSz w:w="11900" w:h="16838" w:orient="portrait"/>
          <w:cols w:equalWidth="0" w:num="3">
            <w:col w:w="5040" w:space="720"/>
            <w:col w:w="1180" w:space="720"/>
            <w:col w:w="3580"/>
          </w:cols>
          <w:pgMar w:left="320" w:top="161" w:right="339" w:bottom="1440" w:gutter="0" w:footer="0" w:header="0"/>
          <w:type w:val="continuous"/>
        </w:sectPr>
      </w:pP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Each of our Board’s standing committees has a formal written charter, and copies of the charters for the Audit, HCC and GS Committee are available in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The Audit, HCC and GS Committees review their charters at least annually. Below is an overview of the functions served by each standing committee, including highlights from that committee’s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1" w:name="page22"/>
    <w:bookmarkEnd w:id="21"/>
    <w:p>
      <w:pPr>
        <w:jc w:val="right"/>
        <w:ind w:right="20"/>
        <w:spacing w:after="0"/>
        <w:rPr>
          <w:sz w:val="20"/>
          <w:szCs w:val="20"/>
          <w:color w:val="auto"/>
        </w:rPr>
      </w:pPr>
      <w:r>
        <w:rPr>
          <w:rFonts w:ascii="Arial" w:cs="Arial" w:eastAsia="Arial" w:hAnsi="Arial"/>
          <w:sz w:val="18"/>
          <w:szCs w:val="18"/>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488950</wp:posOffset>
            </wp:positionV>
            <wp:extent cx="6163310" cy="603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6331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465E66"/>
        </w:rPr>
        <w:t>AUDIT COMMITTEE</w:t>
      </w:r>
    </w:p>
    <w:p>
      <w:pPr>
        <w:sectPr>
          <w:pgSz w:w="11900" w:h="16838" w:orient="portrait"/>
          <w:cols w:equalWidth="0" w:num="1">
            <w:col w:w="11240"/>
          </w:cols>
          <w:pgMar w:left="320" w:top="161" w:right="339" w:bottom="1440" w:gutter="0" w:footer="0" w:header="0"/>
        </w:sectPr>
      </w:pPr>
    </w:p>
    <w:p>
      <w:pPr>
        <w:spacing w:after="0" w:line="306"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E97D2E"/>
        </w:rPr>
        <w:t xml:space="preserve">12 </w:t>
      </w:r>
      <w:r>
        <w:rPr>
          <w:rFonts w:ascii="Arial" w:cs="Arial" w:eastAsia="Arial" w:hAnsi="Arial"/>
          <w:sz w:val="17"/>
          <w:szCs w:val="17"/>
          <w:color w:val="000000"/>
        </w:rPr>
        <w:t>meetings in</w:t>
      </w:r>
      <w:r>
        <w:rPr>
          <w:rFonts w:ascii="Arial" w:cs="Arial" w:eastAsia="Arial" w:hAnsi="Arial"/>
          <w:sz w:val="17"/>
          <w:szCs w:val="17"/>
          <w:b w:val="1"/>
          <w:bCs w:val="1"/>
          <w:color w:val="E97D2E"/>
        </w:rPr>
        <w:t xml:space="preserve"> 2023</w:t>
      </w:r>
    </w:p>
    <w:p>
      <w:pPr>
        <w:spacing w:after="0" w:line="31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780"/>
        <w:spacing w:after="0" w:line="219" w:lineRule="auto"/>
        <w:rPr>
          <w:sz w:val="20"/>
          <w:szCs w:val="20"/>
          <w:color w:val="auto"/>
        </w:rPr>
      </w:pPr>
      <w:r>
        <w:rPr>
          <w:rFonts w:ascii="Arial" w:cs="Arial" w:eastAsia="Arial" w:hAnsi="Arial"/>
          <w:sz w:val="18"/>
          <w:szCs w:val="18"/>
          <w:color w:val="auto"/>
        </w:rPr>
        <w:t>Susan K. Carter, Chair</w:t>
      </w:r>
    </w:p>
    <w:p>
      <w:pPr>
        <w:ind w:left="780"/>
        <w:spacing w:after="0" w:line="203" w:lineRule="auto"/>
        <w:rPr>
          <w:sz w:val="20"/>
          <w:szCs w:val="20"/>
          <w:color w:val="auto"/>
        </w:rPr>
      </w:pPr>
      <w:r>
        <w:rPr>
          <w:rFonts w:ascii="Arial" w:cs="Arial" w:eastAsia="Arial" w:hAnsi="Arial"/>
          <w:sz w:val="18"/>
          <w:szCs w:val="18"/>
          <w:color w:val="auto"/>
        </w:rPr>
        <w:t>Atsushi Abe</w:t>
      </w:r>
    </w:p>
    <w:p>
      <w:pPr>
        <w:ind w:left="780"/>
        <w:spacing w:after="0" w:line="204" w:lineRule="auto"/>
        <w:rPr>
          <w:sz w:val="20"/>
          <w:szCs w:val="20"/>
          <w:color w:val="auto"/>
        </w:rPr>
      </w:pPr>
      <w:r>
        <w:rPr>
          <w:rFonts w:ascii="Arial" w:cs="Arial" w:eastAsia="Arial" w:hAnsi="Arial"/>
          <w:sz w:val="18"/>
          <w:szCs w:val="18"/>
          <w:color w:val="auto"/>
        </w:rPr>
        <w:t>Alan Campbell</w:t>
      </w:r>
    </w:p>
    <w:p>
      <w:pPr>
        <w:ind w:left="780"/>
        <w:spacing w:after="0" w:line="219" w:lineRule="auto"/>
        <w:rPr>
          <w:sz w:val="20"/>
          <w:szCs w:val="20"/>
          <w:color w:val="auto"/>
        </w:rPr>
      </w:pPr>
      <w:r>
        <w:rPr>
          <w:rFonts w:ascii="Arial" w:cs="Arial" w:eastAsia="Arial" w:hAnsi="Arial"/>
          <w:sz w:val="18"/>
          <w:szCs w:val="18"/>
          <w:color w:val="auto"/>
        </w:rPr>
        <w:t>Bruce E. Kiddoo</w:t>
      </w:r>
    </w:p>
    <w:p>
      <w:pPr>
        <w:ind w:left="780"/>
        <w:spacing w:after="0"/>
        <w:rPr>
          <w:sz w:val="20"/>
          <w:szCs w:val="20"/>
          <w:color w:val="auto"/>
        </w:rPr>
      </w:pPr>
      <w:r>
        <w:rPr>
          <w:rFonts w:ascii="Arial" w:cs="Arial" w:eastAsia="Arial" w:hAnsi="Arial"/>
          <w:sz w:val="18"/>
          <w:szCs w:val="18"/>
          <w:color w:val="auto"/>
        </w:rPr>
        <w:t>Christina Lampe-Önnerud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465E66"/>
        </w:rPr>
        <w:t>Primary Responsibilities</w:t>
      </w:r>
    </w:p>
    <w:p>
      <w:pPr>
        <w:ind w:left="242" w:right="1360" w:hanging="242"/>
        <w:spacing w:after="0" w:line="211"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Monitor the integrity of the Company’s corporate accounting and financial reporting processes and the audits of financial statements</w:t>
      </w:r>
    </w:p>
    <w:p>
      <w:pPr>
        <w:ind w:left="242" w:right="860" w:hanging="242"/>
        <w:spacing w:after="0" w:line="211"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Appoint, determine funding for and oversee our independent registered public accounting firm</w:t>
      </w:r>
    </w:p>
    <w:p>
      <w:pPr>
        <w:ind w:left="242" w:right="780" w:hanging="242"/>
        <w:spacing w:after="0" w:line="203"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Review the independence, qualifications and performance of our internal and independent auditors</w:t>
      </w:r>
    </w:p>
    <w:p>
      <w:pPr>
        <w:ind w:left="242" w:right="820" w:hanging="242"/>
        <w:spacing w:after="0" w:line="211"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Pursuant to SEC rules,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 w:lineRule="exact"/>
        <w:rPr>
          <w:rFonts w:ascii="Arial" w:cs="Arial" w:eastAsia="Arial" w:hAnsi="Arial"/>
          <w:sz w:val="18"/>
          <w:szCs w:val="18"/>
          <w:color w:val="276990"/>
        </w:rPr>
      </w:pPr>
    </w:p>
    <w:p>
      <w:pPr>
        <w:ind w:left="242" w:right="960" w:hanging="242"/>
        <w:spacing w:after="0" w:line="203"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Discuss with management the Company’s major financial risk exposures and processes in place to monitor and control such exposures</w:t>
      </w:r>
    </w:p>
    <w:p>
      <w:pPr>
        <w:ind w:left="242" w:right="880" w:hanging="242"/>
        <w:spacing w:after="0" w:line="211"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Review insurance coverage for directors and officers, and make recommendations to the Board with respect to such insurance</w:t>
      </w:r>
    </w:p>
    <w:p>
      <w:pPr>
        <w:ind w:left="242" w:right="800" w:hanging="242"/>
        <w:spacing w:after="0" w:line="211"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Oversee the Company’s cybersecurity posture and actions remediating any issues related to the protection or privacy of the Company’s data</w:t>
      </w:r>
    </w:p>
    <w:p>
      <w:pPr>
        <w:ind w:left="242" w:right="1040" w:hanging="242"/>
        <w:spacing w:after="0" w:line="203"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Review and oversee related party transactions in accordance with applicable securities laws</w:t>
      </w:r>
    </w:p>
    <w:p>
      <w:pPr>
        <w:ind w:left="242" w:right="1020" w:hanging="242"/>
        <w:spacing w:after="0" w:line="208"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Review, discuss and recommend the Company’s quarterly and annual audited financial statements for inclusion in the Company’s quarterly reports and annual report, respectively</w:t>
      </w:r>
    </w:p>
    <w:p>
      <w:pPr>
        <w:spacing w:after="0" w:line="1" w:lineRule="exact"/>
        <w:rPr>
          <w:rFonts w:ascii="Arial" w:cs="Arial" w:eastAsia="Arial" w:hAnsi="Arial"/>
          <w:sz w:val="18"/>
          <w:szCs w:val="18"/>
          <w:color w:val="276990"/>
        </w:rPr>
      </w:pPr>
    </w:p>
    <w:p>
      <w:pPr>
        <w:ind w:left="162" w:hanging="162"/>
        <w:spacing w:after="0" w:line="219" w:lineRule="auto"/>
        <w:tabs>
          <w:tab w:leader="none" w:pos="162"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Periodically review the tax strategy of the Company</w:t>
      </w:r>
    </w:p>
    <w:p>
      <w:pPr>
        <w:ind w:left="242" w:right="780" w:hanging="242"/>
        <w:spacing w:after="0" w:line="207"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Oversee the effectiveness of the Company’s legal compliance policies and programs, as well as the handling of (i) any known material non-compliance with applicable regulations or (ii) other legal and regulatory matters that may have a material impact on the Company’s finances or compliance policies</w:t>
      </w:r>
    </w:p>
    <w:p>
      <w:pPr>
        <w:spacing w:after="0" w:line="1" w:lineRule="exact"/>
        <w:rPr>
          <w:rFonts w:ascii="Arial" w:cs="Arial" w:eastAsia="Arial" w:hAnsi="Arial"/>
          <w:sz w:val="18"/>
          <w:szCs w:val="18"/>
          <w:color w:val="276990"/>
        </w:rPr>
      </w:pPr>
    </w:p>
    <w:p>
      <w:pPr>
        <w:ind w:left="242" w:right="1600" w:hanging="242"/>
        <w:spacing w:after="0" w:line="229" w:lineRule="auto"/>
        <w:tabs>
          <w:tab w:leader="none" w:pos="158" w:val="left"/>
        </w:tabs>
        <w:numPr>
          <w:ilvl w:val="0"/>
          <w:numId w:val="39"/>
        </w:numPr>
        <w:rPr>
          <w:rFonts w:ascii="Arial" w:cs="Arial" w:eastAsia="Arial" w:hAnsi="Arial"/>
          <w:sz w:val="18"/>
          <w:szCs w:val="18"/>
          <w:color w:val="276990"/>
        </w:rPr>
      </w:pPr>
      <w:r>
        <w:rPr>
          <w:rFonts w:ascii="Arial" w:cs="Arial" w:eastAsia="Arial" w:hAnsi="Arial"/>
          <w:sz w:val="18"/>
          <w:szCs w:val="18"/>
          <w:color w:val="auto"/>
        </w:rPr>
        <w:t>Provide guidance for the Company’s ERM Program and review and oversee the Company’s ethics and compliance program</w:t>
      </w:r>
    </w:p>
    <w:p>
      <w:pPr>
        <w:spacing w:after="0" w:line="200" w:lineRule="exact"/>
        <w:rPr>
          <w:sz w:val="20"/>
          <w:szCs w:val="20"/>
          <w:color w:val="auto"/>
        </w:rPr>
      </w:pPr>
    </w:p>
    <w:p>
      <w:pPr>
        <w:sectPr>
          <w:pgSz w:w="11900" w:h="16838" w:orient="portrait"/>
          <w:cols w:equalWidth="0" w:num="2">
            <w:col w:w="2860" w:space="278"/>
            <w:col w:w="8102"/>
          </w:cols>
          <w:pgMar w:left="320" w:top="161" w:right="339" w:bottom="1440" w:gutter="0" w:footer="0" w:header="0"/>
          <w:type w:val="continuous"/>
        </w:sectPr>
      </w:pPr>
    </w:p>
    <w:p>
      <w:pPr>
        <w:spacing w:after="0" w:line="116"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As required by SEC rules, the Audit Committee prepares a report that is included in our proxy statement. This report may be found immediately following Proposal No. 3.</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has determined that each member of the Audit Committee is independent within the meaning of applicable SEC rules and Nasdaq listing standards for director independence generally and for audit committee service specifically and that each of them is financially literate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current Nasdaq listing standards. The Board has also determined that three current members of this committee — Alan Campbell, Susan K. Carter and Bruce E. Kiddoo — meet the qualifications of an “audit committee financial expert” in accordance with SEC rules and similar financial sophistication rules under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6163310" cy="603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6331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465E66"/>
        </w:rPr>
        <w:t>GOVERNANCE AND SUSTAINABILITY COMMITTEE</w:t>
      </w:r>
    </w:p>
    <w:p>
      <w:pPr>
        <w:sectPr>
          <w:pgSz w:w="11900" w:h="16838" w:orient="portrait"/>
          <w:cols w:equalWidth="0" w:num="1">
            <w:col w:w="11240"/>
          </w:cols>
          <w:pgMar w:left="320" w:top="161" w:right="339" w:bottom="1440" w:gutter="0" w:footer="0" w:header="0"/>
        </w:sect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6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spacing w:after="0" w:line="232" w:lineRule="auto"/>
        <w:rPr>
          <w:sz w:val="20"/>
          <w:szCs w:val="20"/>
          <w:color w:val="auto"/>
        </w:rPr>
      </w:pPr>
      <w:r>
        <w:rPr>
          <w:rFonts w:ascii="Arial" w:cs="Arial" w:eastAsia="Arial" w:hAnsi="Arial"/>
          <w:sz w:val="17"/>
          <w:szCs w:val="17"/>
          <w:color w:val="auto"/>
        </w:rPr>
        <w:t>Paul A. Mascarenas, Chair</w:t>
      </w:r>
    </w:p>
    <w:p>
      <w:pPr>
        <w:ind w:left="20" w:right="620"/>
        <w:spacing w:after="0" w:line="221" w:lineRule="auto"/>
        <w:rPr>
          <w:sz w:val="20"/>
          <w:szCs w:val="20"/>
          <w:color w:val="auto"/>
        </w:rPr>
      </w:pPr>
      <w:r>
        <w:rPr>
          <w:rFonts w:ascii="Arial" w:cs="Arial" w:eastAsia="Arial" w:hAnsi="Arial"/>
          <w:sz w:val="18"/>
          <w:szCs w:val="18"/>
          <w:color w:val="auto"/>
        </w:rPr>
        <w:t>Alan Campbell Susan K. Carter Thomas L. Deitrich</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465E66"/>
        </w:rPr>
        <w:t>Primary Responsibilities</w:t>
      </w:r>
    </w:p>
    <w:p>
      <w:pPr>
        <w:ind w:left="260" w:right="1640" w:hanging="252"/>
        <w:spacing w:after="0" w:line="211"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Identify individuals qualified to become Board members, including through a professional search firm engaged from time to time</w:t>
      </w:r>
    </w:p>
    <w:p>
      <w:pPr>
        <w:ind w:left="260" w:right="1680" w:hanging="252"/>
        <w:spacing w:after="0" w:line="211"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Consider and make recommendations with respect to Board and committee composition and size</w:t>
      </w:r>
    </w:p>
    <w:p>
      <w:pPr>
        <w:ind w:left="260" w:right="1740" w:hanging="252"/>
        <w:spacing w:after="0" w:line="203" w:lineRule="auto"/>
        <w:tabs>
          <w:tab w:leader="none" w:pos="176"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Monitor the process to assess Board effectiveness and oversee evaluation of the Board and its committees</w:t>
      </w:r>
    </w:p>
    <w:p>
      <w:pPr>
        <w:ind w:left="160" w:hanging="152"/>
        <w:spacing w:after="0" w:line="219" w:lineRule="auto"/>
        <w:tabs>
          <w:tab w:leader="none" w:pos="160"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Develop and implement the Company’s Corporate Governance Principles</w:t>
      </w:r>
    </w:p>
    <w:p>
      <w:pPr>
        <w:ind w:left="160" w:hanging="152"/>
        <w:spacing w:after="0" w:line="203" w:lineRule="auto"/>
        <w:tabs>
          <w:tab w:leader="none" w:pos="160"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Develop and periodically review criteria for nominees for director</w:t>
      </w:r>
    </w:p>
    <w:p>
      <w:pPr>
        <w:ind w:left="260" w:right="2100" w:hanging="252"/>
        <w:spacing w:after="0" w:line="211"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Oversee the director orientation program and others designed to improve directors’ understanding of the Company</w:t>
      </w:r>
    </w:p>
    <w:p>
      <w:pPr>
        <w:ind w:left="260" w:right="1700" w:hanging="252"/>
        <w:spacing w:after="0" w:line="203"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Oversee climate-related and sustainability-related initiatives and other Company actions associated with the environment</w:t>
      </w:r>
    </w:p>
    <w:p>
      <w:pPr>
        <w:ind w:left="260" w:right="1620" w:hanging="252"/>
        <w:spacing w:after="0" w:line="211"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Review and oversee matters related to environmental, health and safety, and ESG topics and related Code of Business Conduct provisions</w:t>
      </w:r>
    </w:p>
    <w:p>
      <w:pPr>
        <w:ind w:left="260" w:right="2080" w:hanging="252"/>
        <w:spacing w:after="0" w:line="229" w:lineRule="auto"/>
        <w:tabs>
          <w:tab w:leader="none" w:pos="175" w:val="left"/>
        </w:tabs>
        <w:numPr>
          <w:ilvl w:val="0"/>
          <w:numId w:val="40"/>
        </w:numPr>
        <w:rPr>
          <w:rFonts w:ascii="Arial" w:cs="Arial" w:eastAsia="Arial" w:hAnsi="Arial"/>
          <w:sz w:val="18"/>
          <w:szCs w:val="18"/>
          <w:color w:val="276990"/>
        </w:rPr>
      </w:pPr>
      <w:r>
        <w:rPr>
          <w:rFonts w:ascii="Arial" w:cs="Arial" w:eastAsia="Arial" w:hAnsi="Arial"/>
          <w:sz w:val="18"/>
          <w:szCs w:val="18"/>
          <w:color w:val="auto"/>
        </w:rPr>
        <w:t>Oversee succession planning for the CEO and coordinate with the HCC Committee regarding potential succession candidates identified internally</w:t>
      </w:r>
    </w:p>
    <w:p>
      <w:pPr>
        <w:spacing w:after="0" w:line="154" w:lineRule="exact"/>
        <w:rPr>
          <w:sz w:val="20"/>
          <w:szCs w:val="20"/>
          <w:color w:val="auto"/>
        </w:rPr>
      </w:pPr>
    </w:p>
    <w:p>
      <w:pPr>
        <w:sectPr>
          <w:pgSz w:w="11900" w:h="16838" w:orient="portrait"/>
          <w:cols w:equalWidth="0" w:num="2">
            <w:col w:w="2160" w:space="220"/>
            <w:col w:w="8860"/>
          </w:cols>
          <w:pgMar w:left="320" w:top="161" w:right="339" w:bottom="1440" w:gutter="0" w:footer="0" w:header="0"/>
          <w:type w:val="continuous"/>
        </w:sectPr>
      </w:pPr>
    </w:p>
    <w:p>
      <w:pPr>
        <w:ind w:right="160"/>
        <w:spacing w:after="0" w:line="271" w:lineRule="auto"/>
        <w:rPr>
          <w:sz w:val="20"/>
          <w:szCs w:val="20"/>
          <w:color w:val="auto"/>
        </w:rPr>
      </w:pPr>
      <w:r>
        <w:rPr>
          <w:rFonts w:ascii="Arial" w:cs="Arial" w:eastAsia="Arial" w:hAnsi="Arial"/>
          <w:sz w:val="18"/>
          <w:szCs w:val="18"/>
          <w:color w:val="auto"/>
        </w:rPr>
        <w:t>The Board has determined that each member of the GS Committee is independent within the meaning of applicable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16331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63310" cy="5969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HUMAN CAPITAL AND COMPENSATION COMMITTEE</w:t>
      </w:r>
    </w:p>
    <w:p>
      <w:pPr>
        <w:sectPr>
          <w:pgSz w:w="11900" w:h="16838" w:orient="portrait"/>
          <w:cols w:equalWidth="0" w:num="1">
            <w:col w:w="11240"/>
          </w:cols>
          <w:pgMar w:left="320" w:top="161" w:right="339" w:bottom="1440" w:gutter="0" w:footer="0" w:header="0"/>
          <w:type w:val="continuous"/>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6 </w:t>
      </w:r>
      <w:r>
        <w:rPr>
          <w:rFonts w:ascii="Arial" w:cs="Arial" w:eastAsia="Arial" w:hAnsi="Arial"/>
          <w:sz w:val="18"/>
          <w:szCs w:val="18"/>
          <w:color w:val="000000"/>
        </w:rPr>
        <w:t>meetings in</w:t>
      </w:r>
      <w:r>
        <w:rPr>
          <w:rFonts w:ascii="Arial" w:cs="Arial" w:eastAsia="Arial" w:hAnsi="Arial"/>
          <w:sz w:val="18"/>
          <w:szCs w:val="18"/>
          <w:b w:val="1"/>
          <w:bCs w:val="1"/>
          <w:color w:val="E97D2E"/>
        </w:rPr>
        <w:t xml:space="preserve">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spacing w:after="0" w:line="221" w:lineRule="auto"/>
        <w:rPr>
          <w:sz w:val="20"/>
          <w:szCs w:val="20"/>
          <w:color w:val="auto"/>
        </w:rPr>
      </w:pPr>
      <w:r>
        <w:rPr>
          <w:rFonts w:ascii="Arial" w:cs="Arial" w:eastAsia="Arial" w:hAnsi="Arial"/>
          <w:sz w:val="17"/>
          <w:szCs w:val="17"/>
          <w:color w:val="auto"/>
        </w:rPr>
        <w:t>Christine Y. Yan, Chair Thomas L. Deitrich Paul A. Mascarenas</w:t>
      </w:r>
    </w:p>
    <w:p>
      <w:pPr>
        <w:ind w:left="20"/>
        <w:spacing w:after="0"/>
        <w:rPr>
          <w:sz w:val="20"/>
          <w:szCs w:val="20"/>
          <w:color w:val="auto"/>
        </w:rPr>
      </w:pPr>
      <w:r>
        <w:rPr>
          <w:rFonts w:ascii="Arial" w:cs="Arial" w:eastAsia="Arial" w:hAnsi="Arial"/>
          <w:sz w:val="18"/>
          <w:szCs w:val="18"/>
          <w:color w:val="auto"/>
        </w:rPr>
        <w:t>Gregory L. Waters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465E66"/>
        </w:rPr>
        <w:t>Primary Responsibilities</w:t>
      </w:r>
    </w:p>
    <w:p>
      <w:pPr>
        <w:ind w:left="260" w:right="1560" w:hanging="252"/>
        <w:spacing w:after="0" w:line="208" w:lineRule="auto"/>
        <w:tabs>
          <w:tab w:leader="none" w:pos="175"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Discharge the Board’s responsibilities relating to the application of compensation policies and all elements of the compensation of our non-employee directors, CEO and other key officers</w:t>
      </w:r>
    </w:p>
    <w:p>
      <w:pPr>
        <w:spacing w:after="0" w:line="1" w:lineRule="exact"/>
        <w:rPr>
          <w:rFonts w:ascii="Arial" w:cs="Arial" w:eastAsia="Arial" w:hAnsi="Arial"/>
          <w:sz w:val="18"/>
          <w:szCs w:val="18"/>
          <w:color w:val="276990"/>
        </w:rPr>
      </w:pPr>
    </w:p>
    <w:p>
      <w:pPr>
        <w:ind w:left="260" w:right="2260" w:hanging="252"/>
        <w:spacing w:after="0" w:line="203" w:lineRule="auto"/>
        <w:tabs>
          <w:tab w:leader="none" w:pos="175"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Administer the Company’s equity-based plans, all other STI and LTI plans and all deferred compensation programs</w:t>
      </w:r>
    </w:p>
    <w:p>
      <w:pPr>
        <w:ind w:left="260" w:right="2340" w:hanging="252"/>
        <w:spacing w:after="0" w:line="211" w:lineRule="auto"/>
        <w:tabs>
          <w:tab w:leader="none" w:pos="176"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Review and approve, or recommend to the Board for approval, any employment agreement with the CEO or any other senior executive</w:t>
      </w:r>
    </w:p>
    <w:p>
      <w:pPr>
        <w:ind w:left="260" w:right="1640" w:hanging="252"/>
        <w:spacing w:after="0" w:line="207" w:lineRule="auto"/>
        <w:tabs>
          <w:tab w:leader="none" w:pos="175"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Retain or terminate any compensation consultants or other advisors, or obtain the advice of such persons in accordance with applicable securities laws and Nasdaq rules, to assist in the discharge of its duties; and approve the fees paid to such consultants or advisors</w:t>
      </w:r>
    </w:p>
    <w:p>
      <w:pPr>
        <w:spacing w:after="0" w:line="1" w:lineRule="exact"/>
        <w:rPr>
          <w:rFonts w:ascii="Arial" w:cs="Arial" w:eastAsia="Arial" w:hAnsi="Arial"/>
          <w:sz w:val="18"/>
          <w:szCs w:val="18"/>
          <w:color w:val="276990"/>
        </w:rPr>
      </w:pPr>
    </w:p>
    <w:p>
      <w:pPr>
        <w:ind w:left="260" w:right="1560" w:hanging="252"/>
        <w:spacing w:after="0" w:line="208" w:lineRule="auto"/>
        <w:tabs>
          <w:tab w:leader="none" w:pos="176"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Develop policies and procedures for (i) succession planning for senior executives aside from the CEO and (ii) the development of certain senior executives identified as potential CEO succession candidates</w:t>
      </w:r>
    </w:p>
    <w:p>
      <w:pPr>
        <w:spacing w:after="0" w:line="1" w:lineRule="exact"/>
        <w:rPr>
          <w:rFonts w:ascii="Arial" w:cs="Arial" w:eastAsia="Arial" w:hAnsi="Arial"/>
          <w:sz w:val="18"/>
          <w:szCs w:val="18"/>
          <w:color w:val="276990"/>
        </w:rPr>
      </w:pPr>
    </w:p>
    <w:p>
      <w:pPr>
        <w:ind w:left="160" w:hanging="152"/>
        <w:spacing w:after="0" w:line="219" w:lineRule="auto"/>
        <w:tabs>
          <w:tab w:leader="none" w:pos="160"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Oversee compensation risk management</w:t>
      </w:r>
    </w:p>
    <w:p>
      <w:pPr>
        <w:ind w:left="260" w:right="2480" w:hanging="252"/>
        <w:spacing w:after="0" w:line="203" w:lineRule="auto"/>
        <w:tabs>
          <w:tab w:leader="none" w:pos="176"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Oversee human capital policies regarding diversity, equity, inclusion and talent management</w:t>
      </w:r>
    </w:p>
    <w:p>
      <w:pPr>
        <w:ind w:left="260" w:right="1920" w:hanging="252"/>
        <w:spacing w:after="0" w:line="237" w:lineRule="auto"/>
        <w:tabs>
          <w:tab w:leader="none" w:pos="176" w:val="left"/>
        </w:tabs>
        <w:numPr>
          <w:ilvl w:val="0"/>
          <w:numId w:val="41"/>
        </w:numPr>
        <w:rPr>
          <w:rFonts w:ascii="Arial" w:cs="Arial" w:eastAsia="Arial" w:hAnsi="Arial"/>
          <w:sz w:val="18"/>
          <w:szCs w:val="18"/>
          <w:color w:val="276990"/>
        </w:rPr>
      </w:pPr>
      <w:r>
        <w:rPr>
          <w:rFonts w:ascii="Arial" w:cs="Arial" w:eastAsia="Arial" w:hAnsi="Arial"/>
          <w:sz w:val="18"/>
          <w:szCs w:val="18"/>
          <w:color w:val="auto"/>
        </w:rPr>
        <w:t>Administer and monitor the Company’s incentive compensation recovery policies and monitor compliance with such policies</w:t>
      </w:r>
    </w:p>
    <w:p>
      <w:pPr>
        <w:spacing w:after="0" w:line="200" w:lineRule="exact"/>
        <w:rPr>
          <w:sz w:val="20"/>
          <w:szCs w:val="20"/>
          <w:color w:val="auto"/>
        </w:rPr>
      </w:pPr>
    </w:p>
    <w:p>
      <w:pPr>
        <w:sectPr>
          <w:pgSz w:w="11900" w:h="16838" w:orient="portrait"/>
          <w:cols w:equalWidth="0" w:num="2">
            <w:col w:w="1820" w:space="560"/>
            <w:col w:w="8860"/>
          </w:cols>
          <w:pgMar w:left="320" w:top="161" w:right="339" w:bottom="1440" w:gutter="0" w:footer="0" w:header="0"/>
          <w:type w:val="continuous"/>
        </w:sectPr>
      </w:pP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required by SEC rules, the HCC Committee prepares a report that is included in our proxy statement. This report may be found immediately following the CD&amp;A.</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Board has determined that each member of the HCC Committee is independent within the meaning of applicable SEC rules and Nasdaq listing standards for director independence generally and for compensation committee service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18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3" w:name="page24"/>
    <w:bookmarkEnd w:id="23"/>
    <w:p>
      <w:pPr>
        <w:jc w:val="right"/>
        <w:ind w:right="20"/>
        <w:spacing w:after="0"/>
        <w:rPr>
          <w:sz w:val="20"/>
          <w:szCs w:val="20"/>
          <w:color w:val="auto"/>
        </w:rPr>
      </w:pPr>
      <w:r>
        <w:rPr>
          <w:rFonts w:ascii="Arial" w:cs="Arial" w:eastAsia="Arial" w:hAnsi="Arial"/>
          <w:sz w:val="18"/>
          <w:szCs w:val="18"/>
          <w:color w:val="E97D2E"/>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616331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6331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EXECUTIVE COMMITTEE</w:t>
      </w:r>
    </w:p>
    <w:p>
      <w:pPr>
        <w:sectPr>
          <w:pgSz w:w="11900" w:h="16838" w:orient="portrait"/>
          <w:cols w:equalWidth="0" w:num="1">
            <w:col w:w="11240"/>
          </w:cols>
          <w:pgMar w:left="320" w:top="161"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7D2E"/>
        </w:rPr>
        <w:t xml:space="preserve">1 </w:t>
      </w:r>
      <w:r>
        <w:rPr>
          <w:rFonts w:ascii="Arial" w:cs="Arial" w:eastAsia="Arial" w:hAnsi="Arial"/>
          <w:sz w:val="18"/>
          <w:szCs w:val="18"/>
          <w:color w:val="000000"/>
        </w:rPr>
        <w:t>meeting in</w:t>
      </w:r>
      <w:r>
        <w:rPr>
          <w:rFonts w:ascii="Arial" w:cs="Arial" w:eastAsia="Arial" w:hAnsi="Arial"/>
          <w:sz w:val="18"/>
          <w:szCs w:val="18"/>
          <w:b w:val="1"/>
          <w:bCs w:val="1"/>
          <w:color w:val="E97D2E"/>
        </w:rPr>
        <w:t xml:space="preserve">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65E66"/>
        </w:rPr>
        <w:t>Members</w:t>
      </w:r>
      <w:r>
        <w:rPr>
          <w:rFonts w:ascii="Arial" w:cs="Arial" w:eastAsia="Arial" w:hAnsi="Arial"/>
          <w:sz w:val="18"/>
          <w:szCs w:val="18"/>
          <w:color w:val="000000"/>
        </w:rPr>
        <w:t>:</w:t>
      </w:r>
    </w:p>
    <w:p>
      <w:pPr>
        <w:ind w:left="20"/>
        <w:spacing w:after="0" w:line="232" w:lineRule="auto"/>
        <w:rPr>
          <w:sz w:val="20"/>
          <w:szCs w:val="20"/>
          <w:color w:val="auto"/>
        </w:rPr>
      </w:pPr>
      <w:r>
        <w:rPr>
          <w:rFonts w:ascii="Arial" w:cs="Arial" w:eastAsia="Arial" w:hAnsi="Arial"/>
          <w:sz w:val="17"/>
          <w:szCs w:val="17"/>
          <w:color w:val="auto"/>
        </w:rPr>
        <w:t>Alan Campbell, Chair</w:t>
      </w:r>
    </w:p>
    <w:p>
      <w:pPr>
        <w:jc w:val="both"/>
        <w:ind w:left="20" w:right="80"/>
        <w:spacing w:after="0" w:line="221" w:lineRule="auto"/>
        <w:rPr>
          <w:sz w:val="20"/>
          <w:szCs w:val="20"/>
          <w:color w:val="auto"/>
        </w:rPr>
      </w:pPr>
      <w:r>
        <w:rPr>
          <w:rFonts w:ascii="Arial" w:cs="Arial" w:eastAsia="Arial" w:hAnsi="Arial"/>
          <w:sz w:val="18"/>
          <w:szCs w:val="18"/>
          <w:color w:val="auto"/>
        </w:rPr>
        <w:t>Hassane El-Khoury Paul A. Mascarenas Gregory L. Waters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465E66"/>
        </w:rPr>
        <w:t>Primary Responsibilities</w:t>
      </w:r>
    </w:p>
    <w:p>
      <w:pPr>
        <w:ind w:left="260" w:right="1580" w:hanging="252"/>
        <w:spacing w:after="0" w:line="208" w:lineRule="auto"/>
        <w:tabs>
          <w:tab w:leader="none" w:pos="175" w:val="left"/>
        </w:tabs>
        <w:numPr>
          <w:ilvl w:val="0"/>
          <w:numId w:val="42"/>
        </w:numPr>
        <w:rPr>
          <w:rFonts w:ascii="Arial" w:cs="Arial" w:eastAsia="Arial" w:hAnsi="Arial"/>
          <w:sz w:val="18"/>
          <w:szCs w:val="18"/>
          <w:color w:val="276990"/>
        </w:rPr>
      </w:pPr>
      <w:r>
        <w:rPr>
          <w:rFonts w:ascii="Arial" w:cs="Arial" w:eastAsia="Arial" w:hAnsi="Arial"/>
          <w:sz w:val="18"/>
          <w:szCs w:val="18"/>
          <w:color w:val="auto"/>
        </w:rPr>
        <w:t>Exercise between meetings of the Board all the delegable powers and authority of the Board regarding the management of the business and affairs of the Company (subject to legal limitations), excluding the following matters:</w:t>
      </w:r>
    </w:p>
    <w:p>
      <w:pPr>
        <w:spacing w:after="0" w:line="1" w:lineRule="exact"/>
        <w:rPr>
          <w:rFonts w:ascii="Arial" w:cs="Arial" w:eastAsia="Arial" w:hAnsi="Arial"/>
          <w:sz w:val="18"/>
          <w:szCs w:val="18"/>
          <w:color w:val="276990"/>
        </w:rPr>
      </w:pPr>
    </w:p>
    <w:p>
      <w:pPr>
        <w:ind w:left="400" w:hanging="149"/>
        <w:spacing w:after="0" w:line="219" w:lineRule="auto"/>
        <w:tabs>
          <w:tab w:leader="none" w:pos="400"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Any matters expressly delegated to other committees</w:t>
      </w:r>
    </w:p>
    <w:p>
      <w:pPr>
        <w:ind w:left="420" w:hanging="169"/>
        <w:spacing w:after="0" w:line="203" w:lineRule="auto"/>
        <w:tabs>
          <w:tab w:leader="none" w:pos="420"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Making any changes to the Company’s certificate of incorporation or bylaws</w:t>
      </w:r>
    </w:p>
    <w:p>
      <w:pPr>
        <w:ind w:left="420" w:right="2000" w:hanging="169"/>
        <w:spacing w:after="0" w:line="211" w:lineRule="auto"/>
        <w:tabs>
          <w:tab w:leader="none" w:pos="416"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Approving the merger, consolidation, or dissolution of the Company or the sale of substantially all of its assets</w:t>
      </w:r>
    </w:p>
    <w:p>
      <w:pPr>
        <w:ind w:left="400" w:hanging="149"/>
        <w:spacing w:after="0" w:line="203" w:lineRule="auto"/>
        <w:tabs>
          <w:tab w:leader="none" w:pos="400"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Causing the Company to declare any dividends</w:t>
      </w:r>
    </w:p>
    <w:p>
      <w:pPr>
        <w:ind w:left="420" w:right="1700" w:hanging="169"/>
        <w:spacing w:after="0" w:line="211" w:lineRule="auto"/>
        <w:tabs>
          <w:tab w:leader="none" w:pos="417"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Amending or repealing any resolution of the Board which, by its express terms, is not so amendable or repealable</w:t>
      </w:r>
    </w:p>
    <w:p>
      <w:pPr>
        <w:ind w:left="420" w:right="1640" w:hanging="169"/>
        <w:spacing w:after="0" w:line="207" w:lineRule="auto"/>
        <w:tabs>
          <w:tab w:leader="none" w:pos="416"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Appointing other committees of the Board or the members of such committees or amending or revising their duties and responsibilities or their charters (the Executive Committee may, however, appoint and delegate to subcommittees as permitted under applicable law)</w:t>
      </w:r>
    </w:p>
    <w:p>
      <w:pPr>
        <w:spacing w:after="0" w:line="1" w:lineRule="exact"/>
        <w:rPr>
          <w:rFonts w:ascii="Arial" w:cs="Arial" w:eastAsia="Arial" w:hAnsi="Arial"/>
          <w:sz w:val="18"/>
          <w:szCs w:val="18"/>
          <w:color w:val="276990"/>
        </w:rPr>
      </w:pPr>
    </w:p>
    <w:p>
      <w:pPr>
        <w:ind w:left="400" w:hanging="149"/>
        <w:spacing w:after="0" w:line="203" w:lineRule="auto"/>
        <w:tabs>
          <w:tab w:leader="none" w:pos="400"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Appointing or removing the Chair of the Board, the President or the CEO</w:t>
      </w:r>
    </w:p>
    <w:p>
      <w:pPr>
        <w:ind w:left="420" w:right="1560" w:hanging="169"/>
        <w:spacing w:after="0" w:line="220" w:lineRule="auto"/>
        <w:tabs>
          <w:tab w:leader="none" w:pos="417" w:val="left"/>
        </w:tabs>
        <w:numPr>
          <w:ilvl w:val="1"/>
          <w:numId w:val="42"/>
        </w:numPr>
        <w:rPr>
          <w:rFonts w:ascii="Arial" w:cs="Arial" w:eastAsia="Arial" w:hAnsi="Arial"/>
          <w:sz w:val="18"/>
          <w:szCs w:val="18"/>
          <w:color w:val="276990"/>
        </w:rPr>
      </w:pPr>
      <w:r>
        <w:rPr>
          <w:rFonts w:ascii="Arial" w:cs="Arial" w:eastAsia="Arial" w:hAnsi="Arial"/>
          <w:sz w:val="18"/>
          <w:szCs w:val="18"/>
          <w:color w:val="auto"/>
        </w:rPr>
        <w:t>Authorizing (i) any single purchase or related series of transactions relating to an acquisition, (ii) any single sale or related series of transactions relating to a disposition, or (iii) any investment transactions or other strategic Company actions, in which the consideration expended or received by the Company exceeds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92710</wp:posOffset>
            </wp:positionV>
            <wp:extent cx="6163310" cy="60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63310"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660"/>
            <w:col w:w="8860"/>
          </w:cols>
          <w:pgMar w:left="320" w:top="161" w:right="33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Annual Board and Committee Self-Evaluations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Process and Principles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believes that having good governance principles and practices improves the effectiveness of the Board and contributes to the creation of stockholder value. To measure its own performance against such principles and practices and to identify and act on areas for improvement, each of the Board and its committees performs an annual self-evaluation. The GS Committee is charged with overseeing these self-evaluations and, in 2023, the GS Committee used the following process to conduct the Board’s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147955</wp:posOffset>
            </wp:positionV>
            <wp:extent cx="6172200" cy="1371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 the Board self-evaluation process, topics and questions for 2023 were grouped into seven categories:</w:t>
      </w:r>
    </w:p>
    <w:p>
      <w:pPr>
        <w:spacing w:after="0" w:line="5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120"/>
              <w:spacing w:after="0"/>
              <w:rPr>
                <w:sz w:val="20"/>
                <w:szCs w:val="20"/>
                <w:color w:val="auto"/>
              </w:rPr>
            </w:pPr>
            <w:r>
              <w:rPr>
                <w:rFonts w:ascii="Arial" w:cs="Arial" w:eastAsia="Arial" w:hAnsi="Arial"/>
                <w:sz w:val="18"/>
                <w:szCs w:val="18"/>
                <w:color w:val="auto"/>
              </w:rPr>
              <w:t>Strategy</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3420" w:type="dxa"/>
            <w:vAlign w:val="bottom"/>
          </w:tcPr>
          <w:p>
            <w:pPr>
              <w:ind w:left="140"/>
              <w:spacing w:after="0"/>
              <w:rPr>
                <w:sz w:val="20"/>
                <w:szCs w:val="20"/>
                <w:color w:val="auto"/>
              </w:rPr>
            </w:pPr>
            <w:r>
              <w:rPr>
                <w:rFonts w:ascii="Arial" w:cs="Arial" w:eastAsia="Arial" w:hAnsi="Arial"/>
                <w:sz w:val="18"/>
                <w:szCs w:val="18"/>
                <w:color w:val="auto"/>
              </w:rPr>
              <w:t>ERM</w:t>
            </w: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   Culture of Compliance and Ethics</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3420" w:type="dxa"/>
            <w:vAlign w:val="bottom"/>
          </w:tcPr>
          <w:p>
            <w:pPr>
              <w:ind w:left="140"/>
              <w:spacing w:after="0"/>
              <w:rPr>
                <w:sz w:val="20"/>
                <w:szCs w:val="20"/>
                <w:color w:val="auto"/>
              </w:rPr>
            </w:pPr>
            <w:r>
              <w:rPr>
                <w:rFonts w:ascii="Arial" w:cs="Arial" w:eastAsia="Arial" w:hAnsi="Arial"/>
                <w:sz w:val="18"/>
                <w:szCs w:val="18"/>
                <w:color w:val="auto"/>
              </w:rPr>
              <w:t>Mergers and Acquisitions</w:t>
            </w:r>
          </w:p>
        </w:tc>
      </w:tr>
      <w:tr>
        <w:trPr>
          <w:trHeight w:val="23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120"/>
              <w:spacing w:after="0"/>
              <w:rPr>
                <w:sz w:val="20"/>
                <w:szCs w:val="20"/>
                <w:color w:val="auto"/>
              </w:rPr>
            </w:pPr>
            <w:r>
              <w:rPr>
                <w:rFonts w:ascii="Arial" w:cs="Arial" w:eastAsia="Arial" w:hAnsi="Arial"/>
                <w:sz w:val="18"/>
                <w:szCs w:val="18"/>
                <w:color w:val="auto"/>
              </w:rPr>
              <w:t>Executive Evaluation and Succession Planning</w:t>
            </w:r>
          </w:p>
        </w:tc>
        <w:tc>
          <w:tcPr>
            <w:tcW w:w="4160" w:type="dxa"/>
            <w:vAlign w:val="bottom"/>
            <w:gridSpan w:val="2"/>
          </w:tcPr>
          <w:p>
            <w:pPr>
              <w:ind w:left="560"/>
              <w:spacing w:after="0"/>
              <w:rPr>
                <w:sz w:val="20"/>
                <w:szCs w:val="20"/>
                <w:color w:val="auto"/>
              </w:rPr>
            </w:pPr>
            <w:r>
              <w:rPr>
                <w:rFonts w:ascii="Arial" w:cs="Arial" w:eastAsia="Arial" w:hAnsi="Arial"/>
                <w:sz w:val="18"/>
                <w:szCs w:val="18"/>
                <w:color w:val="auto"/>
              </w:rPr>
              <w:t>•   Financial Reporting and Other Disclosure</w:t>
            </w:r>
          </w:p>
        </w:tc>
      </w:tr>
    </w:tbl>
    <w:p>
      <w:pPr>
        <w:ind w:left="660" w:hanging="310"/>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3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Prior to launching this process, the GS Committee and the Board consider the tools, processes, topics and questions for the self-evaluation as warranted, including whether to retain an independent third party to facilitate the Board’s self-evaluation. In 2023, the self-evaluation of the committees generally followed the process used by the Board in prior years, except that results were sent to committee chairs (as opposed to the Chair of the GS Committee), and committee chairs led the discussions for their respective committees with the Board in executive session.</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Peer-to-Peer Evaluations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believes that each of our directors can and does benefit from candid feedback received from fellow directors about his or her individual performance. Accordingly, we conduct annual peer evaluations to obtain information about each director’s individual performance, contributions and effectiveness. These director peer evaluations are critical tools that promote more authentic board collaboration, improve the skills and perspectives of our directors and allow them to receive constructive feedback from respected colleagues.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Majority Voting for Directors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our bylaws, in uncontested elections, directors are elected by a majority of the votes cast, meaning a candidate for director is elected if the votes in favor of his or her election exceed the votes against his or her election. In contested elections where the number of nominees exceeds the number of open seats, directors are elected by a plurality vote, meaning that the director nominees who receive the most votes up to the number of open seats will be elected.</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an uncontested election, any nominee for director who fails to receive a majority of the votes cast in such election will be required to promptly tender his or her resignation to the Board. The GS Committee, or such other committee designated by the Board for this purpose,</w:t>
      </w:r>
    </w:p>
    <w:p>
      <w:pPr>
        <w:jc w:val="both"/>
        <w:spacing w:after="0" w:line="226" w:lineRule="auto"/>
        <w:rPr>
          <w:sz w:val="20"/>
          <w:szCs w:val="20"/>
          <w:color w:val="auto"/>
        </w:rPr>
      </w:pPr>
      <w:r>
        <w:rPr>
          <w:rFonts w:ascii="Arial" w:cs="Arial" w:eastAsia="Arial" w:hAnsi="Arial"/>
          <w:sz w:val="18"/>
          <w:szCs w:val="18"/>
          <w:color w:val="auto"/>
        </w:rPr>
        <w:t>will recommend to the Board whether to accept or reject the tendered resignation. The Board will review the GS Committee’s recommendation, decide to accept or reject such resignation or whether other action should be taken and publicly disclose its decision within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90 days from the date of the annual meeting of stockholders. Any director who tenders his or her resignation will not participate in the committee’s recommendation or the Board action regarding whether to accept or reject the tendered resignation. Any vacancies on the Board may be filled by a majority of the directors then in office or those directors, by majority vote, may choose to decrease the number of board seats. Each director elected in this manner will hold office until the next annual meeting and until his or her successor is elected and duly qualified.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“Questions and Answers About the Proxy Materials, Annual Meeting and Voting” for more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Role of the Board in Risk Oversight</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management is responsible for the day-to-day management of our risk, the Board plays an ongoing and active role in the oversight of such risk by regularly reviewing and discussing with management areas of material risk and mitigation measures being taken to address such risks. During the 2023 fiscal year, the Board and its committees regularly discussed, among other things, interest rates, inflationary pressures, supply chain issues, cybersecurity, geopolitical risk and macroeconomic uncertainty across the globe. While the Board has primary responsibility for risk oversight, each of its committees supports this effort by regularly addressing risks in its respective areas of oversight. Specifically, the Audit Committee’s charter requires the Audit Committee to discuss with management our major financial and cybersecurity risk exposures. The Audit Committee also has primary oversight over the ERM Program and provides guidance to the Board regarding its risk oversight responsibilities. In addition, the HCC Committee’s charter requires it to consider and discuss with management whether compensation arrangements for our employees incentivize unnecessary and excessive risk-taking and, in designing our compensation programs and structuring awards, the HCC Committee considers the likelihood of undue risk-taking and the impact that such</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compensation decisions may have on our risk profile. The chair of the relevant committee then reports on risk discussions to the full Board to the extent appropriate. This combination of direct Board and targeted committee oversight is intended to ensure a thorough assessment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foster a fulsome discussion between management and the Board of risks we face.</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Risk Evaluations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review of our material areas of risk, the full Board meets with representatives from the ERM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annually to discuss areas of material risk in light of our strategy and evolving business plans. Individuals from across all of </w:t>
      </w:r>
      <w:r>
        <w:rPr>
          <w:rFonts w:ascii="Arial" w:cs="Arial" w:eastAsia="Arial" w:hAnsi="Arial"/>
          <w:sz w:val="18"/>
          <w:szCs w:val="18"/>
          <w:b w:val="1"/>
          <w:bCs w:val="1"/>
          <w:color w:val="auto"/>
        </w:rPr>
        <w:t>onsemi</w:t>
      </w:r>
      <w:r>
        <w:rPr>
          <w:rFonts w:ascii="Arial" w:cs="Arial" w:eastAsia="Arial" w:hAnsi="Arial"/>
          <w:sz w:val="18"/>
          <w:szCs w:val="18"/>
          <w:color w:val="auto"/>
        </w:rPr>
        <w:t>, including business unit leaders and the heads of certain administrative function groups, are interviewed by representatives of the ERM Program to prioritize the most pressing and material risks we face. These interviews include risk evaluation and assessment as a matter of course. At least annually, our Board reviews how risk is being managed and reported to the Board and its committees, along with areas where the Board would like additional analysis or discussion. Comprehensive risk analysis is a significant part of such planning.</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Cybersecurity 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cybersecurity and data protection are key components of our long-term strategy,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 and evaluate the risk of cybersecurity breaches and vulnerabilities and how best to mitigate such risks. Under its charter, the Audit Committee has the responsibility for overseeing our cybersecurity posture, risk assessment, reporting, strategy and mitigation and making recommendations as to how to address and resolve any breaches or issues related to the protection or privacy of our data. The Audit</w:t>
      </w:r>
    </w:p>
    <w:p>
      <w:pPr>
        <w:jc w:val="both"/>
        <w:spacing w:after="0" w:line="237" w:lineRule="auto"/>
        <w:rPr>
          <w:sz w:val="20"/>
          <w:szCs w:val="20"/>
          <w:color w:val="auto"/>
        </w:rPr>
      </w:pPr>
      <w:r>
        <w:rPr>
          <w:rFonts w:ascii="Arial" w:cs="Arial" w:eastAsia="Arial" w:hAnsi="Arial"/>
          <w:sz w:val="18"/>
          <w:szCs w:val="18"/>
          <w:color w:val="auto"/>
        </w:rPr>
        <w:t>Committee receives regular reports from our Internal Audit Department on internal audit matters and receives reports at least quarterly from our Chief Information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5" w:name="page26"/>
    <w:bookmarkEnd w:id="25"/>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Officer and/or Chief Information Security Officer and our Chief Privacy Officer on information security and data privacy and protection, including trends in cyber threats and the status of initiatives intended to bolster our security systems and employees’ cyber readiness. The Audit Committee reports to the full Board on these risk discussions as appropriate.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2023, we have not identified any risks from cybersecurity threats (including any previous cybersecurity incidents or third-party information security breaches) that have materially affected the Company, our business strategy, our results of operations or our financial condition during the last three years. Additional information regarding our cybersecurity risk management program can be found in our 2023 annual report to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Ethics and Compliance Program</w:t>
      </w:r>
    </w:p>
    <w:p>
      <w:pPr>
        <w:spacing w:after="0" w:line="1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strive to comply with the law and have adopted policies and practices that go beyond what the law requires to foster an ethical culture. To that end, as a separate and independent group under the organizational structure of our Legal Department, we have established an ethics and compliance program designed to prevent, detect and respond to violations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Code of Business Conduct, related policies, procedures, other standards of conduct and the law. A major goal of our ethics and compliance program is to promote an organizational culture that aligns with our core values while encouraging ethical conduct and a commitment to compliance. Allegations of non-compliance with our Code, laws or regulations are thoroughly investigated and remediated, as appropriate.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established reporting channels for external parties to raise ethics and compliance concerns regarding our employees, directors and other third parties doing business with us. Reports may be made directly or anonymously, where allowed by local law, via any of the methods outlined in our Code of Business Conduct, which include:</w:t>
      </w:r>
    </w:p>
    <w:p>
      <w:pPr>
        <w:spacing w:after="0" w:line="196" w:lineRule="exact"/>
        <w:rPr>
          <w:sz w:val="20"/>
          <w:szCs w:val="20"/>
          <w:color w:val="auto"/>
        </w:rPr>
      </w:pPr>
    </w:p>
    <w:p>
      <w:pPr>
        <w:ind w:left="600" w:hanging="268"/>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visiting the Helpline website at </w:t>
      </w:r>
      <w:r>
        <w:rPr>
          <w:rFonts w:ascii="Arial" w:cs="Arial" w:eastAsia="Arial" w:hAnsi="Arial"/>
          <w:sz w:val="18"/>
          <w:szCs w:val="18"/>
          <w:u w:val="single" w:color="auto"/>
          <w:color w:val="auto"/>
        </w:rPr>
        <w:t>helpline.onsemi.com</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mailing the Chief Compliance Officer at onsemi, 5701 North Pima Road, Scottsdale, AZ 85250;</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emailing the Chief Compliance Officer at </w:t>
      </w:r>
      <w:r>
        <w:rPr>
          <w:rFonts w:ascii="Arial" w:cs="Arial" w:eastAsia="Arial" w:hAnsi="Arial"/>
          <w:sz w:val="18"/>
          <w:szCs w:val="18"/>
          <w:u w:val="single" w:color="auto"/>
          <w:color w:val="auto"/>
        </w:rPr>
        <w:t>CCO@onsemi.com</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600" w:hanging="268"/>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emailing </w:t>
      </w:r>
      <w:r>
        <w:rPr>
          <w:rFonts w:ascii="Arial" w:cs="Arial" w:eastAsia="Arial" w:hAnsi="Arial"/>
          <w:sz w:val="18"/>
          <w:szCs w:val="18"/>
          <w:u w:val="single" w:color="auto"/>
          <w:color w:val="auto"/>
        </w:rPr>
        <w:t>ethics@onsemi.com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legal.compliance@onsemi.com</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tolerate retaliation of any kind against any person who, in good faith, reports any known or suspected improper activities pursuant to our Code of Business Conduct or assists with any ensuing investigation.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Environmental, Social and Governance Initiatives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Environmental, Social and Governance Initiatives</w:t>
      </w: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In addition to the information contained in this proxy statement, we publish an annual Sustainability Report detailing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’s ESG and sustainability initiatives, accomplishments and objectives. The Sustainability Report is available 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We expect to publish our next annual Sustainability Report in June of 2024. Although we reference our website and Sustainability Reports in this proxy statement, information contained or referenced on the website and in our Sustainability Reports is not a part of, and not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into, this proxy statement.</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ESG goals that we have set for ourselves (as discussed in greater detail below), we have Board-level oversight and support for our ESG initiatives. Under its charter, our GS Committee has the primary responsibility of overseeing matters related to ESG, except for any ESG initiatives that are expressly assigned to another committee. Under its charter, the HCC Committee has the responsibility of overseeing our policies and strategies regarding human capital, including those focused on diversity, equity and inclusion.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Below are a few of the highlights of our social and sustainability practices and policies:</w:t>
      </w:r>
    </w:p>
    <w:p>
      <w:pPr>
        <w:spacing w:after="0" w:line="239" w:lineRule="exact"/>
        <w:rPr>
          <w:sz w:val="20"/>
          <w:szCs w:val="20"/>
          <w:color w:val="auto"/>
        </w:rPr>
      </w:pPr>
    </w:p>
    <w:p>
      <w:pPr>
        <w:jc w:val="both"/>
        <w:ind w:left="660" w:right="20" w:hanging="328"/>
        <w:spacing w:after="0" w:line="23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Business Alliance Member and RBA Code of Conduct: </w:t>
      </w:r>
      <w:r>
        <w:rPr>
          <w:rFonts w:ascii="Arial" w:cs="Arial" w:eastAsia="Arial" w:hAnsi="Arial"/>
          <w:sz w:val="18"/>
          <w:szCs w:val="18"/>
          <w:color w:val="auto"/>
        </w:rPr>
        <w:t>We are a full member of the Responsible Business Alliance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RBA), an international industry organization committed to supporting workers’ rights, and have adopted the RBA Code of Conduct (the RBA Code) covering labor, the environment, health and safety, ethics and management systems.</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Minerals Initiative – Full Member: </w:t>
      </w:r>
      <w:r>
        <w:rPr>
          <w:rFonts w:ascii="Arial" w:cs="Arial" w:eastAsia="Arial" w:hAnsi="Arial"/>
          <w:sz w:val="18"/>
          <w:szCs w:val="18"/>
          <w:color w:val="auto"/>
        </w:rPr>
        <w:t>As a full member of the Responsible Minerals Initiative, we are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heightened measures beyond the requirements under U.S. and European Union regulations to help ensure responsible sourcing within our supply chains.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Human Rights Policy and UN Global Compact: </w:t>
      </w:r>
      <w:r>
        <w:rPr>
          <w:rFonts w:ascii="Arial" w:cs="Arial" w:eastAsia="Arial" w:hAnsi="Arial"/>
          <w:sz w:val="18"/>
          <w:szCs w:val="18"/>
          <w:color w:val="auto"/>
        </w:rPr>
        <w:t>Our Human Rights Policy, which applies to all of our employees and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codifies our commitment to social justice, environmental stewardship, anti-corruption, and the</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prevention of human trafficking, child labor and related human rights violations. Additionally, we are a signatory to the United Nations Global Compact, which requires signatories to commit to 10 principles covering human rights, the environment, anti-corruption and related matters.</w:t>
      </w:r>
    </w:p>
    <w:p>
      <w:pPr>
        <w:spacing w:after="0" w:line="2" w:lineRule="exact"/>
        <w:rPr>
          <w:sz w:val="20"/>
          <w:szCs w:val="20"/>
          <w:color w:val="auto"/>
        </w:rPr>
      </w:pPr>
    </w:p>
    <w:p>
      <w:pPr>
        <w:jc w:val="both"/>
        <w:ind w:left="660" w:hanging="328"/>
        <w:spacing w:after="0" w:line="23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Impact through Giving and Volunteering Programs: </w:t>
      </w:r>
      <w:r>
        <w:rPr>
          <w:rFonts w:ascii="Arial" w:cs="Arial" w:eastAsia="Arial" w:hAnsi="Arial"/>
          <w:sz w:val="18"/>
          <w:szCs w:val="18"/>
          <w:color w:val="auto"/>
        </w:rPr>
        <w:t>We encourage social responsibility and charitable giving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impact initiatives, which include a paid employee volunteer program and our “Giving Now” program. Giving Now provides our employees with an opportunity to support charitable organizations and educational institutions through company-matched donations. Additionally, we support other charitable initiatives (such as disaster relief efforts and strategic support for Science, Technology, Engineering and Math education) through grants.</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Recognition: </w:t>
      </w:r>
      <w:r>
        <w:rPr>
          <w:rFonts w:ascii="Arial" w:cs="Arial" w:eastAsia="Arial" w:hAnsi="Arial"/>
          <w:sz w:val="18"/>
          <w:szCs w:val="18"/>
          <w:color w:val="auto"/>
        </w:rPr>
        <w:t>Examples of recent social and sustainability-related accomplishments and recognition include:</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North America Dow Jones Sustainability Index (one of seven semiconductor companies);</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S&amp;P Global Sustainability Yearbook Member;</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Barron’s </w:t>
      </w:r>
      <w:r>
        <w:rPr>
          <w:rFonts w:ascii="Arial" w:cs="Arial" w:eastAsia="Arial" w:hAnsi="Arial"/>
          <w:sz w:val="18"/>
          <w:szCs w:val="18"/>
          <w:i w:val="1"/>
          <w:iCs w:val="1"/>
          <w:color w:val="auto"/>
        </w:rPr>
        <w:t>100 Most Sustainable Companies in the U.S</w:t>
      </w:r>
      <w:r>
        <w:rPr>
          <w:rFonts w:ascii="Arial" w:cs="Arial" w:eastAsia="Arial" w:hAnsi="Arial"/>
          <w:sz w:val="18"/>
          <w:szCs w:val="18"/>
          <w:color w:val="auto"/>
        </w:rPr>
        <w:t>. for the sixth consecutive year;</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EcoVadis “Platinum” score for corporate social responsibility management quality (Top 1% - electronics manufacturers);</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ISS-Oekom “Prime” designation for ESG performance;</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World Finance Magazine </w:t>
      </w:r>
      <w:r>
        <w:rPr>
          <w:rFonts w:ascii="Arial" w:cs="Arial" w:eastAsia="Arial" w:hAnsi="Arial"/>
          <w:sz w:val="18"/>
          <w:szCs w:val="18"/>
          <w:i w:val="1"/>
          <w:iCs w:val="1"/>
          <w:color w:val="auto"/>
        </w:rPr>
        <w:t>Most Sustainable Company in the Semiconductor Industry</w:t>
      </w:r>
      <w:r>
        <w:rPr>
          <w:rFonts w:ascii="Arial" w:cs="Arial" w:eastAsia="Arial" w:hAnsi="Arial"/>
          <w:sz w:val="18"/>
          <w:szCs w:val="18"/>
          <w:color w:val="auto"/>
        </w:rPr>
        <w:t xml:space="preserve"> in 2023, for the fourth consecutive year;</w:t>
      </w:r>
    </w:p>
    <w:p>
      <w:pPr>
        <w:ind w:left="1300" w:hanging="320"/>
        <w:spacing w:after="0" w:line="234" w:lineRule="auto"/>
        <w:tabs>
          <w:tab w:leader="none" w:pos="131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Investor’s Business Daily </w:t>
      </w:r>
      <w:r>
        <w:rPr>
          <w:rFonts w:ascii="Arial" w:cs="Arial" w:eastAsia="Arial" w:hAnsi="Arial"/>
          <w:sz w:val="18"/>
          <w:szCs w:val="18"/>
          <w:i w:val="1"/>
          <w:iCs w:val="1"/>
          <w:color w:val="auto"/>
        </w:rPr>
        <w:t>100 Best ESG Companies</w:t>
      </w:r>
      <w:r>
        <w:rPr>
          <w:rFonts w:ascii="Arial" w:cs="Arial" w:eastAsia="Arial" w:hAnsi="Arial"/>
          <w:sz w:val="18"/>
          <w:szCs w:val="18"/>
          <w:color w:val="auto"/>
        </w:rPr>
        <w:t xml:space="preserve"> (identifying companies with a favorable mix of profitability and ethical and social responsibility); and</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Just Capital’s JUST 100 list (identifies just companies that perform highly on priorities of the American public).</w:t>
      </w:r>
    </w:p>
    <w:p>
      <w:pPr>
        <w:jc w:val="both"/>
        <w:ind w:left="660" w:hanging="328"/>
        <w:spacing w:after="0" w:line="22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Sustainability: </w:t>
      </w:r>
      <w:r>
        <w:rPr>
          <w:rFonts w:ascii="Arial" w:cs="Arial" w:eastAsia="Arial" w:hAnsi="Arial"/>
          <w:sz w:val="18"/>
          <w:szCs w:val="18"/>
          <w:color w:val="auto"/>
        </w:rPr>
        <w:t>In 2022, we became one of the founding members of the Semiconductor Climate Consortium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SCC), the first global collaborative of companies across the semiconductor value chain, aimed at accelerating the semiconductor ecosystem’s reduction of greenhouse gas emissions. All SCC members are committed to:</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collaborating through common approaches, technology innovations, and communications channels;</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publicly reporting progress on Scope 1, 2 and 3 greenhouse gas emissions annually; and</w:t>
      </w:r>
    </w:p>
    <w:p>
      <w:pPr>
        <w:ind w:left="1300" w:hanging="320"/>
        <w:spacing w:after="0" w:line="23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setting near- and long-term decarbonization targets with the goal of achieving net zero emissions by 2050 (or sooner).</w:t>
      </w:r>
    </w:p>
    <w:p>
      <w:pPr>
        <w:spacing w:after="0" w:line="1" w:lineRule="exact"/>
        <w:rPr>
          <w:sz w:val="20"/>
          <w:szCs w:val="20"/>
          <w:color w:val="auto"/>
        </w:rPr>
      </w:pPr>
    </w:p>
    <w:p>
      <w:pPr>
        <w:jc w:val="both"/>
        <w:ind w:left="660"/>
        <w:spacing w:after="0" w:line="234" w:lineRule="auto"/>
        <w:rPr>
          <w:sz w:val="20"/>
          <w:szCs w:val="20"/>
          <w:color w:val="auto"/>
        </w:rPr>
      </w:pPr>
      <w:r>
        <w:rPr>
          <w:rFonts w:ascii="Arial" w:cs="Arial" w:eastAsia="Arial" w:hAnsi="Arial"/>
          <w:sz w:val="18"/>
          <w:szCs w:val="18"/>
          <w:color w:val="auto"/>
        </w:rPr>
        <w:t xml:space="preserve">In 2021, we established the goal of becoming net zero by 2040. This is an ambitious goal that would put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ahead of the timeline established by the Paris Agreement in reducing greenhouse gas emissions and limiting climate change around the globe. The plan for this goal is expected to be accomplished by prioritizing the deep decarbonization of our operations through approaches such as swaps of selected high “global warming potential” process gases prior to purchasing certified carbon removal and offsets, as well as adopting energy conservation and efficiency measures prior to making investments in renewable energy. Through these activities, we are working to ensure a pathway to net zero that also enables operational resilience, cost efficiency, and, therefore, value creation.</w:t>
      </w:r>
    </w:p>
    <w:p>
      <w:pPr>
        <w:spacing w:after="0" w:line="5" w:lineRule="exact"/>
        <w:rPr>
          <w:sz w:val="20"/>
          <w:szCs w:val="20"/>
          <w:color w:val="auto"/>
        </w:rPr>
      </w:pPr>
    </w:p>
    <w:p>
      <w:pPr>
        <w:jc w:val="both"/>
        <w:ind w:left="660" w:hanging="328"/>
        <w:spacing w:after="0" w:line="22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Supply Chain Responsibility: </w:t>
      </w:r>
      <w:r>
        <w:rPr>
          <w:rFonts w:ascii="Arial" w:cs="Arial" w:eastAsia="Arial" w:hAnsi="Arial"/>
          <w:sz w:val="18"/>
          <w:szCs w:val="18"/>
          <w:color w:val="auto"/>
        </w:rPr>
        <w:t>We require all key suppliers to complete an annual supplier assessment questionnaire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social responsibility tenets outlined in the RBA Code. All key suppliers are also required to sign a statement of conformance to the </w:t>
      </w:r>
      <w:r>
        <w:rPr>
          <w:rFonts w:ascii="Arial" w:cs="Arial" w:eastAsia="Arial" w:hAnsi="Arial"/>
          <w:sz w:val="18"/>
          <w:szCs w:val="18"/>
          <w:b w:val="1"/>
          <w:bCs w:val="1"/>
          <w:color w:val="auto"/>
        </w:rPr>
        <w:t xml:space="preserve">onsemi </w:t>
      </w:r>
      <w:r>
        <w:rPr>
          <w:rFonts w:ascii="Arial" w:cs="Arial" w:eastAsia="Arial" w:hAnsi="Arial"/>
          <w:sz w:val="18"/>
          <w:szCs w:val="18"/>
          <w:color w:val="auto"/>
        </w:rPr>
        <w:t>Corporate Social Responsibility Statement, the RBA Code and the</w:t>
      </w:r>
      <w:r>
        <w:rPr>
          <w:rFonts w:ascii="Arial" w:cs="Arial" w:eastAsia="Arial" w:hAnsi="Arial"/>
          <w:sz w:val="18"/>
          <w:szCs w:val="18"/>
          <w:b w:val="1"/>
          <w:bCs w:val="1"/>
          <w:color w:val="auto"/>
        </w:rPr>
        <w:t xml:space="preserve"> onsemi </w:t>
      </w:r>
      <w:r>
        <w:rPr>
          <w:rFonts w:ascii="Arial" w:cs="Arial" w:eastAsia="Arial" w:hAnsi="Arial"/>
          <w:sz w:val="18"/>
          <w:szCs w:val="18"/>
          <w:color w:val="auto"/>
        </w:rPr>
        <w:t>Code of Business Conduct.</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Diversity, Equity and Inclusion (DEI): </w:t>
      </w:r>
      <w:r>
        <w:rPr>
          <w:rFonts w:ascii="Arial" w:cs="Arial" w:eastAsia="Arial" w:hAnsi="Arial"/>
          <w:sz w:val="18"/>
          <w:szCs w:val="18"/>
          <w:color w:val="auto"/>
        </w:rPr>
        <w:t>A description of our DEI initiatives is available on our “Diversity, Equity and Inclusion”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webpage at </w:t>
      </w:r>
      <w:r>
        <w:rPr>
          <w:rFonts w:ascii="Arial" w:cs="Arial" w:eastAsia="Arial" w:hAnsi="Arial"/>
          <w:sz w:val="18"/>
          <w:szCs w:val="18"/>
          <w:u w:val="single" w:color="auto"/>
          <w:color w:val="auto"/>
        </w:rPr>
        <w:t>www.onsemi.com</w:t>
      </w:r>
      <w:r>
        <w:rPr>
          <w:rFonts w:ascii="Arial" w:cs="Arial" w:eastAsia="Arial" w:hAnsi="Arial"/>
          <w:sz w:val="18"/>
          <w:szCs w:val="18"/>
          <w:color w:val="auto"/>
        </w:rPr>
        <w:t>. We have six employee resource groups that help facilitate equity in the workplace by providing recruitment, retention, development and advancement support for our employees from differing backgrounds. As noted above, our HCC Committee oversees DEI initiatives and, among other things, considers DEI in its broader review of human capital management and pay equity.</w:t>
      </w:r>
    </w:p>
    <w:p>
      <w:pPr>
        <w:spacing w:after="0" w:line="3"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Task-force for Climate-related Financial Disclosure (TCFD): </w:t>
      </w:r>
      <w:r>
        <w:rPr>
          <w:rFonts w:ascii="Arial" w:cs="Arial" w:eastAsia="Arial" w:hAnsi="Arial"/>
          <w:sz w:val="18"/>
          <w:szCs w:val="18"/>
          <w:color w:val="auto"/>
        </w:rPr>
        <w:t>In 2023, we released our second TCFD report in the appendix of our</w:t>
      </w:r>
    </w:p>
    <w:p>
      <w:pPr>
        <w:ind w:left="660"/>
        <w:spacing w:after="0" w:line="219" w:lineRule="auto"/>
        <w:rPr>
          <w:rFonts w:ascii="Arial" w:cs="Arial" w:eastAsia="Arial" w:hAnsi="Arial"/>
          <w:sz w:val="18"/>
          <w:szCs w:val="18"/>
          <w:color w:val="auto"/>
        </w:rPr>
      </w:pPr>
      <w:r>
        <w:rPr>
          <w:rFonts w:ascii="Arial" w:cs="Arial" w:eastAsia="Arial" w:hAnsi="Arial"/>
          <w:sz w:val="18"/>
          <w:szCs w:val="18"/>
          <w:color w:val="auto"/>
        </w:rPr>
        <w:t>2022 Sustainability Report. This report contained information about our climate-related risks and opportunities that included:</w:t>
      </w:r>
    </w:p>
    <w:p>
      <w:pPr>
        <w:ind w:left="1300" w:hanging="320"/>
        <w:spacing w:after="0" w:line="23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governance and management of our identified climate-related risks and opportunities;</w:t>
      </w:r>
    </w:p>
    <w:p>
      <w:pPr>
        <w:ind w:left="1300" w:hanging="320"/>
        <w:spacing w:after="0" w:line="21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how our business planning, strategy and financial planning are impacted by climate-related risks and opportunities; and</w:t>
      </w:r>
    </w:p>
    <w:p>
      <w:pPr>
        <w:ind w:left="1300" w:hanging="320"/>
        <w:spacing w:after="0" w:line="21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metrics and targets we use for tracking progress against these climate-related risks and opportunities.</w:t>
      </w:r>
    </w:p>
    <w:p>
      <w:pPr>
        <w:ind w:left="660"/>
        <w:spacing w:after="0" w:line="234" w:lineRule="auto"/>
        <w:rPr>
          <w:sz w:val="20"/>
          <w:szCs w:val="20"/>
          <w:color w:val="auto"/>
        </w:rPr>
      </w:pPr>
      <w:r>
        <w:rPr>
          <w:rFonts w:ascii="Arial" w:cs="Arial" w:eastAsia="Arial" w:hAnsi="Arial"/>
          <w:sz w:val="18"/>
          <w:szCs w:val="18"/>
          <w:color w:val="auto"/>
        </w:rPr>
        <w:t xml:space="preserve">In June 2024, we expect to include this information in an annually published TCFD report located in the appendix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Sustainability Report as well as a standalone document available at </w:t>
      </w:r>
      <w:r>
        <w:rPr>
          <w:rFonts w:ascii="Arial" w:cs="Arial" w:eastAsia="Arial" w:hAnsi="Arial"/>
          <w:sz w:val="18"/>
          <w:szCs w:val="18"/>
          <w:u w:val="single" w:color="auto"/>
          <w:color w:val="auto"/>
        </w:rPr>
        <w:t>www.onsemi.com</w:t>
      </w:r>
      <w:r>
        <w:rPr>
          <w:rFonts w:ascii="Arial" w:cs="Arial" w:eastAsia="Arial" w:hAnsi="Arial"/>
          <w:sz w:val="18"/>
          <w:szCs w:val="18"/>
          <w:color w:val="auto"/>
        </w:rPr>
        <w:t>.</w:t>
      </w:r>
    </w:p>
    <w:p>
      <w:pPr>
        <w:spacing w:after="0" w:line="1" w:lineRule="exact"/>
        <w:rPr>
          <w:sz w:val="20"/>
          <w:szCs w:val="20"/>
          <w:color w:val="auto"/>
        </w:rPr>
      </w:pPr>
    </w:p>
    <w:p>
      <w:pPr>
        <w:jc w:val="both"/>
        <w:ind w:left="660" w:hanging="328"/>
        <w:spacing w:after="0" w:line="245"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Science-based Target Initiative (SBTi): </w:t>
      </w:r>
      <w:r>
        <w:rPr>
          <w:rFonts w:ascii="Arial" w:cs="Arial" w:eastAsia="Arial" w:hAnsi="Arial"/>
          <w:sz w:val="18"/>
          <w:szCs w:val="18"/>
          <w:color w:val="auto"/>
        </w:rPr>
        <w:t>In December 2022, we submitted our SBTi commitment letter to establish near-term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targets, representing a major milestone on our net-zero journey. With this letter, signed by our CEO, we committed to set a near-term science-based emissions reduction target in line with the latest climate science helping to ensure global temperatures do not exceed 1.5°C above pre-industrial temperatures, which is 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7" w:name="page28"/>
    <w:bookmarkEnd w:id="27"/>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critical threshold to avoid catastrophic impacts from climate change. We believe science-based targets provide a clearly defined pathway for companies to reduce greenhouse gas emissions, helping prevent the worst impacts of climate change and enabling future-proof business growth. By December 2024, we expect to publish approved near-term targets that are aligned with and validated by SBTi. We will share more information about our goals and progress over the coming years in our annual Sustainability Report.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to Fighting Climate Change</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August 2021, we announced our goal to achieve net-zero emissions by 2040. Today, the industrial and automotive end-markets are responsible for a majority of the world’s greenhouse gas emissions, so we believe that our position as a market leader in intelligent power</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sensing technologies offers us an opportunity to help steward these end-markets toward a more sustainable future. Achieving net-zero emissions means that we will reduce greenhouse gas emissions as much as possible before mitigating any remaining emissions through certified carbon offsets or procurement of renewable energy. The approach to net-zero emissions is characterized by plans to capitalize on efficiencies that will reduce overall emissions, transition to renewable energy to ensure clean energy use and invest in certified carbon offsets for non-electricity emissions. We plan to achieve our net-zero goal through the pursuit of a strategy formed by three pillars:</w:t>
      </w:r>
    </w:p>
    <w:p>
      <w:pPr>
        <w:spacing w:after="0" w:line="261" w:lineRule="exact"/>
        <w:rPr>
          <w:sz w:val="20"/>
          <w:szCs w:val="20"/>
          <w:color w:val="auto"/>
        </w:rPr>
      </w:pPr>
    </w:p>
    <w:p>
      <w:pPr>
        <w:ind w:left="860"/>
        <w:spacing w:after="0"/>
        <w:tabs>
          <w:tab w:leader="none" w:pos="4800" w:val="left"/>
          <w:tab w:leader="none" w:pos="8420" w:val="left"/>
        </w:tabs>
        <w:rPr>
          <w:sz w:val="20"/>
          <w:szCs w:val="20"/>
          <w:color w:val="auto"/>
        </w:rPr>
      </w:pPr>
      <w:r>
        <w:rPr>
          <w:rFonts w:ascii="Arial" w:cs="Arial" w:eastAsia="Arial" w:hAnsi="Arial"/>
          <w:sz w:val="18"/>
          <w:szCs w:val="18"/>
          <w:b w:val="1"/>
          <w:bCs w:val="1"/>
          <w:color w:val="auto"/>
        </w:rPr>
        <w:t>Capitalize on Efficiency</w:t>
      </w:r>
      <w:r>
        <w:rPr>
          <w:sz w:val="20"/>
          <w:szCs w:val="20"/>
          <w:color w:val="auto"/>
        </w:rPr>
        <w:tab/>
      </w:r>
      <w:r>
        <w:rPr>
          <w:rFonts w:ascii="Arial" w:cs="Arial" w:eastAsia="Arial" w:hAnsi="Arial"/>
          <w:sz w:val="18"/>
          <w:szCs w:val="18"/>
          <w:b w:val="1"/>
          <w:bCs w:val="1"/>
          <w:color w:val="auto"/>
        </w:rPr>
        <w:t>Renewable Energy</w:t>
      </w:r>
      <w:r>
        <w:rPr>
          <w:sz w:val="20"/>
          <w:szCs w:val="20"/>
          <w:color w:val="auto"/>
        </w:rPr>
        <w:tab/>
      </w:r>
      <w:r>
        <w:rPr>
          <w:rFonts w:ascii="Arial" w:cs="Arial" w:eastAsia="Arial" w:hAnsi="Arial"/>
          <w:sz w:val="18"/>
          <w:szCs w:val="18"/>
          <w:b w:val="1"/>
          <w:bCs w:val="1"/>
          <w:color w:val="auto"/>
        </w:rPr>
        <w:t>Offsets and Influence</w:t>
      </w:r>
    </w:p>
    <w:p>
      <w:pPr>
        <w:sectPr>
          <w:pgSz w:w="11900" w:h="16838" w:orient="portrait"/>
          <w:cols w:equalWidth="0" w:num="1">
            <w:col w:w="11240"/>
          </w:cols>
          <w:pgMar w:left="320" w:top="161" w:right="339" w:bottom="1440" w:gutter="0" w:footer="0" w:header="0"/>
        </w:sectPr>
      </w:pPr>
    </w:p>
    <w:p>
      <w:pPr>
        <w:spacing w:after="0" w:line="40" w:lineRule="exact"/>
        <w:rPr>
          <w:sz w:val="20"/>
          <w:szCs w:val="20"/>
          <w:color w:val="auto"/>
        </w:rPr>
      </w:pPr>
    </w:p>
    <w:p>
      <w:pPr>
        <w:ind w:left="260" w:right="60" w:hanging="153"/>
        <w:spacing w:after="0" w:line="208" w:lineRule="auto"/>
        <w:tabs>
          <w:tab w:leader="none" w:pos="2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Investigate opportunities for energy conservation and efficiency to reduce total energy consumption</w:t>
      </w:r>
    </w:p>
    <w:p>
      <w:pPr>
        <w:spacing w:after="0" w:line="2" w:lineRule="exact"/>
        <w:rPr>
          <w:rFonts w:ascii="Arial" w:cs="Arial" w:eastAsia="Arial" w:hAnsi="Arial"/>
          <w:sz w:val="18"/>
          <w:szCs w:val="18"/>
          <w:color w:val="auto"/>
        </w:rPr>
      </w:pPr>
    </w:p>
    <w:p>
      <w:pPr>
        <w:ind w:left="260" w:hanging="153"/>
        <w:spacing w:after="0" w:line="208"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Explore investments in facilities, processes and equipment to increase energy efficiency</w:t>
      </w:r>
    </w:p>
    <w:p>
      <w:pPr>
        <w:spacing w:after="0" w:line="1" w:lineRule="exact"/>
        <w:rPr>
          <w:rFonts w:ascii="Arial" w:cs="Arial" w:eastAsia="Arial" w:hAnsi="Arial"/>
          <w:sz w:val="18"/>
          <w:szCs w:val="18"/>
          <w:color w:val="auto"/>
        </w:rPr>
      </w:pPr>
    </w:p>
    <w:p>
      <w:pPr>
        <w:ind w:left="260" w:right="180" w:hanging="153"/>
        <w:spacing w:after="0" w:line="226" w:lineRule="auto"/>
        <w:tabs>
          <w:tab w:leader="none" w:pos="2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opportunities to mitigate greenhouse gas emissions from process gas swaps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67" w:hanging="167"/>
        <w:spacing w:after="0" w:line="224" w:lineRule="auto"/>
        <w:tabs>
          <w:tab w:leader="none" w:pos="1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Explore the transition of fossil fuel-based energy to electricity sources where feasible</w:t>
      </w:r>
    </w:p>
    <w:p>
      <w:pPr>
        <w:ind w:left="167" w:right="120" w:hanging="167"/>
        <w:spacing w:after="0" w:line="208" w:lineRule="auto"/>
        <w:tabs>
          <w:tab w:leader="none" w:pos="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Plan transition of electricity from traditional sources to sources backed by renewable energy instruments</w:t>
      </w:r>
    </w:p>
    <w:p>
      <w:pPr>
        <w:spacing w:after="0" w:line="1" w:lineRule="exact"/>
        <w:rPr>
          <w:rFonts w:ascii="Arial" w:cs="Arial" w:eastAsia="Arial" w:hAnsi="Arial"/>
          <w:sz w:val="18"/>
          <w:szCs w:val="18"/>
          <w:color w:val="auto"/>
        </w:rPr>
      </w:pPr>
    </w:p>
    <w:p>
      <w:pPr>
        <w:ind w:left="167" w:right="20" w:hanging="167"/>
        <w:spacing w:after="0" w:line="246" w:lineRule="auto"/>
        <w:tabs>
          <w:tab w:leader="none" w:pos="1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Plan to use 50% renewable energy by 2030 and 100% renewable energy by 2040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54" w:right="80" w:hanging="154"/>
        <w:spacing w:after="0" w:line="207" w:lineRule="auto"/>
        <w:tabs>
          <w:tab w:leader="none" w:pos="1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non-electricity emissions that cannot be eliminated, mitigate through the purchase of certified carbon offsets equal to the amount of such emissions</w:t>
      </w:r>
    </w:p>
    <w:p>
      <w:pPr>
        <w:spacing w:after="0" w:line="2" w:lineRule="exact"/>
        <w:rPr>
          <w:rFonts w:ascii="Arial" w:cs="Arial" w:eastAsia="Arial" w:hAnsi="Arial"/>
          <w:sz w:val="18"/>
          <w:szCs w:val="18"/>
          <w:color w:val="auto"/>
        </w:rPr>
      </w:pPr>
    </w:p>
    <w:p>
      <w:pPr>
        <w:ind w:left="154" w:right="40" w:hanging="154"/>
        <w:spacing w:after="0" w:line="211" w:lineRule="auto"/>
        <w:tabs>
          <w:tab w:leader="none" w:pos="1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Green-E and Gold Standard certified offsets will be prioritized</w:t>
      </w:r>
    </w:p>
    <w:p>
      <w:pPr>
        <w:ind w:left="154" w:right="320" w:hanging="154"/>
        <w:spacing w:after="0" w:line="226" w:lineRule="auto"/>
        <w:tabs>
          <w:tab w:leader="none" w:pos="1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Leverage RBA membership to engage supply chain stakeholders on emissions reduction</w:t>
      </w:r>
    </w:p>
    <w:p>
      <w:pPr>
        <w:spacing w:after="0" w:line="200" w:lineRule="exact"/>
        <w:rPr>
          <w:sz w:val="20"/>
          <w:szCs w:val="20"/>
          <w:color w:val="auto"/>
        </w:rPr>
      </w:pPr>
    </w:p>
    <w:p>
      <w:pPr>
        <w:sectPr>
          <w:pgSz w:w="11900" w:h="16838" w:orient="portrait"/>
          <w:cols w:equalWidth="0" w:num="3">
            <w:col w:w="3680" w:space="153"/>
            <w:col w:w="3607" w:space="146"/>
            <w:col w:w="3654"/>
          </w:cols>
          <w:pgMar w:left="320" w:top="161" w:right="339" w:bottom="1440" w:gutter="0" w:footer="0" w:header="0"/>
          <w:type w:val="continuous"/>
        </w:sectPr>
      </w:pP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GS Committee has oversight of climate- and sustainability-related initiatives and our other actions associated with the environment, and these responsibilities are detailed in its charter. As we continue to forge ahead as a leader in combating climate change in the semiconductor</w:t>
      </w:r>
    </w:p>
    <w:p>
      <w:pPr>
        <w:jc w:val="both"/>
        <w:spacing w:after="0" w:line="237" w:lineRule="auto"/>
        <w:rPr>
          <w:sz w:val="20"/>
          <w:szCs w:val="20"/>
          <w:color w:val="auto"/>
        </w:rPr>
      </w:pPr>
      <w:r>
        <w:rPr>
          <w:rFonts w:ascii="Arial" w:cs="Arial" w:eastAsia="Arial" w:hAnsi="Arial"/>
          <w:sz w:val="18"/>
          <w:szCs w:val="18"/>
          <w:color w:val="auto"/>
        </w:rPr>
        <w:t>and manufacturing spaces, the GS Committee will assist the Board in providing guidance and oversight in respect of strategy, risk management, capital expenditures, opportunities and investments in the context of climate change.</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Legal Compliance</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 Committee has compliance oversight responsibility, which entails obtaining reports from the Ethics and Compliance group and our Legal Department regarding any known material non-compliance with the law, advising the Board with respect to our legal compliance policies and procedures and discussing with the Legal Department potentially material legal matters, including material inquiries received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regulators or government agencies. For more information on the Board’s oversight responsibilities, including its responsibility to oversee risk and our ERM Program, see “The Board of Directors and Corporate Governance — Role of the Board in Risk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2023 Compensation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total compensation paid to or earned by each of our non-employee directors for service during 2023.</w:t>
      </w:r>
    </w:p>
    <w:p>
      <w:pPr>
        <w:spacing w:after="0" w:line="29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3080" w:type="dxa"/>
            <w:vAlign w:val="bottom"/>
            <w:shd w:val="clear" w:color="auto" w:fill="465E66"/>
          </w:tcPr>
          <w:p>
            <w:pPr>
              <w:ind w:left="460"/>
              <w:spacing w:after="0"/>
              <w:rPr>
                <w:sz w:val="20"/>
                <w:szCs w:val="20"/>
                <w:color w:val="auto"/>
              </w:rPr>
            </w:pPr>
            <w:r>
              <w:rPr>
                <w:rFonts w:ascii="Arial" w:cs="Arial" w:eastAsia="Arial" w:hAnsi="Arial"/>
                <w:sz w:val="14"/>
                <w:szCs w:val="14"/>
                <w:b w:val="1"/>
                <w:bCs w:val="1"/>
                <w:color w:val="FFFFFF"/>
              </w:rPr>
              <w:t>Fees Earned or Paid in Cash (1)</w:t>
            </w:r>
          </w:p>
        </w:tc>
        <w:tc>
          <w:tcPr>
            <w:tcW w:w="2520" w:type="dxa"/>
            <w:vAlign w:val="bottom"/>
            <w:shd w:val="clear" w:color="auto" w:fill="465E66"/>
          </w:tcPr>
          <w:p>
            <w:pPr>
              <w:ind w:left="480"/>
              <w:spacing w:after="0"/>
              <w:rPr>
                <w:sz w:val="20"/>
                <w:szCs w:val="20"/>
                <w:color w:val="auto"/>
              </w:rPr>
            </w:pPr>
            <w:r>
              <w:rPr>
                <w:rFonts w:ascii="Arial" w:cs="Arial" w:eastAsia="Arial" w:hAnsi="Arial"/>
                <w:sz w:val="14"/>
                <w:szCs w:val="14"/>
                <w:b w:val="1"/>
                <w:bCs w:val="1"/>
                <w:color w:val="FFFFFF"/>
              </w:rPr>
              <w:t>Stock Awards (2)</w:t>
            </w:r>
          </w:p>
        </w:tc>
        <w:tc>
          <w:tcPr>
            <w:tcW w:w="2460" w:type="dxa"/>
            <w:vAlign w:val="bottom"/>
            <w:shd w:val="clear" w:color="auto" w:fill="465E66"/>
          </w:tcPr>
          <w:p>
            <w:pPr>
              <w:ind w:left="9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5"/>
        </w:trPr>
        <w:tc>
          <w:tcPr>
            <w:tcW w:w="2360" w:type="dxa"/>
            <w:vAlign w:val="bottom"/>
            <w:vMerge w:val="continue"/>
            <w:shd w:val="clear" w:color="auto" w:fill="465E66"/>
          </w:tcPr>
          <w:p>
            <w:pPr>
              <w:spacing w:after="0"/>
              <w:rPr>
                <w:sz w:val="16"/>
                <w:szCs w:val="16"/>
                <w:color w:val="auto"/>
              </w:rPr>
            </w:pPr>
          </w:p>
        </w:tc>
        <w:tc>
          <w:tcPr>
            <w:tcW w:w="30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2520" w:type="dxa"/>
            <w:vAlign w:val="bottom"/>
            <w:shd w:val="clear" w:color="auto" w:fill="465E66"/>
          </w:tcPr>
          <w:p>
            <w:pPr>
              <w:jc w:val="center"/>
              <w:ind w:right="328"/>
              <w:spacing w:after="0"/>
              <w:rPr>
                <w:sz w:val="20"/>
                <w:szCs w:val="20"/>
                <w:color w:val="auto"/>
              </w:rPr>
            </w:pPr>
            <w:r>
              <w:rPr>
                <w:rFonts w:ascii="Arial" w:cs="Arial" w:eastAsia="Arial" w:hAnsi="Arial"/>
                <w:sz w:val="14"/>
                <w:szCs w:val="14"/>
                <w:b w:val="1"/>
                <w:bCs w:val="1"/>
                <w:color w:val="FFFFFF"/>
                <w:w w:val="93"/>
              </w:rPr>
              <w:t>($)</w:t>
            </w:r>
          </w:p>
        </w:tc>
        <w:tc>
          <w:tcPr>
            <w:tcW w:w="2460" w:type="dxa"/>
            <w:vAlign w:val="bottom"/>
            <w:shd w:val="clear" w:color="auto" w:fill="465E66"/>
          </w:tcPr>
          <w:p>
            <w:pPr>
              <w:jc w:val="center"/>
              <w:ind w:right="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2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Atsushi Abe</w:t>
            </w:r>
          </w:p>
        </w:tc>
        <w:tc>
          <w:tcPr>
            <w:tcW w:w="30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95,000</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320,047</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Alan Campbell</w:t>
            </w:r>
          </w:p>
        </w:tc>
        <w:tc>
          <w:tcPr>
            <w:tcW w:w="3080" w:type="dxa"/>
            <w:vAlign w:val="bottom"/>
          </w:tcPr>
          <w:p>
            <w:pPr>
              <w:jc w:val="center"/>
              <w:spacing w:after="0"/>
              <w:rPr>
                <w:sz w:val="20"/>
                <w:szCs w:val="20"/>
                <w:color w:val="auto"/>
              </w:rPr>
            </w:pPr>
            <w:r>
              <w:rPr>
                <w:rFonts w:ascii="Arial" w:cs="Arial" w:eastAsia="Arial" w:hAnsi="Arial"/>
                <w:sz w:val="14"/>
                <w:szCs w:val="14"/>
                <w:color w:val="auto"/>
              </w:rPr>
              <w:t>225,604</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450,651</w:t>
            </w:r>
          </w:p>
        </w:tc>
        <w:tc>
          <w:tcPr>
            <w:tcW w:w="0" w:type="dxa"/>
            <w:vAlign w:val="bottom"/>
          </w:tcPr>
          <w:p>
            <w:pPr>
              <w:spacing w:after="0"/>
              <w:rPr>
                <w:sz w:val="1"/>
                <w:szCs w:val="1"/>
                <w:color w:val="auto"/>
              </w:rPr>
            </w:pPr>
          </w:p>
        </w:tc>
      </w:tr>
      <w:tr>
        <w:trPr>
          <w:trHeight w:val="207"/>
        </w:trPr>
        <w:tc>
          <w:tcPr>
            <w:tcW w:w="2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Susan K. Carter</w:t>
            </w:r>
          </w:p>
        </w:tc>
        <w:tc>
          <w:tcPr>
            <w:tcW w:w="30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120,604</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345,651</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Thomas L. Deitrich</w:t>
            </w:r>
          </w:p>
        </w:tc>
        <w:tc>
          <w:tcPr>
            <w:tcW w:w="3080" w:type="dxa"/>
            <w:vAlign w:val="bottom"/>
          </w:tcPr>
          <w:p>
            <w:pPr>
              <w:jc w:val="center"/>
              <w:spacing w:after="0"/>
              <w:rPr>
                <w:sz w:val="20"/>
                <w:szCs w:val="20"/>
                <w:color w:val="auto"/>
              </w:rPr>
            </w:pPr>
            <w:r>
              <w:rPr>
                <w:rFonts w:ascii="Arial" w:cs="Arial" w:eastAsia="Arial" w:hAnsi="Arial"/>
                <w:sz w:val="14"/>
                <w:szCs w:val="14"/>
                <w:color w:val="auto"/>
              </w:rPr>
              <w:t>87,500</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312,547</w:t>
            </w:r>
          </w:p>
        </w:tc>
        <w:tc>
          <w:tcPr>
            <w:tcW w:w="0" w:type="dxa"/>
            <w:vAlign w:val="bottom"/>
          </w:tcPr>
          <w:p>
            <w:pPr>
              <w:spacing w:after="0"/>
              <w:rPr>
                <w:sz w:val="1"/>
                <w:szCs w:val="1"/>
                <w:color w:val="auto"/>
              </w:rPr>
            </w:pPr>
          </w:p>
        </w:tc>
      </w:tr>
      <w:tr>
        <w:trPr>
          <w:trHeight w:val="207"/>
        </w:trPr>
        <w:tc>
          <w:tcPr>
            <w:tcW w:w="2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Gilles Delfassy (3)</w:t>
            </w:r>
          </w:p>
        </w:tc>
        <w:tc>
          <w:tcPr>
            <w:tcW w:w="30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34,121</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34,121</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Bruce E. Kiddoo</w:t>
            </w:r>
          </w:p>
        </w:tc>
        <w:tc>
          <w:tcPr>
            <w:tcW w:w="3080" w:type="dxa"/>
            <w:vAlign w:val="bottom"/>
          </w:tcPr>
          <w:p>
            <w:pPr>
              <w:jc w:val="center"/>
              <w:spacing w:after="0"/>
              <w:rPr>
                <w:sz w:val="20"/>
                <w:szCs w:val="20"/>
                <w:color w:val="auto"/>
              </w:rPr>
            </w:pPr>
            <w:r>
              <w:rPr>
                <w:rFonts w:ascii="Arial" w:cs="Arial" w:eastAsia="Arial" w:hAnsi="Arial"/>
                <w:sz w:val="14"/>
                <w:szCs w:val="14"/>
                <w:color w:val="auto"/>
              </w:rPr>
              <w:t>95,000</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320,047</w:t>
            </w:r>
          </w:p>
        </w:tc>
        <w:tc>
          <w:tcPr>
            <w:tcW w:w="0" w:type="dxa"/>
            <w:vAlign w:val="bottom"/>
          </w:tcPr>
          <w:p>
            <w:pPr>
              <w:spacing w:after="0"/>
              <w:rPr>
                <w:sz w:val="1"/>
                <w:szCs w:val="1"/>
                <w:color w:val="auto"/>
              </w:rPr>
            </w:pPr>
          </w:p>
        </w:tc>
      </w:tr>
      <w:tr>
        <w:trPr>
          <w:trHeight w:val="207"/>
        </w:trPr>
        <w:tc>
          <w:tcPr>
            <w:tcW w:w="2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Christina Lampe-Önnerud (4)</w:t>
            </w:r>
          </w:p>
        </w:tc>
        <w:tc>
          <w:tcPr>
            <w:tcW w:w="30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26,522</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159,139</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185,661</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Paul A. Mascarenas</w:t>
            </w:r>
          </w:p>
        </w:tc>
        <w:tc>
          <w:tcPr>
            <w:tcW w:w="3080" w:type="dxa"/>
            <w:vAlign w:val="bottom"/>
          </w:tcPr>
          <w:p>
            <w:pPr>
              <w:jc w:val="center"/>
              <w:spacing w:after="0"/>
              <w:rPr>
                <w:sz w:val="20"/>
                <w:szCs w:val="20"/>
                <w:color w:val="auto"/>
              </w:rPr>
            </w:pPr>
            <w:r>
              <w:rPr>
                <w:rFonts w:ascii="Arial" w:cs="Arial" w:eastAsia="Arial" w:hAnsi="Arial"/>
                <w:sz w:val="14"/>
                <w:szCs w:val="14"/>
                <w:color w:val="auto"/>
              </w:rPr>
              <w:t>105,000</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330,047</w:t>
            </w:r>
          </w:p>
        </w:tc>
        <w:tc>
          <w:tcPr>
            <w:tcW w:w="0" w:type="dxa"/>
            <w:vAlign w:val="bottom"/>
          </w:tcPr>
          <w:p>
            <w:pPr>
              <w:spacing w:after="0"/>
              <w:rPr>
                <w:sz w:val="1"/>
                <w:szCs w:val="1"/>
                <w:color w:val="auto"/>
              </w:rPr>
            </w:pPr>
          </w:p>
        </w:tc>
      </w:tr>
      <w:tr>
        <w:trPr>
          <w:trHeight w:val="207"/>
        </w:trPr>
        <w:tc>
          <w:tcPr>
            <w:tcW w:w="2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Gregory L. Waters</w:t>
            </w:r>
          </w:p>
        </w:tc>
        <w:tc>
          <w:tcPr>
            <w:tcW w:w="30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90,000</w:t>
            </w:r>
          </w:p>
        </w:tc>
        <w:tc>
          <w:tcPr>
            <w:tcW w:w="2520" w:type="dxa"/>
            <w:vAlign w:val="bottom"/>
            <w:shd w:val="clear" w:color="auto" w:fill="DBDBDB"/>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315,047</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4"/>
                <w:szCs w:val="14"/>
                <w:color w:val="auto"/>
              </w:rPr>
              <w:t>Christine Y. Yan</w:t>
            </w:r>
          </w:p>
        </w:tc>
        <w:tc>
          <w:tcPr>
            <w:tcW w:w="3080" w:type="dxa"/>
            <w:vAlign w:val="bottom"/>
          </w:tcPr>
          <w:p>
            <w:pPr>
              <w:jc w:val="center"/>
              <w:spacing w:after="0"/>
              <w:rPr>
                <w:sz w:val="20"/>
                <w:szCs w:val="20"/>
                <w:color w:val="auto"/>
              </w:rPr>
            </w:pPr>
            <w:r>
              <w:rPr>
                <w:rFonts w:ascii="Arial" w:cs="Arial" w:eastAsia="Arial" w:hAnsi="Arial"/>
                <w:sz w:val="14"/>
                <w:szCs w:val="14"/>
                <w:color w:val="auto"/>
              </w:rPr>
              <w:t>101,552</w:t>
            </w:r>
          </w:p>
        </w:tc>
        <w:tc>
          <w:tcPr>
            <w:tcW w:w="2520" w:type="dxa"/>
            <w:vAlign w:val="bottom"/>
          </w:tcPr>
          <w:p>
            <w:pPr>
              <w:jc w:val="center"/>
              <w:ind w:right="328"/>
              <w:spacing w:after="0"/>
              <w:rPr>
                <w:sz w:val="20"/>
                <w:szCs w:val="20"/>
                <w:color w:val="auto"/>
              </w:rPr>
            </w:pPr>
            <w:r>
              <w:rPr>
                <w:rFonts w:ascii="Arial" w:cs="Arial" w:eastAsia="Arial" w:hAnsi="Arial"/>
                <w:sz w:val="14"/>
                <w:szCs w:val="14"/>
                <w:color w:val="auto"/>
              </w:rPr>
              <w:t>225,047</w:t>
            </w:r>
          </w:p>
        </w:tc>
        <w:tc>
          <w:tcPr>
            <w:tcW w:w="2460" w:type="dxa"/>
            <w:vAlign w:val="bottom"/>
          </w:tcPr>
          <w:p>
            <w:pPr>
              <w:jc w:val="center"/>
              <w:ind w:right="108"/>
              <w:spacing w:after="0"/>
              <w:rPr>
                <w:sz w:val="20"/>
                <w:szCs w:val="20"/>
                <w:color w:val="auto"/>
              </w:rPr>
            </w:pPr>
            <w:r>
              <w:rPr>
                <w:rFonts w:ascii="Arial" w:cs="Arial" w:eastAsia="Arial" w:hAnsi="Arial"/>
                <w:sz w:val="14"/>
                <w:szCs w:val="14"/>
                <w:color w:val="auto"/>
              </w:rPr>
              <w:t>326,599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5080</wp:posOffset>
            </wp:positionV>
            <wp:extent cx="6609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6" w:lineRule="exact"/>
        <w:rPr>
          <w:sz w:val="20"/>
          <w:szCs w:val="20"/>
          <w:color w:val="auto"/>
        </w:rPr>
      </w:pPr>
    </w:p>
    <w:p>
      <w:pPr>
        <w:ind w:left="680" w:right="520" w:hanging="242"/>
        <w:spacing w:after="0" w:line="252" w:lineRule="auto"/>
        <w:tabs>
          <w:tab w:leader="none" w:pos="653"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reflects annual retainer fees earned for board service in 2023, regardless of when paid. The schedule of fees is provided below under “Discussion of Director Compensation.”</w:t>
      </w:r>
    </w:p>
    <w:p>
      <w:pPr>
        <w:ind w:left="680" w:right="460" w:hanging="242"/>
        <w:spacing w:after="0" w:line="229" w:lineRule="auto"/>
        <w:tabs>
          <w:tab w:leader="none" w:pos="653"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the restricted stock award (i) granted to each non-employee director other than Mr. Delfassy and Ms. Lampe-Önnerud on May 18, 2023, and (ii) granted to Ms. Lampe-Önnerud on September 1, 2023, computed in accordance with FASB ASC Topic 718 (i.e., the closing price on the date of grant multiplied by the number of shares granted). As of December 31, 2023, (i) each sitting non-employee director other than Ms. Lampe-Önnerud held a total of 2,602 shares of restricted stock, and (ii) Ms. Lampe-Önnerud held a total of 1,601 shares of restricted stock, all of which are scheduled to vest on the day prior to the annual meeting.</w:t>
      </w:r>
    </w:p>
    <w:p>
      <w:pPr>
        <w:spacing w:after="0" w:line="1" w:lineRule="exact"/>
        <w:rPr>
          <w:rFonts w:ascii="Arial" w:cs="Arial" w:eastAsia="Arial" w:hAnsi="Arial"/>
          <w:sz w:val="14"/>
          <w:szCs w:val="14"/>
          <w:color w:val="auto"/>
        </w:rPr>
      </w:pPr>
    </w:p>
    <w:p>
      <w:pPr>
        <w:ind w:left="660" w:hanging="22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Delfassy’s board service ended on May 18, 2023 (just prior to the 2023 annual meeting of stockholders). He did not receive a stock award during 2023.</w:t>
      </w:r>
    </w:p>
    <w:p>
      <w:pPr>
        <w:spacing w:after="0" w:line="40" w:lineRule="exact"/>
        <w:rPr>
          <w:rFonts w:ascii="Arial" w:cs="Arial" w:eastAsia="Arial" w:hAnsi="Arial"/>
          <w:sz w:val="14"/>
          <w:szCs w:val="14"/>
          <w:color w:val="auto"/>
        </w:rPr>
      </w:pPr>
    </w:p>
    <w:p>
      <w:pPr>
        <w:ind w:left="660" w:hanging="22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Ms. Lampe-Önnerud was appointed to the Board effective September 1, 2023.</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Director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has delegated responsibility for reviewing and determining non-employee director compensation to the HCC Committee. The HCC Committee reviews the compensation payable to our non-employee directors annually. In determining compensation and benefits for our non-employee directors, the HCC Committee is guided by three goals: (i) to fairly pay non-employee directors for the work required to serve as a director for a public company of our size and scope; (ii) to align non-employee directors’ interests with the long-term interests of our stockholders; and (iii) to structure the compensation in a way that is straightforward and transparent. Generally, the HCC Committee believes that these goals are served by compensating non-employee directors with a mix of cash and equity-based awards.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May 2023, FW Cook provided the HCC Committee with an analysis of our non-employee director compensation program and pay levels, including a comparative review of director compensation programs among the same peer group we use to evaluate executive compensation. Taking into consideration FW Cook’s analysis and recommendations, the HCC Committee approved modest increases to the annual equity retainer ($10,000) and to the annual cash retainer for certain Chairs (between $2,500 and $5,000) in order to stay competitive with market peers. Each of these changes is discussed in greater detail below.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Cash Retainers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non-employee director receives a base annual cash retainer plus additional retainers for committee service (either as a member or as the committee Chair) and for service as Chair of the Board. Following its 2023 review of director compensation, the HCC Committee increased the annual retainers for the Chairs of the Board and the Audit Committee by $5,000 each and increased the annual retainer for the Chair of the HCC Committee by $2,500. Following these changes, which were effective May 18, 2023, the schedule of non-employee director cash retainers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9" w:name="page30"/>
    <w:bookmarkEnd w:id="29"/>
    <w:p>
      <w:pPr>
        <w:ind w:left="7180"/>
        <w:spacing w:after="0"/>
        <w:rPr>
          <w:sz w:val="20"/>
          <w:szCs w:val="20"/>
          <w:color w:val="auto"/>
        </w:rPr>
      </w:pPr>
      <w:r>
        <w:rPr>
          <w:rFonts w:ascii="Arial" w:cs="Arial" w:eastAsia="Arial" w:hAnsi="Arial"/>
          <w:sz w:val="18"/>
          <w:szCs w:val="18"/>
          <w:color w:val="E97D2E"/>
        </w:rPr>
        <w:t>The 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Fee Type</w:t>
            </w:r>
          </w:p>
        </w:tc>
        <w:tc>
          <w:tcPr>
            <w:tcW w:w="5260" w:type="dxa"/>
            <w:vAlign w:val="bottom"/>
            <w:shd w:val="clear" w:color="auto" w:fill="465E66"/>
          </w:tcPr>
          <w:p>
            <w:pPr>
              <w:ind w:left="2180"/>
              <w:spacing w:after="0"/>
              <w:rPr>
                <w:sz w:val="20"/>
                <w:szCs w:val="20"/>
                <w:color w:val="auto"/>
              </w:rPr>
            </w:pPr>
            <w:r>
              <w:rPr>
                <w:rFonts w:ascii="Arial" w:cs="Arial" w:eastAsia="Arial" w:hAnsi="Arial"/>
                <w:sz w:val="18"/>
                <w:szCs w:val="18"/>
                <w:b w:val="1"/>
                <w:bCs w:val="1"/>
                <w:color w:val="FFFFFF"/>
              </w:rPr>
              <w:t>Cash Retainer Amount Per Year</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Base Retainer for Each Non-Employee Director</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$80,000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Chair of the Board</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rPr>
              <w:t>$125,000</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Audit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$35,000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Non-Chair Members of the Audit Committee</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w w:val="98"/>
              </w:rPr>
              <w:t>$15,000</w:t>
            </w:r>
          </w:p>
        </w:tc>
      </w:tr>
      <w:tr>
        <w:trPr>
          <w:trHeight w:val="229"/>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HCC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$22,500</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Non-Chair Members of the HCC Committee</w:t>
            </w:r>
          </w:p>
        </w:tc>
        <w:tc>
          <w:tcPr>
            <w:tcW w:w="5260" w:type="dxa"/>
            <w:vAlign w:val="bottom"/>
          </w:tcPr>
          <w:p>
            <w:pPr>
              <w:jc w:val="center"/>
              <w:ind w:left="1730"/>
              <w:spacing w:after="0"/>
              <w:rPr>
                <w:sz w:val="20"/>
                <w:szCs w:val="20"/>
                <w:color w:val="auto"/>
              </w:rPr>
            </w:pPr>
            <w:r>
              <w:rPr>
                <w:rFonts w:ascii="Arial" w:cs="Arial" w:eastAsia="Arial" w:hAnsi="Arial"/>
                <w:sz w:val="18"/>
                <w:szCs w:val="18"/>
                <w:color w:val="auto"/>
                <w:w w:val="98"/>
              </w:rPr>
              <w:t>$10,000</w:t>
            </w:r>
          </w:p>
        </w:tc>
      </w:tr>
      <w:tr>
        <w:trPr>
          <w:trHeight w:val="230"/>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Chair of the GS Committee</w:t>
            </w:r>
          </w:p>
        </w:tc>
        <w:tc>
          <w:tcPr>
            <w:tcW w:w="5260" w:type="dxa"/>
            <w:vAlign w:val="bottom"/>
            <w:shd w:val="clear" w:color="auto" w:fill="DBDBDB"/>
          </w:tcPr>
          <w:p>
            <w:pPr>
              <w:jc w:val="center"/>
              <w:ind w:left="1730"/>
              <w:spacing w:after="0"/>
              <w:rPr>
                <w:sz w:val="20"/>
                <w:szCs w:val="20"/>
                <w:color w:val="auto"/>
              </w:rPr>
            </w:pPr>
            <w:r>
              <w:rPr>
                <w:rFonts w:ascii="Arial" w:cs="Arial" w:eastAsia="Arial" w:hAnsi="Arial"/>
                <w:sz w:val="18"/>
                <w:szCs w:val="18"/>
                <w:color w:val="auto"/>
                <w:w w:val="98"/>
              </w:rPr>
              <w:t>$15,000</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Non-Chair Members of the GS Committee</w:t>
            </w:r>
          </w:p>
        </w:tc>
        <w:tc>
          <w:tcPr>
            <w:tcW w:w="526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color w:val="auto"/>
              </w:rPr>
              <w:t>$7,500</w:t>
            </w:r>
          </w:p>
        </w:tc>
      </w:tr>
    </w:tbl>
    <w:p>
      <w:pPr>
        <w:spacing w:after="0" w:line="3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annual cash retainers are generally paid quarterly in arrears, except that the retainers for the fourth quarter are typically paid before the end of the year of service. For non-employee directors whose status changes during a given quarter (joining or stepping down from the</w:t>
      </w:r>
    </w:p>
    <w:p>
      <w:pPr>
        <w:jc w:val="both"/>
        <w:ind w:right="20"/>
        <w:spacing w:after="0" w:line="237" w:lineRule="auto"/>
        <w:rPr>
          <w:sz w:val="20"/>
          <w:szCs w:val="20"/>
          <w:color w:val="auto"/>
        </w:rPr>
      </w:pPr>
      <w:r>
        <w:rPr>
          <w:rFonts w:ascii="Arial" w:cs="Arial" w:eastAsia="Arial" w:hAnsi="Arial"/>
          <w:sz w:val="18"/>
          <w:szCs w:val="18"/>
          <w:color w:val="auto"/>
        </w:rPr>
        <w:t>Board, a committee, or changes in leadership role), retainers are pro-rated based on number of days of service during the quarter. No separate annual retainer is paid to any director for service on the Executive Committee.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and Stock Ownership Guidelines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its first meeting following our annual meeting of stockholders each year, our HCC Committee grants each non-employee director an annual equity award in the form of restricted shares of stock under the SIP. For 2023, the HCC Committee increased the grant value of the annual equity award (a $10,000 increase to a grant date target value of $225,000). These awards were granted to each non-employee director (other than Ms. Lampe-Önnerud) on May 18, 2023. Ms. Lampe-Önnerud, who was appointed as a director effective September 1, 2023, received a grant of restricted stock on her first day of service, with the grant value pro-rated based on the number of days between her first day of service and the scheduled date for the 2024 annual meeting.</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number of shares in each award is determined by dividing the grant date value by the closing price of our common stock on the date of grant and rounding up to the next whole share. All of our non-employee director restricted stock awards will vest on the day prior to the next annual meeting, provided that the director continues to provide services through that date except as otherwise provided in the award agreement.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adopted stock ownership guidelines that require each of our non-employee directors to own at least five times the base annual cash retainer within five years of his or her initial appointment to the Board. As of the record date, all of our non-employee directors were either in compliance with, or within the five-year grace period for compliance under, these guidelines. For additional information regarding these guidelines, please see the sub-section titled “Director and Officer Stock Ownership and Retention Guidelines” in the Stock Ownership section of this proxy statement.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 Reimbursements and Other Compensation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reimburse our non-employee directors for reasonable expenses incurred to attend Board and committee meetings and to perform other relevant Board duties, but we do not pay any other compensation or provide perquisites to our non-employee directors.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El-Khoury, who serves as our President and CEO as well as a director, does not receive any additional compensation for his services as a member of the Board. For information regarding his compensation, please see the CD&amp;A and the executive compensation tables that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E97D2E"/>
        </w:rPr>
        <w:t>COMPENSATION OF EXECUTIVE OFFICERS</w:t>
      </w:r>
    </w:p>
    <w:p>
      <w:pPr>
        <w:spacing w:after="0" w:line="36" w:lineRule="exact"/>
        <w:rPr>
          <w:sz w:val="20"/>
          <w:szCs w:val="20"/>
          <w:color w:val="auto"/>
        </w:rPr>
      </w:pPr>
    </w:p>
    <w:p>
      <w:pPr>
        <w:ind w:right="300"/>
        <w:spacing w:after="0" w:line="288" w:lineRule="auto"/>
        <w:rPr>
          <w:sz w:val="20"/>
          <w:szCs w:val="20"/>
          <w:color w:val="auto"/>
        </w:rPr>
      </w:pPr>
      <w:r>
        <w:rPr>
          <w:rFonts w:ascii="Arial" w:cs="Arial" w:eastAsia="Arial" w:hAnsi="Arial"/>
          <w:sz w:val="25"/>
          <w:szCs w:val="25"/>
          <w:b w:val="1"/>
          <w:bCs w:val="1"/>
          <w:color w:val="465E66"/>
        </w:rPr>
        <w:t>Proposal No. 2: Advisory Vote to Approve Named Executive Officer Compensation (Say-on-Pay)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recommends a vote “FOR” approval of the compensation paid to our NEOs as disclosed in this proxy statement.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each annual meeting, we provide our stockholders with the opportunity to vote to approve, on a non-binding, advisory basis, the compensation of our NEOs as disclosed in this proxy statement pursuant to Section 14A of the Exchange Act and related SEC rules.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commonly referred to as a say-on-pay vote, is not intended to address any specific element of compensation but rather relates to the overall compensation of our NEOs and our compensation philosophy and practices, as described in this proxy statement. In considering how to vote on this proposal, we recommend that you review the relevant disclosures in this proxy statement, particularly the CD&amp;A, which contains detailed information about our executive compensation program.</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described in greater detail in our CD&amp;A, the principal objective of our executive compensation program, which is overseen by the HCC Committee, is to attract, retain and motivate highly talented individuals who will deliver competitive financial returns to our stockholders and accomplish our short-term and long-term plans and goals. We seek to accomplish this objective by rewarding performance, both individual and corporate, in a way that is aligned with our short-term and long-term interests and those of our stockholders. Consistent with this</w:t>
      </w:r>
    </w:p>
    <w:p>
      <w:pPr>
        <w:jc w:val="both"/>
        <w:spacing w:after="0" w:line="226" w:lineRule="auto"/>
        <w:rPr>
          <w:sz w:val="20"/>
          <w:szCs w:val="20"/>
          <w:color w:val="auto"/>
        </w:rPr>
      </w:pPr>
      <w:r>
        <w:rPr>
          <w:rFonts w:ascii="Arial" w:cs="Arial" w:eastAsia="Arial" w:hAnsi="Arial"/>
          <w:sz w:val="18"/>
          <w:szCs w:val="18"/>
          <w:color w:val="auto"/>
        </w:rPr>
        <w:t>philosophy, a significant portion of the total target direct compensation opportunity for each NEO is incentive-based, and a significant portion of incentive compensation is variable and is dependent upon corporate, business unit or individual achievement as measured against specific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predetermined financial and strategic goals.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ask stockholders to indicate their support by approving the following resolution:</w:t>
      </w:r>
    </w:p>
    <w:p>
      <w:pPr>
        <w:spacing w:after="0" w:line="239"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RESOLVED, that the compensation paid to the named executive officers as disclosed in the proxy statement for the Company’s 2024 annual meeting of stockholders pursuant to the SEC’s compensation disclosure rules, including the CD&amp;A, the executive compensation tables and related narrative disclosure, is hereby APPROVED.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is advisory, which means that it is not binding on us, our Board or the HCC Committee. Regardless, we understand that our executive compensation practices are important to our stockholders. Our Board values the opinions expressed by our stockholders through their votes on this proposal, and the HCC Committee will take the outcome of this vote into consideration when making future compensation decisions for our NEOs. Our next say-on-pay vote will occur at our 2025 annual meeting.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on an Advisory Vote to Approve Named Executive Officer Compensation (Say-on-Pay)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approval of executive compensation is an advisory vote; however, our Board and the HCC Committee will consider the affirmative vote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of the holders of a majority of the shares present in person or represented by proxy and entitled to vote thereon as approval of this Proposal No. 2. See “Questions and Answers About the Proxy Materials, Annual Meeting and Voting”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26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465E66"/>
        </w:rPr>
        <w:t>COMPENSATION DISCUSSION AND ANALYSIS</w:t>
      </w:r>
    </w:p>
    <w:p>
      <w:pPr>
        <w:spacing w:after="0" w:line="2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CD&amp;A describes our compensation program, philosophy, decisions and process for setting compensation for our Named Executive Officers (also referred to as our NEOs). For 2023, our NEOs were:</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2200" w:type="dxa"/>
            <w:vAlign w:val="bottom"/>
            <w:shd w:val="clear" w:color="auto" w:fill="465E66"/>
          </w:tcPr>
          <w:p>
            <w:pPr>
              <w:ind w:left="20"/>
              <w:spacing w:after="0"/>
              <w:rPr>
                <w:sz w:val="20"/>
                <w:szCs w:val="20"/>
                <w:color w:val="auto"/>
              </w:rPr>
            </w:pPr>
            <w:r>
              <w:rPr>
                <w:rFonts w:ascii="Arial" w:cs="Arial" w:eastAsia="Arial" w:hAnsi="Arial"/>
                <w:sz w:val="18"/>
                <w:szCs w:val="18"/>
                <w:b w:val="1"/>
                <w:bCs w:val="1"/>
                <w:color w:val="FFFFFF"/>
              </w:rPr>
              <w:t>Name</w:t>
            </w:r>
          </w:p>
        </w:tc>
        <w:tc>
          <w:tcPr>
            <w:tcW w:w="8080" w:type="dxa"/>
            <w:vAlign w:val="bottom"/>
            <w:shd w:val="clear" w:color="auto" w:fill="465E66"/>
          </w:tcPr>
          <w:p>
            <w:pPr>
              <w:ind w:left="320"/>
              <w:spacing w:after="0"/>
              <w:rPr>
                <w:sz w:val="20"/>
                <w:szCs w:val="20"/>
                <w:color w:val="auto"/>
              </w:rPr>
            </w:pPr>
            <w:r>
              <w:rPr>
                <w:rFonts w:ascii="Arial" w:cs="Arial" w:eastAsia="Arial" w:hAnsi="Arial"/>
                <w:sz w:val="18"/>
                <w:szCs w:val="18"/>
                <w:b w:val="1"/>
                <w:bCs w:val="1"/>
                <w:color w:val="FFFFFF"/>
              </w:rPr>
              <w:t>Current Position</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Hassane El-Khoury</w:t>
            </w:r>
          </w:p>
        </w:tc>
        <w:tc>
          <w:tcPr>
            <w:tcW w:w="8080" w:type="dxa"/>
            <w:vAlign w:val="bottom"/>
            <w:shd w:val="clear" w:color="auto" w:fill="DBDBDB"/>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Thad Trent</w:t>
            </w:r>
          </w:p>
        </w:tc>
        <w:tc>
          <w:tcPr>
            <w:tcW w:w="8080" w:type="dxa"/>
            <w:vAlign w:val="bottom"/>
          </w:tcPr>
          <w:p>
            <w:pPr>
              <w:ind w:left="3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Simon Keeton (1)</w:t>
            </w:r>
          </w:p>
        </w:tc>
        <w:tc>
          <w:tcPr>
            <w:tcW w:w="8080" w:type="dxa"/>
            <w:vAlign w:val="bottom"/>
            <w:shd w:val="clear" w:color="auto" w:fill="DBDBDB"/>
          </w:tcPr>
          <w:p>
            <w:pPr>
              <w:ind w:left="320"/>
              <w:spacing w:after="0"/>
              <w:rPr>
                <w:sz w:val="20"/>
                <w:szCs w:val="20"/>
                <w:color w:val="auto"/>
              </w:rPr>
            </w:pPr>
            <w:r>
              <w:rPr>
                <w:rFonts w:ascii="Arial" w:cs="Arial" w:eastAsia="Arial" w:hAnsi="Arial"/>
                <w:sz w:val="18"/>
                <w:szCs w:val="18"/>
                <w:color w:val="auto"/>
              </w:rPr>
              <w:t>Group President, Power Solutions Group</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Sudhir Gopalswamy (2)</w:t>
            </w:r>
          </w:p>
        </w:tc>
        <w:tc>
          <w:tcPr>
            <w:tcW w:w="8080" w:type="dxa"/>
            <w:vAlign w:val="bottom"/>
          </w:tcPr>
          <w:p>
            <w:pPr>
              <w:ind w:left="320"/>
              <w:spacing w:after="0"/>
              <w:rPr>
                <w:sz w:val="20"/>
                <w:szCs w:val="20"/>
                <w:color w:val="auto"/>
              </w:rPr>
            </w:pPr>
            <w:r>
              <w:rPr>
                <w:rFonts w:ascii="Arial" w:cs="Arial" w:eastAsia="Arial" w:hAnsi="Arial"/>
                <w:sz w:val="18"/>
                <w:szCs w:val="18"/>
                <w:color w:val="auto"/>
              </w:rPr>
              <w:t>Group President, Analog and Mixed-Signal Group and Intelligent Sensing Group (3)</w:t>
            </w:r>
          </w:p>
        </w:tc>
      </w:tr>
      <w:tr>
        <w:trPr>
          <w:trHeight w:val="229"/>
        </w:trPr>
        <w:tc>
          <w:tcPr>
            <w:tcW w:w="2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Ross F. Jatou (4)</w:t>
            </w:r>
          </w:p>
        </w:tc>
        <w:tc>
          <w:tcPr>
            <w:tcW w:w="808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8"/>
                <w:szCs w:val="18"/>
                <w:color w:val="auto"/>
              </w:rPr>
              <w:t>Former Senior Vice President and General Manager, Intelligent Sensing Group</w:t>
            </w:r>
          </w:p>
        </w:tc>
      </w:tr>
    </w:tbl>
    <w:p>
      <w:pPr>
        <w:ind w:left="780" w:hanging="237"/>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Keeton was promoted from Executive Vice President to Group President effective February 22, 2024.</w:t>
      </w:r>
    </w:p>
    <w:p>
      <w:pPr>
        <w:spacing w:after="0" w:line="31" w:lineRule="exact"/>
        <w:rPr>
          <w:rFonts w:ascii="Arial" w:cs="Arial" w:eastAsia="Arial" w:hAnsi="Arial"/>
          <w:sz w:val="16"/>
          <w:szCs w:val="16"/>
          <w:color w:val="auto"/>
        </w:rPr>
      </w:pPr>
    </w:p>
    <w:p>
      <w:pPr>
        <w:ind w:left="820" w:right="600" w:hanging="277"/>
        <w:spacing w:after="0" w:line="228" w:lineRule="auto"/>
        <w:tabs>
          <w:tab w:leader="none" w:pos="7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From March 7, 2022 to April 25, 2023, Mr. Gopalswamy served as our Senior Vice President and Chief Strategy Officer. Effective April 25, 2023, he was appointed to the role of Senior Vice President and General Manager, Advanced Solutions Group. Effective February 22, 2024, Mr. Gopalswamy was promoted from Senior Vice President to Group President, with responsibility for both the Analog and Mixed-Signal Group (AMG, see note 3) and the Intelligent Sensing Group.</w:t>
      </w:r>
    </w:p>
    <w:p>
      <w:pPr>
        <w:spacing w:after="0" w:line="2" w:lineRule="exact"/>
        <w:rPr>
          <w:rFonts w:ascii="Arial" w:cs="Arial" w:eastAsia="Arial" w:hAnsi="Arial"/>
          <w:sz w:val="16"/>
          <w:szCs w:val="16"/>
          <w:color w:val="auto"/>
        </w:rPr>
      </w:pPr>
    </w:p>
    <w:p>
      <w:pPr>
        <w:ind w:left="820" w:right="800" w:hanging="277"/>
        <w:spacing w:after="0" w:line="228" w:lineRule="auto"/>
        <w:tabs>
          <w:tab w:leader="none" w:pos="7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the first quarter of 2024, in order to better align our business units with developments in our strategy, </w:t>
      </w:r>
      <w:r>
        <w:rPr>
          <w:rFonts w:ascii="Arial" w:cs="Arial" w:eastAsia="Arial" w:hAnsi="Arial"/>
          <w:sz w:val="16"/>
          <w:szCs w:val="16"/>
          <w:b w:val="1"/>
          <w:bCs w:val="1"/>
          <w:color w:val="auto"/>
        </w:rPr>
        <w:t>onsemi</w:t>
      </w:r>
      <w:r>
        <w:rPr>
          <w:rFonts w:ascii="Arial" w:cs="Arial" w:eastAsia="Arial" w:hAnsi="Arial"/>
          <w:sz w:val="16"/>
          <w:szCs w:val="16"/>
          <w:color w:val="auto"/>
        </w:rPr>
        <w:t xml:space="preserve"> formed the Analog and Mixed-Signal Group (AMG), which focuses on the development of a range of power management ICs and high precision, low power sensor interfaces and communications products. AMG combines the former ASG and our Integrated Circuits Division, which was previously a part of PSG.</w:t>
      </w:r>
    </w:p>
    <w:p>
      <w:pPr>
        <w:spacing w:after="0" w:line="2" w:lineRule="exact"/>
        <w:rPr>
          <w:rFonts w:ascii="Arial" w:cs="Arial" w:eastAsia="Arial" w:hAnsi="Arial"/>
          <w:sz w:val="16"/>
          <w:szCs w:val="16"/>
          <w:color w:val="auto"/>
        </w:rPr>
      </w:pPr>
    </w:p>
    <w:p>
      <w:pPr>
        <w:ind w:left="780" w:hanging="237"/>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Mr. Jatou resigned from all positions with </w:t>
      </w:r>
      <w:r>
        <w:rPr>
          <w:rFonts w:ascii="Arial" w:cs="Arial" w:eastAsia="Arial" w:hAnsi="Arial"/>
          <w:sz w:val="16"/>
          <w:szCs w:val="16"/>
          <w:b w:val="1"/>
          <w:bCs w:val="1"/>
          <w:color w:val="auto"/>
        </w:rPr>
        <w:t>onsemi</w:t>
      </w:r>
      <w:r>
        <w:rPr>
          <w:rFonts w:ascii="Arial" w:cs="Arial" w:eastAsia="Arial" w:hAnsi="Arial"/>
          <w:sz w:val="16"/>
          <w:szCs w:val="16"/>
          <w:color w:val="auto"/>
        </w:rPr>
        <w:t xml:space="preserve"> effective February 22, 2024.</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Compensation Program Highlights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HCC Committee believes that the design and outcomes of our 2023 executive compensation program were directly tied to our performance and advanced our strategic priorities for 2023 and beyond.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the beginning of 2023, considering, among other things, the Company’s significant growth and strong performance over the prior two-year tenure of our CEO and his leadership team, the HCC approved certain increases to target total direct compensation (TDC) levels for each of our NEOs, with an emphasis on performance-based or at-risk compensation elements, and established the metrics for our 2023 STI and LTI metrics.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By the end of 2023, as noted in the Proxy Statement Summary under “2023 Performance Highlights,” we had achieved solid financial results while demonstrating resilience in a macroeconomic environment that had become increasingly uncertain as the year progressed. As a result,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incentive programs yielded mixed payouts against the ambitious goals that we had set for ourselves at the beginning of the year, as follows: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2023 STI Program</w:t>
      </w:r>
      <w:r>
        <w:rPr>
          <w:rFonts w:ascii="Arial" w:cs="Arial" w:eastAsia="Arial" w:hAnsi="Arial"/>
          <w:sz w:val="18"/>
          <w:szCs w:val="18"/>
          <w:color w:val="auto"/>
        </w:rPr>
        <w:t>. The two performance components of our 2023 STI program were our Corporate Multiplier (based on our achievement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correlated revenue and non-GAAP operating margin metrics</w:t>
      </w:r>
      <w:r>
        <w:rPr>
          <w:rFonts w:ascii="Arial" w:cs="Arial" w:eastAsia="Arial" w:hAnsi="Arial"/>
          <w:sz w:val="18"/>
          <w:szCs w:val="18"/>
          <w:color w:val="auto"/>
        </w:rPr>
        <w:t>) and each NEO’s Individual Goals. The Individual Goal percentage achievement is capped at 100%, which means that it may only decrease, but not increase, any amounts earned based on the Corporate Multiplier.</w:t>
      </w:r>
    </w:p>
    <w:p>
      <w:pPr>
        <w:spacing w:after="0" w:line="19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Company Results</w:t>
      </w:r>
      <w:r>
        <w:rPr>
          <w:rFonts w:ascii="Arial" w:cs="Arial" w:eastAsia="Arial" w:hAnsi="Arial"/>
          <w:sz w:val="18"/>
          <w:szCs w:val="18"/>
          <w:color w:val="auto"/>
        </w:rPr>
        <w:t>. For 2023, we achieved revenue of $8,253.0 million and non-GAAP operating margin of 32.3%.</w:t>
      </w:r>
    </w:p>
    <w:p>
      <w:pPr>
        <w:spacing w:after="0" w:line="238"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 Results</w:t>
      </w:r>
      <w:r>
        <w:rPr>
          <w:rFonts w:ascii="Arial" w:cs="Arial" w:eastAsia="Arial" w:hAnsi="Arial"/>
          <w:sz w:val="17"/>
          <w:szCs w:val="17"/>
          <w:color w:val="auto"/>
        </w:rPr>
        <w:t xml:space="preserve">. Our combined revenue and operating margin results fell below target levels, yielding a 64.1% achievement on the Corporate Multiplier. The final STI payout percentage (Corporate Multiplier x Individual Goals achieved) for our CEO was just below </w:t>
      </w:r>
      <w:r>
        <w:rPr>
          <w:rFonts w:ascii="Arial" w:cs="Arial" w:eastAsia="Arial" w:hAnsi="Arial"/>
          <w:sz w:val="17"/>
          <w:szCs w:val="17"/>
          <w:u w:val="single" w:color="auto"/>
          <w:color w:val="auto"/>
        </w:rPr>
        <w:t>54% of target</w:t>
      </w:r>
      <w:r>
        <w:rPr>
          <w:rFonts w:ascii="Arial" w:cs="Arial" w:eastAsia="Arial" w:hAnsi="Arial"/>
          <w:sz w:val="17"/>
          <w:szCs w:val="17"/>
          <w:color w:val="auto"/>
        </w:rPr>
        <w:t xml:space="preserve"> and between </w:t>
      </w:r>
      <w:r>
        <w:rPr>
          <w:rFonts w:ascii="Arial" w:cs="Arial" w:eastAsia="Arial" w:hAnsi="Arial"/>
          <w:sz w:val="17"/>
          <w:szCs w:val="17"/>
          <w:u w:val="single" w:color="auto"/>
          <w:color w:val="auto"/>
        </w:rPr>
        <w:t>47-54% of target</w:t>
      </w:r>
      <w:r>
        <w:rPr>
          <w:rFonts w:ascii="Arial" w:cs="Arial" w:eastAsia="Arial" w:hAnsi="Arial"/>
          <w:sz w:val="17"/>
          <w:szCs w:val="17"/>
          <w:color w:val="auto"/>
        </w:rPr>
        <w:t xml:space="preserve"> for each of our other NEOs, compared to a maximum possible payout of 200% of target.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LTI Program</w:t>
      </w:r>
      <w:r>
        <w:rPr>
          <w:rFonts w:ascii="Arial" w:cs="Arial" w:eastAsia="Arial" w:hAnsi="Arial"/>
          <w:sz w:val="18"/>
          <w:szCs w:val="18"/>
          <w:color w:val="auto"/>
        </w:rPr>
        <w:t>. The performance-based restricted stock units (PBRSUs) granted under our 2023 LTI program include four separately-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scored, one-year goals and a relative total stockholder return (TSR) payout adjustment component to ensure that the award is linked to performance for a full three-year period. Specifically, the four goals include two financial metrics (</w:t>
      </w:r>
      <w:r>
        <w:rPr>
          <w:rFonts w:ascii="Arial" w:cs="Arial" w:eastAsia="Arial" w:hAnsi="Arial"/>
          <w:sz w:val="18"/>
          <w:szCs w:val="18"/>
          <w:u w:val="single" w:color="auto"/>
          <w:color w:val="auto"/>
        </w:rPr>
        <w:t>new product revenue percentage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GAAP operating margin</w:t>
      </w:r>
      <w:r>
        <w:rPr>
          <w:rFonts w:ascii="Arial" w:cs="Arial" w:eastAsia="Arial" w:hAnsi="Arial"/>
          <w:sz w:val="18"/>
          <w:szCs w:val="18"/>
          <w:color w:val="auto"/>
        </w:rPr>
        <w:t xml:space="preserve">) and two strategic metrics (related to </w:t>
      </w:r>
      <w:r>
        <w:rPr>
          <w:rFonts w:ascii="Arial" w:cs="Arial" w:eastAsia="Arial" w:hAnsi="Arial"/>
          <w:sz w:val="18"/>
          <w:szCs w:val="18"/>
          <w:u w:val="single" w:color="auto"/>
          <w:color w:val="auto"/>
        </w:rPr>
        <w:t>increases in SiC revenue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securing design wins</w:t>
      </w:r>
      <w:r>
        <w:rPr>
          <w:rFonts w:ascii="Arial" w:cs="Arial" w:eastAsia="Arial" w:hAnsi="Arial"/>
          <w:sz w:val="18"/>
          <w:szCs w:val="18"/>
          <w:color w:val="auto"/>
        </w:rPr>
        <w:t>). Our 2023 PBRSUs pay out over a three-year period. Payouts under the strategic goals can range between 0-200% of target. Payouts under the financial goals can range between 0-150% of target, with a further adjustment, up or down on a tranche-by-tranche basis (50-150%), by our relative TSR over one-, two- and three-year periods beginning January 1, 2023 and ending on December 31 of the year prior to each vesting date.</w:t>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32" w:name="page33"/>
    <w:bookmarkEnd w:id="3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44"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Company Results</w:t>
      </w:r>
      <w:r>
        <w:rPr>
          <w:rFonts w:ascii="Arial" w:cs="Arial" w:eastAsia="Arial" w:hAnsi="Arial"/>
          <w:sz w:val="18"/>
          <w:szCs w:val="18"/>
          <w:color w:val="auto"/>
        </w:rPr>
        <w:t>. With respect to our financial goals, in addition to the operating margin results described above, nearly 30% of our 2023 revenue came from new product offerings, underscoring our commitment to ensuring our product offerings keep pace with both customer needs and technological advances. On our strategic goals, we continued to make significant progress in increasing our SiC product revenue (quadrupling it from the prior year) and securing over $5.8 billion in design wins to position us for sustainable revenue growth over the longer term.</w:t>
      </w:r>
    </w:p>
    <w:p>
      <w:pPr>
        <w:spacing w:after="0" w:line="203"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Pay Results</w:t>
      </w:r>
      <w:r>
        <w:rPr>
          <w:rFonts w:ascii="Arial" w:cs="Arial" w:eastAsia="Arial" w:hAnsi="Arial"/>
          <w:sz w:val="18"/>
          <w:szCs w:val="18"/>
          <w:color w:val="auto"/>
        </w:rPr>
        <w:t xml:space="preserve">. The combined payout percentage for the first tranche of our 2023 PBRSUs was </w:t>
      </w:r>
      <w:r>
        <w:rPr>
          <w:rFonts w:ascii="Arial" w:cs="Arial" w:eastAsia="Arial" w:hAnsi="Arial"/>
          <w:sz w:val="18"/>
          <w:szCs w:val="18"/>
          <w:u w:val="single" w:color="auto"/>
          <w:color w:val="auto"/>
        </w:rPr>
        <w:t>151% of target</w:t>
      </w:r>
      <w:r>
        <w:rPr>
          <w:rFonts w:ascii="Arial" w:cs="Arial" w:eastAsia="Arial" w:hAnsi="Arial"/>
          <w:sz w:val="18"/>
          <w:szCs w:val="18"/>
          <w:color w:val="auto"/>
        </w:rPr>
        <w:t xml:space="preserve">, compared to a maximum possible payout of 212.5% of target. We exceeded the target level, but fell below the stretch level, on three of the four goals. On the fourth goal, operating margin, we fell slightly below target. The combined payout on each of our second and third tranches will </w:t>
      </w:r>
      <w:r>
        <w:rPr>
          <w:rFonts w:ascii="Arial" w:cs="Arial" w:eastAsia="Arial" w:hAnsi="Arial"/>
          <w:sz w:val="18"/>
          <w:szCs w:val="18"/>
          <w:u w:val="single" w:color="auto"/>
          <w:color w:val="auto"/>
        </w:rPr>
        <w:t>vary between 104-162% of target</w:t>
      </w:r>
      <w:r>
        <w:rPr>
          <w:rFonts w:ascii="Arial" w:cs="Arial" w:eastAsia="Arial" w:hAnsi="Arial"/>
          <w:sz w:val="18"/>
          <w:szCs w:val="18"/>
          <w:color w:val="auto"/>
        </w:rPr>
        <w:t xml:space="preserve"> for each tranche, depending on our two- or three-year relative TSR performance. Specifically:</w:t>
      </w:r>
    </w:p>
    <w:p>
      <w:pPr>
        <w:spacing w:after="0" w:line="3" w:lineRule="exact"/>
        <w:rPr>
          <w:rFonts w:ascii="Arial" w:cs="Arial" w:eastAsia="Arial" w:hAnsi="Arial"/>
          <w:sz w:val="18"/>
          <w:szCs w:val="18"/>
          <w:color w:val="auto"/>
        </w:rPr>
      </w:pPr>
    </w:p>
    <w:p>
      <w:pPr>
        <w:ind w:left="1300" w:right="20" w:hanging="320"/>
        <w:spacing w:after="0" w:line="234" w:lineRule="auto"/>
        <w:tabs>
          <w:tab w:leader="none" w:pos="131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 the strategic goals, we achieved a combined payout 150% of target (133% on the SiC revenue goal and 184% on the design win goal).</w:t>
      </w:r>
    </w:p>
    <w:p>
      <w:pPr>
        <w:spacing w:after="0" w:line="1" w:lineRule="exact"/>
        <w:rPr>
          <w:rFonts w:ascii="Arial" w:cs="Arial" w:eastAsia="Arial" w:hAnsi="Arial"/>
          <w:sz w:val="18"/>
          <w:szCs w:val="18"/>
          <w:color w:val="auto"/>
        </w:rPr>
      </w:pPr>
    </w:p>
    <w:p>
      <w:pPr>
        <w:jc w:val="both"/>
        <w:ind w:left="1300" w:hanging="320"/>
        <w:spacing w:after="0" w:line="234" w:lineRule="auto"/>
        <w:tabs>
          <w:tab w:leader="none" w:pos="131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 the financial goals, we achieved a combined preliminary payout of 116% of target (143% on new product revenue and 88% on operating margin). The first tranche payout was then adjusted by our one-year relative TSR results (66th percentile among our peers), for a combined first tranche payout on the financial goals of 153% and an overall combined payout percentage for the first tranche of 151%. This first tranche of the 2023 PBRSUs vested and paid out in February 2024.</w:t>
      </w:r>
    </w:p>
    <w:p>
      <w:pPr>
        <w:spacing w:after="0" w:line="2" w:lineRule="exact"/>
        <w:rPr>
          <w:rFonts w:ascii="Arial" w:cs="Arial" w:eastAsia="Arial" w:hAnsi="Arial"/>
          <w:sz w:val="18"/>
          <w:szCs w:val="18"/>
          <w:color w:val="auto"/>
        </w:rPr>
      </w:pPr>
    </w:p>
    <w:p>
      <w:pPr>
        <w:jc w:val="both"/>
        <w:ind w:left="1300" w:hanging="320"/>
        <w:spacing w:after="0"/>
        <w:tabs>
          <w:tab w:leader="none" w:pos="12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each of the remaining two tranches, which will vest in 2025 and 2026, we will adjust the financial goal payouts based on our two- or three-year relative TSR performance (ranging between a decrease of 50% to a minimum 58% payout or an increase of 150% to a maximum 174% payout), which means that the overall payout on each of those two tranches will range between 104-162% of its original target.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All of these decisions and results are discussed in greater detail under “Elements of Our Compensation Program.”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Best Practices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HCC Committee strives to incorporate good governance practices into our executive compensation program, including the following:</w:t>
      </w:r>
    </w:p>
    <w:p>
      <w:pPr>
        <w:sectPr>
          <w:pgSz w:w="11900" w:h="16838" w:orient="portrait"/>
          <w:cols w:equalWidth="0" w:num="1">
            <w:col w:w="11240"/>
          </w:cols>
          <w:pgMar w:left="320" w:top="161" w:right="339" w:bottom="1440" w:gutter="0" w:footer="0" w:header="0"/>
        </w:sectPr>
      </w:pP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883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440"/>
        <w:spacing w:after="0" w:line="185" w:lineRule="auto"/>
        <w:rPr>
          <w:sz w:val="20"/>
          <w:szCs w:val="20"/>
          <w:color w:val="auto"/>
        </w:rPr>
      </w:pPr>
      <w:r>
        <w:rPr>
          <w:rFonts w:ascii="Arial" w:cs="Arial" w:eastAsia="Arial" w:hAnsi="Arial"/>
          <w:sz w:val="15"/>
          <w:szCs w:val="15"/>
          <w:color w:val="auto"/>
        </w:rPr>
        <w:t>Incentivize our employees to achieve or exceed financial goals</w:t>
      </w:r>
    </w:p>
    <w:p>
      <w:pPr>
        <w:spacing w:after="0" w:line="56" w:lineRule="exact"/>
        <w:rPr>
          <w:sz w:val="20"/>
          <w:szCs w:val="20"/>
          <w:color w:val="auto"/>
        </w:rPr>
      </w:pPr>
    </w:p>
    <w:p>
      <w:pPr>
        <w:ind w:left="440" w:right="420" w:hanging="336"/>
        <w:spacing w:after="0" w:line="182" w:lineRule="auto"/>
        <w:tabs>
          <w:tab w:leader="none" w:pos="440" w:val="left"/>
        </w:tabs>
        <w:numPr>
          <w:ilvl w:val="0"/>
          <w:numId w:val="56"/>
        </w:numPr>
        <w:rPr>
          <w:rFonts w:ascii="Wingdings" w:cs="Wingdings" w:eastAsia="Wingdings" w:hAnsi="Wingdings"/>
          <w:sz w:val="28"/>
          <w:szCs w:val="28"/>
          <w:b w:val="1"/>
          <w:bCs w:val="1"/>
          <w:color w:val="465E66"/>
        </w:rPr>
      </w:pPr>
      <w:r>
        <w:rPr>
          <w:rFonts w:ascii="Arial" w:cs="Arial" w:eastAsia="Arial" w:hAnsi="Arial"/>
          <w:sz w:val="16"/>
          <w:szCs w:val="16"/>
          <w:color w:val="auto"/>
        </w:rPr>
        <w:t>established for the Company and to deliver superior returns to our stockholders.</w:t>
      </w:r>
    </w:p>
    <w:p>
      <w:pPr>
        <w:spacing w:after="0" w:line="1" w:lineRule="exact"/>
        <w:rPr>
          <w:rFonts w:ascii="Wingdings" w:cs="Wingdings" w:eastAsia="Wingdings" w:hAnsi="Wingdings"/>
          <w:sz w:val="28"/>
          <w:szCs w:val="28"/>
          <w:b w:val="1"/>
          <w:bCs w:val="1"/>
          <w:color w:val="465E66"/>
        </w:rPr>
      </w:pPr>
    </w:p>
    <w:p>
      <w:pPr>
        <w:ind w:left="440"/>
        <w:spacing w:after="0" w:line="234" w:lineRule="auto"/>
        <w:rPr>
          <w:rFonts w:ascii="Wingdings" w:cs="Wingdings" w:eastAsia="Wingdings" w:hAnsi="Wingdings"/>
          <w:sz w:val="28"/>
          <w:szCs w:val="28"/>
          <w:b w:val="1"/>
          <w:bCs w:val="1"/>
          <w:color w:val="465E66"/>
        </w:rPr>
      </w:pPr>
      <w:r>
        <w:rPr>
          <w:rFonts w:ascii="Arial" w:cs="Arial" w:eastAsia="Arial" w:hAnsi="Arial"/>
          <w:sz w:val="16"/>
          <w:szCs w:val="16"/>
          <w:color w:val="auto"/>
        </w:rPr>
        <w:t>Have robust stock ownership guidelines that are designed to align our</w:t>
      </w:r>
    </w:p>
    <w:p>
      <w:pPr>
        <w:ind w:left="440" w:right="620" w:hanging="336"/>
        <w:spacing w:after="0" w:line="183" w:lineRule="auto"/>
        <w:tabs>
          <w:tab w:leader="none" w:pos="440" w:val="left"/>
        </w:tabs>
        <w:numPr>
          <w:ilvl w:val="0"/>
          <w:numId w:val="56"/>
        </w:numPr>
        <w:rPr>
          <w:rFonts w:ascii="Wingdings" w:cs="Wingdings" w:eastAsia="Wingdings" w:hAnsi="Wingdings"/>
          <w:sz w:val="27"/>
          <w:szCs w:val="27"/>
          <w:b w:val="1"/>
          <w:bCs w:val="1"/>
          <w:color w:val="465E66"/>
        </w:rPr>
      </w:pPr>
      <w:r>
        <w:rPr>
          <w:rFonts w:ascii="Arial" w:cs="Arial" w:eastAsia="Arial" w:hAnsi="Arial"/>
          <w:sz w:val="15"/>
          <w:szCs w:val="15"/>
          <w:color w:val="auto"/>
        </w:rPr>
        <w:t>executives’ interests with those of our stockholders (including a rigorous 6x base salary requirement for our CEO).</w:t>
      </w:r>
    </w:p>
    <w:p>
      <w:pPr>
        <w:ind w:left="440"/>
        <w:spacing w:after="0" w:line="234" w:lineRule="auto"/>
        <w:rPr>
          <w:rFonts w:ascii="Wingdings" w:cs="Wingdings" w:eastAsia="Wingdings" w:hAnsi="Wingdings"/>
          <w:sz w:val="27"/>
          <w:szCs w:val="27"/>
          <w:b w:val="1"/>
          <w:bCs w:val="1"/>
          <w:color w:val="465E66"/>
        </w:rPr>
      </w:pPr>
      <w:r>
        <w:rPr>
          <w:rFonts w:ascii="Arial" w:cs="Arial" w:eastAsia="Arial" w:hAnsi="Arial"/>
          <w:sz w:val="16"/>
          <w:szCs w:val="16"/>
          <w:color w:val="auto"/>
        </w:rPr>
        <w:t>Provide long-term equity incentives that vest over a period of three</w:t>
      </w:r>
    </w:p>
    <w:p>
      <w:pPr>
        <w:jc w:val="both"/>
        <w:ind w:left="440" w:right="160" w:hanging="336"/>
        <w:spacing w:after="0" w:line="188" w:lineRule="auto"/>
        <w:tabs>
          <w:tab w:leader="none" w:pos="440" w:val="left"/>
        </w:tabs>
        <w:numPr>
          <w:ilvl w:val="0"/>
          <w:numId w:val="56"/>
        </w:numPr>
        <w:rPr>
          <w:rFonts w:ascii="Wingdings" w:cs="Wingdings" w:eastAsia="Wingdings" w:hAnsi="Wingdings"/>
          <w:sz w:val="33"/>
          <w:szCs w:val="33"/>
          <w:b w:val="1"/>
          <w:bCs w:val="1"/>
          <w:color w:val="465E66"/>
          <w:vertAlign w:val="subscript"/>
        </w:rPr>
      </w:pPr>
      <w:r>
        <w:rPr>
          <w:rFonts w:ascii="Arial" w:cs="Arial" w:eastAsia="Arial" w:hAnsi="Arial"/>
          <w:sz w:val="13"/>
          <w:szCs w:val="13"/>
          <w:color w:val="auto"/>
        </w:rPr>
        <w:t>years to ensure that our executives maintain a long-term commitment to stockholder value, with a minimum 12-month vesting period for full-value awards granted under the SIP.</w:t>
      </w:r>
    </w:p>
    <w:p>
      <w:pPr>
        <w:spacing w:after="0" w:line="1" w:lineRule="exact"/>
        <w:rPr>
          <w:rFonts w:ascii="Wingdings" w:cs="Wingdings" w:eastAsia="Wingdings" w:hAnsi="Wingdings"/>
          <w:sz w:val="33"/>
          <w:szCs w:val="33"/>
          <w:b w:val="1"/>
          <w:bCs w:val="1"/>
          <w:color w:val="465E66"/>
          <w:vertAlign w:val="subscript"/>
        </w:rPr>
      </w:pPr>
    </w:p>
    <w:p>
      <w:pPr>
        <w:ind w:left="440"/>
        <w:spacing w:after="0" w:line="234" w:lineRule="auto"/>
        <w:rPr>
          <w:rFonts w:ascii="Wingdings" w:cs="Wingdings" w:eastAsia="Wingdings" w:hAnsi="Wingdings"/>
          <w:sz w:val="33"/>
          <w:szCs w:val="33"/>
          <w:b w:val="1"/>
          <w:bCs w:val="1"/>
          <w:color w:val="465E66"/>
          <w:vertAlign w:val="subscript"/>
        </w:rPr>
      </w:pPr>
      <w:r>
        <w:rPr>
          <w:rFonts w:ascii="Arial" w:cs="Arial" w:eastAsia="Arial" w:hAnsi="Arial"/>
          <w:sz w:val="16"/>
          <w:szCs w:val="16"/>
          <w:color w:val="auto"/>
        </w:rPr>
        <w:t>Closely monitor the executive pay mix and levels of our industry peers</w:t>
      </w:r>
    </w:p>
    <w:p>
      <w:pPr>
        <w:ind w:left="440" w:right="280" w:hanging="336"/>
        <w:spacing w:after="0" w:line="200" w:lineRule="auto"/>
        <w:tabs>
          <w:tab w:leader="none" w:pos="440" w:val="left"/>
        </w:tabs>
        <w:numPr>
          <w:ilvl w:val="0"/>
          <w:numId w:val="56"/>
        </w:numPr>
        <w:rPr>
          <w:rFonts w:ascii="Wingdings" w:cs="Wingdings" w:eastAsia="Wingdings" w:hAnsi="Wingdings"/>
          <w:sz w:val="42"/>
          <w:szCs w:val="42"/>
          <w:b w:val="1"/>
          <w:bCs w:val="1"/>
          <w:color w:val="465E66"/>
          <w:vertAlign w:val="subscript"/>
        </w:rPr>
      </w:pPr>
      <w:r>
        <w:rPr>
          <w:rFonts w:ascii="Arial" w:cs="Arial" w:eastAsia="Arial" w:hAnsi="Arial"/>
          <w:sz w:val="14"/>
          <w:szCs w:val="14"/>
          <w:color w:val="auto"/>
        </w:rPr>
        <w:t>to ensure that our compensation is appropriate for leadership recruitment and retention, aligned with stockholder interests and not excessive for our industry.</w:t>
      </w:r>
    </w:p>
    <w:p>
      <w:pPr>
        <w:ind w:left="440"/>
        <w:spacing w:after="0" w:line="234" w:lineRule="auto"/>
        <w:rPr>
          <w:rFonts w:ascii="Wingdings" w:cs="Wingdings" w:eastAsia="Wingdings" w:hAnsi="Wingdings"/>
          <w:sz w:val="42"/>
          <w:szCs w:val="42"/>
          <w:b w:val="1"/>
          <w:bCs w:val="1"/>
          <w:color w:val="465E66"/>
          <w:vertAlign w:val="subscript"/>
        </w:rPr>
      </w:pPr>
      <w:r>
        <w:rPr>
          <w:rFonts w:ascii="Arial" w:cs="Arial" w:eastAsia="Arial" w:hAnsi="Arial"/>
          <w:sz w:val="16"/>
          <w:szCs w:val="16"/>
          <w:color w:val="auto"/>
        </w:rPr>
        <w:t>Follow a responsible approach to equity-based compensation, including</w:t>
      </w:r>
    </w:p>
    <w:p>
      <w:pPr>
        <w:ind w:left="440" w:hanging="336"/>
        <w:spacing w:after="0"/>
        <w:tabs>
          <w:tab w:leader="none" w:pos="440" w:val="left"/>
        </w:tabs>
        <w:numPr>
          <w:ilvl w:val="0"/>
          <w:numId w:val="56"/>
        </w:numPr>
        <w:rPr>
          <w:rFonts w:ascii="Wingdings" w:cs="Wingdings" w:eastAsia="Wingdings" w:hAnsi="Wingdings"/>
          <w:sz w:val="24"/>
          <w:szCs w:val="24"/>
          <w:b w:val="1"/>
          <w:bCs w:val="1"/>
          <w:color w:val="465E66"/>
        </w:rPr>
      </w:pPr>
      <w:r>
        <w:rPr>
          <w:rFonts w:ascii="Arial" w:cs="Arial" w:eastAsia="Arial" w:hAnsi="Arial"/>
          <w:sz w:val="14"/>
          <w:szCs w:val="14"/>
          <w:color w:val="auto"/>
        </w:rPr>
        <w:t>adopting</w:t>
      </w:r>
      <w:r>
        <w:rPr>
          <w:rFonts w:ascii="Arial" w:cs="Arial" w:eastAsia="Arial" w:hAnsi="Arial"/>
          <w:sz w:val="27"/>
          <w:szCs w:val="27"/>
          <w:color w:val="auto"/>
          <w:vertAlign w:val="subscript"/>
        </w:rPr>
        <w:t>group.</w:t>
      </w:r>
      <w:r>
        <w:rPr>
          <w:rFonts w:ascii="Arial" w:cs="Arial" w:eastAsia="Arial" w:hAnsi="Arial"/>
          <w:sz w:val="14"/>
          <w:szCs w:val="14"/>
          <w:color w:val="auto"/>
        </w:rPr>
        <w:t xml:space="preserve"> “burn rates” well below the typical market practice for our peer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-1200785</wp:posOffset>
            </wp:positionV>
            <wp:extent cx="7132320" cy="445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351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62"/>
        <w:spacing w:after="0"/>
        <w:rPr>
          <w:sz w:val="20"/>
          <w:szCs w:val="20"/>
          <w:color w:val="auto"/>
        </w:rPr>
      </w:pPr>
      <w:r>
        <w:rPr>
          <w:rFonts w:ascii="Arial" w:cs="Arial" w:eastAsia="Arial" w:hAnsi="Arial"/>
          <w:sz w:val="18"/>
          <w:szCs w:val="18"/>
          <w:b w:val="1"/>
          <w:bCs w:val="1"/>
          <w:color w:val="FFFFFF"/>
        </w:rPr>
        <w:t>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-127635</wp:posOffset>
            </wp:positionV>
            <wp:extent cx="357441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74415" cy="146050"/>
                    </a:xfrm>
                    <a:prstGeom prst="rect">
                      <a:avLst/>
                    </a:prstGeom>
                    <a:noFill/>
                  </pic:spPr>
                </pic:pic>
              </a:graphicData>
            </a:graphic>
          </wp:anchor>
        </w:drawing>
      </w:r>
    </w:p>
    <w:p>
      <w:pPr>
        <w:spacing w:after="0" w:line="94" w:lineRule="exact"/>
        <w:rPr>
          <w:sz w:val="20"/>
          <w:szCs w:val="20"/>
          <w:color w:val="auto"/>
        </w:rPr>
      </w:pPr>
    </w:p>
    <w:p>
      <w:pPr>
        <w:ind w:left="362" w:hanging="362"/>
        <w:spacing w:after="0"/>
        <w:tabs>
          <w:tab w:leader="none" w:pos="362" w:val="left"/>
        </w:tabs>
        <w:numPr>
          <w:ilvl w:val="0"/>
          <w:numId w:val="57"/>
        </w:numPr>
        <w:rPr>
          <w:rFonts w:ascii="MS PGothic" w:cs="MS PGothic" w:eastAsia="MS PGothic" w:hAnsi="MS PGothic"/>
          <w:sz w:val="29"/>
          <w:szCs w:val="29"/>
          <w:color w:val="E97D2E"/>
        </w:rPr>
      </w:pPr>
      <w:r>
        <w:rPr>
          <w:rFonts w:ascii="Arial" w:cs="Arial" w:eastAsia="Arial" w:hAnsi="Arial"/>
          <w:sz w:val="16"/>
          <w:szCs w:val="16"/>
          <w:color w:val="auto"/>
        </w:rPr>
        <w:t>Provide excessive perquisites to our executives.</w:t>
      </w:r>
    </w:p>
    <w:p>
      <w:pPr>
        <w:spacing w:after="0" w:line="157" w:lineRule="exact"/>
        <w:rPr>
          <w:rFonts w:ascii="MS PGothic" w:cs="MS PGothic" w:eastAsia="MS PGothic" w:hAnsi="MS PGothic"/>
          <w:sz w:val="29"/>
          <w:szCs w:val="29"/>
          <w:color w:val="E97D2E"/>
        </w:rPr>
      </w:pPr>
    </w:p>
    <w:p>
      <w:pPr>
        <w:ind w:left="362"/>
        <w:spacing w:after="0"/>
        <w:rPr>
          <w:rFonts w:ascii="MS PGothic" w:cs="MS PGothic" w:eastAsia="MS PGothic" w:hAnsi="MS PGothic"/>
          <w:sz w:val="29"/>
          <w:szCs w:val="29"/>
          <w:color w:val="E97D2E"/>
        </w:rPr>
      </w:pPr>
      <w:r>
        <w:rPr>
          <w:rFonts w:ascii="Arial" w:cs="Arial" w:eastAsia="Arial" w:hAnsi="Arial"/>
          <w:sz w:val="16"/>
          <w:szCs w:val="16"/>
          <w:color w:val="auto"/>
        </w:rPr>
        <w:t>Allow our NEOs and other insiders to pledge or margin our stock, hedge</w:t>
      </w:r>
    </w:p>
    <w:p>
      <w:pPr>
        <w:ind w:left="362" w:right="500" w:hanging="362"/>
        <w:spacing w:after="0" w:line="182" w:lineRule="auto"/>
        <w:tabs>
          <w:tab w:leader="none" w:pos="362" w:val="left"/>
        </w:tabs>
        <w:numPr>
          <w:ilvl w:val="0"/>
          <w:numId w:val="57"/>
        </w:numPr>
        <w:rPr>
          <w:rFonts w:ascii="MS PGothic" w:cs="MS PGothic" w:eastAsia="MS PGothic" w:hAnsi="MS PGothic"/>
          <w:sz w:val="29"/>
          <w:szCs w:val="29"/>
          <w:color w:val="E97D2E"/>
        </w:rPr>
      </w:pPr>
      <w:r>
        <w:rPr>
          <w:rFonts w:ascii="Arial" w:cs="Arial" w:eastAsia="Arial" w:hAnsi="Arial"/>
          <w:sz w:val="16"/>
          <w:szCs w:val="16"/>
          <w:color w:val="auto"/>
        </w:rPr>
        <w:t>their exposure to ownership of our stock or engage in speculative transactions with respect to our stock.</w:t>
      </w:r>
    </w:p>
    <w:p>
      <w:pPr>
        <w:spacing w:after="0" w:line="164" w:lineRule="exact"/>
        <w:rPr>
          <w:rFonts w:ascii="MS PGothic" w:cs="MS PGothic" w:eastAsia="MS PGothic" w:hAnsi="MS PGothic"/>
          <w:sz w:val="29"/>
          <w:szCs w:val="29"/>
          <w:color w:val="E97D2E"/>
        </w:rPr>
      </w:pPr>
    </w:p>
    <w:p>
      <w:pPr>
        <w:ind w:left="362" w:right="300" w:hanging="362"/>
        <w:spacing w:after="0" w:line="180" w:lineRule="auto"/>
        <w:tabs>
          <w:tab w:leader="none" w:pos="362" w:val="left"/>
        </w:tabs>
        <w:numPr>
          <w:ilvl w:val="0"/>
          <w:numId w:val="57"/>
        </w:numPr>
        <w:rPr>
          <w:rFonts w:ascii="MS PGothic" w:cs="MS PGothic" w:eastAsia="MS PGothic" w:hAnsi="MS PGothic"/>
          <w:sz w:val="34"/>
          <w:szCs w:val="34"/>
          <w:color w:val="E97D2E"/>
          <w:vertAlign w:val="subscript"/>
        </w:rPr>
      </w:pPr>
      <w:r>
        <w:rPr>
          <w:rFonts w:ascii="Arial" w:cs="Arial" w:eastAsia="Arial" w:hAnsi="Arial"/>
          <w:sz w:val="14"/>
          <w:szCs w:val="14"/>
          <w:color w:val="auto"/>
        </w:rPr>
        <w:t>Provide single triggers or excessive benefits in our change in control agreements or provide excise tax gross-ups.</w:t>
      </w:r>
    </w:p>
    <w:p>
      <w:pPr>
        <w:spacing w:after="0" w:line="239" w:lineRule="exact"/>
        <w:rPr>
          <w:rFonts w:ascii="MS PGothic" w:cs="MS PGothic" w:eastAsia="MS PGothic" w:hAnsi="MS PGothic"/>
          <w:sz w:val="34"/>
          <w:szCs w:val="34"/>
          <w:color w:val="E97D2E"/>
          <w:vertAlign w:val="subscript"/>
        </w:rPr>
      </w:pPr>
    </w:p>
    <w:p>
      <w:pPr>
        <w:ind w:left="362"/>
        <w:spacing w:after="0"/>
        <w:rPr>
          <w:rFonts w:ascii="MS PGothic" w:cs="MS PGothic" w:eastAsia="MS PGothic" w:hAnsi="MS PGothic"/>
          <w:sz w:val="34"/>
          <w:szCs w:val="34"/>
          <w:color w:val="E97D2E"/>
          <w:vertAlign w:val="subscript"/>
        </w:rPr>
      </w:pPr>
      <w:r>
        <w:rPr>
          <w:rFonts w:ascii="Arial" w:cs="Arial" w:eastAsia="Arial" w:hAnsi="Arial"/>
          <w:sz w:val="16"/>
          <w:szCs w:val="16"/>
          <w:color w:val="auto"/>
        </w:rPr>
        <w:t>Provide tax gross-ups on any perquisites other than standard relocation</w:t>
      </w:r>
    </w:p>
    <w:p>
      <w:pPr>
        <w:ind w:left="362" w:right="560" w:hanging="362"/>
        <w:spacing w:after="0" w:line="182" w:lineRule="auto"/>
        <w:tabs>
          <w:tab w:leader="none" w:pos="362" w:val="left"/>
        </w:tabs>
        <w:numPr>
          <w:ilvl w:val="0"/>
          <w:numId w:val="57"/>
        </w:numPr>
        <w:rPr>
          <w:rFonts w:ascii="MS PGothic" w:cs="MS PGothic" w:eastAsia="MS PGothic" w:hAnsi="MS PGothic"/>
          <w:sz w:val="29"/>
          <w:szCs w:val="29"/>
          <w:color w:val="E97D2E"/>
        </w:rPr>
      </w:pPr>
      <w:r>
        <w:rPr>
          <w:rFonts w:ascii="Arial" w:cs="Arial" w:eastAsia="Arial" w:hAnsi="Arial"/>
          <w:sz w:val="16"/>
          <w:szCs w:val="16"/>
          <w:color w:val="auto"/>
        </w:rPr>
        <w:t>benefits that are available to all employees and amounts paid for expatriate assignments.</w:t>
      </w:r>
    </w:p>
    <w:p>
      <w:pPr>
        <w:spacing w:after="0" w:line="164" w:lineRule="exact"/>
        <w:rPr>
          <w:rFonts w:ascii="MS PGothic" w:cs="MS PGothic" w:eastAsia="MS PGothic" w:hAnsi="MS PGothic"/>
          <w:sz w:val="29"/>
          <w:szCs w:val="29"/>
          <w:color w:val="E97D2E"/>
        </w:rPr>
      </w:pPr>
    </w:p>
    <w:p>
      <w:pPr>
        <w:ind w:left="362" w:right="180" w:hanging="362"/>
        <w:spacing w:after="0" w:line="180" w:lineRule="auto"/>
        <w:tabs>
          <w:tab w:leader="none" w:pos="362" w:val="left"/>
        </w:tabs>
        <w:numPr>
          <w:ilvl w:val="0"/>
          <w:numId w:val="57"/>
        </w:numPr>
        <w:rPr>
          <w:rFonts w:ascii="MS PGothic" w:cs="MS PGothic" w:eastAsia="MS PGothic" w:hAnsi="MS PGothic"/>
          <w:sz w:val="34"/>
          <w:szCs w:val="34"/>
          <w:color w:val="E97D2E"/>
          <w:vertAlign w:val="subscript"/>
        </w:rPr>
      </w:pPr>
      <w:r>
        <w:rPr>
          <w:rFonts w:ascii="Arial" w:cs="Arial" w:eastAsia="Arial" w:hAnsi="Arial"/>
          <w:sz w:val="14"/>
          <w:szCs w:val="14"/>
          <w:color w:val="auto"/>
        </w:rPr>
        <w:t>Design our compensation policies and practices in a way that poses a material risk to us or our stockholders.</w:t>
      </w:r>
    </w:p>
    <w:p>
      <w:pPr>
        <w:spacing w:after="0" w:line="231" w:lineRule="exact"/>
        <w:rPr>
          <w:sz w:val="20"/>
          <w:szCs w:val="20"/>
          <w:color w:val="auto"/>
        </w:rPr>
      </w:pPr>
    </w:p>
    <w:p>
      <w:pPr>
        <w:sectPr>
          <w:pgSz w:w="11900" w:h="16838" w:orient="portrait"/>
          <w:cols w:equalWidth="0" w:num="2">
            <w:col w:w="5580" w:space="118"/>
            <w:col w:w="5542"/>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28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3" w:name="page34"/>
    <w:bookmarkEnd w:id="3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HCC Committee is responsible for establishing and implementing our executive compensation philosophy and guiding principles and for monitoring their effectiveness. Our compensation philosophy is focused on the following core principles:</w:t>
      </w:r>
    </w:p>
    <w:p>
      <w:pPr>
        <w:spacing w:after="0" w:line="181" w:lineRule="exact"/>
        <w:rPr>
          <w:sz w:val="20"/>
          <w:szCs w:val="20"/>
          <w:color w:val="auto"/>
        </w:rPr>
      </w:pPr>
    </w:p>
    <w:p>
      <w:pPr>
        <w:jc w:val="both"/>
        <w:ind w:left="660" w:right="20" w:hanging="328"/>
        <w:spacing w:after="0" w:line="24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Alignment with Stockholder Interests</w:t>
      </w:r>
      <w:r>
        <w:rPr>
          <w:rFonts w:ascii="Arial" w:cs="Arial" w:eastAsia="Arial" w:hAnsi="Arial"/>
          <w:sz w:val="18"/>
          <w:szCs w:val="18"/>
          <w:color w:val="auto"/>
        </w:rPr>
        <w:t>. Achieving corporate goals is a necessary condition for our executives to realize targeted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 of compensation, particularly with respect to variable pay and LTI awards. In addition, the use of stock-based incentives, which link variable pay to stockholder value, and stock ownership guidelines further ensure that our executives’ interests align with those of our stockholders.</w:t>
      </w:r>
    </w:p>
    <w:p>
      <w:pPr>
        <w:spacing w:after="0" w:line="18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Pay-for-Performance</w:t>
      </w:r>
      <w:r>
        <w:rPr>
          <w:rFonts w:ascii="Arial" w:cs="Arial" w:eastAsia="Arial" w:hAnsi="Arial"/>
          <w:sz w:val="18"/>
          <w:szCs w:val="18"/>
          <w:color w:val="auto"/>
        </w:rPr>
        <w:t>. A significant portion of target compensation is variable and directly linked to corporate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 both to incentivize goal-oriented performance and to reward individual contributions to our performance.</w:t>
      </w:r>
    </w:p>
    <w:p>
      <w:pPr>
        <w:spacing w:after="0" w:line="194" w:lineRule="exact"/>
        <w:rPr>
          <w:rFonts w:ascii="Arial" w:cs="Arial" w:eastAsia="Arial" w:hAnsi="Arial"/>
          <w:sz w:val="18"/>
          <w:szCs w:val="18"/>
          <w:color w:val="auto"/>
        </w:rPr>
      </w:pPr>
    </w:p>
    <w:p>
      <w:pPr>
        <w:jc w:val="both"/>
        <w:ind w:left="660" w:right="20" w:hanging="328"/>
        <w:spacing w:after="0" w:line="246"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Strategic Alignment</w:t>
      </w:r>
      <w:r>
        <w:rPr>
          <w:rFonts w:ascii="Arial" w:cs="Arial" w:eastAsia="Arial" w:hAnsi="Arial"/>
          <w:sz w:val="18"/>
          <w:szCs w:val="18"/>
          <w:color w:val="auto"/>
        </w:rPr>
        <w:t>. Our compensation programs, including the setting of our STI and LTI goals, are often used to influence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strategic direction and promote the achievement of company-wide initiatives. For example, many of the financial goals included in our programs (including those related to revenue, non-GAAP operating margin and new product revenue) directly influence the success of our business. In addition, we may include other strategic, operational or individual performance goals (including those related to the product pipeline, ESG matters, quality improvement and human capital efforts) that have a significant impact on our overall business performance. As such, we believe there is a strong alignment between our compensation programs and the company’s long-term success.</w:t>
      </w:r>
    </w:p>
    <w:p>
      <w:pPr>
        <w:spacing w:after="0" w:line="202"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Provide Competitive Compensation</w:t>
      </w:r>
      <w:r>
        <w:rPr>
          <w:rFonts w:ascii="Arial" w:cs="Arial" w:eastAsia="Arial" w:hAnsi="Arial"/>
          <w:sz w:val="18"/>
          <w:szCs w:val="18"/>
          <w:color w:val="auto"/>
        </w:rPr>
        <w:t>. We regularly consult peer market data to ensure that we are providing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for our executive officers. We consider other semiconductor and high-technology companies as our market and review survey or peer company data in these sectors to analyze the competitiveness of our targeted pay opportunities.</w:t>
      </w:r>
    </w:p>
    <w:p>
      <w:pPr>
        <w:spacing w:after="0" w:line="203"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Attract, Motivate and Retain Diverse Talent</w:t>
      </w:r>
      <w:r>
        <w:rPr>
          <w:rFonts w:ascii="Arial" w:cs="Arial" w:eastAsia="Arial" w:hAnsi="Arial"/>
          <w:sz w:val="18"/>
          <w:szCs w:val="18"/>
          <w:color w:val="auto"/>
        </w:rPr>
        <w:t>. Our compensation program is designed to attract, motivate and retain highly talented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critical to our success by providing competitive total compensation with retentive features. Additionally, we focus on developing and retaining a diverse workforce with programs such as our employee resource group on Science, Technology, Engineering and Math for Underrepresented Populations (STEM UP). The recruitment and retention of talented and diverse employees positively impacts our innovation and performance. We believe that we are at our strongest when we are able to draw on the diverse experiences, knowledge, cultures and backgrounds of all employees in our global workforce.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Engagement and Say-on-Pay</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emphasize transparency in our approach to stockholder communications and seek out engagement with and feedback from current and prospective stockholders on corporate strategy, executive compensation, corporate governance and other topics of importance. The chairs of our Board and its committees are active participants in this process. Through these engagements, we have received feedback in support of our existing executive compensation program and, in particular, the Board’s decision to further drive accountability and reinforce our culture of compliance, diversity, equity and inclusion, and commitment to ESG principles and ethics.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also have the opportunity each year to provide feedback through our advisory say-on-pay vote on the compensation of our</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NEOs. At our 2023 annual meeting, our stockholders expressed their support for our program, with almost 94% voting in favor of the proposal.</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HCC Committee considers feedback received during these stockholder engagements and our say-on-pay results as key factors in its ongoing assessment of our compensation program design and effectiveness.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Performance-Driven Compensation Opportunities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goal of our executive compensation program is to enhance stakeholder value by delivering a competitive compensation package that is significantly performance-based, thus linking executive pay, company performance and stockholder returns. The primary components of our program, which we refer to as total direct compensation (TDC), are base salary, target STI award opportunity and target LTI awards, which are structured as 60% PBRSUs and 40% time-based restricted stock units (RSUs).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reflected in the charts below, approximately 94% of Mr. El-Khoury’s target TDC for 2023 was variable, with approximately 60% based on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measurable performance goals (target STI and PBRSUs) and another 33% tied to the value of our stock price (RSUs). For our other NEOs, on average, approximately 88% of their target TDC was variable. These figures reflect the highest base salary, target STI opportunity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target LTI opportunity for each of our other NEOs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160655</wp:posOffset>
            </wp:positionV>
            <wp:extent cx="4371975" cy="2777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71975" cy="2777490"/>
                    </a:xfrm>
                    <a:prstGeom prst="rect">
                      <a:avLst/>
                    </a:prstGeom>
                    <a:noFill/>
                  </pic:spPr>
                </pic:pic>
              </a:graphicData>
            </a:graphic>
          </wp:anchor>
        </w:drawing>
      </w:r>
    </w:p>
    <w:p>
      <w:pPr>
        <w:sectPr>
          <w:pgSz w:w="11900" w:h="16838" w:orient="portrait"/>
          <w:cols w:equalWidth="0" w:num="1">
            <w:col w:w="11240"/>
          </w:cols>
          <w:pgMar w:left="320" w:top="161" w:right="339" w:bottom="1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30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134" w:gutter="0" w:footer="0" w:header="0"/>
          <w:type w:val="continuous"/>
        </w:sectPr>
      </w:pPr>
    </w:p>
    <w:bookmarkStart w:id="35" w:name="page36"/>
    <w:bookmarkEnd w:id="3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Elements of our Compensation Program</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executive compensation program is designed to provide a competitive total compensation package consistent with our performance in the marketplace and our desire to recruit, motivate and retain talented management. The following is an overview of our 2023 programs: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680" w:type="dxa"/>
            <w:vAlign w:val="bottom"/>
            <w:tcBorders>
              <w:top w:val="single" w:sz="8" w:color="999999"/>
              <w:left w:val="single" w:sz="8" w:color="999999"/>
              <w:bottom w:val="single" w:sz="8" w:color="666666"/>
              <w:right w:val="single" w:sz="8" w:color="999999"/>
            </w:tcBorders>
            <w:shd w:val="clear" w:color="auto" w:fill="D9D9D9"/>
          </w:tcPr>
          <w:p>
            <w:pPr>
              <w:ind w:left="40"/>
              <w:spacing w:after="0"/>
              <w:rPr>
                <w:sz w:val="20"/>
                <w:szCs w:val="20"/>
                <w:color w:val="auto"/>
              </w:rPr>
            </w:pPr>
            <w:r>
              <w:rPr>
                <w:rFonts w:ascii="Arial" w:cs="Arial" w:eastAsia="Arial" w:hAnsi="Arial"/>
                <w:sz w:val="16"/>
                <w:szCs w:val="16"/>
                <w:b w:val="1"/>
                <w:bCs w:val="1"/>
                <w:color w:val="auto"/>
              </w:rPr>
              <w:t>Focus</w:t>
            </w:r>
          </w:p>
        </w:tc>
        <w:tc>
          <w:tcPr>
            <w:tcW w:w="164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Component</w:t>
            </w:r>
          </w:p>
        </w:tc>
        <w:tc>
          <w:tcPr>
            <w:tcW w:w="160" w:type="dxa"/>
            <w:vAlign w:val="bottom"/>
            <w:tcBorders>
              <w:top w:val="single" w:sz="8" w:color="999999"/>
              <w:bottom w:val="single" w:sz="8" w:color="666666"/>
            </w:tcBorders>
            <w:shd w:val="clear" w:color="auto" w:fill="D9D9D9"/>
          </w:tcPr>
          <w:p>
            <w:pPr>
              <w:spacing w:after="0"/>
              <w:rPr>
                <w:sz w:val="20"/>
                <w:szCs w:val="20"/>
                <w:color w:val="auto"/>
              </w:rPr>
            </w:pPr>
          </w:p>
        </w:tc>
        <w:tc>
          <w:tcPr>
            <w:tcW w:w="406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Key Characteristics</w:t>
            </w:r>
          </w:p>
        </w:tc>
        <w:tc>
          <w:tcPr>
            <w:tcW w:w="160" w:type="dxa"/>
            <w:vAlign w:val="bottom"/>
            <w:tcBorders>
              <w:top w:val="single" w:sz="8" w:color="999999"/>
              <w:bottom w:val="single" w:sz="8" w:color="666666"/>
            </w:tcBorders>
            <w:shd w:val="clear" w:color="auto" w:fill="D9D9D9"/>
          </w:tcPr>
          <w:p>
            <w:pPr>
              <w:spacing w:after="0"/>
              <w:rPr>
                <w:sz w:val="20"/>
                <w:szCs w:val="20"/>
                <w:color w:val="auto"/>
              </w:rPr>
            </w:pPr>
          </w:p>
        </w:tc>
        <w:tc>
          <w:tcPr>
            <w:tcW w:w="3220" w:type="dxa"/>
            <w:vAlign w:val="bottom"/>
            <w:tcBorders>
              <w:top w:val="single" w:sz="8" w:color="999999"/>
              <w:bottom w:val="single" w:sz="8" w:color="666666"/>
              <w:right w:val="single" w:sz="8" w:color="999999"/>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Purpose</w:t>
            </w:r>
          </w:p>
        </w:tc>
      </w:tr>
      <w:tr>
        <w:trPr>
          <w:trHeight w:val="172"/>
        </w:trPr>
        <w:tc>
          <w:tcPr>
            <w:tcW w:w="1680" w:type="dxa"/>
            <w:vAlign w:val="bottom"/>
            <w:tcBorders>
              <w:left w:val="single" w:sz="8" w:color="999999"/>
              <w:right w:val="single" w:sz="8" w:color="999999"/>
            </w:tcBorders>
            <w:shd w:val="clear" w:color="auto" w:fill="465E66"/>
          </w:tcPr>
          <w:p>
            <w:pPr>
              <w:ind w:left="40"/>
              <w:spacing w:after="0" w:line="172" w:lineRule="exact"/>
              <w:rPr>
                <w:sz w:val="20"/>
                <w:szCs w:val="20"/>
                <w:color w:val="auto"/>
              </w:rPr>
            </w:pPr>
            <w:r>
              <w:rPr>
                <w:rFonts w:ascii="Arial" w:cs="Arial" w:eastAsia="Arial" w:hAnsi="Arial"/>
                <w:sz w:val="16"/>
                <w:szCs w:val="16"/>
                <w:b w:val="1"/>
                <w:bCs w:val="1"/>
                <w:color w:val="FFFFFF"/>
              </w:rPr>
              <w:t>Current Year</w:t>
            </w:r>
          </w:p>
        </w:tc>
        <w:tc>
          <w:tcPr>
            <w:tcW w:w="1640" w:type="dxa"/>
            <w:vAlign w:val="bottom"/>
            <w:tcBorders>
              <w:right w:val="single" w:sz="8" w:color="999999"/>
            </w:tcBorders>
            <w:shd w:val="clear" w:color="auto" w:fill="DAEEF3"/>
          </w:tcPr>
          <w:p>
            <w:pPr>
              <w:ind w:left="20"/>
              <w:spacing w:after="0" w:line="172" w:lineRule="exact"/>
              <w:rPr>
                <w:sz w:val="20"/>
                <w:szCs w:val="20"/>
                <w:color w:val="auto"/>
              </w:rPr>
            </w:pPr>
            <w:r>
              <w:rPr>
                <w:rFonts w:ascii="Arial" w:cs="Arial" w:eastAsia="Arial" w:hAnsi="Arial"/>
                <w:sz w:val="16"/>
                <w:szCs w:val="16"/>
                <w:b w:val="1"/>
                <w:bCs w:val="1"/>
                <w:color w:val="auto"/>
              </w:rPr>
              <w:t>Base Salary</w:t>
            </w:r>
          </w:p>
        </w:tc>
        <w:tc>
          <w:tcPr>
            <w:tcW w:w="160" w:type="dxa"/>
            <w:vAlign w:val="bottom"/>
          </w:tcPr>
          <w:p>
            <w:pPr>
              <w:ind w:left="100"/>
              <w:spacing w:after="0" w:line="172"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2" w:lineRule="exact"/>
              <w:rPr>
                <w:sz w:val="20"/>
                <w:szCs w:val="20"/>
                <w:color w:val="auto"/>
              </w:rPr>
            </w:pPr>
            <w:r>
              <w:rPr>
                <w:rFonts w:ascii="Arial" w:cs="Arial" w:eastAsia="Arial" w:hAnsi="Arial"/>
                <w:sz w:val="16"/>
                <w:szCs w:val="16"/>
                <w:color w:val="auto"/>
              </w:rPr>
              <w:t>Fixed cash compensation</w:t>
            </w:r>
          </w:p>
        </w:tc>
        <w:tc>
          <w:tcPr>
            <w:tcW w:w="160" w:type="dxa"/>
            <w:vAlign w:val="bottom"/>
          </w:tcPr>
          <w:p>
            <w:pPr>
              <w:ind w:left="100"/>
              <w:spacing w:after="0" w:line="172"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2" w:lineRule="exact"/>
              <w:rPr>
                <w:sz w:val="20"/>
                <w:szCs w:val="20"/>
                <w:color w:val="auto"/>
              </w:rPr>
            </w:pPr>
            <w:r>
              <w:rPr>
                <w:rFonts w:ascii="Arial" w:cs="Arial" w:eastAsia="Arial" w:hAnsi="Arial"/>
                <w:sz w:val="16"/>
                <w:szCs w:val="16"/>
                <w:color w:val="auto"/>
              </w:rPr>
              <w:t>Set at competitive levels and used to</w:t>
            </w:r>
          </w:p>
        </w:tc>
      </w:tr>
      <w:tr>
        <w:trPr>
          <w:trHeight w:val="244"/>
        </w:trPr>
        <w:tc>
          <w:tcPr>
            <w:tcW w:w="1680" w:type="dxa"/>
            <w:vAlign w:val="bottom"/>
            <w:tcBorders>
              <w:left w:val="single" w:sz="8" w:color="999999"/>
              <w:bottom w:val="single" w:sz="8" w:color="465E66"/>
              <w:right w:val="single" w:sz="8" w:color="999999"/>
            </w:tcBorders>
            <w:shd w:val="clear" w:color="auto" w:fill="465E66"/>
          </w:tcPr>
          <w:p>
            <w:pPr>
              <w:ind w:left="40"/>
              <w:spacing w:after="0"/>
              <w:rPr>
                <w:sz w:val="20"/>
                <w:szCs w:val="20"/>
                <w:color w:val="auto"/>
              </w:rPr>
            </w:pPr>
            <w:r>
              <w:rPr>
                <w:rFonts w:ascii="Arial" w:cs="Arial" w:eastAsia="Arial" w:hAnsi="Arial"/>
                <w:sz w:val="16"/>
                <w:szCs w:val="16"/>
                <w:b w:val="1"/>
                <w:bCs w:val="1"/>
                <w:color w:val="FFFFFF"/>
              </w:rPr>
              <w:t>Performance</w:t>
            </w:r>
          </w:p>
        </w:tc>
        <w:tc>
          <w:tcPr>
            <w:tcW w:w="1640" w:type="dxa"/>
            <w:vAlign w:val="bottom"/>
            <w:tcBorders>
              <w:bottom w:val="single" w:sz="8" w:color="DAEEF3"/>
              <w:right w:val="single" w:sz="8" w:color="999999"/>
            </w:tcBorders>
            <w:shd w:val="clear" w:color="auto" w:fill="DAEEF3"/>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Borders>
              <w:right w:val="single" w:sz="8" w:color="999999"/>
            </w:tcBorders>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attract and retain talent</w:t>
            </w:r>
          </w:p>
        </w:tc>
      </w:tr>
      <w:tr>
        <w:trPr>
          <w:trHeight w:val="168"/>
        </w:trPr>
        <w:tc>
          <w:tcPr>
            <w:tcW w:w="1680" w:type="dxa"/>
            <w:vAlign w:val="bottom"/>
            <w:tcBorders>
              <w:top w:val="single" w:sz="8" w:color="465E66"/>
              <w:left w:val="single" w:sz="8" w:color="999999"/>
              <w:right w:val="single" w:sz="8" w:color="999999"/>
            </w:tcBorders>
            <w:shd w:val="clear" w:color="auto" w:fill="465E66"/>
          </w:tcPr>
          <w:p>
            <w:pPr>
              <w:spacing w:after="0"/>
              <w:rPr>
                <w:sz w:val="14"/>
                <w:szCs w:val="14"/>
                <w:color w:val="auto"/>
              </w:rPr>
            </w:pPr>
          </w:p>
        </w:tc>
        <w:tc>
          <w:tcPr>
            <w:tcW w:w="1640" w:type="dxa"/>
            <w:vAlign w:val="bottom"/>
            <w:tcBorders>
              <w:top w:val="single" w:sz="8" w:color="999999"/>
              <w:right w:val="single" w:sz="8" w:color="999999"/>
            </w:tcBorders>
            <w:shd w:val="clear" w:color="auto" w:fill="DAEEF3"/>
          </w:tcPr>
          <w:p>
            <w:pPr>
              <w:ind w:left="20"/>
              <w:spacing w:after="0" w:line="168" w:lineRule="exact"/>
              <w:rPr>
                <w:sz w:val="20"/>
                <w:szCs w:val="20"/>
                <w:color w:val="auto"/>
              </w:rPr>
            </w:pPr>
            <w:r>
              <w:rPr>
                <w:rFonts w:ascii="Arial" w:cs="Arial" w:eastAsia="Arial" w:hAnsi="Arial"/>
                <w:sz w:val="16"/>
                <w:szCs w:val="16"/>
                <w:b w:val="1"/>
                <w:bCs w:val="1"/>
                <w:color w:val="auto"/>
              </w:rPr>
              <w:t>Short-term Cash</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Annual cash awards providing for award opportunities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Encourages our executives to maximize</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ind w:left="20"/>
              <w:spacing w:after="0"/>
              <w:rPr>
                <w:sz w:val="20"/>
                <w:szCs w:val="20"/>
                <w:color w:val="auto"/>
              </w:rPr>
            </w:pPr>
            <w:r>
              <w:rPr>
                <w:rFonts w:ascii="Arial" w:cs="Arial" w:eastAsia="Arial" w:hAnsi="Arial"/>
                <w:sz w:val="16"/>
                <w:szCs w:val="16"/>
                <w:b w:val="1"/>
                <w:bCs w:val="1"/>
                <w:color w:val="auto"/>
              </w:rPr>
              <w:t>Incentive (STI)</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based on full-year 2023 results</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profitability and growth</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ind w:left="20"/>
              <w:spacing w:after="0" w:line="175" w:lineRule="exact"/>
              <w:rPr>
                <w:sz w:val="20"/>
                <w:szCs w:val="20"/>
                <w:color w:val="auto"/>
              </w:rPr>
            </w:pPr>
            <w:r>
              <w:rPr>
                <w:rFonts w:ascii="Arial" w:cs="Arial" w:eastAsia="Arial" w:hAnsi="Arial"/>
                <w:sz w:val="16"/>
                <w:szCs w:val="16"/>
                <w:b w:val="1"/>
                <w:bCs w:val="1"/>
                <w:color w:val="auto"/>
              </w:rPr>
              <w:t>Awards</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5" w:lineRule="exact"/>
              <w:rPr>
                <w:sz w:val="20"/>
                <w:szCs w:val="20"/>
                <w:color w:val="auto"/>
              </w:rPr>
            </w:pPr>
            <w:r>
              <w:rPr>
                <w:rFonts w:ascii="Arial" w:cs="Arial" w:eastAsia="Arial" w:hAnsi="Arial"/>
                <w:sz w:val="16"/>
                <w:szCs w:val="16"/>
                <w:color w:val="auto"/>
              </w:rPr>
              <w:t>Performance goals based on both (i) financial results</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Promotes superior operational</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and (ii) individually-scored performance goals based</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performance, disciplined cost</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on both financial and strategic metrics</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management and increased productivity</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and efficiency that contribute significantly</w:t>
            </w:r>
          </w:p>
        </w:tc>
      </w:tr>
      <w:tr>
        <w:trPr>
          <w:trHeight w:val="215"/>
        </w:trPr>
        <w:tc>
          <w:tcPr>
            <w:tcW w:w="1680" w:type="dxa"/>
            <w:vAlign w:val="bottom"/>
            <w:tcBorders>
              <w:left w:val="single" w:sz="8" w:color="999999"/>
              <w:right w:val="single" w:sz="8" w:color="999999"/>
            </w:tcBorders>
            <w:shd w:val="clear" w:color="auto" w:fill="465E66"/>
          </w:tcPr>
          <w:p>
            <w:pPr>
              <w:spacing w:after="0"/>
              <w:rPr>
                <w:sz w:val="18"/>
                <w:szCs w:val="18"/>
                <w:color w:val="auto"/>
              </w:rPr>
            </w:pPr>
          </w:p>
        </w:tc>
        <w:tc>
          <w:tcPr>
            <w:tcW w:w="1640" w:type="dxa"/>
            <w:vAlign w:val="bottom"/>
            <w:tcBorders>
              <w:right w:val="single" w:sz="8" w:color="999999"/>
            </w:tcBorders>
            <w:shd w:val="clear" w:color="auto" w:fill="DAEEF3"/>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Borders>
              <w:right w:val="single" w:sz="8" w:color="999999"/>
            </w:tcBorders>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to value creation for our stockholders</w:t>
            </w:r>
          </w:p>
        </w:tc>
      </w:tr>
      <w:tr>
        <w:trPr>
          <w:trHeight w:val="191"/>
        </w:trPr>
        <w:tc>
          <w:tcPr>
            <w:tcW w:w="1680" w:type="dxa"/>
            <w:vAlign w:val="bottom"/>
            <w:tcBorders>
              <w:left w:val="single" w:sz="8" w:color="999999"/>
              <w:bottom w:val="single" w:sz="8" w:color="999999"/>
              <w:right w:val="single" w:sz="8" w:color="999999"/>
            </w:tcBorders>
            <w:shd w:val="clear" w:color="auto" w:fill="465E66"/>
          </w:tcPr>
          <w:p>
            <w:pPr>
              <w:spacing w:after="0"/>
              <w:rPr>
                <w:sz w:val="16"/>
                <w:szCs w:val="16"/>
                <w:color w:val="auto"/>
              </w:rPr>
            </w:pPr>
          </w:p>
        </w:tc>
        <w:tc>
          <w:tcPr>
            <w:tcW w:w="1640" w:type="dxa"/>
            <w:vAlign w:val="bottom"/>
            <w:tcBorders>
              <w:bottom w:val="single" w:sz="8" w:color="999999"/>
              <w:right w:val="single" w:sz="8" w:color="999999"/>
            </w:tcBorders>
            <w:shd w:val="clear" w:color="auto" w:fill="DAEEF3"/>
          </w:tcPr>
          <w:p>
            <w:pPr>
              <w:spacing w:after="0"/>
              <w:rPr>
                <w:sz w:val="16"/>
                <w:szCs w:val="16"/>
                <w:color w:val="auto"/>
              </w:rPr>
            </w:pPr>
          </w:p>
        </w:tc>
        <w:tc>
          <w:tcPr>
            <w:tcW w:w="160" w:type="dxa"/>
            <w:vAlign w:val="bottom"/>
            <w:tcBorders>
              <w:bottom w:val="single" w:sz="8" w:color="999999"/>
            </w:tcBorders>
          </w:tcPr>
          <w:p>
            <w:pPr>
              <w:spacing w:after="0"/>
              <w:rPr>
                <w:sz w:val="16"/>
                <w:szCs w:val="16"/>
                <w:color w:val="auto"/>
              </w:rPr>
            </w:pPr>
          </w:p>
        </w:tc>
        <w:tc>
          <w:tcPr>
            <w:tcW w:w="4060" w:type="dxa"/>
            <w:vAlign w:val="bottom"/>
            <w:tcBorders>
              <w:bottom w:val="single" w:sz="8" w:color="999999"/>
              <w:right w:val="single" w:sz="8" w:color="999999"/>
            </w:tcBorders>
          </w:tcPr>
          <w:p>
            <w:pPr>
              <w:spacing w:after="0"/>
              <w:rPr>
                <w:sz w:val="16"/>
                <w:szCs w:val="16"/>
                <w:color w:val="auto"/>
              </w:rPr>
            </w:pPr>
          </w:p>
        </w:tc>
        <w:tc>
          <w:tcPr>
            <w:tcW w:w="160" w:type="dxa"/>
            <w:vAlign w:val="bottom"/>
            <w:tcBorders>
              <w:bottom w:val="single" w:sz="8" w:color="999999"/>
            </w:tcBorders>
          </w:tcPr>
          <w:p>
            <w:pPr>
              <w:spacing w:after="0"/>
              <w:rPr>
                <w:sz w:val="16"/>
                <w:szCs w:val="16"/>
                <w:color w:val="auto"/>
              </w:rPr>
            </w:pPr>
          </w:p>
        </w:tc>
        <w:tc>
          <w:tcPr>
            <w:tcW w:w="3220" w:type="dxa"/>
            <w:vAlign w:val="bottom"/>
            <w:tcBorders>
              <w:bottom w:val="single" w:sz="8" w:color="999999"/>
              <w:right w:val="single" w:sz="8" w:color="999999"/>
            </w:tcBorders>
          </w:tcPr>
          <w:p>
            <w:pPr>
              <w:spacing w:after="0"/>
              <w:rPr>
                <w:sz w:val="16"/>
                <w:szCs w:val="16"/>
                <w:color w:val="auto"/>
              </w:rPr>
            </w:pPr>
          </w:p>
        </w:tc>
      </w:tr>
      <w:tr>
        <w:trPr>
          <w:trHeight w:val="168"/>
        </w:trPr>
        <w:tc>
          <w:tcPr>
            <w:tcW w:w="1680" w:type="dxa"/>
            <w:vAlign w:val="bottom"/>
            <w:tcBorders>
              <w:left w:val="single" w:sz="8" w:color="999999"/>
              <w:right w:val="single" w:sz="8" w:color="999999"/>
            </w:tcBorders>
            <w:shd w:val="clear" w:color="auto" w:fill="E97D2E"/>
          </w:tcPr>
          <w:p>
            <w:pPr>
              <w:ind w:left="40"/>
              <w:spacing w:after="0" w:line="168" w:lineRule="exact"/>
              <w:rPr>
                <w:sz w:val="20"/>
                <w:szCs w:val="20"/>
                <w:color w:val="auto"/>
              </w:rPr>
            </w:pPr>
            <w:r>
              <w:rPr>
                <w:rFonts w:ascii="Arial" w:cs="Arial" w:eastAsia="Arial" w:hAnsi="Arial"/>
                <w:sz w:val="16"/>
                <w:szCs w:val="16"/>
                <w:b w:val="1"/>
                <w:bCs w:val="1"/>
                <w:color w:val="FFFFFF"/>
              </w:rPr>
              <w:t>Long-Term Equity</w:t>
            </w:r>
          </w:p>
        </w:tc>
        <w:tc>
          <w:tcPr>
            <w:tcW w:w="1640" w:type="dxa"/>
            <w:vAlign w:val="bottom"/>
            <w:tcBorders>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Restricted Stock</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Stock-settled awards</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Reinforces the alignment of executive and</w:t>
            </w:r>
          </w:p>
        </w:tc>
      </w:tr>
      <w:tr>
        <w:trPr>
          <w:trHeight w:val="189"/>
        </w:trPr>
        <w:tc>
          <w:tcPr>
            <w:tcW w:w="1680" w:type="dxa"/>
            <w:vAlign w:val="bottom"/>
            <w:tcBorders>
              <w:left w:val="single" w:sz="8" w:color="999999"/>
              <w:right w:val="single" w:sz="8" w:color="999999"/>
            </w:tcBorders>
            <w:shd w:val="clear" w:color="auto" w:fill="E97D2E"/>
          </w:tcPr>
          <w:p>
            <w:pPr>
              <w:ind w:left="40"/>
              <w:spacing w:after="0"/>
              <w:rPr>
                <w:sz w:val="20"/>
                <w:szCs w:val="20"/>
                <w:color w:val="auto"/>
              </w:rPr>
            </w:pPr>
            <w:r>
              <w:rPr>
                <w:rFonts w:ascii="Arial" w:cs="Arial" w:eastAsia="Arial" w:hAnsi="Arial"/>
                <w:sz w:val="16"/>
                <w:szCs w:val="16"/>
                <w:b w:val="1"/>
                <w:bCs w:val="1"/>
                <w:color w:val="FFFFFF"/>
              </w:rPr>
              <w:t>Incentive (LTI)</w:t>
            </w: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The 2023 RSUs are time-based and vest annually in</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stockholder interests and provides each</w:t>
            </w:r>
          </w:p>
        </w:tc>
      </w:tr>
      <w:tr>
        <w:trPr>
          <w:trHeight w:val="176"/>
        </w:trPr>
        <w:tc>
          <w:tcPr>
            <w:tcW w:w="1680" w:type="dxa"/>
            <w:vAlign w:val="bottom"/>
            <w:tcBorders>
              <w:left w:val="single" w:sz="8" w:color="999999"/>
              <w:right w:val="single" w:sz="8" w:color="999999"/>
            </w:tcBorders>
            <w:shd w:val="clear" w:color="auto" w:fill="E97D2E"/>
          </w:tcPr>
          <w:p>
            <w:pPr>
              <w:ind w:left="40"/>
              <w:spacing w:after="0" w:line="175" w:lineRule="exact"/>
              <w:rPr>
                <w:sz w:val="20"/>
                <w:szCs w:val="20"/>
                <w:color w:val="auto"/>
              </w:rPr>
            </w:pPr>
            <w:r>
              <w:rPr>
                <w:rFonts w:ascii="Arial" w:cs="Arial" w:eastAsia="Arial" w:hAnsi="Arial"/>
                <w:sz w:val="16"/>
                <w:szCs w:val="16"/>
                <w:b w:val="1"/>
                <w:bCs w:val="1"/>
                <w:color w:val="FFFFFF"/>
              </w:rPr>
              <w:t>Awards</w:t>
            </w: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(RSUs)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one-third increments on each anniversary of the grant</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individual with a significant incentive to</w:t>
            </w:r>
          </w:p>
        </w:tc>
      </w:tr>
      <w:tr>
        <w:trPr>
          <w:trHeight w:val="190"/>
        </w:trPr>
        <w:tc>
          <w:tcPr>
            <w:tcW w:w="1680" w:type="dxa"/>
            <w:vAlign w:val="bottom"/>
            <w:tcBorders>
              <w:left w:val="single" w:sz="8" w:color="999999"/>
              <w:bottom w:val="single" w:sz="8" w:color="E97D2E"/>
              <w:right w:val="single" w:sz="8" w:color="999999"/>
            </w:tcBorders>
            <w:shd w:val="clear" w:color="auto" w:fill="E97D2E"/>
          </w:tcPr>
          <w:p>
            <w:pPr>
              <w:spacing w:after="0"/>
              <w:rPr>
                <w:sz w:val="16"/>
                <w:szCs w:val="16"/>
                <w:color w:val="auto"/>
              </w:rPr>
            </w:pPr>
          </w:p>
        </w:tc>
        <w:tc>
          <w:tcPr>
            <w:tcW w:w="1640" w:type="dxa"/>
            <w:vAlign w:val="bottom"/>
            <w:tcBorders>
              <w:bottom w:val="single" w:sz="8" w:color="999999"/>
              <w:right w:val="single" w:sz="8" w:color="999999"/>
            </w:tcBorders>
            <w:shd w:val="clear" w:color="auto" w:fill="FDE9D9"/>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date</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manage from the perspective of an owner</w:t>
            </w:r>
          </w:p>
        </w:tc>
      </w:tr>
      <w:tr>
        <w:trPr>
          <w:trHeight w:val="156"/>
        </w:trPr>
        <w:tc>
          <w:tcPr>
            <w:tcW w:w="1680" w:type="dxa"/>
            <w:vAlign w:val="bottom"/>
            <w:tcBorders>
              <w:left w:val="single" w:sz="8" w:color="999999"/>
              <w:right w:val="single" w:sz="8" w:color="999999"/>
            </w:tcBorders>
            <w:shd w:val="clear" w:color="auto" w:fill="E97D2E"/>
          </w:tcPr>
          <w:p>
            <w:pPr>
              <w:spacing w:after="0"/>
              <w:rPr>
                <w:sz w:val="13"/>
                <w:szCs w:val="13"/>
                <w:color w:val="auto"/>
              </w:rPr>
            </w:pPr>
          </w:p>
        </w:tc>
        <w:tc>
          <w:tcPr>
            <w:tcW w:w="1640" w:type="dxa"/>
            <w:vAlign w:val="bottom"/>
            <w:tcBorders>
              <w:right w:val="single" w:sz="8" w:color="999999"/>
            </w:tcBorders>
            <w:shd w:val="clear" w:color="auto" w:fill="FDE9D9"/>
          </w:tcPr>
          <w:p>
            <w:pPr>
              <w:ind w:left="20"/>
              <w:spacing w:after="0" w:line="155" w:lineRule="exact"/>
              <w:rPr>
                <w:sz w:val="20"/>
                <w:szCs w:val="20"/>
                <w:color w:val="auto"/>
              </w:rPr>
            </w:pPr>
            <w:r>
              <w:rPr>
                <w:rFonts w:ascii="Arial" w:cs="Arial" w:eastAsia="Arial" w:hAnsi="Arial"/>
                <w:sz w:val="16"/>
                <w:szCs w:val="16"/>
                <w:b w:val="1"/>
                <w:bCs w:val="1"/>
                <w:color w:val="auto"/>
              </w:rPr>
              <w:t>Performance-Based</w:t>
            </w:r>
          </w:p>
        </w:tc>
        <w:tc>
          <w:tcPr>
            <w:tcW w:w="160" w:type="dxa"/>
            <w:vAlign w:val="bottom"/>
          </w:tcPr>
          <w:p>
            <w:pPr>
              <w:ind w:left="100"/>
              <w:spacing w:after="0" w:line="15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55" w:lineRule="exact"/>
              <w:rPr>
                <w:sz w:val="20"/>
                <w:szCs w:val="20"/>
                <w:color w:val="auto"/>
              </w:rPr>
            </w:pPr>
            <w:r>
              <w:rPr>
                <w:rFonts w:ascii="Arial" w:cs="Arial" w:eastAsia="Arial" w:hAnsi="Arial"/>
                <w:sz w:val="16"/>
                <w:szCs w:val="16"/>
                <w:color w:val="auto"/>
              </w:rPr>
              <w:t>The 2023 PBRSUs are performance-based and are</w:t>
            </w:r>
          </w:p>
        </w:tc>
        <w:tc>
          <w:tcPr>
            <w:tcW w:w="160" w:type="dxa"/>
            <w:vAlign w:val="bottom"/>
          </w:tcPr>
          <w:p>
            <w:pPr>
              <w:ind w:left="100"/>
              <w:spacing w:after="0" w:line="15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55" w:lineRule="exact"/>
              <w:rPr>
                <w:sz w:val="20"/>
                <w:szCs w:val="20"/>
                <w:color w:val="auto"/>
              </w:rPr>
            </w:pPr>
            <w:r>
              <w:rPr>
                <w:rFonts w:ascii="Arial" w:cs="Arial" w:eastAsia="Arial" w:hAnsi="Arial"/>
                <w:sz w:val="16"/>
                <w:szCs w:val="16"/>
                <w:color w:val="auto"/>
              </w:rPr>
              <w:t>Promotes employee retention</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Restricted Stock</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eligible to vest based on the extent to which the</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Assists NEOs in complying with stock</w:t>
            </w:r>
          </w:p>
        </w:tc>
      </w:tr>
      <w:tr>
        <w:trPr>
          <w:trHeight w:val="189"/>
        </w:trPr>
        <w:tc>
          <w:tcPr>
            <w:tcW w:w="1680" w:type="dxa"/>
            <w:vAlign w:val="bottom"/>
            <w:tcBorders>
              <w:left w:val="single" w:sz="8" w:color="999999"/>
              <w:right w:val="single" w:sz="8" w:color="999999"/>
            </w:tcBorders>
            <w:shd w:val="clear" w:color="auto" w:fill="E97D2E"/>
          </w:tcPr>
          <w:p>
            <w:pPr>
              <w:spacing w:after="0"/>
              <w:rPr>
                <w:sz w:val="16"/>
                <w:szCs w:val="16"/>
                <w:color w:val="auto"/>
              </w:rPr>
            </w:pP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applicable performance goals established by the HCC</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ownership guidelines</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ind w:left="20"/>
              <w:spacing w:after="0" w:line="175" w:lineRule="exact"/>
              <w:rPr>
                <w:sz w:val="20"/>
                <w:szCs w:val="20"/>
                <w:color w:val="auto"/>
              </w:rPr>
            </w:pPr>
            <w:r>
              <w:rPr>
                <w:rFonts w:ascii="Arial" w:cs="Arial" w:eastAsia="Arial" w:hAnsi="Arial"/>
                <w:sz w:val="16"/>
                <w:szCs w:val="16"/>
                <w:b w:val="1"/>
                <w:bCs w:val="1"/>
                <w:color w:val="auto"/>
              </w:rPr>
              <w:t>(PBRSUs)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Committee are met over performance measurement</w:t>
            </w:r>
          </w:p>
        </w:tc>
        <w:tc>
          <w:tcPr>
            <w:tcW w:w="160" w:type="dxa"/>
            <w:vAlign w:val="bottom"/>
          </w:tcPr>
          <w:p>
            <w:pPr>
              <w:spacing w:after="0"/>
              <w:rPr>
                <w:sz w:val="15"/>
                <w:szCs w:val="15"/>
                <w:color w:val="auto"/>
              </w:rPr>
            </w:pPr>
          </w:p>
        </w:tc>
        <w:tc>
          <w:tcPr>
            <w:tcW w:w="3220" w:type="dxa"/>
            <w:vAlign w:val="bottom"/>
            <w:tcBorders>
              <w:right w:val="single" w:sz="8" w:color="999999"/>
            </w:tcBorders>
          </w:tcPr>
          <w:p>
            <w:pPr>
              <w:spacing w:after="0"/>
              <w:rPr>
                <w:sz w:val="15"/>
                <w:szCs w:val="15"/>
                <w:color w:val="auto"/>
              </w:rPr>
            </w:pPr>
          </w:p>
        </w:tc>
      </w:tr>
      <w:tr>
        <w:trPr>
          <w:trHeight w:val="215"/>
        </w:trPr>
        <w:tc>
          <w:tcPr>
            <w:tcW w:w="1680" w:type="dxa"/>
            <w:vAlign w:val="bottom"/>
            <w:tcBorders>
              <w:left w:val="single" w:sz="8" w:color="999999"/>
              <w:right w:val="single" w:sz="8" w:color="999999"/>
            </w:tcBorders>
            <w:shd w:val="clear" w:color="auto" w:fill="E97D2E"/>
          </w:tcPr>
          <w:p>
            <w:pPr>
              <w:spacing w:after="0"/>
              <w:rPr>
                <w:sz w:val="18"/>
                <w:szCs w:val="18"/>
                <w:color w:val="auto"/>
              </w:rPr>
            </w:pPr>
          </w:p>
        </w:tc>
        <w:tc>
          <w:tcPr>
            <w:tcW w:w="1640" w:type="dxa"/>
            <w:vAlign w:val="bottom"/>
            <w:tcBorders>
              <w:right w:val="single" w:sz="8" w:color="999999"/>
            </w:tcBorders>
            <w:shd w:val="clear" w:color="auto" w:fill="FDE9D9"/>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periods of one, two and three years</w:t>
            </w:r>
          </w:p>
        </w:tc>
        <w:tc>
          <w:tcPr>
            <w:tcW w:w="160" w:type="dxa"/>
            <w:vAlign w:val="bottom"/>
          </w:tcPr>
          <w:p>
            <w:pPr>
              <w:spacing w:after="0"/>
              <w:rPr>
                <w:sz w:val="18"/>
                <w:szCs w:val="18"/>
                <w:color w:val="auto"/>
              </w:rPr>
            </w:pPr>
          </w:p>
        </w:tc>
        <w:tc>
          <w:tcPr>
            <w:tcW w:w="3220" w:type="dxa"/>
            <w:vAlign w:val="bottom"/>
            <w:tcBorders>
              <w:right w:val="single" w:sz="8" w:color="999999"/>
            </w:tcBorders>
          </w:tcPr>
          <w:p>
            <w:pPr>
              <w:spacing w:after="0"/>
              <w:rPr>
                <w:sz w:val="18"/>
                <w:szCs w:val="18"/>
                <w:color w:val="auto"/>
              </w:rPr>
            </w:pPr>
          </w:p>
        </w:tc>
      </w:tr>
      <w:tr>
        <w:trPr>
          <w:trHeight w:val="204"/>
        </w:trPr>
        <w:tc>
          <w:tcPr>
            <w:tcW w:w="1680" w:type="dxa"/>
            <w:vAlign w:val="bottom"/>
            <w:tcBorders>
              <w:left w:val="single" w:sz="8" w:color="999999"/>
              <w:bottom w:val="single" w:sz="8" w:color="999999"/>
              <w:right w:val="single" w:sz="8" w:color="999999"/>
            </w:tcBorders>
            <w:shd w:val="clear" w:color="auto" w:fill="E97D2E"/>
          </w:tcPr>
          <w:p>
            <w:pPr>
              <w:spacing w:after="0"/>
              <w:rPr>
                <w:sz w:val="17"/>
                <w:szCs w:val="17"/>
                <w:color w:val="auto"/>
              </w:rPr>
            </w:pPr>
          </w:p>
        </w:tc>
        <w:tc>
          <w:tcPr>
            <w:tcW w:w="1640" w:type="dxa"/>
            <w:vAlign w:val="bottom"/>
            <w:tcBorders>
              <w:bottom w:val="single" w:sz="8" w:color="999999"/>
              <w:right w:val="single" w:sz="8" w:color="999999"/>
            </w:tcBorders>
            <w:shd w:val="clear" w:color="auto" w:fill="FDE9D9"/>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4060" w:type="dxa"/>
            <w:vAlign w:val="bottom"/>
            <w:tcBorders>
              <w:bottom w:val="single" w:sz="8" w:color="999999"/>
              <w:right w:val="single" w:sz="8" w:color="999999"/>
            </w:tcBorders>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3220" w:type="dxa"/>
            <w:vAlign w:val="bottom"/>
            <w:tcBorders>
              <w:bottom w:val="single" w:sz="8" w:color="999999"/>
              <w:right w:val="single" w:sz="8" w:color="999999"/>
            </w:tcBorders>
          </w:tcPr>
          <w:p>
            <w:pPr>
              <w:spacing w:after="0"/>
              <w:rPr>
                <w:sz w:val="17"/>
                <w:szCs w:val="17"/>
                <w:color w:val="auto"/>
              </w:rPr>
            </w:pPr>
          </w:p>
        </w:tc>
      </w:tr>
      <w:tr>
        <w:trPr>
          <w:trHeight w:val="168"/>
        </w:trPr>
        <w:tc>
          <w:tcPr>
            <w:tcW w:w="1680" w:type="dxa"/>
            <w:vAlign w:val="bottom"/>
            <w:tcBorders>
              <w:left w:val="single" w:sz="8" w:color="999999"/>
              <w:right w:val="single" w:sz="8" w:color="999999"/>
            </w:tcBorders>
            <w:shd w:val="clear" w:color="auto" w:fill="465E66"/>
          </w:tcPr>
          <w:p>
            <w:pPr>
              <w:ind w:left="40"/>
              <w:spacing w:after="0" w:line="168" w:lineRule="exact"/>
              <w:rPr>
                <w:sz w:val="20"/>
                <w:szCs w:val="20"/>
                <w:color w:val="auto"/>
              </w:rPr>
            </w:pPr>
            <w:r>
              <w:rPr>
                <w:rFonts w:ascii="Arial" w:cs="Arial" w:eastAsia="Arial" w:hAnsi="Arial"/>
                <w:sz w:val="16"/>
                <w:szCs w:val="16"/>
                <w:b w:val="1"/>
                <w:bCs w:val="1"/>
                <w:color w:val="FFFFFF"/>
              </w:rPr>
              <w:t>Post-Termination</w:t>
            </w:r>
          </w:p>
        </w:tc>
        <w:tc>
          <w:tcPr>
            <w:tcW w:w="1640" w:type="dxa"/>
            <w:vAlign w:val="bottom"/>
            <w:tcBorders>
              <w:right w:val="single" w:sz="8" w:color="999999"/>
            </w:tcBorders>
            <w:shd w:val="clear" w:color="auto" w:fill="DAEEF3"/>
          </w:tcPr>
          <w:p>
            <w:pPr>
              <w:ind w:left="20"/>
              <w:spacing w:after="0" w:line="168" w:lineRule="exact"/>
              <w:rPr>
                <w:sz w:val="20"/>
                <w:szCs w:val="20"/>
                <w:color w:val="auto"/>
              </w:rPr>
            </w:pPr>
            <w:r>
              <w:rPr>
                <w:rFonts w:ascii="Arial" w:cs="Arial" w:eastAsia="Arial" w:hAnsi="Arial"/>
                <w:sz w:val="16"/>
                <w:szCs w:val="16"/>
                <w:b w:val="1"/>
                <w:bCs w:val="1"/>
                <w:color w:val="auto"/>
              </w:rPr>
              <w:t>Severance and</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Our RSU and PBRSU agreements provide for</w:t>
            </w:r>
          </w:p>
        </w:tc>
        <w:tc>
          <w:tcPr>
            <w:tcW w:w="160" w:type="dxa"/>
            <w:vAlign w:val="bottom"/>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Supports retention and recruitment efforts</w:t>
            </w:r>
          </w:p>
        </w:tc>
      </w:tr>
      <w:tr>
        <w:trPr>
          <w:trHeight w:val="189"/>
        </w:trPr>
        <w:tc>
          <w:tcPr>
            <w:tcW w:w="1680" w:type="dxa"/>
            <w:vAlign w:val="bottom"/>
            <w:tcBorders>
              <w:left w:val="single" w:sz="8" w:color="999999"/>
              <w:right w:val="single" w:sz="8" w:color="999999"/>
            </w:tcBorders>
            <w:shd w:val="clear" w:color="auto" w:fill="465E66"/>
          </w:tcPr>
          <w:p>
            <w:pPr>
              <w:ind w:left="40"/>
              <w:spacing w:after="0"/>
              <w:rPr>
                <w:sz w:val="20"/>
                <w:szCs w:val="20"/>
                <w:color w:val="auto"/>
              </w:rPr>
            </w:pPr>
            <w:r>
              <w:rPr>
                <w:rFonts w:ascii="Arial" w:cs="Arial" w:eastAsia="Arial" w:hAnsi="Arial"/>
                <w:sz w:val="16"/>
                <w:szCs w:val="16"/>
                <w:b w:val="1"/>
                <w:bCs w:val="1"/>
                <w:color w:val="FFFFFF"/>
              </w:rPr>
              <w:t>Compensation</w:t>
            </w:r>
          </w:p>
        </w:tc>
        <w:tc>
          <w:tcPr>
            <w:tcW w:w="1640" w:type="dxa"/>
            <w:vAlign w:val="bottom"/>
            <w:tcBorders>
              <w:right w:val="single" w:sz="8" w:color="999999"/>
            </w:tcBorders>
            <w:shd w:val="clear" w:color="auto" w:fill="DAEEF3"/>
          </w:tcPr>
          <w:p>
            <w:pPr>
              <w:ind w:left="20"/>
              <w:spacing w:after="0"/>
              <w:rPr>
                <w:sz w:val="20"/>
                <w:szCs w:val="20"/>
                <w:color w:val="auto"/>
              </w:rPr>
            </w:pPr>
            <w:r>
              <w:rPr>
                <w:rFonts w:ascii="Arial" w:cs="Arial" w:eastAsia="Arial" w:hAnsi="Arial"/>
                <w:sz w:val="16"/>
                <w:szCs w:val="16"/>
                <w:b w:val="1"/>
                <w:bCs w:val="1"/>
                <w:color w:val="auto"/>
              </w:rPr>
              <w:t>Change in Control</w:t>
            </w:r>
          </w:p>
        </w:tc>
        <w:tc>
          <w:tcPr>
            <w:tcW w:w="160" w:type="dxa"/>
            <w:vAlign w:val="bottom"/>
          </w:tcPr>
          <w:p>
            <w:pPr>
              <w:spacing w:after="0"/>
              <w:rPr>
                <w:sz w:val="16"/>
                <w:szCs w:val="16"/>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acceleration of vesting upon certain qualifying</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Encourages management to pursue</w:t>
            </w:r>
          </w:p>
        </w:tc>
      </w:tr>
      <w:tr>
        <w:trPr>
          <w:trHeight w:val="176"/>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ind w:left="20"/>
              <w:spacing w:after="0" w:line="175" w:lineRule="exact"/>
              <w:rPr>
                <w:sz w:val="20"/>
                <w:szCs w:val="20"/>
                <w:color w:val="auto"/>
              </w:rPr>
            </w:pPr>
            <w:r>
              <w:rPr>
                <w:rFonts w:ascii="Arial" w:cs="Arial" w:eastAsia="Arial" w:hAnsi="Arial"/>
                <w:sz w:val="16"/>
                <w:szCs w:val="16"/>
                <w:b w:val="1"/>
                <w:bCs w:val="1"/>
                <w:color w:val="auto"/>
              </w:rPr>
              <w:t>Arrangements</w:t>
            </w: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terminations, both with or without a change in control</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transactions that may be in the best</w:t>
            </w:r>
          </w:p>
        </w:tc>
      </w:tr>
      <w:tr>
        <w:trPr>
          <w:trHeight w:val="189"/>
        </w:trPr>
        <w:tc>
          <w:tcPr>
            <w:tcW w:w="1680" w:type="dxa"/>
            <w:vAlign w:val="bottom"/>
            <w:tcBorders>
              <w:left w:val="single" w:sz="8" w:color="999999"/>
              <w:right w:val="single" w:sz="8" w:color="999999"/>
            </w:tcBorders>
            <w:shd w:val="clear" w:color="auto" w:fill="465E66"/>
          </w:tcPr>
          <w:p>
            <w:pPr>
              <w:spacing w:after="0"/>
              <w:rPr>
                <w:sz w:val="16"/>
                <w:szCs w:val="16"/>
                <w:color w:val="auto"/>
              </w:rPr>
            </w:pPr>
          </w:p>
        </w:tc>
        <w:tc>
          <w:tcPr>
            <w:tcW w:w="1640" w:type="dxa"/>
            <w:vAlign w:val="bottom"/>
            <w:tcBorders>
              <w:right w:val="single" w:sz="8" w:color="999999"/>
            </w:tcBorders>
            <w:shd w:val="clear" w:color="auto" w:fill="DAEEF3"/>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Employment agreements provide severance payments</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interest of the Company and its</w:t>
            </w:r>
          </w:p>
        </w:tc>
      </w:tr>
      <w:tr>
        <w:trPr>
          <w:trHeight w:val="175"/>
        </w:trPr>
        <w:tc>
          <w:tcPr>
            <w:tcW w:w="1680" w:type="dxa"/>
            <w:vAlign w:val="bottom"/>
            <w:tcBorders>
              <w:left w:val="single" w:sz="8" w:color="999999"/>
              <w:right w:val="single" w:sz="8" w:color="999999"/>
            </w:tcBorders>
            <w:shd w:val="clear" w:color="auto" w:fill="465E66"/>
          </w:tcPr>
          <w:p>
            <w:pPr>
              <w:spacing w:after="0"/>
              <w:rPr>
                <w:sz w:val="15"/>
                <w:szCs w:val="15"/>
                <w:color w:val="auto"/>
              </w:rPr>
            </w:pPr>
          </w:p>
        </w:tc>
        <w:tc>
          <w:tcPr>
            <w:tcW w:w="1640" w:type="dxa"/>
            <w:vAlign w:val="bottom"/>
            <w:tcBorders>
              <w:right w:val="single" w:sz="8" w:color="999999"/>
            </w:tcBorders>
            <w:shd w:val="clear" w:color="auto" w:fill="DAEEF3"/>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and benefits in the event of certain qualifying</w:t>
            </w:r>
          </w:p>
        </w:tc>
        <w:tc>
          <w:tcPr>
            <w:tcW w:w="160" w:type="dxa"/>
            <w:vAlign w:val="bottom"/>
          </w:tcPr>
          <w:p>
            <w:pPr>
              <w:spacing w:after="0"/>
              <w:rPr>
                <w:sz w:val="15"/>
                <w:szCs w:val="15"/>
                <w:color w:val="auto"/>
              </w:rPr>
            </w:pP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stockholders by providing a measure of</w:t>
            </w:r>
          </w:p>
        </w:tc>
      </w:tr>
      <w:tr>
        <w:trPr>
          <w:trHeight w:val="244"/>
        </w:trPr>
        <w:tc>
          <w:tcPr>
            <w:tcW w:w="1680" w:type="dxa"/>
            <w:vAlign w:val="bottom"/>
            <w:tcBorders>
              <w:left w:val="single" w:sz="8" w:color="999999"/>
              <w:bottom w:val="single" w:sz="8" w:color="465E66"/>
              <w:right w:val="single" w:sz="8" w:color="999999"/>
            </w:tcBorders>
            <w:shd w:val="clear" w:color="auto" w:fill="465E66"/>
          </w:tcPr>
          <w:p>
            <w:pPr>
              <w:spacing w:after="0"/>
              <w:rPr>
                <w:sz w:val="21"/>
                <w:szCs w:val="21"/>
                <w:color w:val="auto"/>
              </w:rPr>
            </w:pPr>
          </w:p>
        </w:tc>
        <w:tc>
          <w:tcPr>
            <w:tcW w:w="1640" w:type="dxa"/>
            <w:vAlign w:val="bottom"/>
            <w:tcBorders>
              <w:bottom w:val="single" w:sz="8" w:color="DAEEF3"/>
              <w:right w:val="single" w:sz="8" w:color="999999"/>
            </w:tcBorders>
            <w:shd w:val="clear" w:color="auto" w:fill="DAEEF3"/>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terminations, both with or without a change in control</w:t>
            </w: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financial security</w:t>
            </w:r>
          </w:p>
        </w:tc>
      </w:tr>
      <w:tr>
        <w:trPr>
          <w:trHeight w:val="168"/>
        </w:trPr>
        <w:tc>
          <w:tcPr>
            <w:tcW w:w="1680" w:type="dxa"/>
            <w:vAlign w:val="bottom"/>
            <w:tcBorders>
              <w:top w:val="single" w:sz="8" w:color="999999"/>
              <w:left w:val="single" w:sz="8" w:color="999999"/>
              <w:right w:val="single" w:sz="8" w:color="999999"/>
            </w:tcBorders>
            <w:shd w:val="clear" w:color="auto" w:fill="E97D2E"/>
          </w:tcPr>
          <w:p>
            <w:pPr>
              <w:ind w:left="40"/>
              <w:spacing w:after="0" w:line="168" w:lineRule="exact"/>
              <w:rPr>
                <w:sz w:val="20"/>
                <w:szCs w:val="20"/>
                <w:color w:val="auto"/>
              </w:rPr>
            </w:pPr>
            <w:r>
              <w:rPr>
                <w:rFonts w:ascii="Arial" w:cs="Arial" w:eastAsia="Arial" w:hAnsi="Arial"/>
                <w:sz w:val="16"/>
                <w:szCs w:val="16"/>
                <w:b w:val="1"/>
                <w:bCs w:val="1"/>
                <w:color w:val="FFFFFF"/>
              </w:rPr>
              <w:t>Other Compensation</w:t>
            </w:r>
          </w:p>
        </w:tc>
        <w:tc>
          <w:tcPr>
            <w:tcW w:w="1640" w:type="dxa"/>
            <w:vAlign w:val="bottom"/>
            <w:tcBorders>
              <w:top w:val="single" w:sz="8" w:color="999999"/>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Limited Perquisites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 monthly auto allowance</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Supports the competitiveness of our</w:t>
            </w:r>
          </w:p>
        </w:tc>
      </w:tr>
      <w:tr>
        <w:trPr>
          <w:trHeight w:val="189"/>
        </w:trPr>
        <w:tc>
          <w:tcPr>
            <w:tcW w:w="1680" w:type="dxa"/>
            <w:vAlign w:val="bottom"/>
            <w:tcBorders>
              <w:left w:val="single" w:sz="8" w:color="999999"/>
              <w:right w:val="single" w:sz="8" w:color="999999"/>
            </w:tcBorders>
            <w:shd w:val="clear" w:color="auto" w:fill="E97D2E"/>
          </w:tcPr>
          <w:p>
            <w:pPr>
              <w:ind w:left="40"/>
              <w:spacing w:after="0"/>
              <w:rPr>
                <w:sz w:val="20"/>
                <w:szCs w:val="20"/>
                <w:color w:val="auto"/>
              </w:rPr>
            </w:pPr>
            <w:r>
              <w:rPr>
                <w:rFonts w:ascii="Arial" w:cs="Arial" w:eastAsia="Arial" w:hAnsi="Arial"/>
                <w:sz w:val="16"/>
                <w:szCs w:val="16"/>
                <w:b w:val="1"/>
                <w:bCs w:val="1"/>
                <w:color w:val="FFFFFF"/>
              </w:rPr>
              <w:t>and Benefits</w:t>
            </w:r>
          </w:p>
        </w:tc>
        <w:tc>
          <w:tcPr>
            <w:tcW w:w="1640" w:type="dxa"/>
            <w:vAlign w:val="bottom"/>
            <w:tcBorders>
              <w:right w:val="single" w:sz="8" w:color="999999"/>
            </w:tcBorders>
            <w:shd w:val="clear" w:color="auto" w:fill="FDE9D9"/>
          </w:tcPr>
          <w:p>
            <w:pPr>
              <w:spacing w:after="0"/>
              <w:rPr>
                <w:sz w:val="16"/>
                <w:szCs w:val="16"/>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Enhanced coverage for life insurance</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compensation package</w:t>
            </w:r>
          </w:p>
        </w:tc>
      </w:tr>
      <w:tr>
        <w:trPr>
          <w:trHeight w:val="175"/>
        </w:trPr>
        <w:tc>
          <w:tcPr>
            <w:tcW w:w="1680" w:type="dxa"/>
            <w:vAlign w:val="bottom"/>
            <w:tcBorders>
              <w:left w:val="single" w:sz="8" w:color="999999"/>
              <w:right w:val="single" w:sz="8" w:color="999999"/>
            </w:tcBorders>
            <w:shd w:val="clear" w:color="auto" w:fill="E97D2E"/>
          </w:tcPr>
          <w:p>
            <w:pPr>
              <w:spacing w:after="0"/>
              <w:rPr>
                <w:sz w:val="15"/>
                <w:szCs w:val="15"/>
                <w:color w:val="auto"/>
              </w:rPr>
            </w:pPr>
          </w:p>
        </w:tc>
        <w:tc>
          <w:tcPr>
            <w:tcW w:w="1640" w:type="dxa"/>
            <w:vAlign w:val="bottom"/>
            <w:tcBorders>
              <w:right w:val="single" w:sz="8" w:color="999999"/>
            </w:tcBorders>
            <w:shd w:val="clear" w:color="auto" w:fill="FDE9D9"/>
          </w:tcPr>
          <w:p>
            <w:pPr>
              <w:spacing w:after="0"/>
              <w:rPr>
                <w:sz w:val="15"/>
                <w:szCs w:val="15"/>
                <w:color w:val="auto"/>
              </w:rPr>
            </w:pP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line="175" w:lineRule="exact"/>
              <w:rPr>
                <w:sz w:val="20"/>
                <w:szCs w:val="20"/>
                <w:color w:val="auto"/>
              </w:rPr>
            </w:pPr>
            <w:r>
              <w:rPr>
                <w:rFonts w:ascii="Arial" w:cs="Arial" w:eastAsia="Arial" w:hAnsi="Arial"/>
                <w:sz w:val="16"/>
                <w:szCs w:val="16"/>
                <w:color w:val="auto"/>
              </w:rPr>
              <w:t>An executive physical examination</w:t>
            </w:r>
          </w:p>
        </w:tc>
        <w:tc>
          <w:tcPr>
            <w:tcW w:w="160" w:type="dxa"/>
            <w:vAlign w:val="bottom"/>
          </w:tcPr>
          <w:p>
            <w:pPr>
              <w:ind w:left="100"/>
              <w:spacing w:after="0" w:line="175" w:lineRule="exact"/>
              <w:rPr>
                <w:sz w:val="20"/>
                <w:szCs w:val="20"/>
                <w:color w:val="auto"/>
              </w:rPr>
            </w:pPr>
            <w:r>
              <w:rPr>
                <w:rFonts w:ascii="Arial" w:cs="Arial" w:eastAsia="Arial" w:hAnsi="Arial"/>
                <w:sz w:val="16"/>
                <w:szCs w:val="16"/>
                <w:color w:val="auto"/>
                <w:w w:val="70"/>
              </w:rPr>
              <w:t>•</w:t>
            </w:r>
          </w:p>
        </w:tc>
        <w:tc>
          <w:tcPr>
            <w:tcW w:w="3220" w:type="dxa"/>
            <w:vAlign w:val="bottom"/>
            <w:tcBorders>
              <w:right w:val="single" w:sz="8" w:color="999999"/>
            </w:tcBorders>
          </w:tcPr>
          <w:p>
            <w:pPr>
              <w:ind w:left="100"/>
              <w:spacing w:after="0" w:line="175" w:lineRule="exact"/>
              <w:rPr>
                <w:sz w:val="20"/>
                <w:szCs w:val="20"/>
                <w:color w:val="auto"/>
              </w:rPr>
            </w:pPr>
            <w:r>
              <w:rPr>
                <w:rFonts w:ascii="Arial" w:cs="Arial" w:eastAsia="Arial" w:hAnsi="Arial"/>
                <w:sz w:val="16"/>
                <w:szCs w:val="16"/>
                <w:color w:val="auto"/>
              </w:rPr>
              <w:t>Provides value to executives at a</w:t>
            </w:r>
          </w:p>
        </w:tc>
      </w:tr>
      <w:tr>
        <w:trPr>
          <w:trHeight w:val="244"/>
        </w:trPr>
        <w:tc>
          <w:tcPr>
            <w:tcW w:w="1680" w:type="dxa"/>
            <w:vAlign w:val="bottom"/>
            <w:tcBorders>
              <w:left w:val="single" w:sz="8" w:color="999999"/>
              <w:bottom w:val="single" w:sz="8" w:color="E97D2E"/>
              <w:right w:val="single" w:sz="8" w:color="999999"/>
            </w:tcBorders>
            <w:shd w:val="clear" w:color="auto" w:fill="E97D2E"/>
          </w:tcPr>
          <w:p>
            <w:pPr>
              <w:spacing w:after="0"/>
              <w:rPr>
                <w:sz w:val="21"/>
                <w:szCs w:val="21"/>
                <w:color w:val="auto"/>
              </w:rPr>
            </w:pPr>
          </w:p>
        </w:tc>
        <w:tc>
          <w:tcPr>
            <w:tcW w:w="1640" w:type="dxa"/>
            <w:vAlign w:val="bottom"/>
            <w:tcBorders>
              <w:bottom w:val="single" w:sz="8" w:color="FDE9D9"/>
              <w:right w:val="single" w:sz="8" w:color="999999"/>
            </w:tcBorders>
            <w:shd w:val="clear" w:color="auto" w:fill="FDE9D9"/>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Financial planning services reimbursement</w:t>
            </w:r>
          </w:p>
        </w:tc>
        <w:tc>
          <w:tcPr>
            <w:tcW w:w="160" w:type="dxa"/>
            <w:vAlign w:val="bottom"/>
          </w:tcPr>
          <w:p>
            <w:pPr>
              <w:spacing w:after="0"/>
              <w:rPr>
                <w:sz w:val="21"/>
                <w:szCs w:val="21"/>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reasonable cost to the Company</w:t>
            </w:r>
          </w:p>
        </w:tc>
      </w:tr>
      <w:tr>
        <w:trPr>
          <w:trHeight w:val="168"/>
        </w:trPr>
        <w:tc>
          <w:tcPr>
            <w:tcW w:w="1680" w:type="dxa"/>
            <w:vAlign w:val="bottom"/>
            <w:tcBorders>
              <w:top w:val="single" w:sz="8" w:color="E97D2E"/>
              <w:left w:val="single" w:sz="8" w:color="999999"/>
              <w:right w:val="single" w:sz="8" w:color="999999"/>
            </w:tcBorders>
            <w:shd w:val="clear" w:color="auto" w:fill="E97D2E"/>
          </w:tcPr>
          <w:p>
            <w:pPr>
              <w:spacing w:after="0"/>
              <w:rPr>
                <w:sz w:val="14"/>
                <w:szCs w:val="14"/>
                <w:color w:val="auto"/>
              </w:rPr>
            </w:pPr>
          </w:p>
        </w:tc>
        <w:tc>
          <w:tcPr>
            <w:tcW w:w="1640" w:type="dxa"/>
            <w:vAlign w:val="bottom"/>
            <w:tcBorders>
              <w:top w:val="single" w:sz="8" w:color="999999"/>
              <w:right w:val="single" w:sz="8" w:color="999999"/>
            </w:tcBorders>
            <w:shd w:val="clear" w:color="auto" w:fill="FDE9D9"/>
          </w:tcPr>
          <w:p>
            <w:pPr>
              <w:ind w:left="20"/>
              <w:spacing w:after="0" w:line="168" w:lineRule="exact"/>
              <w:rPr>
                <w:sz w:val="20"/>
                <w:szCs w:val="20"/>
                <w:color w:val="auto"/>
              </w:rPr>
            </w:pPr>
            <w:r>
              <w:rPr>
                <w:rFonts w:ascii="Arial" w:cs="Arial" w:eastAsia="Arial" w:hAnsi="Arial"/>
                <w:sz w:val="16"/>
                <w:szCs w:val="16"/>
                <w:b w:val="1"/>
                <w:bCs w:val="1"/>
                <w:color w:val="auto"/>
              </w:rPr>
              <w:t>Other Benefit Plans</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4060" w:type="dxa"/>
            <w:vAlign w:val="bottom"/>
            <w:tcBorders>
              <w:top w:val="single" w:sz="8" w:color="999999"/>
              <w:right w:val="single" w:sz="8" w:color="999999"/>
            </w:tcBorders>
          </w:tcPr>
          <w:p>
            <w:pPr>
              <w:ind w:left="80"/>
              <w:spacing w:after="0" w:line="168" w:lineRule="exact"/>
              <w:rPr>
                <w:sz w:val="20"/>
                <w:szCs w:val="20"/>
                <w:color w:val="auto"/>
              </w:rPr>
            </w:pPr>
            <w:r>
              <w:rPr>
                <w:rFonts w:ascii="Arial" w:cs="Arial" w:eastAsia="Arial" w:hAnsi="Arial"/>
                <w:sz w:val="16"/>
                <w:szCs w:val="16"/>
                <w:color w:val="auto"/>
              </w:rPr>
              <w:t>A tax-qualified ESPP</w:t>
            </w:r>
          </w:p>
        </w:tc>
        <w:tc>
          <w:tcPr>
            <w:tcW w:w="160" w:type="dxa"/>
            <w:vAlign w:val="bottom"/>
            <w:tcBorders>
              <w:top w:val="single" w:sz="8" w:color="999999"/>
            </w:tcBorders>
          </w:tcPr>
          <w:p>
            <w:pPr>
              <w:ind w:left="100"/>
              <w:spacing w:after="0" w:line="168" w:lineRule="exact"/>
              <w:rPr>
                <w:sz w:val="20"/>
                <w:szCs w:val="20"/>
                <w:color w:val="auto"/>
              </w:rPr>
            </w:pPr>
            <w:r>
              <w:rPr>
                <w:rFonts w:ascii="Arial" w:cs="Arial" w:eastAsia="Arial" w:hAnsi="Arial"/>
                <w:sz w:val="16"/>
                <w:szCs w:val="16"/>
                <w:color w:val="auto"/>
                <w:w w:val="70"/>
              </w:rPr>
              <w:t>•</w:t>
            </w:r>
          </w:p>
        </w:tc>
        <w:tc>
          <w:tcPr>
            <w:tcW w:w="3220" w:type="dxa"/>
            <w:vAlign w:val="bottom"/>
            <w:tcBorders>
              <w:top w:val="single" w:sz="8" w:color="999999"/>
              <w:right w:val="single" w:sz="8" w:color="999999"/>
            </w:tcBorders>
          </w:tcPr>
          <w:p>
            <w:pPr>
              <w:ind w:left="100"/>
              <w:spacing w:after="0" w:line="168" w:lineRule="exact"/>
              <w:rPr>
                <w:sz w:val="20"/>
                <w:szCs w:val="20"/>
                <w:color w:val="auto"/>
              </w:rPr>
            </w:pPr>
            <w:r>
              <w:rPr>
                <w:rFonts w:ascii="Arial" w:cs="Arial" w:eastAsia="Arial" w:hAnsi="Arial"/>
                <w:sz w:val="16"/>
                <w:szCs w:val="16"/>
                <w:color w:val="auto"/>
              </w:rPr>
              <w:t>Provides competitive capital accumulation</w:t>
            </w:r>
          </w:p>
        </w:tc>
      </w:tr>
      <w:tr>
        <w:trPr>
          <w:trHeight w:val="189"/>
        </w:trPr>
        <w:tc>
          <w:tcPr>
            <w:tcW w:w="1680" w:type="dxa"/>
            <w:vAlign w:val="bottom"/>
            <w:tcBorders>
              <w:left w:val="single" w:sz="8" w:color="999999"/>
              <w:right w:val="single" w:sz="8" w:color="999999"/>
            </w:tcBorders>
            <w:shd w:val="clear" w:color="auto" w:fill="E97D2E"/>
          </w:tcPr>
          <w:p>
            <w:pPr>
              <w:spacing w:after="0"/>
              <w:rPr>
                <w:sz w:val="16"/>
                <w:szCs w:val="16"/>
                <w:color w:val="auto"/>
              </w:rPr>
            </w:pPr>
          </w:p>
        </w:tc>
        <w:tc>
          <w:tcPr>
            <w:tcW w:w="1640" w:type="dxa"/>
            <w:vAlign w:val="bottom"/>
            <w:tcBorders>
              <w:right w:val="single" w:sz="8" w:color="999999"/>
            </w:tcBorders>
            <w:shd w:val="clear" w:color="auto" w:fill="FDE9D9"/>
          </w:tcPr>
          <w:p>
            <w:pPr>
              <w:ind w:left="20"/>
              <w:spacing w:after="0"/>
              <w:rPr>
                <w:sz w:val="20"/>
                <w:szCs w:val="20"/>
                <w:color w:val="auto"/>
              </w:rPr>
            </w:pPr>
            <w:r>
              <w:rPr>
                <w:rFonts w:ascii="Arial" w:cs="Arial" w:eastAsia="Arial" w:hAnsi="Arial"/>
                <w:sz w:val="16"/>
                <w:szCs w:val="16"/>
                <w:b w:val="1"/>
                <w:bCs w:val="1"/>
                <w:color w:val="auto"/>
              </w:rPr>
              <w:t>and Programs</w:t>
            </w: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A 401(k) savings plan</w:t>
            </w:r>
          </w:p>
        </w:tc>
        <w:tc>
          <w:tcPr>
            <w:tcW w:w="160" w:type="dxa"/>
            <w:vAlign w:val="bottom"/>
          </w:tcPr>
          <w:p>
            <w:pPr>
              <w:spacing w:after="0"/>
              <w:rPr>
                <w:sz w:val="16"/>
                <w:szCs w:val="16"/>
                <w:color w:val="auto"/>
              </w:rPr>
            </w:pPr>
          </w:p>
        </w:tc>
        <w:tc>
          <w:tcPr>
            <w:tcW w:w="322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and other benefits</w:t>
            </w:r>
          </w:p>
        </w:tc>
      </w:tr>
      <w:tr>
        <w:trPr>
          <w:trHeight w:val="215"/>
        </w:trPr>
        <w:tc>
          <w:tcPr>
            <w:tcW w:w="1680" w:type="dxa"/>
            <w:vAlign w:val="bottom"/>
            <w:tcBorders>
              <w:left w:val="single" w:sz="8" w:color="999999"/>
              <w:right w:val="single" w:sz="8" w:color="999999"/>
            </w:tcBorders>
            <w:shd w:val="clear" w:color="auto" w:fill="E97D2E"/>
          </w:tcPr>
          <w:p>
            <w:pPr>
              <w:spacing w:after="0"/>
              <w:rPr>
                <w:sz w:val="18"/>
                <w:szCs w:val="18"/>
                <w:color w:val="auto"/>
              </w:rPr>
            </w:pPr>
          </w:p>
        </w:tc>
        <w:tc>
          <w:tcPr>
            <w:tcW w:w="1640" w:type="dxa"/>
            <w:vAlign w:val="bottom"/>
            <w:tcBorders>
              <w:right w:val="single" w:sz="8" w:color="999999"/>
            </w:tcBorders>
            <w:shd w:val="clear" w:color="auto" w:fill="FDE9D9"/>
          </w:tcPr>
          <w:p>
            <w:pPr>
              <w:spacing w:after="0"/>
              <w:rPr>
                <w:sz w:val="18"/>
                <w:szCs w:val="18"/>
                <w:color w:val="auto"/>
              </w:rPr>
            </w:pPr>
          </w:p>
        </w:tc>
        <w:tc>
          <w:tcPr>
            <w:tcW w:w="160" w:type="dxa"/>
            <w:vAlign w:val="bottom"/>
          </w:tcPr>
          <w:p>
            <w:pPr>
              <w:ind w:left="100"/>
              <w:spacing w:after="0"/>
              <w:rPr>
                <w:sz w:val="20"/>
                <w:szCs w:val="20"/>
                <w:color w:val="auto"/>
              </w:rPr>
            </w:pPr>
            <w:r>
              <w:rPr>
                <w:rFonts w:ascii="Arial" w:cs="Arial" w:eastAsia="Arial" w:hAnsi="Arial"/>
                <w:sz w:val="16"/>
                <w:szCs w:val="16"/>
                <w:color w:val="auto"/>
                <w:w w:val="70"/>
              </w:rPr>
              <w:t>•</w:t>
            </w:r>
          </w:p>
        </w:tc>
        <w:tc>
          <w:tcPr>
            <w:tcW w:w="4060" w:type="dxa"/>
            <w:vAlign w:val="bottom"/>
            <w:tcBorders>
              <w:right w:val="single" w:sz="8" w:color="999999"/>
            </w:tcBorders>
          </w:tcPr>
          <w:p>
            <w:pPr>
              <w:ind w:left="80"/>
              <w:spacing w:after="0"/>
              <w:rPr>
                <w:sz w:val="20"/>
                <w:szCs w:val="20"/>
                <w:color w:val="auto"/>
              </w:rPr>
            </w:pPr>
            <w:r>
              <w:rPr>
                <w:rFonts w:ascii="Arial" w:cs="Arial" w:eastAsia="Arial" w:hAnsi="Arial"/>
                <w:sz w:val="16"/>
                <w:szCs w:val="16"/>
                <w:color w:val="auto"/>
              </w:rPr>
              <w:t>Medical, dental, disability and life insurance programs</w:t>
            </w:r>
          </w:p>
        </w:tc>
        <w:tc>
          <w:tcPr>
            <w:tcW w:w="160" w:type="dxa"/>
            <w:vAlign w:val="bottom"/>
          </w:tcPr>
          <w:p>
            <w:pPr>
              <w:spacing w:after="0"/>
              <w:rPr>
                <w:sz w:val="18"/>
                <w:szCs w:val="18"/>
                <w:color w:val="auto"/>
              </w:rPr>
            </w:pPr>
          </w:p>
        </w:tc>
        <w:tc>
          <w:tcPr>
            <w:tcW w:w="3220" w:type="dxa"/>
            <w:vAlign w:val="bottom"/>
            <w:tcBorders>
              <w:right w:val="single" w:sz="8" w:color="999999"/>
            </w:tcBorders>
          </w:tcPr>
          <w:p>
            <w:pPr>
              <w:spacing w:after="0"/>
              <w:rPr>
                <w:sz w:val="18"/>
                <w:szCs w:val="18"/>
                <w:color w:val="auto"/>
              </w:rPr>
            </w:pPr>
          </w:p>
        </w:tc>
      </w:tr>
      <w:tr>
        <w:trPr>
          <w:trHeight w:val="204"/>
        </w:trPr>
        <w:tc>
          <w:tcPr>
            <w:tcW w:w="1680" w:type="dxa"/>
            <w:vAlign w:val="bottom"/>
            <w:tcBorders>
              <w:left w:val="single" w:sz="8" w:color="999999"/>
              <w:bottom w:val="single" w:sz="8" w:color="999999"/>
              <w:right w:val="single" w:sz="8" w:color="999999"/>
            </w:tcBorders>
            <w:shd w:val="clear" w:color="auto" w:fill="E97D2E"/>
          </w:tcPr>
          <w:p>
            <w:pPr>
              <w:spacing w:after="0"/>
              <w:rPr>
                <w:sz w:val="17"/>
                <w:szCs w:val="17"/>
                <w:color w:val="auto"/>
              </w:rPr>
            </w:pPr>
          </w:p>
        </w:tc>
        <w:tc>
          <w:tcPr>
            <w:tcW w:w="1640" w:type="dxa"/>
            <w:vAlign w:val="bottom"/>
            <w:tcBorders>
              <w:bottom w:val="single" w:sz="8" w:color="999999"/>
              <w:right w:val="single" w:sz="8" w:color="999999"/>
            </w:tcBorders>
            <w:shd w:val="clear" w:color="auto" w:fill="FDE9D9"/>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4060" w:type="dxa"/>
            <w:vAlign w:val="bottom"/>
            <w:tcBorders>
              <w:bottom w:val="single" w:sz="8" w:color="999999"/>
              <w:right w:val="single" w:sz="8" w:color="999999"/>
            </w:tcBorders>
          </w:tcPr>
          <w:p>
            <w:pPr>
              <w:spacing w:after="0"/>
              <w:rPr>
                <w:sz w:val="17"/>
                <w:szCs w:val="17"/>
                <w:color w:val="auto"/>
              </w:rPr>
            </w:pPr>
          </w:p>
        </w:tc>
        <w:tc>
          <w:tcPr>
            <w:tcW w:w="160" w:type="dxa"/>
            <w:vAlign w:val="bottom"/>
            <w:tcBorders>
              <w:bottom w:val="single" w:sz="8" w:color="999999"/>
            </w:tcBorders>
          </w:tcPr>
          <w:p>
            <w:pPr>
              <w:spacing w:after="0"/>
              <w:rPr>
                <w:sz w:val="17"/>
                <w:szCs w:val="17"/>
                <w:color w:val="auto"/>
              </w:rPr>
            </w:pPr>
          </w:p>
        </w:tc>
        <w:tc>
          <w:tcPr>
            <w:tcW w:w="3220" w:type="dxa"/>
            <w:vAlign w:val="bottom"/>
            <w:tcBorders>
              <w:bottom w:val="single" w:sz="8" w:color="999999"/>
              <w:right w:val="single" w:sz="8" w:color="999999"/>
            </w:tcBorders>
          </w:tcPr>
          <w:p>
            <w:pPr>
              <w:spacing w:after="0"/>
              <w:rPr>
                <w:sz w:val="17"/>
                <w:szCs w:val="17"/>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February 2023 Increases to Target Total Direct Compensation Levels</w:t>
      </w:r>
      <w:r>
        <w:rPr>
          <w:rFonts w:ascii="Arial" w:cs="Arial" w:eastAsia="Arial" w:hAnsi="Arial"/>
          <w:sz w:val="18"/>
          <w:szCs w:val="18"/>
          <w:color w:val="auto"/>
        </w:rPr>
        <w:t>. At its February 2023 meeting, at the same time it 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for our 2023 STI and LTI programs, the HCC Committee reviewed comparative compensation data prepared by FW Cook for Mr. El-Khoury and each of our other NEOs. Following its usual process, including consideration of the analysis prepared by and the recommendations of FW Cook, the HCC Committee approved increases to base salary and target LTI for each NEO and increases in target STI opportunity for Messrs. Trent and Keeton. The Board, on the recommendation of the HCC Committee, approved an increase in base salary, target STI opportunity, and target LTI for Mr. El-Khoury.</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making these determinations in early 2023, the HCC Committee and the Board considered several factors, including the fact that the Company had grown significantly larger by the end of 2022, a market positioning improvement in light of significant absolute and relative stock price outperformance, the Company’s increased efficiencies and substantially improved performance under Mr. El-Khoury and his leadership team, the role that each of the NEOs has played in the Company’s ongoing transformation, and the importance of incentivizing key performing executives to execute on our ambitious long-term strategy. The table below details the pay level changes.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shd w:val="clear" w:color="auto" w:fill="465E66"/>
          </w:tcPr>
          <w:p>
            <w:pPr>
              <w:spacing w:after="0"/>
              <w:rPr>
                <w:sz w:val="21"/>
                <w:szCs w:val="21"/>
                <w:color w:val="auto"/>
              </w:rPr>
            </w:pPr>
          </w:p>
        </w:tc>
        <w:tc>
          <w:tcPr>
            <w:tcW w:w="1960" w:type="dxa"/>
            <w:vAlign w:val="bottom"/>
            <w:shd w:val="clear" w:color="auto" w:fill="465E66"/>
          </w:tcPr>
          <w:p>
            <w:pPr>
              <w:jc w:val="right"/>
              <w:ind w:right="22"/>
              <w:spacing w:after="0"/>
              <w:rPr>
                <w:sz w:val="20"/>
                <w:szCs w:val="20"/>
                <w:color w:val="auto"/>
              </w:rPr>
            </w:pPr>
            <w:r>
              <w:rPr>
                <w:rFonts w:ascii="Arial" w:cs="Arial" w:eastAsia="Arial" w:hAnsi="Arial"/>
                <w:sz w:val="14"/>
                <w:szCs w:val="14"/>
                <w:b w:val="1"/>
                <w:bCs w:val="1"/>
                <w:color w:val="FFFFFF"/>
              </w:rPr>
              <w:t>Base Salary</w:t>
            </w:r>
          </w:p>
        </w:tc>
        <w:tc>
          <w:tcPr>
            <w:tcW w:w="1240" w:type="dxa"/>
            <w:vAlign w:val="bottom"/>
            <w:shd w:val="clear" w:color="auto" w:fill="465E66"/>
          </w:tcPr>
          <w:p>
            <w:pPr>
              <w:spacing w:after="0"/>
              <w:rPr>
                <w:sz w:val="21"/>
                <w:szCs w:val="21"/>
                <w:color w:val="auto"/>
              </w:rPr>
            </w:pPr>
          </w:p>
        </w:tc>
        <w:tc>
          <w:tcPr>
            <w:tcW w:w="1860" w:type="dxa"/>
            <w:vAlign w:val="bottom"/>
            <w:gridSpan w:val="2"/>
            <w:shd w:val="clear" w:color="auto" w:fill="465E66"/>
          </w:tcPr>
          <w:p>
            <w:pPr>
              <w:jc w:val="right"/>
              <w:spacing w:after="0"/>
              <w:rPr>
                <w:sz w:val="20"/>
                <w:szCs w:val="20"/>
                <w:color w:val="auto"/>
              </w:rPr>
            </w:pPr>
            <w:r>
              <w:rPr>
                <w:rFonts w:ascii="Arial" w:cs="Arial" w:eastAsia="Arial" w:hAnsi="Arial"/>
                <w:sz w:val="14"/>
                <w:szCs w:val="14"/>
                <w:b w:val="1"/>
                <w:bCs w:val="1"/>
                <w:color w:val="FFFFFF"/>
              </w:rPr>
              <w:t>Target STI Opportunity</w:t>
            </w:r>
          </w:p>
        </w:tc>
        <w:tc>
          <w:tcPr>
            <w:tcW w:w="780" w:type="dxa"/>
            <w:vAlign w:val="bottom"/>
            <w:shd w:val="clear" w:color="auto" w:fill="465E66"/>
          </w:tcPr>
          <w:p>
            <w:pPr>
              <w:spacing w:after="0"/>
              <w:rPr>
                <w:sz w:val="21"/>
                <w:szCs w:val="21"/>
                <w:color w:val="auto"/>
              </w:rPr>
            </w:pPr>
          </w:p>
        </w:tc>
        <w:tc>
          <w:tcPr>
            <w:tcW w:w="1720" w:type="dxa"/>
            <w:vAlign w:val="bottom"/>
            <w:shd w:val="clear" w:color="auto" w:fill="465E66"/>
          </w:tcPr>
          <w:p>
            <w:pPr>
              <w:jc w:val="right"/>
              <w:ind w:right="2"/>
              <w:spacing w:after="0"/>
              <w:rPr>
                <w:sz w:val="20"/>
                <w:szCs w:val="20"/>
                <w:color w:val="auto"/>
              </w:rPr>
            </w:pPr>
            <w:r>
              <w:rPr>
                <w:rFonts w:ascii="Arial" w:cs="Arial" w:eastAsia="Arial" w:hAnsi="Arial"/>
                <w:sz w:val="14"/>
                <w:szCs w:val="14"/>
                <w:b w:val="1"/>
                <w:bCs w:val="1"/>
                <w:color w:val="FFFFFF"/>
              </w:rPr>
              <w:t xml:space="preserve">Target LTI </w:t>
            </w:r>
            <w:r>
              <w:rPr>
                <w:rFonts w:ascii="Arial" w:cs="Arial" w:eastAsia="Arial" w:hAnsi="Arial"/>
                <w:sz w:val="14"/>
                <w:szCs w:val="14"/>
                <w:color w:val="FFFFFF"/>
              </w:rPr>
              <w:t>(2)</w:t>
            </w:r>
          </w:p>
        </w:tc>
        <w:tc>
          <w:tcPr>
            <w:tcW w:w="980" w:type="dxa"/>
            <w:vAlign w:val="bottom"/>
            <w:shd w:val="clear" w:color="auto" w:fill="465E66"/>
          </w:tcPr>
          <w:p>
            <w:pPr>
              <w:spacing w:after="0"/>
              <w:rPr>
                <w:sz w:val="21"/>
                <w:szCs w:val="21"/>
                <w:color w:val="auto"/>
              </w:rPr>
            </w:pPr>
          </w:p>
        </w:tc>
      </w:tr>
      <w:tr>
        <w:trPr>
          <w:trHeight w:val="196"/>
        </w:trPr>
        <w:tc>
          <w:tcPr>
            <w:tcW w:w="2260" w:type="dxa"/>
            <w:vAlign w:val="bottom"/>
            <w:shd w:val="clear" w:color="auto" w:fill="465E66"/>
          </w:tcPr>
          <w:p>
            <w:pPr>
              <w:spacing w:after="0"/>
              <w:rPr>
                <w:sz w:val="17"/>
                <w:szCs w:val="17"/>
                <w:color w:val="auto"/>
              </w:rPr>
            </w:pPr>
          </w:p>
        </w:tc>
        <w:tc>
          <w:tcPr>
            <w:tcW w:w="1960" w:type="dxa"/>
            <w:vAlign w:val="bottom"/>
            <w:shd w:val="clear" w:color="auto" w:fill="465E66"/>
          </w:tcPr>
          <w:p>
            <w:pPr>
              <w:jc w:val="right"/>
              <w:ind w:right="342"/>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465E66"/>
          </w:tcPr>
          <w:p>
            <w:pPr>
              <w:spacing w:after="0"/>
              <w:rPr>
                <w:sz w:val="17"/>
                <w:szCs w:val="17"/>
                <w:color w:val="auto"/>
              </w:rPr>
            </w:pPr>
          </w:p>
        </w:tc>
        <w:tc>
          <w:tcPr>
            <w:tcW w:w="1860" w:type="dxa"/>
            <w:vAlign w:val="bottom"/>
            <w:gridSpan w:val="2"/>
            <w:shd w:val="clear" w:color="auto" w:fill="465E66"/>
          </w:tcPr>
          <w:p>
            <w:pPr>
              <w:jc w:val="right"/>
              <w:ind w:right="101"/>
              <w:spacing w:after="0"/>
              <w:rPr>
                <w:sz w:val="20"/>
                <w:szCs w:val="20"/>
                <w:color w:val="auto"/>
              </w:rPr>
            </w:pPr>
            <w:r>
              <w:rPr>
                <w:rFonts w:ascii="Arial" w:cs="Arial" w:eastAsia="Arial" w:hAnsi="Arial"/>
                <w:sz w:val="14"/>
                <w:szCs w:val="14"/>
                <w:b w:val="1"/>
                <w:bCs w:val="1"/>
                <w:color w:val="FFFFFF"/>
              </w:rPr>
              <w:t>(% of Base Salary)</w:t>
            </w:r>
          </w:p>
        </w:tc>
        <w:tc>
          <w:tcPr>
            <w:tcW w:w="780" w:type="dxa"/>
            <w:vAlign w:val="bottom"/>
            <w:shd w:val="clear" w:color="auto" w:fill="465E66"/>
          </w:tcPr>
          <w:p>
            <w:pPr>
              <w:spacing w:after="0"/>
              <w:rPr>
                <w:sz w:val="17"/>
                <w:szCs w:val="17"/>
                <w:color w:val="auto"/>
              </w:rPr>
            </w:pPr>
          </w:p>
        </w:tc>
        <w:tc>
          <w:tcPr>
            <w:tcW w:w="1720" w:type="dxa"/>
            <w:vAlign w:val="bottom"/>
            <w:shd w:val="clear" w:color="auto" w:fill="465E66"/>
          </w:tcPr>
          <w:p>
            <w:pPr>
              <w:jc w:val="right"/>
              <w:ind w:right="362"/>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465E66"/>
          </w:tcPr>
          <w:p>
            <w:pPr>
              <w:spacing w:after="0"/>
              <w:rPr>
                <w:sz w:val="17"/>
                <w:szCs w:val="17"/>
                <w:color w:val="auto"/>
              </w:rPr>
            </w:pPr>
          </w:p>
        </w:tc>
      </w:tr>
      <w:tr>
        <w:trPr>
          <w:trHeight w:val="263"/>
        </w:trPr>
        <w:tc>
          <w:tcPr>
            <w:tcW w:w="226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NEO</w:t>
            </w:r>
          </w:p>
        </w:tc>
        <w:tc>
          <w:tcPr>
            <w:tcW w:w="1960" w:type="dxa"/>
            <w:vAlign w:val="bottom"/>
            <w:shd w:val="clear" w:color="auto" w:fill="465E66"/>
          </w:tcPr>
          <w:p>
            <w:pPr>
              <w:jc w:val="right"/>
              <w:ind w:right="1042"/>
              <w:spacing w:after="0"/>
              <w:rPr>
                <w:sz w:val="20"/>
                <w:szCs w:val="20"/>
                <w:color w:val="auto"/>
              </w:rPr>
            </w:pPr>
            <w:r>
              <w:rPr>
                <w:rFonts w:ascii="Arial" w:cs="Arial" w:eastAsia="Arial" w:hAnsi="Arial"/>
                <w:sz w:val="14"/>
                <w:szCs w:val="14"/>
                <w:b w:val="1"/>
                <w:bCs w:val="1"/>
                <w:color w:val="FFFFFF"/>
              </w:rPr>
              <w:t>2022</w:t>
            </w:r>
          </w:p>
        </w:tc>
        <w:tc>
          <w:tcPr>
            <w:tcW w:w="1240" w:type="dxa"/>
            <w:vAlign w:val="bottom"/>
            <w:shd w:val="clear" w:color="auto" w:fill="465E66"/>
          </w:tcPr>
          <w:p>
            <w:pPr>
              <w:jc w:val="right"/>
              <w:ind w:right="761"/>
              <w:spacing w:after="0"/>
              <w:rPr>
                <w:sz w:val="20"/>
                <w:szCs w:val="20"/>
                <w:color w:val="auto"/>
              </w:rPr>
            </w:pPr>
            <w:r>
              <w:rPr>
                <w:rFonts w:ascii="Arial" w:cs="Arial" w:eastAsia="Arial" w:hAnsi="Arial"/>
                <w:sz w:val="14"/>
                <w:szCs w:val="14"/>
                <w:b w:val="1"/>
                <w:bCs w:val="1"/>
                <w:color w:val="FFFFFF"/>
              </w:rPr>
              <w:t>2023</w:t>
            </w:r>
          </w:p>
        </w:tc>
        <w:tc>
          <w:tcPr>
            <w:tcW w:w="580" w:type="dxa"/>
            <w:vAlign w:val="bottom"/>
            <w:shd w:val="clear" w:color="auto" w:fill="465E66"/>
          </w:tcPr>
          <w:p>
            <w:pPr>
              <w:jc w:val="right"/>
              <w:spacing w:after="0"/>
              <w:rPr>
                <w:sz w:val="20"/>
                <w:szCs w:val="20"/>
                <w:color w:val="auto"/>
              </w:rPr>
            </w:pPr>
            <w:r>
              <w:rPr>
                <w:rFonts w:ascii="Arial" w:cs="Arial" w:eastAsia="Arial" w:hAnsi="Arial"/>
                <w:sz w:val="14"/>
                <w:szCs w:val="14"/>
                <w:b w:val="1"/>
                <w:bCs w:val="1"/>
                <w:color w:val="FFFFFF"/>
              </w:rPr>
              <w:t>2022</w:t>
            </w:r>
          </w:p>
        </w:tc>
        <w:tc>
          <w:tcPr>
            <w:tcW w:w="1280" w:type="dxa"/>
            <w:vAlign w:val="bottom"/>
            <w:shd w:val="clear" w:color="auto" w:fill="465E66"/>
          </w:tcPr>
          <w:p>
            <w:pPr>
              <w:jc w:val="right"/>
              <w:spacing w:after="0"/>
              <w:rPr>
                <w:sz w:val="20"/>
                <w:szCs w:val="20"/>
                <w:color w:val="auto"/>
              </w:rPr>
            </w:pPr>
            <w:r>
              <w:rPr>
                <w:rFonts w:ascii="Arial" w:cs="Arial" w:eastAsia="Arial" w:hAnsi="Arial"/>
                <w:sz w:val="14"/>
                <w:szCs w:val="14"/>
                <w:b w:val="1"/>
                <w:bCs w:val="1"/>
                <w:color w:val="FFFFFF"/>
              </w:rPr>
              <w:t>2023</w:t>
            </w:r>
          </w:p>
        </w:tc>
        <w:tc>
          <w:tcPr>
            <w:tcW w:w="780" w:type="dxa"/>
            <w:vAlign w:val="bottom"/>
            <w:shd w:val="clear" w:color="auto" w:fill="465E66"/>
          </w:tcPr>
          <w:p>
            <w:pPr>
              <w:spacing w:after="0"/>
              <w:rPr>
                <w:sz w:val="22"/>
                <w:szCs w:val="22"/>
                <w:color w:val="auto"/>
              </w:rPr>
            </w:pPr>
          </w:p>
        </w:tc>
        <w:tc>
          <w:tcPr>
            <w:tcW w:w="1720" w:type="dxa"/>
            <w:vAlign w:val="bottom"/>
            <w:shd w:val="clear" w:color="auto" w:fill="465E66"/>
          </w:tcPr>
          <w:p>
            <w:pPr>
              <w:jc w:val="right"/>
              <w:ind w:right="1022"/>
              <w:spacing w:after="0"/>
              <w:rPr>
                <w:sz w:val="20"/>
                <w:szCs w:val="20"/>
                <w:color w:val="auto"/>
              </w:rPr>
            </w:pPr>
            <w:r>
              <w:rPr>
                <w:rFonts w:ascii="Arial" w:cs="Arial" w:eastAsia="Arial" w:hAnsi="Arial"/>
                <w:sz w:val="14"/>
                <w:szCs w:val="14"/>
                <w:b w:val="1"/>
                <w:bCs w:val="1"/>
                <w:color w:val="FFFFFF"/>
              </w:rPr>
              <w:t>2022</w:t>
            </w:r>
          </w:p>
        </w:tc>
        <w:tc>
          <w:tcPr>
            <w:tcW w:w="980" w:type="dxa"/>
            <w:vAlign w:val="bottom"/>
            <w:shd w:val="clear" w:color="auto" w:fill="465E66"/>
          </w:tcPr>
          <w:p>
            <w:pPr>
              <w:jc w:val="right"/>
              <w:ind w:right="501"/>
              <w:spacing w:after="0"/>
              <w:rPr>
                <w:sz w:val="20"/>
                <w:szCs w:val="20"/>
                <w:color w:val="auto"/>
              </w:rPr>
            </w:pPr>
            <w:r>
              <w:rPr>
                <w:rFonts w:ascii="Arial" w:cs="Arial" w:eastAsia="Arial" w:hAnsi="Arial"/>
                <w:sz w:val="14"/>
                <w:szCs w:val="14"/>
                <w:b w:val="1"/>
                <w:bCs w:val="1"/>
                <w:color w:val="FFFFFF"/>
              </w:rPr>
              <w:t>2023</w:t>
            </w:r>
          </w:p>
        </w:tc>
      </w:tr>
      <w:tr>
        <w:trPr>
          <w:trHeight w:val="216"/>
        </w:trPr>
        <w:tc>
          <w:tcPr>
            <w:tcW w:w="2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960" w:type="dxa"/>
            <w:vAlign w:val="bottom"/>
            <w:shd w:val="clear" w:color="auto" w:fill="DBDBDB"/>
          </w:tcPr>
          <w:p>
            <w:pPr>
              <w:jc w:val="right"/>
              <w:ind w:right="462"/>
              <w:spacing w:after="0"/>
              <w:rPr>
                <w:sz w:val="20"/>
                <w:szCs w:val="20"/>
                <w:color w:val="auto"/>
              </w:rPr>
            </w:pPr>
            <w:r>
              <w:rPr>
                <w:rFonts w:ascii="Arial" w:cs="Arial" w:eastAsia="Arial" w:hAnsi="Arial"/>
                <w:sz w:val="16"/>
                <w:szCs w:val="16"/>
                <w:color w:val="auto"/>
              </w:rPr>
              <w:t>1,000,000</w:t>
            </w:r>
          </w:p>
        </w:tc>
        <w:tc>
          <w:tcPr>
            <w:tcW w:w="12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1,200,000</w:t>
            </w:r>
          </w:p>
        </w:tc>
        <w:tc>
          <w:tcPr>
            <w:tcW w:w="5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741"/>
              <w:spacing w:after="0"/>
              <w:rPr>
                <w:sz w:val="20"/>
                <w:szCs w:val="20"/>
                <w:color w:val="auto"/>
              </w:rPr>
            </w:pPr>
            <w:r>
              <w:rPr>
                <w:rFonts w:ascii="Arial" w:cs="Arial" w:eastAsia="Arial" w:hAnsi="Arial"/>
                <w:sz w:val="16"/>
                <w:szCs w:val="16"/>
                <w:color w:val="auto"/>
                <w:w w:val="96"/>
              </w:rPr>
              <w:t>150 %</w:t>
            </w:r>
          </w:p>
        </w:tc>
        <w:tc>
          <w:tcPr>
            <w:tcW w:w="78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w w:val="96"/>
              </w:rPr>
              <w:t>175 %</w:t>
            </w:r>
          </w:p>
        </w:tc>
        <w:tc>
          <w:tcPr>
            <w:tcW w:w="1720" w:type="dxa"/>
            <w:vAlign w:val="bottom"/>
            <w:shd w:val="clear" w:color="auto" w:fill="DBDBDB"/>
          </w:tcPr>
          <w:p>
            <w:pPr>
              <w:jc w:val="right"/>
              <w:ind w:right="422"/>
              <w:spacing w:after="0"/>
              <w:rPr>
                <w:sz w:val="20"/>
                <w:szCs w:val="20"/>
                <w:color w:val="auto"/>
              </w:rPr>
            </w:pPr>
            <w:r>
              <w:rPr>
                <w:rFonts w:ascii="Arial" w:cs="Arial" w:eastAsia="Arial" w:hAnsi="Arial"/>
                <w:sz w:val="16"/>
                <w:szCs w:val="16"/>
                <w:color w:val="auto"/>
              </w:rPr>
              <w:t>11,500,000</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16,750,000</w:t>
            </w: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960" w:type="dxa"/>
            <w:vAlign w:val="bottom"/>
          </w:tcPr>
          <w:p>
            <w:pPr>
              <w:jc w:val="right"/>
              <w:ind w:right="462"/>
              <w:spacing w:after="0"/>
              <w:rPr>
                <w:sz w:val="20"/>
                <w:szCs w:val="20"/>
                <w:color w:val="auto"/>
              </w:rPr>
            </w:pPr>
            <w:r>
              <w:rPr>
                <w:rFonts w:ascii="Arial" w:cs="Arial" w:eastAsia="Arial" w:hAnsi="Arial"/>
                <w:sz w:val="16"/>
                <w:szCs w:val="16"/>
                <w:color w:val="auto"/>
              </w:rPr>
              <w:t>600,000</w:t>
            </w:r>
          </w:p>
        </w:tc>
        <w:tc>
          <w:tcPr>
            <w:tcW w:w="1240" w:type="dxa"/>
            <w:vAlign w:val="bottom"/>
          </w:tcPr>
          <w:p>
            <w:pPr>
              <w:jc w:val="right"/>
              <w:ind w:right="161"/>
              <w:spacing w:after="0"/>
              <w:rPr>
                <w:sz w:val="20"/>
                <w:szCs w:val="20"/>
                <w:color w:val="auto"/>
              </w:rPr>
            </w:pPr>
            <w:r>
              <w:rPr>
                <w:rFonts w:ascii="Arial" w:cs="Arial" w:eastAsia="Arial" w:hAnsi="Arial"/>
                <w:sz w:val="16"/>
                <w:szCs w:val="16"/>
                <w:color w:val="auto"/>
              </w:rPr>
              <w:t>675,000</w:t>
            </w:r>
          </w:p>
        </w:tc>
        <w:tc>
          <w:tcPr>
            <w:tcW w:w="580" w:type="dxa"/>
            <w:vAlign w:val="bottom"/>
          </w:tcPr>
          <w:p>
            <w:pPr>
              <w:spacing w:after="0"/>
              <w:rPr>
                <w:sz w:val="18"/>
                <w:szCs w:val="18"/>
                <w:color w:val="auto"/>
              </w:rPr>
            </w:pPr>
          </w:p>
        </w:tc>
        <w:tc>
          <w:tcPr>
            <w:tcW w:w="1280" w:type="dxa"/>
            <w:vAlign w:val="bottom"/>
          </w:tcPr>
          <w:p>
            <w:pPr>
              <w:jc w:val="right"/>
              <w:ind w:right="741"/>
              <w:spacing w:after="0"/>
              <w:rPr>
                <w:sz w:val="20"/>
                <w:szCs w:val="20"/>
                <w:color w:val="auto"/>
              </w:rPr>
            </w:pPr>
            <w:r>
              <w:rPr>
                <w:rFonts w:ascii="Arial" w:cs="Arial" w:eastAsia="Arial" w:hAnsi="Arial"/>
                <w:sz w:val="16"/>
                <w:szCs w:val="16"/>
                <w:color w:val="auto"/>
                <w:w w:val="96"/>
              </w:rPr>
              <w:t>100 %</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w w:val="96"/>
              </w:rPr>
              <w:t>125 %</w:t>
            </w:r>
          </w:p>
        </w:tc>
        <w:tc>
          <w:tcPr>
            <w:tcW w:w="1720" w:type="dxa"/>
            <w:vAlign w:val="bottom"/>
          </w:tcPr>
          <w:p>
            <w:pPr>
              <w:jc w:val="right"/>
              <w:ind w:right="422"/>
              <w:spacing w:after="0"/>
              <w:rPr>
                <w:sz w:val="20"/>
                <w:szCs w:val="20"/>
                <w:color w:val="auto"/>
              </w:rPr>
            </w:pPr>
            <w:r>
              <w:rPr>
                <w:rFonts w:ascii="Arial" w:cs="Arial" w:eastAsia="Arial" w:hAnsi="Arial"/>
                <w:sz w:val="16"/>
                <w:szCs w:val="16"/>
                <w:color w:val="auto"/>
              </w:rPr>
              <w:t>4,250,000</w:t>
            </w:r>
          </w:p>
        </w:tc>
        <w:tc>
          <w:tcPr>
            <w:tcW w:w="980" w:type="dxa"/>
            <w:vAlign w:val="bottom"/>
          </w:tcPr>
          <w:p>
            <w:pPr>
              <w:jc w:val="right"/>
              <w:spacing w:after="0"/>
              <w:rPr>
                <w:sz w:val="20"/>
                <w:szCs w:val="20"/>
                <w:color w:val="auto"/>
              </w:rPr>
            </w:pPr>
            <w:r>
              <w:rPr>
                <w:rFonts w:ascii="Arial" w:cs="Arial" w:eastAsia="Arial" w:hAnsi="Arial"/>
                <w:sz w:val="16"/>
                <w:szCs w:val="16"/>
                <w:color w:val="auto"/>
              </w:rPr>
              <w:t>6,000,000</w:t>
            </w:r>
          </w:p>
        </w:tc>
      </w:tr>
      <w:tr>
        <w:trPr>
          <w:trHeight w:val="217"/>
        </w:trPr>
        <w:tc>
          <w:tcPr>
            <w:tcW w:w="2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960" w:type="dxa"/>
            <w:vAlign w:val="bottom"/>
            <w:shd w:val="clear" w:color="auto" w:fill="DBDBDB"/>
          </w:tcPr>
          <w:p>
            <w:pPr>
              <w:jc w:val="right"/>
              <w:ind w:right="462"/>
              <w:spacing w:after="0"/>
              <w:rPr>
                <w:sz w:val="20"/>
                <w:szCs w:val="20"/>
                <w:color w:val="auto"/>
              </w:rPr>
            </w:pPr>
            <w:r>
              <w:rPr>
                <w:rFonts w:ascii="Arial" w:cs="Arial" w:eastAsia="Arial" w:hAnsi="Arial"/>
                <w:sz w:val="16"/>
                <w:szCs w:val="16"/>
                <w:color w:val="auto"/>
              </w:rPr>
              <w:t>525,000</w:t>
            </w:r>
          </w:p>
        </w:tc>
        <w:tc>
          <w:tcPr>
            <w:tcW w:w="12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600,000</w:t>
            </w:r>
          </w:p>
        </w:tc>
        <w:tc>
          <w:tcPr>
            <w:tcW w:w="5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741"/>
              <w:spacing w:after="0"/>
              <w:rPr>
                <w:sz w:val="20"/>
                <w:szCs w:val="20"/>
                <w:color w:val="auto"/>
              </w:rPr>
            </w:pPr>
            <w:r>
              <w:rPr>
                <w:rFonts w:ascii="Arial" w:cs="Arial" w:eastAsia="Arial" w:hAnsi="Arial"/>
                <w:sz w:val="16"/>
                <w:szCs w:val="16"/>
                <w:color w:val="auto"/>
              </w:rPr>
              <w:t>85 %</w:t>
            </w:r>
          </w:p>
        </w:tc>
        <w:tc>
          <w:tcPr>
            <w:tcW w:w="78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w w:val="96"/>
              </w:rPr>
              <w:t>100 %</w:t>
            </w:r>
          </w:p>
        </w:tc>
        <w:tc>
          <w:tcPr>
            <w:tcW w:w="1720" w:type="dxa"/>
            <w:vAlign w:val="bottom"/>
            <w:shd w:val="clear" w:color="auto" w:fill="DBDBDB"/>
          </w:tcPr>
          <w:p>
            <w:pPr>
              <w:jc w:val="right"/>
              <w:ind w:right="422"/>
              <w:spacing w:after="0"/>
              <w:rPr>
                <w:sz w:val="20"/>
                <w:szCs w:val="20"/>
                <w:color w:val="auto"/>
              </w:rPr>
            </w:pPr>
            <w:r>
              <w:rPr>
                <w:rFonts w:ascii="Arial" w:cs="Arial" w:eastAsia="Arial" w:hAnsi="Arial"/>
                <w:sz w:val="16"/>
                <w:szCs w:val="16"/>
                <w:color w:val="auto"/>
              </w:rPr>
              <w:t>2,250,000</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4,500,000</w:t>
            </w: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Sudhir Gopalswamy (1)</w:t>
            </w:r>
          </w:p>
        </w:tc>
        <w:tc>
          <w:tcPr>
            <w:tcW w:w="1960" w:type="dxa"/>
            <w:vAlign w:val="bottom"/>
          </w:tcPr>
          <w:p>
            <w:pPr>
              <w:jc w:val="right"/>
              <w:ind w:right="462"/>
              <w:spacing w:after="0"/>
              <w:rPr>
                <w:sz w:val="20"/>
                <w:szCs w:val="20"/>
                <w:color w:val="auto"/>
              </w:rPr>
            </w:pPr>
            <w:r>
              <w:rPr>
                <w:rFonts w:ascii="Arial" w:cs="Arial" w:eastAsia="Arial" w:hAnsi="Arial"/>
                <w:sz w:val="16"/>
                <w:szCs w:val="16"/>
                <w:color w:val="auto"/>
              </w:rPr>
              <w:t>415,000</w:t>
            </w:r>
          </w:p>
        </w:tc>
        <w:tc>
          <w:tcPr>
            <w:tcW w:w="1240" w:type="dxa"/>
            <w:vAlign w:val="bottom"/>
          </w:tcPr>
          <w:p>
            <w:pPr>
              <w:jc w:val="right"/>
              <w:ind w:right="161"/>
              <w:spacing w:after="0"/>
              <w:rPr>
                <w:sz w:val="20"/>
                <w:szCs w:val="20"/>
                <w:color w:val="auto"/>
              </w:rPr>
            </w:pPr>
            <w:r>
              <w:rPr>
                <w:rFonts w:ascii="Arial" w:cs="Arial" w:eastAsia="Arial" w:hAnsi="Arial"/>
                <w:sz w:val="16"/>
                <w:szCs w:val="16"/>
                <w:color w:val="auto"/>
              </w:rPr>
              <w:t>475,000</w:t>
            </w:r>
          </w:p>
        </w:tc>
        <w:tc>
          <w:tcPr>
            <w:tcW w:w="580" w:type="dxa"/>
            <w:vAlign w:val="bottom"/>
          </w:tcPr>
          <w:p>
            <w:pPr>
              <w:spacing w:after="0"/>
              <w:rPr>
                <w:sz w:val="18"/>
                <w:szCs w:val="18"/>
                <w:color w:val="auto"/>
              </w:rPr>
            </w:pPr>
          </w:p>
        </w:tc>
        <w:tc>
          <w:tcPr>
            <w:tcW w:w="1280" w:type="dxa"/>
            <w:vAlign w:val="bottom"/>
          </w:tcPr>
          <w:p>
            <w:pPr>
              <w:jc w:val="right"/>
              <w:ind w:right="741"/>
              <w:spacing w:after="0"/>
              <w:rPr>
                <w:sz w:val="20"/>
                <w:szCs w:val="20"/>
                <w:color w:val="auto"/>
              </w:rPr>
            </w:pPr>
            <w:r>
              <w:rPr>
                <w:rFonts w:ascii="Arial" w:cs="Arial" w:eastAsia="Arial" w:hAnsi="Arial"/>
                <w:sz w:val="16"/>
                <w:szCs w:val="16"/>
                <w:color w:val="auto"/>
              </w:rPr>
              <w:t>85 %</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85 %</w:t>
            </w:r>
          </w:p>
        </w:tc>
        <w:tc>
          <w:tcPr>
            <w:tcW w:w="1720" w:type="dxa"/>
            <w:vAlign w:val="bottom"/>
          </w:tcPr>
          <w:p>
            <w:pPr>
              <w:jc w:val="right"/>
              <w:ind w:right="422"/>
              <w:spacing w:after="0"/>
              <w:rPr>
                <w:sz w:val="20"/>
                <w:szCs w:val="20"/>
                <w:color w:val="auto"/>
              </w:rPr>
            </w:pPr>
            <w:r>
              <w:rPr>
                <w:rFonts w:ascii="Arial" w:cs="Arial" w:eastAsia="Arial" w:hAnsi="Arial"/>
                <w:sz w:val="16"/>
                <w:szCs w:val="16"/>
                <w:color w:val="auto"/>
              </w:rPr>
              <w:t>1,300,000</w:t>
            </w:r>
          </w:p>
        </w:tc>
        <w:tc>
          <w:tcPr>
            <w:tcW w:w="980" w:type="dxa"/>
            <w:vAlign w:val="bottom"/>
          </w:tcPr>
          <w:p>
            <w:pPr>
              <w:jc w:val="right"/>
              <w:spacing w:after="0"/>
              <w:rPr>
                <w:sz w:val="20"/>
                <w:szCs w:val="20"/>
                <w:color w:val="auto"/>
              </w:rPr>
            </w:pPr>
            <w:r>
              <w:rPr>
                <w:rFonts w:ascii="Arial" w:cs="Arial" w:eastAsia="Arial" w:hAnsi="Arial"/>
                <w:sz w:val="16"/>
                <w:szCs w:val="16"/>
                <w:color w:val="auto"/>
              </w:rPr>
              <w:t>1,700,000</w:t>
            </w:r>
          </w:p>
        </w:tc>
      </w:tr>
      <w:tr>
        <w:trPr>
          <w:trHeight w:val="216"/>
        </w:trPr>
        <w:tc>
          <w:tcPr>
            <w:tcW w:w="2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Ross F. Jatou</w:t>
            </w:r>
          </w:p>
        </w:tc>
        <w:tc>
          <w:tcPr>
            <w:tcW w:w="1960" w:type="dxa"/>
            <w:vAlign w:val="bottom"/>
            <w:tcBorders>
              <w:bottom w:val="single" w:sz="8" w:color="auto"/>
            </w:tcBorders>
            <w:shd w:val="clear" w:color="auto" w:fill="DBDBDB"/>
          </w:tcPr>
          <w:p>
            <w:pPr>
              <w:jc w:val="right"/>
              <w:ind w:right="462"/>
              <w:spacing w:after="0"/>
              <w:rPr>
                <w:sz w:val="20"/>
                <w:szCs w:val="20"/>
                <w:color w:val="auto"/>
              </w:rPr>
            </w:pPr>
            <w:r>
              <w:rPr>
                <w:rFonts w:ascii="Arial" w:cs="Arial" w:eastAsia="Arial" w:hAnsi="Arial"/>
                <w:sz w:val="16"/>
                <w:szCs w:val="16"/>
                <w:color w:val="auto"/>
              </w:rPr>
              <w:t>450,000</w:t>
            </w:r>
          </w:p>
        </w:tc>
        <w:tc>
          <w:tcPr>
            <w:tcW w:w="1240" w:type="dxa"/>
            <w:vAlign w:val="bottom"/>
            <w:tcBorders>
              <w:bottom w:val="single" w:sz="8" w:color="auto"/>
            </w:tcBorders>
            <w:shd w:val="clear" w:color="auto" w:fill="DBDBDB"/>
          </w:tcPr>
          <w:p>
            <w:pPr>
              <w:jc w:val="right"/>
              <w:ind w:right="161"/>
              <w:spacing w:after="0"/>
              <w:rPr>
                <w:sz w:val="20"/>
                <w:szCs w:val="20"/>
                <w:color w:val="auto"/>
              </w:rPr>
            </w:pPr>
            <w:r>
              <w:rPr>
                <w:rFonts w:ascii="Arial" w:cs="Arial" w:eastAsia="Arial" w:hAnsi="Arial"/>
                <w:sz w:val="16"/>
                <w:szCs w:val="16"/>
                <w:color w:val="auto"/>
              </w:rPr>
              <w:t>475,000</w:t>
            </w:r>
          </w:p>
        </w:tc>
        <w:tc>
          <w:tcPr>
            <w:tcW w:w="5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741"/>
              <w:spacing w:after="0"/>
              <w:rPr>
                <w:sz w:val="20"/>
                <w:szCs w:val="20"/>
                <w:color w:val="auto"/>
              </w:rPr>
            </w:pPr>
            <w:r>
              <w:rPr>
                <w:rFonts w:ascii="Arial" w:cs="Arial" w:eastAsia="Arial" w:hAnsi="Arial"/>
                <w:sz w:val="16"/>
                <w:szCs w:val="16"/>
                <w:color w:val="auto"/>
              </w:rPr>
              <w:t>85 %</w:t>
            </w:r>
          </w:p>
        </w:tc>
        <w:tc>
          <w:tcPr>
            <w:tcW w:w="78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85 %</w:t>
            </w:r>
          </w:p>
        </w:tc>
        <w:tc>
          <w:tcPr>
            <w:tcW w:w="1720" w:type="dxa"/>
            <w:vAlign w:val="bottom"/>
            <w:tcBorders>
              <w:bottom w:val="single" w:sz="8" w:color="auto"/>
            </w:tcBorders>
            <w:shd w:val="clear" w:color="auto" w:fill="DBDBDB"/>
          </w:tcPr>
          <w:p>
            <w:pPr>
              <w:jc w:val="right"/>
              <w:ind w:right="422"/>
              <w:spacing w:after="0"/>
              <w:rPr>
                <w:sz w:val="20"/>
                <w:szCs w:val="20"/>
                <w:color w:val="auto"/>
              </w:rPr>
            </w:pPr>
            <w:r>
              <w:rPr>
                <w:rFonts w:ascii="Arial" w:cs="Arial" w:eastAsia="Arial" w:hAnsi="Arial"/>
                <w:sz w:val="16"/>
                <w:szCs w:val="16"/>
                <w:color w:val="auto"/>
              </w:rPr>
              <w:t>1,400,000</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2,000,000</w:t>
            </w:r>
          </w:p>
        </w:tc>
      </w:tr>
    </w:tbl>
    <w:p>
      <w:pPr>
        <w:spacing w:after="0" w:line="4" w:lineRule="exact"/>
        <w:rPr>
          <w:sz w:val="20"/>
          <w:szCs w:val="20"/>
          <w:color w:val="auto"/>
        </w:rPr>
      </w:pPr>
    </w:p>
    <w:p>
      <w:pPr>
        <w:jc w:val="both"/>
        <w:ind w:left="260" w:right="580" w:hanging="234"/>
        <w:spacing w:after="0" w:line="235"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Gopalswamy’s compensation was further adjusted on May 26, 2023, following his April 2023 appointment to the position of General Manager, ASG. Specifically, his annual base salary was increased by $25,000 to a total of $500,000 and he received an incremental LTI award with a grant date target value of $600,000, which increased his annual target LTI value to a total of $2,300,000.</w:t>
      </w:r>
    </w:p>
    <w:p>
      <w:pPr>
        <w:spacing w:after="0" w:line="13" w:lineRule="exact"/>
        <w:rPr>
          <w:rFonts w:ascii="Arial" w:cs="Arial" w:eastAsia="Arial" w:hAnsi="Arial"/>
          <w:sz w:val="14"/>
          <w:szCs w:val="14"/>
          <w:color w:val="auto"/>
        </w:rPr>
      </w:pPr>
    </w:p>
    <w:p>
      <w:pPr>
        <w:ind w:left="260" w:right="980" w:hanging="194"/>
        <w:spacing w:after="0" w:line="244" w:lineRule="auto"/>
        <w:tabs>
          <w:tab w:leader="none" w:pos="273"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These figures represent the grant date target value of the LTI awards. For the number of RSUs and PBRSUs granted to each NEO during 2023, including Mr. Gopalswamy’s incremental grant described in footnote 1, please see the chart under “Long-Term Incentive Program.”</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Cash Incentive Program</w:t>
      </w:r>
      <w:r>
        <w:rPr>
          <w:rFonts w:ascii="Arial" w:cs="Arial" w:eastAsia="Arial" w:hAnsi="Arial"/>
          <w:sz w:val="18"/>
          <w:szCs w:val="18"/>
          <w:color w:val="auto"/>
        </w:rPr>
        <w:t>. The primary objectives of our 2023 STI program were to:</w:t>
      </w:r>
    </w:p>
    <w:p>
      <w:pPr>
        <w:spacing w:after="0" w:line="23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maximize return to stockholders;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reward and retain our top performers;</w:t>
      </w:r>
    </w:p>
    <w:p>
      <w:pPr>
        <w:ind w:left="660" w:hanging="328"/>
        <w:spacing w:after="0" w:line="23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reward achievement of short-term financial performance goals;</w:t>
      </w:r>
    </w:p>
    <w:p>
      <w:pPr>
        <w:ind w:left="660" w:hanging="328"/>
        <w:spacing w:after="0" w:line="23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objective and verifiable metrics;</w:t>
      </w:r>
    </w:p>
    <w:p>
      <w:pPr>
        <w:ind w:left="660" w:hanging="328"/>
        <w:spacing w:after="0" w:line="23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 a single program for all eligible employees; and</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target STI percentages that are competitive with peer market data for the position.</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designing the 2023 STI program, the HCC Committee considered these objectives and its desire to directly align the program with our 2023 strategic objectives and encourage our executives to maximize profitability, growth and operational efficiency. As further described</w:t>
      </w:r>
    </w:p>
    <w:p>
      <w:pPr>
        <w:jc w:val="both"/>
        <w:spacing w:after="0" w:line="226" w:lineRule="auto"/>
        <w:rPr>
          <w:sz w:val="20"/>
          <w:szCs w:val="20"/>
          <w:color w:val="auto"/>
        </w:rPr>
      </w:pPr>
      <w:r>
        <w:rPr>
          <w:rFonts w:ascii="Arial" w:cs="Arial" w:eastAsia="Arial" w:hAnsi="Arial"/>
          <w:sz w:val="18"/>
          <w:szCs w:val="18"/>
          <w:color w:val="auto"/>
        </w:rPr>
        <w:t>below, the 2023 STI program incorporates overall company-wide objectives (the Corporate Multiplier) that determine the maximum payout percentage under the program and objectives specific to each NEO (the Individual Goal achievement percentage) that determine each</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officer’s specific payout. The use of a Corporate Multiplier combined with an Individual Goal achievement percentage for each NEO supports one key tenet of our compensation philosophy, which is to provide incentive opportunities for both company and individual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Under the 2023 STI program, each eligible NEO’s payout was determined according to the formula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STI Program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172200" cy="1045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i w:val="1"/>
          <w:iCs w:val="1"/>
          <w:u w:val="single" w:color="auto"/>
          <w:color w:val="auto"/>
        </w:rPr>
        <w:t>Corporate Multiplier Component</w:t>
      </w:r>
      <w:r>
        <w:rPr>
          <w:rFonts w:ascii="Arial" w:cs="Arial" w:eastAsia="Arial" w:hAnsi="Arial"/>
          <w:sz w:val="18"/>
          <w:szCs w:val="18"/>
          <w:color w:val="auto"/>
        </w:rPr>
        <w:t>. Our 2023 STI program included a performance matrix, the Corporate Multiplier, that links two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(revenue and non-GAAP operating margin) and reflects threshold</w:t>
      </w:r>
      <w:r>
        <w:rPr>
          <w:rFonts w:ascii="MS PGothic" w:cs="MS PGothic" w:eastAsia="MS PGothic" w:hAnsi="MS PGothic"/>
          <w:sz w:val="18"/>
          <w:szCs w:val="18"/>
          <w:color w:val="auto"/>
        </w:rPr>
        <w:t>‐</w:t>
      </w:r>
      <w:r>
        <w:rPr>
          <w:rFonts w:ascii="Arial" w:cs="Arial" w:eastAsia="Arial" w:hAnsi="Arial"/>
          <w:sz w:val="18"/>
          <w:szCs w:val="18"/>
          <w:color w:val="auto"/>
        </w:rPr>
        <w:t xml:space="preserve"> to</w:t>
      </w:r>
      <w:r>
        <w:rPr>
          <w:rFonts w:ascii="MS PGothic" w:cs="MS PGothic" w:eastAsia="MS PGothic" w:hAnsi="MS PGothic"/>
          <w:sz w:val="18"/>
          <w:szCs w:val="18"/>
          <w:color w:val="auto"/>
        </w:rPr>
        <w:t>‐</w:t>
      </w:r>
      <w:r>
        <w:rPr>
          <w:rFonts w:ascii="Arial" w:cs="Arial" w:eastAsia="Arial" w:hAnsi="Arial"/>
          <w:sz w:val="18"/>
          <w:szCs w:val="18"/>
          <w:color w:val="auto"/>
        </w:rPr>
        <w:t xml:space="preserve"> maximum opportunities based on various achievement levels of those metrics. This Corporate Multiplier is designed to ensure that funding of the 2023 STI program is in line with our Board-approved annual operating plan (AOP). If we achieve target levels on both metrics by meeting our AOP, the Corporate Multiplier would be 100%. The Corporate Multiplier can range from 0% to up to a maximum of 200% for performance meeting or exceeding stretch levels. Given the use of a matrix, there are multiple</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32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7" w:name="page38"/>
    <w:bookmarkEnd w:id="37"/>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ways to calculate (and achieve) threshold, target and maximum performance. The Corporate Multiplier establishes the maximum that may be earned by a given participant under our STI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shown in the table below, based on our combined results for 2023, we achieved a Corporate Multiplier of </w:t>
      </w:r>
      <w:r>
        <w:rPr>
          <w:rFonts w:ascii="Arial" w:cs="Arial" w:eastAsia="Arial" w:hAnsi="Arial"/>
          <w:sz w:val="18"/>
          <w:szCs w:val="18"/>
          <w:u w:val="single" w:color="auto"/>
          <w:color w:val="auto"/>
        </w:rPr>
        <w:t>64.1</w:t>
      </w:r>
      <w:r>
        <w:rPr>
          <w:rFonts w:ascii="Arial" w:cs="Arial" w:eastAsia="Arial" w:hAnsi="Arial"/>
          <w:sz w:val="18"/>
          <w:szCs w:val="18"/>
          <w:color w:val="auto"/>
        </w:rPr>
        <w:t>% of target.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shd w:val="clear" w:color="auto" w:fill="465E66"/>
          </w:tcPr>
          <w:p>
            <w:pPr>
              <w:ind w:left="20"/>
              <w:spacing w:after="0"/>
              <w:rPr>
                <w:sz w:val="20"/>
                <w:szCs w:val="20"/>
                <w:color w:val="auto"/>
              </w:rPr>
            </w:pPr>
            <w:r>
              <w:rPr>
                <w:rFonts w:ascii="Arial" w:cs="Arial" w:eastAsia="Arial" w:hAnsi="Arial"/>
                <w:sz w:val="16"/>
                <w:szCs w:val="16"/>
                <w:b w:val="1"/>
                <w:bCs w:val="1"/>
                <w:color w:val="FFFFFF"/>
              </w:rPr>
              <w:t>Corporate Multiplier Component</w:t>
            </w:r>
          </w:p>
        </w:tc>
        <w:tc>
          <w:tcPr>
            <w:tcW w:w="2100" w:type="dxa"/>
            <w:vAlign w:val="bottom"/>
            <w:shd w:val="clear" w:color="auto" w:fill="465E66"/>
          </w:tcPr>
          <w:p>
            <w:pPr>
              <w:jc w:val="right"/>
              <w:ind w:right="419"/>
              <w:spacing w:after="0"/>
              <w:rPr>
                <w:sz w:val="20"/>
                <w:szCs w:val="20"/>
                <w:color w:val="auto"/>
              </w:rPr>
            </w:pPr>
            <w:r>
              <w:rPr>
                <w:rFonts w:ascii="Arial" w:cs="Arial" w:eastAsia="Arial" w:hAnsi="Arial"/>
                <w:sz w:val="16"/>
                <w:szCs w:val="16"/>
                <w:b w:val="1"/>
                <w:bCs w:val="1"/>
                <w:color w:val="FFFFFF"/>
              </w:rPr>
              <w:t>0% Achievement</w:t>
            </w:r>
          </w:p>
        </w:tc>
        <w:tc>
          <w:tcPr>
            <w:tcW w:w="2160" w:type="dxa"/>
            <w:vAlign w:val="bottom"/>
            <w:shd w:val="clear" w:color="auto" w:fill="465E66"/>
          </w:tcPr>
          <w:p>
            <w:pPr>
              <w:jc w:val="right"/>
              <w:ind w:right="439"/>
              <w:spacing w:after="0"/>
              <w:rPr>
                <w:sz w:val="20"/>
                <w:szCs w:val="20"/>
                <w:color w:val="auto"/>
              </w:rPr>
            </w:pPr>
            <w:r>
              <w:rPr>
                <w:rFonts w:ascii="Arial" w:cs="Arial" w:eastAsia="Arial" w:hAnsi="Arial"/>
                <w:sz w:val="16"/>
                <w:szCs w:val="16"/>
                <w:b w:val="1"/>
                <w:bCs w:val="1"/>
                <w:color w:val="FFFFFF"/>
              </w:rPr>
              <w:t>100% Achievement</w:t>
            </w:r>
          </w:p>
        </w:tc>
        <w:tc>
          <w:tcPr>
            <w:tcW w:w="2200" w:type="dxa"/>
            <w:vAlign w:val="bottom"/>
            <w:shd w:val="clear" w:color="auto" w:fill="465E66"/>
          </w:tcPr>
          <w:p>
            <w:pPr>
              <w:jc w:val="right"/>
              <w:ind w:right="459"/>
              <w:spacing w:after="0"/>
              <w:rPr>
                <w:sz w:val="20"/>
                <w:szCs w:val="20"/>
                <w:color w:val="auto"/>
              </w:rPr>
            </w:pPr>
            <w:r>
              <w:rPr>
                <w:rFonts w:ascii="Arial" w:cs="Arial" w:eastAsia="Arial" w:hAnsi="Arial"/>
                <w:sz w:val="16"/>
                <w:szCs w:val="16"/>
                <w:b w:val="1"/>
                <w:bCs w:val="1"/>
                <w:color w:val="FFFFFF"/>
              </w:rPr>
              <w:t>200% Achievement</w:t>
            </w:r>
          </w:p>
        </w:tc>
        <w:tc>
          <w:tcPr>
            <w:tcW w:w="1980" w:type="dxa"/>
            <w:vAlign w:val="bottom"/>
            <w:shd w:val="clear" w:color="auto" w:fill="465E66"/>
          </w:tcPr>
          <w:p>
            <w:pPr>
              <w:jc w:val="right"/>
              <w:ind w:right="199"/>
              <w:spacing w:after="0"/>
              <w:rPr>
                <w:sz w:val="20"/>
                <w:szCs w:val="20"/>
                <w:color w:val="auto"/>
              </w:rPr>
            </w:pPr>
            <w:r>
              <w:rPr>
                <w:rFonts w:ascii="Arial" w:cs="Arial" w:eastAsia="Arial" w:hAnsi="Arial"/>
                <w:sz w:val="16"/>
                <w:szCs w:val="16"/>
                <w:b w:val="1"/>
                <w:bCs w:val="1"/>
                <w:color w:val="FFFFFF"/>
              </w:rPr>
              <w:t>Actual Achievement</w:t>
            </w:r>
          </w:p>
        </w:tc>
      </w:tr>
      <w:tr>
        <w:trPr>
          <w:trHeight w:val="216"/>
        </w:trPr>
        <w:tc>
          <w:tcPr>
            <w:tcW w:w="2800" w:type="dxa"/>
            <w:vAlign w:val="bottom"/>
            <w:shd w:val="clear" w:color="auto" w:fill="465E66"/>
          </w:tcPr>
          <w:p>
            <w:pPr>
              <w:ind w:left="20"/>
              <w:spacing w:after="0"/>
              <w:rPr>
                <w:sz w:val="20"/>
                <w:szCs w:val="20"/>
                <w:color w:val="auto"/>
              </w:rPr>
            </w:pPr>
            <w:r>
              <w:rPr>
                <w:rFonts w:ascii="Arial" w:cs="Arial" w:eastAsia="Arial" w:hAnsi="Arial"/>
                <w:sz w:val="16"/>
                <w:szCs w:val="16"/>
                <w:color w:val="FFFFFF"/>
              </w:rPr>
              <w:t>(matrix-based correlation)</w:t>
            </w:r>
          </w:p>
        </w:tc>
        <w:tc>
          <w:tcPr>
            <w:tcW w:w="2100" w:type="dxa"/>
            <w:vAlign w:val="bottom"/>
            <w:shd w:val="clear" w:color="auto" w:fill="465E66"/>
          </w:tcPr>
          <w:p>
            <w:pPr>
              <w:jc w:val="right"/>
              <w:ind w:right="499"/>
              <w:spacing w:after="0"/>
              <w:rPr>
                <w:sz w:val="20"/>
                <w:szCs w:val="20"/>
                <w:color w:val="auto"/>
              </w:rPr>
            </w:pPr>
            <w:r>
              <w:rPr>
                <w:rFonts w:ascii="Arial" w:cs="Arial" w:eastAsia="Arial" w:hAnsi="Arial"/>
                <w:sz w:val="16"/>
                <w:szCs w:val="16"/>
                <w:b w:val="1"/>
                <w:bCs w:val="1"/>
                <w:color w:val="FFFFFF"/>
              </w:rPr>
              <w:t>(Threshold) (1)</w:t>
            </w:r>
          </w:p>
        </w:tc>
        <w:tc>
          <w:tcPr>
            <w:tcW w:w="2160" w:type="dxa"/>
            <w:vAlign w:val="bottom"/>
            <w:shd w:val="clear" w:color="auto" w:fill="465E66"/>
          </w:tcPr>
          <w:p>
            <w:pPr>
              <w:jc w:val="right"/>
              <w:ind w:right="879"/>
              <w:spacing w:after="0"/>
              <w:rPr>
                <w:sz w:val="20"/>
                <w:szCs w:val="20"/>
                <w:color w:val="auto"/>
              </w:rPr>
            </w:pPr>
            <w:r>
              <w:rPr>
                <w:rFonts w:ascii="Arial" w:cs="Arial" w:eastAsia="Arial" w:hAnsi="Arial"/>
                <w:sz w:val="16"/>
                <w:szCs w:val="16"/>
                <w:b w:val="1"/>
                <w:bCs w:val="1"/>
                <w:color w:val="FFFFFF"/>
              </w:rPr>
              <w:t>(Target)</w:t>
            </w:r>
          </w:p>
        </w:tc>
        <w:tc>
          <w:tcPr>
            <w:tcW w:w="2200" w:type="dxa"/>
            <w:vAlign w:val="bottom"/>
            <w:shd w:val="clear" w:color="auto" w:fill="465E66"/>
          </w:tcPr>
          <w:p>
            <w:pPr>
              <w:jc w:val="right"/>
              <w:ind w:right="639"/>
              <w:spacing w:after="0"/>
              <w:rPr>
                <w:sz w:val="20"/>
                <w:szCs w:val="20"/>
                <w:color w:val="auto"/>
              </w:rPr>
            </w:pPr>
            <w:r>
              <w:rPr>
                <w:rFonts w:ascii="Arial" w:cs="Arial" w:eastAsia="Arial" w:hAnsi="Arial"/>
                <w:sz w:val="16"/>
                <w:szCs w:val="16"/>
                <w:b w:val="1"/>
                <w:bCs w:val="1"/>
                <w:color w:val="FFFFFF"/>
              </w:rPr>
              <w:t>(Maximum) (2)</w:t>
            </w:r>
          </w:p>
        </w:tc>
        <w:tc>
          <w:tcPr>
            <w:tcW w:w="1980" w:type="dxa"/>
            <w:vAlign w:val="bottom"/>
            <w:shd w:val="clear" w:color="auto" w:fill="465E66"/>
          </w:tcPr>
          <w:p>
            <w:pPr>
              <w:jc w:val="right"/>
              <w:ind w:right="699"/>
              <w:spacing w:after="0"/>
              <w:rPr>
                <w:sz w:val="20"/>
                <w:szCs w:val="20"/>
                <w:color w:val="auto"/>
              </w:rPr>
            </w:pPr>
            <w:r>
              <w:rPr>
                <w:rFonts w:ascii="Arial" w:cs="Arial" w:eastAsia="Arial" w:hAnsi="Arial"/>
                <w:sz w:val="16"/>
                <w:szCs w:val="16"/>
                <w:b w:val="1"/>
                <w:bCs w:val="1"/>
                <w:color w:val="FFFFFF"/>
              </w:rPr>
              <w:t>(64.1%)</w:t>
            </w:r>
          </w:p>
        </w:tc>
      </w:tr>
      <w:tr>
        <w:trPr>
          <w:trHeight w:val="216"/>
        </w:trPr>
        <w:tc>
          <w:tcPr>
            <w:tcW w:w="2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1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$8.151 billion</w:t>
            </w:r>
          </w:p>
        </w:tc>
        <w:tc>
          <w:tcPr>
            <w:tcW w:w="21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$8.677 billion (3)</w:t>
            </w:r>
          </w:p>
        </w:tc>
        <w:tc>
          <w:tcPr>
            <w:tcW w:w="22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$8.993 billion</w:t>
            </w:r>
          </w:p>
        </w:tc>
        <w:tc>
          <w:tcPr>
            <w:tcW w:w="1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$8.253 billion</w:t>
            </w:r>
          </w:p>
        </w:tc>
      </w:tr>
      <w:tr>
        <w:trPr>
          <w:trHeight w:val="215"/>
        </w:trPr>
        <w:tc>
          <w:tcPr>
            <w:tcW w:w="280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2100" w:type="dxa"/>
            <w:vAlign w:val="bottom"/>
          </w:tcPr>
          <w:p>
            <w:pPr>
              <w:jc w:val="right"/>
              <w:ind w:right="99"/>
              <w:spacing w:after="0"/>
              <w:rPr>
                <w:sz w:val="20"/>
                <w:szCs w:val="20"/>
                <w:color w:val="auto"/>
              </w:rPr>
            </w:pPr>
            <w:r>
              <w:rPr>
                <w:rFonts w:ascii="Arial" w:cs="Arial" w:eastAsia="Arial" w:hAnsi="Arial"/>
                <w:sz w:val="16"/>
                <w:szCs w:val="16"/>
                <w:color w:val="auto"/>
              </w:rPr>
              <w:t>29.0 %</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32.6% (4)</w:t>
            </w:r>
          </w:p>
        </w:tc>
        <w:tc>
          <w:tcPr>
            <w:tcW w:w="2200" w:type="dxa"/>
            <w:vAlign w:val="bottom"/>
          </w:tcPr>
          <w:p>
            <w:pPr>
              <w:jc w:val="right"/>
              <w:ind w:right="79"/>
              <w:spacing w:after="0"/>
              <w:rPr>
                <w:sz w:val="20"/>
                <w:szCs w:val="20"/>
                <w:color w:val="auto"/>
              </w:rPr>
            </w:pPr>
            <w:r>
              <w:rPr>
                <w:rFonts w:ascii="Arial" w:cs="Arial" w:eastAsia="Arial" w:hAnsi="Arial"/>
                <w:sz w:val="16"/>
                <w:szCs w:val="16"/>
                <w:color w:val="auto"/>
              </w:rPr>
              <w:t>35.0 %</w:t>
            </w:r>
          </w:p>
        </w:tc>
        <w:tc>
          <w:tcPr>
            <w:tcW w:w="1980" w:type="dxa"/>
            <w:vAlign w:val="bottom"/>
          </w:tcPr>
          <w:p>
            <w:pPr>
              <w:jc w:val="right"/>
              <w:spacing w:after="0"/>
              <w:rPr>
                <w:sz w:val="20"/>
                <w:szCs w:val="20"/>
                <w:color w:val="auto"/>
              </w:rPr>
            </w:pPr>
            <w:r>
              <w:rPr>
                <w:rFonts w:ascii="Arial" w:cs="Arial" w:eastAsia="Arial" w:hAnsi="Arial"/>
                <w:sz w:val="16"/>
                <w:szCs w:val="16"/>
                <w:color w:val="auto"/>
              </w:rPr>
              <w:t>32.3%(5)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60" w:right="80" w:hanging="234"/>
        <w:spacing w:after="0" w:line="235" w:lineRule="auto"/>
        <w:tabs>
          <w:tab w:leader="none" w:pos="23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combination of revenue and operating margin is only one way for our combined results to yield no payout. Under the matrix, no bonus would be earned if revenue did not exceed $7.800 billion and our operating margin fell below 30.2%. Conversely, no bonus would have been earned if our operating margin was below 27.8% and revenue did not exceed $8.501 billion.</w:t>
      </w:r>
    </w:p>
    <w:p>
      <w:pPr>
        <w:spacing w:after="0" w:line="13" w:lineRule="exact"/>
        <w:rPr>
          <w:rFonts w:ascii="Arial" w:cs="Arial" w:eastAsia="Arial" w:hAnsi="Arial"/>
          <w:sz w:val="14"/>
          <w:szCs w:val="14"/>
          <w:color w:val="auto"/>
        </w:rPr>
      </w:pPr>
    </w:p>
    <w:p>
      <w:pPr>
        <w:ind w:left="260" w:right="220" w:hanging="234"/>
        <w:spacing w:after="0" w:line="235" w:lineRule="auto"/>
        <w:tabs>
          <w:tab w:leader="none" w:pos="23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combination of revenue and operating margin is only one way to achieve maximum payout. Under the matrix, we could achieve 200% with revenue as low as $8.817 billion but only if our operating margin met or exceeded 35.6%. Conversely, we could achieve 200% with an operating margin of 34.7% but only if our revenue met or exceeded $9.111 billion.</w:t>
      </w:r>
    </w:p>
    <w:p>
      <w:pPr>
        <w:spacing w:after="0" w:line="13" w:lineRule="exact"/>
        <w:rPr>
          <w:rFonts w:ascii="Arial" w:cs="Arial" w:eastAsia="Arial" w:hAnsi="Arial"/>
          <w:sz w:val="14"/>
          <w:szCs w:val="14"/>
          <w:color w:val="auto"/>
        </w:rPr>
      </w:pPr>
    </w:p>
    <w:p>
      <w:pPr>
        <w:ind w:left="240" w:hanging="214"/>
        <w:spacing w:after="0"/>
        <w:tabs>
          <w:tab w:leader="none" w:pos="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2023 target goal represented approximately a 4.2% increase relative to reported 2022 revenue.</w:t>
      </w:r>
    </w:p>
    <w:p>
      <w:pPr>
        <w:spacing w:after="0" w:line="41" w:lineRule="exact"/>
        <w:rPr>
          <w:rFonts w:ascii="Arial" w:cs="Arial" w:eastAsia="Arial" w:hAnsi="Arial"/>
          <w:sz w:val="14"/>
          <w:szCs w:val="14"/>
          <w:color w:val="auto"/>
        </w:rPr>
      </w:pPr>
    </w:p>
    <w:p>
      <w:pPr>
        <w:jc w:val="both"/>
        <w:ind w:left="260" w:right="280" w:hanging="234"/>
        <w:spacing w:after="0" w:line="235" w:lineRule="auto"/>
        <w:tabs>
          <w:tab w:leader="none" w:pos="23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2023 target goal represented a decrease of 190 bps from reported 2022 non-GAAP operating margin. This goal, tied to our AOP, reflected our expectation that 2023 operating margin would decrease slightly from the prior year given the capital expenditures necessary to expand SiC production and ramp up operations at our EFK fab, which we acquired on January 1, 2023.</w:t>
      </w:r>
    </w:p>
    <w:p>
      <w:pPr>
        <w:spacing w:after="0" w:line="13" w:lineRule="exact"/>
        <w:rPr>
          <w:rFonts w:ascii="Arial" w:cs="Arial" w:eastAsia="Arial" w:hAnsi="Arial"/>
          <w:sz w:val="14"/>
          <w:szCs w:val="14"/>
          <w:color w:val="auto"/>
        </w:rPr>
      </w:pPr>
    </w:p>
    <w:p>
      <w:pPr>
        <w:ind w:left="240" w:hanging="214"/>
        <w:spacing w:after="0"/>
        <w:tabs>
          <w:tab w:leader="none" w:pos="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Non-GAAP operating margin is calculated as disclosed in our earnings releases.</w:t>
      </w:r>
    </w:p>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Individual Goal Achievement Percentage Component</w:t>
      </w:r>
      <w:r>
        <w:rPr>
          <w:rFonts w:ascii="Arial" w:cs="Arial" w:eastAsia="Arial" w:hAnsi="Arial"/>
          <w:sz w:val="18"/>
          <w:szCs w:val="18"/>
          <w:color w:val="auto"/>
        </w:rPr>
        <w:t>. In addition to the Corporate Multiplier, each NEO received a score based on the level</w:t>
      </w:r>
      <w:r>
        <w:rPr>
          <w:rFonts w:ascii="Arial" w:cs="Arial" w:eastAsia="Arial" w:hAnsi="Arial"/>
          <w:sz w:val="18"/>
          <w:szCs w:val="18"/>
          <w:i w:val="1"/>
          <w:iCs w:val="1"/>
          <w:color w:val="auto"/>
        </w:rPr>
        <w:t xml:space="preserve"> </w:t>
      </w:r>
      <w:r>
        <w:rPr>
          <w:rFonts w:ascii="Arial" w:cs="Arial" w:eastAsia="Arial" w:hAnsi="Arial"/>
          <w:sz w:val="18"/>
          <w:szCs w:val="18"/>
          <w:color w:val="auto"/>
        </w:rPr>
        <w:t>of achievement of the Individual Goal achievement percentage. The maximum possible Individual Goal achievement percentage is 100%, which means that performance against these particular goals will not increase a participant’s STI payout; rather, performance at less than target will serve to decrease any STI payout to that participant. For our NEOs, this component is further divided into two equally-weighted categories: financial goals (NEO Financial Goals) and certain executive-specific strategic or operational goals (NEO Strategic Goals).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u w:val="single" w:color="auto"/>
          <w:color w:val="auto"/>
        </w:rPr>
        <w:t>The NEO Financial Goals</w:t>
      </w:r>
      <w:r>
        <w:rPr>
          <w:rFonts w:ascii="Arial" w:cs="Arial" w:eastAsia="Arial" w:hAnsi="Arial"/>
          <w:sz w:val="18"/>
          <w:szCs w:val="18"/>
          <w:color w:val="auto"/>
        </w:rPr>
        <w:t xml:space="preserve"> – this portion, which represents 50% of the Individual Goal achievement percentage, is tied to three corporate financial targets. For the 2023 STI program, the scoring of the NEO Financial Goals was based on our level of achievement of revenue, non-GAAP gross margin and non-GAAP operating expense targets as described in the table below.</w:t>
      </w:r>
    </w:p>
    <w:p>
      <w:pPr>
        <w:spacing w:after="0" w:line="19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Each of the goals is scored separately and, once above-threshold levels are achieved, our performance as measured against the NEO Financial Goals could result in attainment of up to 100% for results at or above target. While the targets are annual, progress is measured quarterly so that if a given quarter is missed, it cannot be made up in a subsequent quarter even if the full year results for that goal actually exceed the annual target.</w:t>
      </w:r>
    </w:p>
    <w:tbl>
      <w:tblPr>
        <w:tblLayout w:type="fixed"/>
        <w:tblInd w:w="60" w:type="dxa"/>
        <w:tblCellMar>
          <w:top w:w="0" w:type="dxa"/>
          <w:left w:w="0" w:type="dxa"/>
          <w:bottom w:w="0" w:type="dxa"/>
          <w:right w:w="0" w:type="dxa"/>
        </w:tblCellMar>
      </w:tblPr>
      <w:tr>
        <w:trPr>
          <w:trHeight w:val="155"/>
        </w:trPr>
        <w:tc>
          <w:tcPr>
            <w:tcW w:w="2680" w:type="dxa"/>
            <w:vAlign w:val="bottom"/>
            <w:shd w:val="clear" w:color="auto" w:fill="465E66"/>
          </w:tcPr>
          <w:p>
            <w:pPr>
              <w:spacing w:after="0"/>
              <w:rPr>
                <w:sz w:val="13"/>
                <w:szCs w:val="13"/>
                <w:color w:val="auto"/>
              </w:rPr>
            </w:pPr>
          </w:p>
        </w:tc>
        <w:tc>
          <w:tcPr>
            <w:tcW w:w="280" w:type="dxa"/>
            <w:vAlign w:val="bottom"/>
            <w:shd w:val="clear" w:color="auto" w:fill="465E66"/>
          </w:tcPr>
          <w:p>
            <w:pPr>
              <w:spacing w:after="0"/>
              <w:rPr>
                <w:sz w:val="13"/>
                <w:szCs w:val="13"/>
                <w:color w:val="auto"/>
              </w:rPr>
            </w:pPr>
          </w:p>
        </w:tc>
        <w:tc>
          <w:tcPr>
            <w:tcW w:w="420" w:type="dxa"/>
            <w:vAlign w:val="bottom"/>
            <w:tcBorders>
              <w:left w:val="single" w:sz="8" w:color="465E66"/>
            </w:tcBorders>
            <w:shd w:val="clear" w:color="auto" w:fill="465E66"/>
          </w:tcPr>
          <w:p>
            <w:pPr>
              <w:spacing w:after="0"/>
              <w:rPr>
                <w:sz w:val="13"/>
                <w:szCs w:val="13"/>
                <w:color w:val="auto"/>
              </w:rPr>
            </w:pPr>
          </w:p>
        </w:tc>
        <w:tc>
          <w:tcPr>
            <w:tcW w:w="1540" w:type="dxa"/>
            <w:vAlign w:val="bottom"/>
            <w:shd w:val="clear" w:color="auto" w:fill="465E66"/>
          </w:tcPr>
          <w:p>
            <w:pPr>
              <w:spacing w:after="0"/>
              <w:rPr>
                <w:sz w:val="13"/>
                <w:szCs w:val="13"/>
                <w:color w:val="auto"/>
              </w:rPr>
            </w:pPr>
          </w:p>
        </w:tc>
        <w:tc>
          <w:tcPr>
            <w:tcW w:w="280" w:type="dxa"/>
            <w:vAlign w:val="bottom"/>
            <w:shd w:val="clear" w:color="auto" w:fill="465E66"/>
          </w:tcPr>
          <w:p>
            <w:pPr>
              <w:spacing w:after="0"/>
              <w:rPr>
                <w:sz w:val="13"/>
                <w:szCs w:val="13"/>
                <w:color w:val="auto"/>
              </w:rPr>
            </w:pPr>
          </w:p>
        </w:tc>
        <w:tc>
          <w:tcPr>
            <w:tcW w:w="420" w:type="dxa"/>
            <w:vAlign w:val="bottom"/>
            <w:tcBorders>
              <w:left w:val="single" w:sz="8" w:color="465E66"/>
            </w:tcBorders>
            <w:shd w:val="clear" w:color="auto" w:fill="465E66"/>
          </w:tcPr>
          <w:p>
            <w:pPr>
              <w:spacing w:after="0"/>
              <w:rPr>
                <w:sz w:val="13"/>
                <w:szCs w:val="13"/>
                <w:color w:val="auto"/>
              </w:rPr>
            </w:pPr>
          </w:p>
        </w:tc>
        <w:tc>
          <w:tcPr>
            <w:tcW w:w="1540" w:type="dxa"/>
            <w:vAlign w:val="bottom"/>
            <w:shd w:val="clear" w:color="auto" w:fill="465E66"/>
          </w:tcPr>
          <w:p>
            <w:pPr>
              <w:spacing w:after="0"/>
              <w:rPr>
                <w:sz w:val="13"/>
                <w:szCs w:val="13"/>
                <w:color w:val="auto"/>
              </w:rPr>
            </w:pPr>
          </w:p>
        </w:tc>
        <w:tc>
          <w:tcPr>
            <w:tcW w:w="280" w:type="dxa"/>
            <w:vAlign w:val="bottom"/>
            <w:shd w:val="clear" w:color="auto" w:fill="465E66"/>
          </w:tcPr>
          <w:p>
            <w:pPr>
              <w:spacing w:after="0"/>
              <w:rPr>
                <w:sz w:val="13"/>
                <w:szCs w:val="13"/>
                <w:color w:val="auto"/>
              </w:rPr>
            </w:pPr>
          </w:p>
        </w:tc>
        <w:tc>
          <w:tcPr>
            <w:tcW w:w="80" w:type="dxa"/>
            <w:vAlign w:val="bottom"/>
            <w:shd w:val="clear" w:color="auto" w:fill="465E66"/>
          </w:tcPr>
          <w:p>
            <w:pPr>
              <w:spacing w:after="0"/>
              <w:rPr>
                <w:sz w:val="13"/>
                <w:szCs w:val="13"/>
                <w:color w:val="auto"/>
              </w:rPr>
            </w:pPr>
          </w:p>
        </w:tc>
        <w:tc>
          <w:tcPr>
            <w:tcW w:w="340" w:type="dxa"/>
            <w:vAlign w:val="bottom"/>
            <w:shd w:val="clear" w:color="auto" w:fill="465E66"/>
          </w:tcPr>
          <w:p>
            <w:pPr>
              <w:spacing w:after="0"/>
              <w:rPr>
                <w:sz w:val="13"/>
                <w:szCs w:val="13"/>
                <w:color w:val="auto"/>
              </w:rPr>
            </w:pPr>
          </w:p>
        </w:tc>
        <w:tc>
          <w:tcPr>
            <w:tcW w:w="1480" w:type="dxa"/>
            <w:vAlign w:val="bottom"/>
            <w:shd w:val="clear" w:color="auto" w:fill="465E66"/>
          </w:tcPr>
          <w:p>
            <w:pPr>
              <w:spacing w:after="0"/>
              <w:rPr>
                <w:sz w:val="13"/>
                <w:szCs w:val="13"/>
                <w:color w:val="auto"/>
              </w:rPr>
            </w:pPr>
          </w:p>
        </w:tc>
        <w:tc>
          <w:tcPr>
            <w:tcW w:w="1800" w:type="dxa"/>
            <w:vAlign w:val="bottom"/>
            <w:shd w:val="clear" w:color="auto" w:fill="465E66"/>
          </w:tcPr>
          <w:p>
            <w:pPr>
              <w:jc w:val="center"/>
              <w:spacing w:after="0" w:line="155" w:lineRule="exact"/>
              <w:rPr>
                <w:sz w:val="20"/>
                <w:szCs w:val="20"/>
                <w:color w:val="auto"/>
              </w:rPr>
            </w:pPr>
            <w:r>
              <w:rPr>
                <w:rFonts w:ascii="Arial" w:cs="Arial" w:eastAsia="Arial" w:hAnsi="Arial"/>
                <w:sz w:val="14"/>
                <w:szCs w:val="14"/>
                <w:b w:val="1"/>
                <w:bCs w:val="1"/>
                <w:color w:val="FFFFFF"/>
              </w:rPr>
              <w:t>Scoring</w:t>
            </w:r>
          </w:p>
        </w:tc>
        <w:tc>
          <w:tcPr>
            <w:tcW w:w="0" w:type="dxa"/>
            <w:vAlign w:val="bottom"/>
          </w:tcPr>
          <w:p>
            <w:pPr>
              <w:spacing w:after="0"/>
              <w:rPr>
                <w:sz w:val="1"/>
                <w:szCs w:val="1"/>
                <w:color w:val="auto"/>
              </w:rPr>
            </w:pPr>
          </w:p>
        </w:tc>
      </w:tr>
      <w:tr>
        <w:trPr>
          <w:trHeight w:val="139"/>
        </w:trPr>
        <w:tc>
          <w:tcPr>
            <w:tcW w:w="2680" w:type="dxa"/>
            <w:vAlign w:val="bottom"/>
            <w:shd w:val="clear" w:color="auto" w:fill="465E66"/>
          </w:tcPr>
          <w:p>
            <w:pPr>
              <w:spacing w:after="0"/>
              <w:rPr>
                <w:sz w:val="12"/>
                <w:szCs w:val="12"/>
                <w:color w:val="auto"/>
              </w:rPr>
            </w:pPr>
          </w:p>
        </w:tc>
        <w:tc>
          <w:tcPr>
            <w:tcW w:w="280" w:type="dxa"/>
            <w:vAlign w:val="bottom"/>
            <w:shd w:val="clear" w:color="auto" w:fill="465E66"/>
          </w:tcPr>
          <w:p>
            <w:pPr>
              <w:spacing w:after="0"/>
              <w:rPr>
                <w:sz w:val="12"/>
                <w:szCs w:val="12"/>
                <w:color w:val="auto"/>
              </w:rPr>
            </w:pPr>
          </w:p>
        </w:tc>
        <w:tc>
          <w:tcPr>
            <w:tcW w:w="420" w:type="dxa"/>
            <w:vAlign w:val="bottom"/>
            <w:tcBorders>
              <w:left w:val="single" w:sz="8" w:color="465E66"/>
            </w:tcBorders>
            <w:shd w:val="clear" w:color="auto" w:fill="465E66"/>
          </w:tcPr>
          <w:p>
            <w:pPr>
              <w:spacing w:after="0"/>
              <w:rPr>
                <w:sz w:val="12"/>
                <w:szCs w:val="12"/>
                <w:color w:val="auto"/>
              </w:rPr>
            </w:pPr>
          </w:p>
        </w:tc>
        <w:tc>
          <w:tcPr>
            <w:tcW w:w="1540" w:type="dxa"/>
            <w:vAlign w:val="bottom"/>
            <w:shd w:val="clear" w:color="auto" w:fill="465E66"/>
          </w:tcPr>
          <w:p>
            <w:pPr>
              <w:spacing w:after="0"/>
              <w:rPr>
                <w:sz w:val="12"/>
                <w:szCs w:val="12"/>
                <w:color w:val="auto"/>
              </w:rPr>
            </w:pPr>
          </w:p>
        </w:tc>
        <w:tc>
          <w:tcPr>
            <w:tcW w:w="280" w:type="dxa"/>
            <w:vAlign w:val="bottom"/>
            <w:shd w:val="clear" w:color="auto" w:fill="465E66"/>
          </w:tcPr>
          <w:p>
            <w:pPr>
              <w:spacing w:after="0"/>
              <w:rPr>
                <w:sz w:val="12"/>
                <w:szCs w:val="12"/>
                <w:color w:val="auto"/>
              </w:rPr>
            </w:pPr>
          </w:p>
        </w:tc>
        <w:tc>
          <w:tcPr>
            <w:tcW w:w="420" w:type="dxa"/>
            <w:vAlign w:val="bottom"/>
            <w:tcBorders>
              <w:left w:val="single" w:sz="8" w:color="465E66"/>
            </w:tcBorders>
            <w:shd w:val="clear" w:color="auto" w:fill="465E66"/>
          </w:tcPr>
          <w:p>
            <w:pPr>
              <w:spacing w:after="0"/>
              <w:rPr>
                <w:sz w:val="12"/>
                <w:szCs w:val="12"/>
                <w:color w:val="auto"/>
              </w:rPr>
            </w:pPr>
          </w:p>
        </w:tc>
        <w:tc>
          <w:tcPr>
            <w:tcW w:w="1540" w:type="dxa"/>
            <w:vAlign w:val="bottom"/>
            <w:shd w:val="clear" w:color="auto" w:fill="465E66"/>
          </w:tcPr>
          <w:p>
            <w:pPr>
              <w:spacing w:after="0"/>
              <w:rPr>
                <w:sz w:val="12"/>
                <w:szCs w:val="12"/>
                <w:color w:val="auto"/>
              </w:rPr>
            </w:pPr>
          </w:p>
        </w:tc>
        <w:tc>
          <w:tcPr>
            <w:tcW w:w="280" w:type="dxa"/>
            <w:vAlign w:val="bottom"/>
            <w:shd w:val="clear" w:color="auto" w:fill="465E66"/>
          </w:tcPr>
          <w:p>
            <w:pPr>
              <w:spacing w:after="0"/>
              <w:rPr>
                <w:sz w:val="12"/>
                <w:szCs w:val="12"/>
                <w:color w:val="auto"/>
              </w:rPr>
            </w:pPr>
          </w:p>
        </w:tc>
        <w:tc>
          <w:tcPr>
            <w:tcW w:w="80" w:type="dxa"/>
            <w:vAlign w:val="bottom"/>
            <w:shd w:val="clear" w:color="auto" w:fill="465E66"/>
          </w:tcPr>
          <w:p>
            <w:pPr>
              <w:spacing w:after="0"/>
              <w:rPr>
                <w:sz w:val="12"/>
                <w:szCs w:val="12"/>
                <w:color w:val="auto"/>
              </w:rPr>
            </w:pPr>
          </w:p>
        </w:tc>
        <w:tc>
          <w:tcPr>
            <w:tcW w:w="340" w:type="dxa"/>
            <w:vAlign w:val="bottom"/>
            <w:shd w:val="clear" w:color="auto" w:fill="465E66"/>
          </w:tcPr>
          <w:p>
            <w:pPr>
              <w:spacing w:after="0"/>
              <w:rPr>
                <w:sz w:val="12"/>
                <w:szCs w:val="12"/>
                <w:color w:val="auto"/>
              </w:rPr>
            </w:pPr>
          </w:p>
        </w:tc>
        <w:tc>
          <w:tcPr>
            <w:tcW w:w="1480" w:type="dxa"/>
            <w:vAlign w:val="bottom"/>
            <w:shd w:val="clear" w:color="auto" w:fill="465E66"/>
          </w:tcPr>
          <w:p>
            <w:pPr>
              <w:spacing w:after="0"/>
              <w:rPr>
                <w:sz w:val="12"/>
                <w:szCs w:val="12"/>
                <w:color w:val="auto"/>
              </w:rPr>
            </w:pPr>
          </w:p>
        </w:tc>
        <w:tc>
          <w:tcPr>
            <w:tcW w:w="1800" w:type="dxa"/>
            <w:vAlign w:val="bottom"/>
            <w:shd w:val="clear" w:color="auto" w:fill="465E66"/>
          </w:tcPr>
          <w:p>
            <w:pPr>
              <w:jc w:val="center"/>
              <w:spacing w:after="0" w:line="139" w:lineRule="exact"/>
              <w:rPr>
                <w:sz w:val="20"/>
                <w:szCs w:val="20"/>
                <w:color w:val="auto"/>
              </w:rPr>
            </w:pPr>
            <w:r>
              <w:rPr>
                <w:rFonts w:ascii="Arial" w:cs="Arial" w:eastAsia="Arial" w:hAnsi="Arial"/>
                <w:sz w:val="14"/>
                <w:szCs w:val="14"/>
                <w:b w:val="1"/>
                <w:bCs w:val="1"/>
                <w:color w:val="FFFFFF"/>
              </w:rPr>
              <w:t>(% Earned Based on the</w:t>
            </w:r>
          </w:p>
        </w:tc>
        <w:tc>
          <w:tcPr>
            <w:tcW w:w="0" w:type="dxa"/>
            <w:vAlign w:val="bottom"/>
          </w:tcPr>
          <w:p>
            <w:pPr>
              <w:spacing w:after="0"/>
              <w:rPr>
                <w:sz w:val="1"/>
                <w:szCs w:val="1"/>
                <w:color w:val="auto"/>
              </w:rPr>
            </w:pPr>
          </w:p>
        </w:tc>
      </w:tr>
      <w:tr>
        <w:trPr>
          <w:trHeight w:val="158"/>
        </w:trPr>
        <w:tc>
          <w:tcPr>
            <w:tcW w:w="268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 Financial Goals</w:t>
            </w:r>
          </w:p>
        </w:tc>
        <w:tc>
          <w:tcPr>
            <w:tcW w:w="280" w:type="dxa"/>
            <w:vAlign w:val="bottom"/>
            <w:shd w:val="clear" w:color="auto" w:fill="465E66"/>
          </w:tcPr>
          <w:p>
            <w:pPr>
              <w:spacing w:after="0"/>
              <w:rPr>
                <w:sz w:val="13"/>
                <w:szCs w:val="13"/>
                <w:color w:val="auto"/>
              </w:rPr>
            </w:pPr>
          </w:p>
        </w:tc>
        <w:tc>
          <w:tcPr>
            <w:tcW w:w="1960" w:type="dxa"/>
            <w:vAlign w:val="bottom"/>
            <w:tcBorders>
              <w:left w:val="single" w:sz="8" w:color="465E66"/>
            </w:tcBorders>
            <w:gridSpan w:val="2"/>
            <w:shd w:val="clear" w:color="auto" w:fill="465E66"/>
          </w:tcPr>
          <w:p>
            <w:pPr>
              <w:jc w:val="center"/>
              <w:ind w:right="228"/>
              <w:spacing w:after="0" w:line="158" w:lineRule="exact"/>
              <w:rPr>
                <w:sz w:val="20"/>
                <w:szCs w:val="20"/>
                <w:color w:val="auto"/>
              </w:rPr>
            </w:pPr>
            <w:r>
              <w:rPr>
                <w:rFonts w:ascii="Arial" w:cs="Arial" w:eastAsia="Arial" w:hAnsi="Arial"/>
                <w:sz w:val="14"/>
                <w:szCs w:val="14"/>
                <w:b w:val="1"/>
                <w:bCs w:val="1"/>
                <w:color w:val="FFFFFF"/>
              </w:rPr>
              <w:t>0% Achievement</w:t>
            </w:r>
          </w:p>
        </w:tc>
        <w:tc>
          <w:tcPr>
            <w:tcW w:w="280" w:type="dxa"/>
            <w:vAlign w:val="bottom"/>
            <w:shd w:val="clear" w:color="auto" w:fill="465E66"/>
          </w:tcPr>
          <w:p>
            <w:pPr>
              <w:spacing w:after="0"/>
              <w:rPr>
                <w:sz w:val="13"/>
                <w:szCs w:val="13"/>
                <w:color w:val="auto"/>
              </w:rPr>
            </w:pPr>
          </w:p>
        </w:tc>
        <w:tc>
          <w:tcPr>
            <w:tcW w:w="1960" w:type="dxa"/>
            <w:vAlign w:val="bottom"/>
            <w:tcBorders>
              <w:left w:val="single" w:sz="8" w:color="465E66"/>
            </w:tcBorders>
            <w:gridSpan w:val="2"/>
            <w:shd w:val="clear" w:color="auto" w:fill="465E66"/>
          </w:tcPr>
          <w:p>
            <w:pPr>
              <w:jc w:val="center"/>
              <w:ind w:right="228"/>
              <w:spacing w:after="0" w:line="158" w:lineRule="exact"/>
              <w:rPr>
                <w:sz w:val="20"/>
                <w:szCs w:val="20"/>
                <w:color w:val="auto"/>
              </w:rPr>
            </w:pPr>
            <w:r>
              <w:rPr>
                <w:rFonts w:ascii="Arial" w:cs="Arial" w:eastAsia="Arial" w:hAnsi="Arial"/>
                <w:sz w:val="14"/>
                <w:szCs w:val="14"/>
                <w:b w:val="1"/>
                <w:bCs w:val="1"/>
                <w:color w:val="FFFFFF"/>
              </w:rPr>
              <w:t>100% Achievement</w:t>
            </w:r>
          </w:p>
        </w:tc>
        <w:tc>
          <w:tcPr>
            <w:tcW w:w="280" w:type="dxa"/>
            <w:vAlign w:val="bottom"/>
            <w:shd w:val="clear" w:color="auto" w:fill="465E66"/>
          </w:tcPr>
          <w:p>
            <w:pPr>
              <w:spacing w:after="0"/>
              <w:rPr>
                <w:sz w:val="13"/>
                <w:szCs w:val="13"/>
                <w:color w:val="auto"/>
              </w:rPr>
            </w:pPr>
          </w:p>
        </w:tc>
        <w:tc>
          <w:tcPr>
            <w:tcW w:w="80" w:type="dxa"/>
            <w:vAlign w:val="bottom"/>
            <w:shd w:val="clear" w:color="auto" w:fill="465E66"/>
          </w:tcPr>
          <w:p>
            <w:pPr>
              <w:spacing w:after="0"/>
              <w:rPr>
                <w:sz w:val="13"/>
                <w:szCs w:val="13"/>
                <w:color w:val="auto"/>
              </w:rPr>
            </w:pPr>
          </w:p>
        </w:tc>
        <w:tc>
          <w:tcPr>
            <w:tcW w:w="1820" w:type="dxa"/>
            <w:vAlign w:val="bottom"/>
            <w:gridSpan w:val="2"/>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Annual Results</w:t>
            </w:r>
          </w:p>
        </w:tc>
        <w:tc>
          <w:tcPr>
            <w:tcW w:w="1800" w:type="dxa"/>
            <w:vAlign w:val="bottom"/>
            <w:shd w:val="clear" w:color="auto" w:fill="465E66"/>
          </w:tcPr>
          <w:p>
            <w:pPr>
              <w:jc w:val="center"/>
              <w:spacing w:after="0" w:line="158" w:lineRule="exact"/>
              <w:rPr>
                <w:sz w:val="20"/>
                <w:szCs w:val="20"/>
                <w:color w:val="auto"/>
              </w:rPr>
            </w:pPr>
            <w:r>
              <w:rPr>
                <w:rFonts w:ascii="Arial" w:cs="Arial" w:eastAsia="Arial" w:hAnsi="Arial"/>
                <w:sz w:val="14"/>
                <w:szCs w:val="14"/>
                <w:b w:val="1"/>
                <w:bCs w:val="1"/>
                <w:color w:val="FFFFFF"/>
              </w:rPr>
              <w:t>Sum Total of Four</w:t>
            </w:r>
          </w:p>
        </w:tc>
        <w:tc>
          <w:tcPr>
            <w:tcW w:w="0" w:type="dxa"/>
            <w:vAlign w:val="bottom"/>
          </w:tcPr>
          <w:p>
            <w:pPr>
              <w:spacing w:after="0"/>
              <w:rPr>
                <w:sz w:val="1"/>
                <w:szCs w:val="1"/>
                <w:color w:val="auto"/>
              </w:rPr>
            </w:pPr>
          </w:p>
        </w:tc>
      </w:tr>
      <w:tr>
        <w:trPr>
          <w:trHeight w:val="189"/>
        </w:trPr>
        <w:tc>
          <w:tcPr>
            <w:tcW w:w="2680" w:type="dxa"/>
            <w:vAlign w:val="bottom"/>
            <w:vMerge w:val="continue"/>
            <w:shd w:val="clear" w:color="auto" w:fill="465E66"/>
          </w:tcPr>
          <w:p>
            <w:pPr>
              <w:spacing w:after="0"/>
              <w:rPr>
                <w:sz w:val="16"/>
                <w:szCs w:val="16"/>
                <w:color w:val="auto"/>
              </w:rPr>
            </w:pPr>
          </w:p>
        </w:tc>
        <w:tc>
          <w:tcPr>
            <w:tcW w:w="280" w:type="dxa"/>
            <w:vAlign w:val="bottom"/>
            <w:shd w:val="clear" w:color="auto" w:fill="465E66"/>
          </w:tcPr>
          <w:p>
            <w:pPr>
              <w:spacing w:after="0"/>
              <w:rPr>
                <w:sz w:val="16"/>
                <w:szCs w:val="16"/>
                <w:color w:val="auto"/>
              </w:rPr>
            </w:pPr>
          </w:p>
        </w:tc>
        <w:tc>
          <w:tcPr>
            <w:tcW w:w="420" w:type="dxa"/>
            <w:vAlign w:val="bottom"/>
            <w:tcBorders>
              <w:left w:val="single" w:sz="8" w:color="465E66"/>
            </w:tcBorders>
            <w:shd w:val="clear" w:color="auto" w:fill="465E66"/>
          </w:tcPr>
          <w:p>
            <w:pPr>
              <w:spacing w:after="0"/>
              <w:rPr>
                <w:sz w:val="16"/>
                <w:szCs w:val="16"/>
                <w:color w:val="auto"/>
              </w:rPr>
            </w:pPr>
          </w:p>
        </w:tc>
        <w:tc>
          <w:tcPr>
            <w:tcW w:w="1540" w:type="dxa"/>
            <w:vAlign w:val="bottom"/>
            <w:shd w:val="clear" w:color="auto" w:fill="465E66"/>
          </w:tcPr>
          <w:p>
            <w:pPr>
              <w:jc w:val="center"/>
              <w:ind w:right="648"/>
              <w:spacing w:after="0"/>
              <w:rPr>
                <w:sz w:val="20"/>
                <w:szCs w:val="20"/>
                <w:color w:val="auto"/>
              </w:rPr>
            </w:pPr>
            <w:r>
              <w:rPr>
                <w:rFonts w:ascii="Arial" w:cs="Arial" w:eastAsia="Arial" w:hAnsi="Arial"/>
                <w:sz w:val="14"/>
                <w:szCs w:val="14"/>
                <w:b w:val="1"/>
                <w:bCs w:val="1"/>
                <w:color w:val="FFFFFF"/>
              </w:rPr>
              <w:t>(Threshold)</w:t>
            </w:r>
          </w:p>
        </w:tc>
        <w:tc>
          <w:tcPr>
            <w:tcW w:w="280" w:type="dxa"/>
            <w:vAlign w:val="bottom"/>
            <w:shd w:val="clear" w:color="auto" w:fill="465E66"/>
          </w:tcPr>
          <w:p>
            <w:pPr>
              <w:spacing w:after="0"/>
              <w:rPr>
                <w:sz w:val="16"/>
                <w:szCs w:val="16"/>
                <w:color w:val="auto"/>
              </w:rPr>
            </w:pPr>
          </w:p>
        </w:tc>
        <w:tc>
          <w:tcPr>
            <w:tcW w:w="420" w:type="dxa"/>
            <w:vAlign w:val="bottom"/>
            <w:tcBorders>
              <w:left w:val="single" w:sz="8" w:color="465E66"/>
            </w:tcBorders>
            <w:shd w:val="clear" w:color="auto" w:fill="465E66"/>
          </w:tcPr>
          <w:p>
            <w:pPr>
              <w:spacing w:after="0"/>
              <w:rPr>
                <w:sz w:val="16"/>
                <w:szCs w:val="16"/>
                <w:color w:val="auto"/>
              </w:rPr>
            </w:pPr>
          </w:p>
        </w:tc>
        <w:tc>
          <w:tcPr>
            <w:tcW w:w="1540" w:type="dxa"/>
            <w:vAlign w:val="bottom"/>
            <w:shd w:val="clear" w:color="auto" w:fill="465E66"/>
          </w:tcPr>
          <w:p>
            <w:pPr>
              <w:jc w:val="center"/>
              <w:ind w:right="648"/>
              <w:spacing w:after="0"/>
              <w:rPr>
                <w:sz w:val="20"/>
                <w:szCs w:val="20"/>
                <w:color w:val="auto"/>
              </w:rPr>
            </w:pPr>
            <w:r>
              <w:rPr>
                <w:rFonts w:ascii="Arial" w:cs="Arial" w:eastAsia="Arial" w:hAnsi="Arial"/>
                <w:sz w:val="14"/>
                <w:szCs w:val="14"/>
                <w:b w:val="1"/>
                <w:bCs w:val="1"/>
                <w:color w:val="FFFFFF"/>
              </w:rPr>
              <w:t>(Target)</w:t>
            </w:r>
          </w:p>
        </w:tc>
        <w:tc>
          <w:tcPr>
            <w:tcW w:w="280" w:type="dxa"/>
            <w:vAlign w:val="bottom"/>
            <w:shd w:val="clear" w:color="auto" w:fill="465E66"/>
          </w:tcPr>
          <w:p>
            <w:pPr>
              <w:spacing w:after="0"/>
              <w:rPr>
                <w:sz w:val="16"/>
                <w:szCs w:val="16"/>
                <w:color w:val="auto"/>
              </w:rPr>
            </w:pPr>
          </w:p>
        </w:tc>
        <w:tc>
          <w:tcPr>
            <w:tcW w:w="80" w:type="dxa"/>
            <w:vAlign w:val="bottom"/>
            <w:shd w:val="clear" w:color="auto" w:fill="465E66"/>
          </w:tcPr>
          <w:p>
            <w:pPr>
              <w:spacing w:after="0"/>
              <w:rPr>
                <w:sz w:val="16"/>
                <w:szCs w:val="16"/>
                <w:color w:val="auto"/>
              </w:rPr>
            </w:pPr>
          </w:p>
        </w:tc>
        <w:tc>
          <w:tcPr>
            <w:tcW w:w="1820" w:type="dxa"/>
            <w:vAlign w:val="bottom"/>
            <w:gridSpan w:val="2"/>
            <w:vMerge w:val="continue"/>
            <w:shd w:val="clear" w:color="auto" w:fill="465E66"/>
          </w:tcPr>
          <w:p>
            <w:pPr>
              <w:spacing w:after="0"/>
              <w:rPr>
                <w:sz w:val="16"/>
                <w:szCs w:val="16"/>
                <w:color w:val="auto"/>
              </w:rPr>
            </w:pPr>
          </w:p>
        </w:tc>
        <w:tc>
          <w:tcPr>
            <w:tcW w:w="18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Quarters)(3)</w:t>
            </w:r>
          </w:p>
        </w:tc>
        <w:tc>
          <w:tcPr>
            <w:tcW w:w="0" w:type="dxa"/>
            <w:vAlign w:val="bottom"/>
          </w:tcPr>
          <w:p>
            <w:pPr>
              <w:spacing w:after="0"/>
              <w:rPr>
                <w:sz w:val="1"/>
                <w:szCs w:val="1"/>
                <w:color w:val="auto"/>
              </w:rPr>
            </w:pPr>
          </w:p>
        </w:tc>
      </w:tr>
      <w:tr>
        <w:trPr>
          <w:trHeight w:val="229"/>
        </w:trPr>
        <w:tc>
          <w:tcPr>
            <w:tcW w:w="2680" w:type="dxa"/>
            <w:vAlign w:val="bottom"/>
            <w:shd w:val="clear" w:color="auto" w:fill="DBDBDB"/>
          </w:tcPr>
          <w:p>
            <w:pPr>
              <w:spacing w:after="0"/>
              <w:rPr>
                <w:sz w:val="19"/>
                <w:szCs w:val="19"/>
                <w:color w:val="auto"/>
              </w:rPr>
            </w:pP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Company: $8.24 billion</w:t>
            </w: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Company: $8.68 billion</w:t>
            </w:r>
          </w:p>
        </w:tc>
        <w:tc>
          <w:tcPr>
            <w:tcW w:w="218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$8.25 billion</w:t>
            </w:r>
          </w:p>
        </w:tc>
        <w:tc>
          <w:tcPr>
            <w:tcW w:w="18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48%</w:t>
            </w:r>
          </w:p>
        </w:tc>
        <w:tc>
          <w:tcPr>
            <w:tcW w:w="0" w:type="dxa"/>
            <w:vAlign w:val="bottom"/>
          </w:tcPr>
          <w:p>
            <w:pPr>
              <w:spacing w:after="0"/>
              <w:rPr>
                <w:sz w:val="1"/>
                <w:szCs w:val="1"/>
                <w:color w:val="auto"/>
              </w:rPr>
            </w:pPr>
          </w:p>
        </w:tc>
      </w:tr>
      <w:tr>
        <w:trPr>
          <w:trHeight w:val="20"/>
        </w:trPr>
        <w:tc>
          <w:tcPr>
            <w:tcW w:w="268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DBDBDB"/>
          </w:tcPr>
          <w:p>
            <w:pPr>
              <w:spacing w:after="0" w:line="20" w:lineRule="exact"/>
              <w:rPr>
                <w:sz w:val="1"/>
                <w:szCs w:val="1"/>
                <w:color w:val="auto"/>
              </w:rPr>
            </w:pPr>
          </w:p>
        </w:tc>
        <w:tc>
          <w:tcPr>
            <w:tcW w:w="18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w w:val="70"/>
              </w:rPr>
              <w:t>PSG</w:t>
            </w:r>
          </w:p>
        </w:tc>
        <w:tc>
          <w:tcPr>
            <w:tcW w:w="1960" w:type="dxa"/>
            <w:vAlign w:val="bottom"/>
            <w:tcBorders>
              <w:left w:val="single" w:sz="8" w:color="DBDBDB"/>
              <w:bottom w:val="single" w:sz="8" w:color="DBDBDB"/>
            </w:tcBorders>
            <w:gridSpan w:val="2"/>
            <w:shd w:val="clear" w:color="auto" w:fill="DBDBDB"/>
          </w:tcPr>
          <w:p>
            <w:pPr>
              <w:ind w:left="60"/>
              <w:spacing w:after="0"/>
              <w:rPr>
                <w:sz w:val="20"/>
                <w:szCs w:val="20"/>
                <w:color w:val="auto"/>
              </w:rPr>
            </w:pPr>
            <w:r>
              <w:rPr>
                <w:rFonts w:ascii="Arial" w:cs="Arial" w:eastAsia="Arial" w:hAnsi="Arial"/>
                <w:sz w:val="16"/>
                <w:szCs w:val="16"/>
                <w:color w:val="auto"/>
              </w:rPr>
              <w:t>: $4.28 billion</w:t>
            </w:r>
          </w:p>
        </w:tc>
        <w:tc>
          <w:tcPr>
            <w:tcW w:w="2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w w:val="70"/>
              </w:rPr>
              <w:t>PSG</w:t>
            </w:r>
          </w:p>
        </w:tc>
        <w:tc>
          <w:tcPr>
            <w:tcW w:w="1960" w:type="dxa"/>
            <w:vAlign w:val="bottom"/>
            <w:tcBorders>
              <w:left w:val="single" w:sz="8" w:color="DBDBDB"/>
              <w:bottom w:val="single" w:sz="8" w:color="DBDBDB"/>
            </w:tcBorders>
            <w:gridSpan w:val="2"/>
            <w:shd w:val="clear" w:color="auto" w:fill="DBDBDB"/>
          </w:tcPr>
          <w:p>
            <w:pPr>
              <w:ind w:left="60"/>
              <w:spacing w:after="0"/>
              <w:rPr>
                <w:sz w:val="20"/>
                <w:szCs w:val="20"/>
                <w:color w:val="auto"/>
              </w:rPr>
            </w:pPr>
            <w:r>
              <w:rPr>
                <w:rFonts w:ascii="Arial" w:cs="Arial" w:eastAsia="Arial" w:hAnsi="Arial"/>
                <w:sz w:val="16"/>
                <w:szCs w:val="16"/>
                <w:color w:val="auto"/>
              </w:rPr>
              <w:t>: $4.51 billion</w:t>
            </w:r>
          </w:p>
        </w:tc>
        <w:tc>
          <w:tcPr>
            <w:tcW w:w="3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rPr>
              <w:t>PSG</w:t>
            </w:r>
          </w:p>
        </w:tc>
        <w:tc>
          <w:tcPr>
            <w:tcW w:w="18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$4.45 billion</w:t>
            </w:r>
          </w:p>
        </w:tc>
        <w:tc>
          <w:tcPr>
            <w:tcW w:w="18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08"/>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 of NEO Financial Goals)</w:t>
            </w:r>
          </w:p>
        </w:tc>
        <w:tc>
          <w:tcPr>
            <w:tcW w:w="2240" w:type="dxa"/>
            <w:vAlign w:val="bottom"/>
            <w:gridSpan w:val="3"/>
            <w:vMerge w:val="restart"/>
            <w:shd w:val="clear" w:color="auto" w:fill="DBDBDB"/>
          </w:tcPr>
          <w:p>
            <w:pPr>
              <w:spacing w:after="0"/>
              <w:rPr>
                <w:sz w:val="20"/>
                <w:szCs w:val="20"/>
                <w:color w:val="auto"/>
              </w:rPr>
            </w:pPr>
            <w:r>
              <w:rPr>
                <w:rFonts w:ascii="Arial" w:cs="Arial" w:eastAsia="Arial" w:hAnsi="Arial"/>
                <w:sz w:val="16"/>
                <w:szCs w:val="16"/>
                <w:color w:val="auto"/>
              </w:rPr>
              <w:t>ISG: $1.45 billion</w:t>
            </w:r>
          </w:p>
        </w:tc>
        <w:tc>
          <w:tcPr>
            <w:tcW w:w="2240" w:type="dxa"/>
            <w:vAlign w:val="bottom"/>
            <w:gridSpan w:val="3"/>
            <w:vMerge w:val="restart"/>
            <w:shd w:val="clear" w:color="auto" w:fill="DBDBDB"/>
          </w:tcPr>
          <w:p>
            <w:pPr>
              <w:spacing w:after="0"/>
              <w:rPr>
                <w:sz w:val="20"/>
                <w:szCs w:val="20"/>
                <w:color w:val="auto"/>
              </w:rPr>
            </w:pPr>
            <w:r>
              <w:rPr>
                <w:rFonts w:ascii="Arial" w:cs="Arial" w:eastAsia="Arial" w:hAnsi="Arial"/>
                <w:sz w:val="16"/>
                <w:szCs w:val="16"/>
                <w:color w:val="auto"/>
              </w:rPr>
              <w:t>ISG: $1.53 billion</w:t>
            </w:r>
          </w:p>
        </w:tc>
        <w:tc>
          <w:tcPr>
            <w:tcW w:w="218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$1.32 billion</w:t>
            </w:r>
          </w:p>
        </w:tc>
        <w:tc>
          <w:tcPr>
            <w:tcW w:w="18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2"/>
        </w:trPr>
        <w:tc>
          <w:tcPr>
            <w:tcW w:w="2680" w:type="dxa"/>
            <w:vAlign w:val="bottom"/>
            <w:shd w:val="clear" w:color="auto" w:fill="DBDBDB"/>
          </w:tcPr>
          <w:p>
            <w:pPr>
              <w:spacing w:after="0"/>
              <w:rPr>
                <w:sz w:val="3"/>
                <w:szCs w:val="3"/>
                <w:color w:val="auto"/>
              </w:rPr>
            </w:pPr>
          </w:p>
        </w:tc>
        <w:tc>
          <w:tcPr>
            <w:tcW w:w="2240" w:type="dxa"/>
            <w:vAlign w:val="bottom"/>
            <w:gridSpan w:val="3"/>
            <w:vMerge w:val="continue"/>
            <w:shd w:val="clear" w:color="auto" w:fill="DBDBDB"/>
          </w:tcPr>
          <w:p>
            <w:pPr>
              <w:spacing w:after="0"/>
              <w:rPr>
                <w:sz w:val="3"/>
                <w:szCs w:val="3"/>
                <w:color w:val="auto"/>
              </w:rPr>
            </w:pPr>
          </w:p>
        </w:tc>
        <w:tc>
          <w:tcPr>
            <w:tcW w:w="2240" w:type="dxa"/>
            <w:vAlign w:val="bottom"/>
            <w:gridSpan w:val="3"/>
            <w:vMerge w:val="continue"/>
            <w:shd w:val="clear" w:color="auto" w:fill="DBDBDB"/>
          </w:tcPr>
          <w:p>
            <w:pPr>
              <w:spacing w:after="0"/>
              <w:rPr>
                <w:sz w:val="3"/>
                <w:szCs w:val="3"/>
                <w:color w:val="auto"/>
              </w:rPr>
            </w:pPr>
          </w:p>
        </w:tc>
        <w:tc>
          <w:tcPr>
            <w:tcW w:w="2180" w:type="dxa"/>
            <w:vAlign w:val="bottom"/>
            <w:gridSpan w:val="4"/>
            <w:vMerge w:val="continue"/>
            <w:shd w:val="clear" w:color="auto" w:fill="DBDBDB"/>
          </w:tcPr>
          <w:p>
            <w:pPr>
              <w:spacing w:after="0"/>
              <w:rPr>
                <w:sz w:val="3"/>
                <w:szCs w:val="3"/>
                <w:color w:val="auto"/>
              </w:rPr>
            </w:pPr>
          </w:p>
        </w:tc>
        <w:tc>
          <w:tcPr>
            <w:tcW w:w="1800" w:type="dxa"/>
            <w:vAlign w:val="bottom"/>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DBDBDB"/>
            </w:tcBorders>
            <w:shd w:val="clear" w:color="auto" w:fill="DBDBDB"/>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DBDBDB"/>
            </w:tcBorders>
            <w:shd w:val="clear" w:color="auto" w:fill="DBDBDB"/>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340" w:type="dxa"/>
            <w:vAlign w:val="bottom"/>
            <w:shd w:val="clear" w:color="auto" w:fill="DBDBDB"/>
          </w:tcPr>
          <w:p>
            <w:pPr>
              <w:spacing w:after="0" w:line="20" w:lineRule="exact"/>
              <w:rPr>
                <w:sz w:val="1"/>
                <w:szCs w:val="1"/>
                <w:color w:val="auto"/>
              </w:rPr>
            </w:pPr>
          </w:p>
        </w:tc>
        <w:tc>
          <w:tcPr>
            <w:tcW w:w="1480" w:type="dxa"/>
            <w:vAlign w:val="bottom"/>
            <w:shd w:val="clear" w:color="auto" w:fill="DBDBDB"/>
          </w:tcPr>
          <w:p>
            <w:pPr>
              <w:spacing w:after="0" w:line="20" w:lineRule="exact"/>
              <w:rPr>
                <w:sz w:val="1"/>
                <w:szCs w:val="1"/>
                <w:color w:val="auto"/>
              </w:rPr>
            </w:pPr>
          </w:p>
        </w:tc>
        <w:tc>
          <w:tcPr>
            <w:tcW w:w="18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shd w:val="clear" w:color="auto" w:fill="DBDBDB"/>
          </w:tcPr>
          <w:p>
            <w:pPr>
              <w:spacing w:after="0"/>
              <w:rPr>
                <w:sz w:val="21"/>
                <w:szCs w:val="21"/>
                <w:color w:val="auto"/>
              </w:rPr>
            </w:pP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ASG: $2.51 billion</w:t>
            </w: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ASG: $2.64 billion</w:t>
            </w:r>
          </w:p>
        </w:tc>
        <w:tc>
          <w:tcPr>
            <w:tcW w:w="218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ASG: $2.49 billion</w:t>
            </w:r>
          </w:p>
        </w:tc>
        <w:tc>
          <w:tcPr>
            <w:tcW w:w="18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
        </w:trPr>
        <w:tc>
          <w:tcPr>
            <w:tcW w:w="26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42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42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1480" w:type="dxa"/>
            <w:vAlign w:val="bottom"/>
            <w:tcBorders>
              <w:top w:val="single" w:sz="8" w:color="DBDBDB"/>
            </w:tcBorders>
            <w:shd w:val="clear" w:color="auto" w:fill="DBDBDB"/>
          </w:tcPr>
          <w:p>
            <w:pPr>
              <w:spacing w:after="0" w:line="20" w:lineRule="exact"/>
              <w:rPr>
                <w:sz w:val="1"/>
                <w:szCs w:val="1"/>
                <w:color w:val="auto"/>
              </w:rPr>
            </w:pPr>
          </w:p>
        </w:tc>
        <w:tc>
          <w:tcPr>
            <w:tcW w:w="18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tcPr>
          <w:p>
            <w:pPr>
              <w:spacing w:after="0"/>
              <w:rPr>
                <w:sz w:val="19"/>
                <w:szCs w:val="19"/>
                <w:color w:val="auto"/>
              </w:rPr>
            </w:pPr>
          </w:p>
        </w:tc>
        <w:tc>
          <w:tcPr>
            <w:tcW w:w="2240" w:type="dxa"/>
            <w:vAlign w:val="bottom"/>
            <w:gridSpan w:val="3"/>
          </w:tcPr>
          <w:p>
            <w:pPr>
              <w:spacing w:after="0"/>
              <w:rPr>
                <w:sz w:val="20"/>
                <w:szCs w:val="20"/>
                <w:color w:val="auto"/>
              </w:rPr>
            </w:pPr>
            <w:r>
              <w:rPr>
                <w:rFonts w:ascii="Arial" w:cs="Arial" w:eastAsia="Arial" w:hAnsi="Arial"/>
                <w:sz w:val="16"/>
                <w:szCs w:val="16"/>
                <w:color w:val="auto"/>
              </w:rPr>
              <w:t>Company: 46.0%</w:t>
            </w:r>
          </w:p>
        </w:tc>
        <w:tc>
          <w:tcPr>
            <w:tcW w:w="2240" w:type="dxa"/>
            <w:vAlign w:val="bottom"/>
            <w:gridSpan w:val="3"/>
          </w:tcPr>
          <w:p>
            <w:pPr>
              <w:spacing w:after="0"/>
              <w:rPr>
                <w:sz w:val="20"/>
                <w:szCs w:val="20"/>
                <w:color w:val="auto"/>
              </w:rPr>
            </w:pPr>
            <w:r>
              <w:rPr>
                <w:rFonts w:ascii="Arial" w:cs="Arial" w:eastAsia="Arial" w:hAnsi="Arial"/>
                <w:sz w:val="16"/>
                <w:szCs w:val="16"/>
                <w:color w:val="auto"/>
              </w:rPr>
              <w:t>Company: 47.0%</w:t>
            </w:r>
          </w:p>
        </w:tc>
        <w:tc>
          <w:tcPr>
            <w:tcW w:w="2180" w:type="dxa"/>
            <w:vAlign w:val="bottom"/>
            <w:gridSpan w:val="4"/>
          </w:tcPr>
          <w:p>
            <w:pPr>
              <w:spacing w:after="0"/>
              <w:rPr>
                <w:sz w:val="20"/>
                <w:szCs w:val="20"/>
                <w:color w:val="auto"/>
              </w:rPr>
            </w:pPr>
            <w:r>
              <w:rPr>
                <w:rFonts w:ascii="Arial" w:cs="Arial" w:eastAsia="Arial" w:hAnsi="Arial"/>
                <w:sz w:val="16"/>
                <w:szCs w:val="16"/>
                <w:color w:val="auto"/>
              </w:rPr>
              <w:t>Company: 47.1%</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Pr>
          <w:p>
            <w:pPr>
              <w:ind w:left="20"/>
              <w:spacing w:after="0"/>
              <w:rPr>
                <w:sz w:val="20"/>
                <w:szCs w:val="20"/>
                <w:color w:val="auto"/>
              </w:rPr>
            </w:pPr>
            <w:r>
              <w:rPr>
                <w:rFonts w:ascii="Arial" w:cs="Arial" w:eastAsia="Arial" w:hAnsi="Arial"/>
                <w:sz w:val="16"/>
                <w:szCs w:val="16"/>
                <w:color w:val="auto"/>
              </w:rPr>
              <w:t>Non-GAAP Gross Margin (1)</w:t>
            </w: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70"/>
              </w:rPr>
              <w:t>PSG</w:t>
            </w:r>
          </w:p>
        </w:tc>
        <w:tc>
          <w:tcPr>
            <w:tcW w:w="1960" w:type="dxa"/>
            <w:vAlign w:val="bottom"/>
            <w:gridSpan w:val="2"/>
          </w:tcPr>
          <w:p>
            <w:pPr>
              <w:ind w:left="60"/>
              <w:spacing w:after="0"/>
              <w:rPr>
                <w:sz w:val="20"/>
                <w:szCs w:val="20"/>
                <w:color w:val="auto"/>
              </w:rPr>
            </w:pPr>
            <w:r>
              <w:rPr>
                <w:rFonts w:ascii="Arial" w:cs="Arial" w:eastAsia="Arial" w:hAnsi="Arial"/>
                <w:sz w:val="16"/>
                <w:szCs w:val="16"/>
                <w:color w:val="auto"/>
              </w:rPr>
              <w:t>: 44.0%</w:t>
            </w: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70"/>
              </w:rPr>
              <w:t>PSG</w:t>
            </w:r>
          </w:p>
        </w:tc>
        <w:tc>
          <w:tcPr>
            <w:tcW w:w="1960" w:type="dxa"/>
            <w:vAlign w:val="bottom"/>
            <w:gridSpan w:val="2"/>
          </w:tcPr>
          <w:p>
            <w:pPr>
              <w:ind w:left="60"/>
              <w:spacing w:after="0"/>
              <w:rPr>
                <w:sz w:val="20"/>
                <w:szCs w:val="20"/>
                <w:color w:val="auto"/>
              </w:rPr>
            </w:pPr>
            <w:r>
              <w:rPr>
                <w:rFonts w:ascii="Arial" w:cs="Arial" w:eastAsia="Arial" w:hAnsi="Arial"/>
                <w:sz w:val="16"/>
                <w:szCs w:val="16"/>
                <w:color w:val="auto"/>
              </w:rPr>
              <w:t>: 45.0%</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PSG</w:t>
            </w:r>
          </w:p>
        </w:tc>
        <w:tc>
          <w:tcPr>
            <w:tcW w:w="1820" w:type="dxa"/>
            <w:vAlign w:val="bottom"/>
            <w:gridSpan w:val="2"/>
          </w:tcPr>
          <w:p>
            <w:pPr>
              <w:spacing w:after="0"/>
              <w:rPr>
                <w:sz w:val="20"/>
                <w:szCs w:val="20"/>
                <w:color w:val="auto"/>
              </w:rPr>
            </w:pPr>
            <w:r>
              <w:rPr>
                <w:rFonts w:ascii="Arial" w:cs="Arial" w:eastAsia="Arial" w:hAnsi="Arial"/>
                <w:sz w:val="16"/>
                <w:szCs w:val="16"/>
                <w:color w:val="auto"/>
              </w:rPr>
              <w:t>: 47.5%</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90%</w:t>
            </w:r>
          </w:p>
        </w:tc>
        <w:tc>
          <w:tcPr>
            <w:tcW w:w="0" w:type="dxa"/>
            <w:vAlign w:val="bottom"/>
          </w:tcPr>
          <w:p>
            <w:pPr>
              <w:spacing w:after="0"/>
              <w:rPr>
                <w:sz w:val="1"/>
                <w:szCs w:val="1"/>
                <w:color w:val="auto"/>
              </w:rPr>
            </w:pPr>
          </w:p>
        </w:tc>
      </w:tr>
      <w:tr>
        <w:trPr>
          <w:trHeight w:val="208"/>
        </w:trPr>
        <w:tc>
          <w:tcPr>
            <w:tcW w:w="2680" w:type="dxa"/>
            <w:vAlign w:val="bottom"/>
          </w:tcPr>
          <w:p>
            <w:pPr>
              <w:ind w:left="20"/>
              <w:spacing w:after="0"/>
              <w:rPr>
                <w:sz w:val="20"/>
                <w:szCs w:val="20"/>
                <w:color w:val="auto"/>
              </w:rPr>
            </w:pPr>
            <w:r>
              <w:rPr>
                <w:rFonts w:ascii="Arial" w:cs="Arial" w:eastAsia="Arial" w:hAnsi="Arial"/>
                <w:sz w:val="16"/>
                <w:szCs w:val="16"/>
                <w:color w:val="auto"/>
              </w:rPr>
              <w:t>(40% of NEO Financial Goals)</w:t>
            </w:r>
          </w:p>
        </w:tc>
        <w:tc>
          <w:tcPr>
            <w:tcW w:w="2240" w:type="dxa"/>
            <w:vAlign w:val="bottom"/>
            <w:gridSpan w:val="3"/>
            <w:vMerge w:val="restart"/>
          </w:tcPr>
          <w:p>
            <w:pPr>
              <w:spacing w:after="0"/>
              <w:rPr>
                <w:sz w:val="20"/>
                <w:szCs w:val="20"/>
                <w:color w:val="auto"/>
              </w:rPr>
            </w:pPr>
            <w:r>
              <w:rPr>
                <w:rFonts w:ascii="Arial" w:cs="Arial" w:eastAsia="Arial" w:hAnsi="Arial"/>
                <w:sz w:val="16"/>
                <w:szCs w:val="16"/>
                <w:color w:val="auto"/>
              </w:rPr>
              <w:t>ISG: 47.8%</w:t>
            </w:r>
          </w:p>
        </w:tc>
        <w:tc>
          <w:tcPr>
            <w:tcW w:w="2240" w:type="dxa"/>
            <w:vAlign w:val="bottom"/>
            <w:gridSpan w:val="3"/>
            <w:vMerge w:val="restart"/>
          </w:tcPr>
          <w:p>
            <w:pPr>
              <w:spacing w:after="0"/>
              <w:rPr>
                <w:sz w:val="20"/>
                <w:szCs w:val="20"/>
                <w:color w:val="auto"/>
              </w:rPr>
            </w:pPr>
            <w:r>
              <w:rPr>
                <w:rFonts w:ascii="Arial" w:cs="Arial" w:eastAsia="Arial" w:hAnsi="Arial"/>
                <w:sz w:val="16"/>
                <w:szCs w:val="16"/>
                <w:color w:val="auto"/>
              </w:rPr>
              <w:t>ISG: 48.8%</w:t>
            </w:r>
          </w:p>
        </w:tc>
        <w:tc>
          <w:tcPr>
            <w:tcW w:w="2180" w:type="dxa"/>
            <w:vAlign w:val="bottom"/>
            <w:gridSpan w:val="4"/>
            <w:vMerge w:val="restart"/>
          </w:tcPr>
          <w:p>
            <w:pPr>
              <w:spacing w:after="0"/>
              <w:rPr>
                <w:sz w:val="20"/>
                <w:szCs w:val="20"/>
                <w:color w:val="auto"/>
              </w:rPr>
            </w:pPr>
            <w:r>
              <w:rPr>
                <w:rFonts w:ascii="Arial" w:cs="Arial" w:eastAsia="Arial" w:hAnsi="Arial"/>
                <w:sz w:val="16"/>
                <w:szCs w:val="16"/>
                <w:color w:val="auto"/>
              </w:rPr>
              <w:t>ISG: 48.7%</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9"/>
              </w:rPr>
              <w:t>78%</w:t>
            </w:r>
          </w:p>
        </w:tc>
        <w:tc>
          <w:tcPr>
            <w:tcW w:w="0" w:type="dxa"/>
            <w:vAlign w:val="bottom"/>
          </w:tcPr>
          <w:p>
            <w:pPr>
              <w:spacing w:after="0"/>
              <w:rPr>
                <w:sz w:val="1"/>
                <w:szCs w:val="1"/>
                <w:color w:val="auto"/>
              </w:rPr>
            </w:pPr>
          </w:p>
        </w:tc>
      </w:tr>
      <w:tr>
        <w:trPr>
          <w:trHeight w:val="42"/>
        </w:trPr>
        <w:tc>
          <w:tcPr>
            <w:tcW w:w="268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2180" w:type="dxa"/>
            <w:vAlign w:val="bottom"/>
            <w:gridSpan w:val="4"/>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Pr>
          <w:p>
            <w:pPr>
              <w:spacing w:after="0"/>
              <w:rPr>
                <w:sz w:val="21"/>
                <w:szCs w:val="21"/>
                <w:color w:val="auto"/>
              </w:rPr>
            </w:pPr>
          </w:p>
        </w:tc>
        <w:tc>
          <w:tcPr>
            <w:tcW w:w="2240" w:type="dxa"/>
            <w:vAlign w:val="bottom"/>
            <w:gridSpan w:val="3"/>
          </w:tcPr>
          <w:p>
            <w:pPr>
              <w:spacing w:after="0"/>
              <w:rPr>
                <w:sz w:val="20"/>
                <w:szCs w:val="20"/>
                <w:color w:val="auto"/>
              </w:rPr>
            </w:pPr>
            <w:r>
              <w:rPr>
                <w:rFonts w:ascii="Arial" w:cs="Arial" w:eastAsia="Arial" w:hAnsi="Arial"/>
                <w:sz w:val="16"/>
                <w:szCs w:val="16"/>
                <w:color w:val="auto"/>
              </w:rPr>
              <w:t>ASG: 51.3%</w:t>
            </w:r>
          </w:p>
        </w:tc>
        <w:tc>
          <w:tcPr>
            <w:tcW w:w="2240" w:type="dxa"/>
            <w:vAlign w:val="bottom"/>
            <w:gridSpan w:val="3"/>
          </w:tcPr>
          <w:p>
            <w:pPr>
              <w:spacing w:after="0"/>
              <w:rPr>
                <w:sz w:val="20"/>
                <w:szCs w:val="20"/>
                <w:color w:val="auto"/>
              </w:rPr>
            </w:pPr>
            <w:r>
              <w:rPr>
                <w:rFonts w:ascii="Arial" w:cs="Arial" w:eastAsia="Arial" w:hAnsi="Arial"/>
                <w:sz w:val="16"/>
                <w:szCs w:val="16"/>
                <w:color w:val="auto"/>
              </w:rPr>
              <w:t>ASG: 52.3%</w:t>
            </w:r>
          </w:p>
        </w:tc>
        <w:tc>
          <w:tcPr>
            <w:tcW w:w="2180" w:type="dxa"/>
            <w:vAlign w:val="bottom"/>
            <w:gridSpan w:val="4"/>
          </w:tcPr>
          <w:p>
            <w:pPr>
              <w:spacing w:after="0"/>
              <w:rPr>
                <w:sz w:val="20"/>
                <w:szCs w:val="20"/>
                <w:color w:val="auto"/>
              </w:rPr>
            </w:pPr>
            <w:r>
              <w:rPr>
                <w:rFonts w:ascii="Arial" w:cs="Arial" w:eastAsia="Arial" w:hAnsi="Arial"/>
                <w:sz w:val="16"/>
                <w:szCs w:val="16"/>
                <w:color w:val="auto"/>
              </w:rPr>
              <w:t>ASG: 52.5%</w:t>
            </w: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DBDBDB"/>
          </w:tcPr>
          <w:p>
            <w:pPr>
              <w:spacing w:after="0"/>
              <w:rPr>
                <w:sz w:val="19"/>
                <w:szCs w:val="19"/>
                <w:color w:val="auto"/>
              </w:rPr>
            </w:pP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Company: $1,275 million</w:t>
            </w:r>
          </w:p>
        </w:tc>
        <w:tc>
          <w:tcPr>
            <w:tcW w:w="2240" w:type="dxa"/>
            <w:vAlign w:val="bottom"/>
            <w:gridSpan w:val="3"/>
            <w:shd w:val="clear" w:color="auto" w:fill="DBDBDB"/>
          </w:tcPr>
          <w:p>
            <w:pPr>
              <w:spacing w:after="0"/>
              <w:rPr>
                <w:sz w:val="20"/>
                <w:szCs w:val="20"/>
                <w:color w:val="auto"/>
              </w:rPr>
            </w:pPr>
            <w:r>
              <w:rPr>
                <w:rFonts w:ascii="Arial" w:cs="Arial" w:eastAsia="Arial" w:hAnsi="Arial"/>
                <w:sz w:val="16"/>
                <w:szCs w:val="16"/>
                <w:color w:val="auto"/>
              </w:rPr>
              <w:t>Company: $1,250 million</w:t>
            </w:r>
          </w:p>
        </w:tc>
        <w:tc>
          <w:tcPr>
            <w:tcW w:w="2180" w:type="dxa"/>
            <w:vAlign w:val="bottom"/>
            <w:gridSpan w:val="4"/>
            <w:shd w:val="clear" w:color="auto" w:fill="DBDBDB"/>
          </w:tcPr>
          <w:p>
            <w:pPr>
              <w:spacing w:after="0"/>
              <w:rPr>
                <w:sz w:val="20"/>
                <w:szCs w:val="20"/>
                <w:color w:val="auto"/>
              </w:rPr>
            </w:pPr>
            <w:r>
              <w:rPr>
                <w:rFonts w:ascii="Arial" w:cs="Arial" w:eastAsia="Arial" w:hAnsi="Arial"/>
                <w:sz w:val="16"/>
                <w:szCs w:val="16"/>
                <w:color w:val="auto"/>
              </w:rPr>
              <w:t>Company: $1,220 million</w:t>
            </w:r>
          </w:p>
        </w:tc>
        <w:tc>
          <w:tcPr>
            <w:tcW w:w="18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r>
        <w:trPr>
          <w:trHeight w:val="20"/>
        </w:trPr>
        <w:tc>
          <w:tcPr>
            <w:tcW w:w="268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DBDBDB"/>
          </w:tcPr>
          <w:p>
            <w:pPr>
              <w:spacing w:after="0" w:line="20" w:lineRule="exact"/>
              <w:rPr>
                <w:sz w:val="1"/>
                <w:szCs w:val="1"/>
                <w:color w:val="auto"/>
              </w:rPr>
            </w:pPr>
          </w:p>
        </w:tc>
        <w:tc>
          <w:tcPr>
            <w:tcW w:w="18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Non-GAAP Operating Expense (2)</w:t>
            </w:r>
          </w:p>
        </w:tc>
        <w:tc>
          <w:tcPr>
            <w:tcW w:w="2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w w:val="70"/>
              </w:rPr>
              <w:t>PSG</w:t>
            </w:r>
          </w:p>
        </w:tc>
        <w:tc>
          <w:tcPr>
            <w:tcW w:w="1960" w:type="dxa"/>
            <w:vAlign w:val="bottom"/>
            <w:tcBorders>
              <w:left w:val="single" w:sz="8" w:color="DBDBDB"/>
              <w:bottom w:val="single" w:sz="8" w:color="DBDBDB"/>
            </w:tcBorders>
            <w:gridSpan w:val="2"/>
            <w:shd w:val="clear" w:color="auto" w:fill="DBDBDB"/>
          </w:tcPr>
          <w:p>
            <w:pPr>
              <w:ind w:left="60"/>
              <w:spacing w:after="0"/>
              <w:rPr>
                <w:sz w:val="20"/>
                <w:szCs w:val="20"/>
                <w:color w:val="auto"/>
              </w:rPr>
            </w:pPr>
            <w:r>
              <w:rPr>
                <w:rFonts w:ascii="Arial" w:cs="Arial" w:eastAsia="Arial" w:hAnsi="Arial"/>
                <w:sz w:val="16"/>
                <w:szCs w:val="16"/>
                <w:color w:val="auto"/>
              </w:rPr>
              <w:t>: $511 million</w:t>
            </w:r>
          </w:p>
        </w:tc>
        <w:tc>
          <w:tcPr>
            <w:tcW w:w="2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w w:val="70"/>
              </w:rPr>
              <w:t>PSG</w:t>
            </w:r>
          </w:p>
        </w:tc>
        <w:tc>
          <w:tcPr>
            <w:tcW w:w="1960" w:type="dxa"/>
            <w:vAlign w:val="bottom"/>
            <w:tcBorders>
              <w:left w:val="single" w:sz="8" w:color="DBDBDB"/>
              <w:bottom w:val="single" w:sz="8" w:color="DBDBDB"/>
            </w:tcBorders>
            <w:gridSpan w:val="2"/>
            <w:shd w:val="clear" w:color="auto" w:fill="DBDBDB"/>
          </w:tcPr>
          <w:p>
            <w:pPr>
              <w:ind w:left="60"/>
              <w:spacing w:after="0"/>
              <w:rPr>
                <w:sz w:val="20"/>
                <w:szCs w:val="20"/>
                <w:color w:val="auto"/>
              </w:rPr>
            </w:pPr>
            <w:r>
              <w:rPr>
                <w:rFonts w:ascii="Arial" w:cs="Arial" w:eastAsia="Arial" w:hAnsi="Arial"/>
                <w:sz w:val="16"/>
                <w:szCs w:val="16"/>
                <w:color w:val="auto"/>
              </w:rPr>
              <w:t>: $501 million</w:t>
            </w:r>
          </w:p>
        </w:tc>
        <w:tc>
          <w:tcPr>
            <w:tcW w:w="3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rPr>
              <w:t>PSG</w:t>
            </w:r>
          </w:p>
        </w:tc>
        <w:tc>
          <w:tcPr>
            <w:tcW w:w="18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 $489 million</w:t>
            </w:r>
          </w:p>
        </w:tc>
        <w:tc>
          <w:tcPr>
            <w:tcW w:w="18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08"/>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(40% of NEO Financial Goals)</w:t>
            </w:r>
          </w:p>
        </w:tc>
        <w:tc>
          <w:tcPr>
            <w:tcW w:w="2240" w:type="dxa"/>
            <w:vAlign w:val="bottom"/>
            <w:gridSpan w:val="3"/>
            <w:vMerge w:val="restart"/>
            <w:shd w:val="clear" w:color="auto" w:fill="DBDBDB"/>
          </w:tcPr>
          <w:p>
            <w:pPr>
              <w:spacing w:after="0"/>
              <w:rPr>
                <w:sz w:val="20"/>
                <w:szCs w:val="20"/>
                <w:color w:val="auto"/>
              </w:rPr>
            </w:pPr>
            <w:r>
              <w:rPr>
                <w:rFonts w:ascii="Arial" w:cs="Arial" w:eastAsia="Arial" w:hAnsi="Arial"/>
                <w:sz w:val="16"/>
                <w:szCs w:val="16"/>
                <w:color w:val="auto"/>
              </w:rPr>
              <w:t>ISG: $290 million</w:t>
            </w:r>
          </w:p>
        </w:tc>
        <w:tc>
          <w:tcPr>
            <w:tcW w:w="2240" w:type="dxa"/>
            <w:vAlign w:val="bottom"/>
            <w:gridSpan w:val="3"/>
            <w:vMerge w:val="restart"/>
            <w:shd w:val="clear" w:color="auto" w:fill="DBDBDB"/>
          </w:tcPr>
          <w:p>
            <w:pPr>
              <w:spacing w:after="0"/>
              <w:rPr>
                <w:sz w:val="20"/>
                <w:szCs w:val="20"/>
                <w:color w:val="auto"/>
              </w:rPr>
            </w:pPr>
            <w:r>
              <w:rPr>
                <w:rFonts w:ascii="Arial" w:cs="Arial" w:eastAsia="Arial" w:hAnsi="Arial"/>
                <w:sz w:val="16"/>
                <w:szCs w:val="16"/>
                <w:color w:val="auto"/>
              </w:rPr>
              <w:t>ISG: $284 million</w:t>
            </w:r>
          </w:p>
        </w:tc>
        <w:tc>
          <w:tcPr>
            <w:tcW w:w="2180" w:type="dxa"/>
            <w:vAlign w:val="bottom"/>
            <w:gridSpan w:val="4"/>
            <w:vMerge w:val="restart"/>
            <w:shd w:val="clear" w:color="auto" w:fill="DBDBDB"/>
          </w:tcPr>
          <w:p>
            <w:pPr>
              <w:spacing w:after="0"/>
              <w:rPr>
                <w:sz w:val="20"/>
                <w:szCs w:val="20"/>
                <w:color w:val="auto"/>
              </w:rPr>
            </w:pPr>
            <w:r>
              <w:rPr>
                <w:rFonts w:ascii="Arial" w:cs="Arial" w:eastAsia="Arial" w:hAnsi="Arial"/>
                <w:sz w:val="16"/>
                <w:szCs w:val="16"/>
                <w:color w:val="auto"/>
              </w:rPr>
              <w:t>ISG: $275 million</w:t>
            </w:r>
          </w:p>
        </w:tc>
        <w:tc>
          <w:tcPr>
            <w:tcW w:w="18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2"/>
        </w:trPr>
        <w:tc>
          <w:tcPr>
            <w:tcW w:w="2680" w:type="dxa"/>
            <w:vAlign w:val="bottom"/>
            <w:shd w:val="clear" w:color="auto" w:fill="DBDBDB"/>
          </w:tcPr>
          <w:p>
            <w:pPr>
              <w:spacing w:after="0"/>
              <w:rPr>
                <w:sz w:val="3"/>
                <w:szCs w:val="3"/>
                <w:color w:val="auto"/>
              </w:rPr>
            </w:pPr>
          </w:p>
        </w:tc>
        <w:tc>
          <w:tcPr>
            <w:tcW w:w="2240" w:type="dxa"/>
            <w:vAlign w:val="bottom"/>
            <w:gridSpan w:val="3"/>
            <w:vMerge w:val="continue"/>
            <w:shd w:val="clear" w:color="auto" w:fill="DBDBDB"/>
          </w:tcPr>
          <w:p>
            <w:pPr>
              <w:spacing w:after="0"/>
              <w:rPr>
                <w:sz w:val="3"/>
                <w:szCs w:val="3"/>
                <w:color w:val="auto"/>
              </w:rPr>
            </w:pPr>
          </w:p>
        </w:tc>
        <w:tc>
          <w:tcPr>
            <w:tcW w:w="2240" w:type="dxa"/>
            <w:vAlign w:val="bottom"/>
            <w:gridSpan w:val="3"/>
            <w:vMerge w:val="continue"/>
            <w:shd w:val="clear" w:color="auto" w:fill="DBDBDB"/>
          </w:tcPr>
          <w:p>
            <w:pPr>
              <w:spacing w:after="0"/>
              <w:rPr>
                <w:sz w:val="3"/>
                <w:szCs w:val="3"/>
                <w:color w:val="auto"/>
              </w:rPr>
            </w:pPr>
          </w:p>
        </w:tc>
        <w:tc>
          <w:tcPr>
            <w:tcW w:w="2180" w:type="dxa"/>
            <w:vAlign w:val="bottom"/>
            <w:gridSpan w:val="4"/>
            <w:vMerge w:val="continue"/>
            <w:shd w:val="clear" w:color="auto" w:fill="DBDBDB"/>
          </w:tcPr>
          <w:p>
            <w:pPr>
              <w:spacing w:after="0"/>
              <w:rPr>
                <w:sz w:val="3"/>
                <w:szCs w:val="3"/>
                <w:color w:val="auto"/>
              </w:rPr>
            </w:pPr>
          </w:p>
        </w:tc>
        <w:tc>
          <w:tcPr>
            <w:tcW w:w="1800" w:type="dxa"/>
            <w:vAlign w:val="bottom"/>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DBDBDB"/>
            </w:tcBorders>
            <w:shd w:val="clear" w:color="auto" w:fill="DBDBDB"/>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DBDBDB"/>
            </w:tcBorders>
            <w:shd w:val="clear" w:color="auto" w:fill="DBDBDB"/>
          </w:tcPr>
          <w:p>
            <w:pPr>
              <w:spacing w:after="0" w:line="20" w:lineRule="exact"/>
              <w:rPr>
                <w:sz w:val="1"/>
                <w:szCs w:val="1"/>
                <w:color w:val="auto"/>
              </w:rPr>
            </w:pPr>
          </w:p>
        </w:tc>
        <w:tc>
          <w:tcPr>
            <w:tcW w:w="1540" w:type="dxa"/>
            <w:vAlign w:val="bottom"/>
            <w:shd w:val="clear" w:color="auto" w:fill="DBDBD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340" w:type="dxa"/>
            <w:vAlign w:val="bottom"/>
            <w:shd w:val="clear" w:color="auto" w:fill="DBDBDB"/>
          </w:tcPr>
          <w:p>
            <w:pPr>
              <w:spacing w:after="0" w:line="20" w:lineRule="exact"/>
              <w:rPr>
                <w:sz w:val="1"/>
                <w:szCs w:val="1"/>
                <w:color w:val="auto"/>
              </w:rPr>
            </w:pPr>
          </w:p>
        </w:tc>
        <w:tc>
          <w:tcPr>
            <w:tcW w:w="1480" w:type="dxa"/>
            <w:vAlign w:val="bottom"/>
            <w:shd w:val="clear" w:color="auto" w:fill="DBDBDB"/>
          </w:tcPr>
          <w:p>
            <w:pPr>
              <w:spacing w:after="0" w:line="20" w:lineRule="exact"/>
              <w:rPr>
                <w:sz w:val="1"/>
                <w:szCs w:val="1"/>
                <w:color w:val="auto"/>
              </w:rPr>
            </w:pPr>
          </w:p>
        </w:tc>
        <w:tc>
          <w:tcPr>
            <w:tcW w:w="18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80" w:type="dxa"/>
            <w:vAlign w:val="bottom"/>
            <w:tcBorders>
              <w:bottom w:val="single" w:sz="8" w:color="auto"/>
            </w:tcBorders>
            <w:shd w:val="clear" w:color="auto" w:fill="DBDBDB"/>
          </w:tcPr>
          <w:p>
            <w:pPr>
              <w:spacing w:after="0"/>
              <w:rPr>
                <w:sz w:val="24"/>
                <w:szCs w:val="24"/>
                <w:color w:val="auto"/>
              </w:rPr>
            </w:pPr>
          </w:p>
        </w:tc>
        <w:tc>
          <w:tcPr>
            <w:tcW w:w="22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6"/>
                <w:szCs w:val="16"/>
                <w:color w:val="auto"/>
              </w:rPr>
              <w:t>ASG: $475 million</w:t>
            </w:r>
          </w:p>
        </w:tc>
        <w:tc>
          <w:tcPr>
            <w:tcW w:w="224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6"/>
                <w:szCs w:val="16"/>
                <w:color w:val="auto"/>
              </w:rPr>
              <w:t>ASG: $466 million</w:t>
            </w:r>
          </w:p>
        </w:tc>
        <w:tc>
          <w:tcPr>
            <w:tcW w:w="21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6"/>
                <w:szCs w:val="16"/>
                <w:color w:val="auto"/>
              </w:rPr>
              <w:t>ASG: $456 million</w:t>
            </w:r>
          </w:p>
        </w:tc>
        <w:tc>
          <w:tcPr>
            <w:tcW w:w="18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hanging="332"/>
        <w:spacing w:after="0" w:line="251" w:lineRule="auto"/>
        <w:tabs>
          <w:tab w:leader="none" w:pos="247"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Non-GAAP gross margin is calculated as disclosed in our earnings releases, except with respect to the ASG-specific NEO Financial Goal, which excludes the impact of higher-than-anticipated manufacturing costs at our EFK fab, which we acquired on January 1, 2023. Please see the Appendix for a reconciliation.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Non-GAAP operating expense is calculated as disclosed in our earnings releases.</w:t>
      </w:r>
    </w:p>
    <w:p>
      <w:pPr>
        <w:spacing w:after="0" w:line="1" w:lineRule="exact"/>
        <w:rPr>
          <w:rFonts w:ascii="Arial" w:cs="Arial" w:eastAsia="Arial" w:hAnsi="Arial"/>
          <w:sz w:val="14"/>
          <w:szCs w:val="14"/>
          <w:color w:val="auto"/>
        </w:rPr>
      </w:pPr>
    </w:p>
    <w:p>
      <w:pPr>
        <w:jc w:val="both"/>
        <w:ind w:left="260" w:hanging="252"/>
        <w:spacing w:after="0" w:line="252" w:lineRule="auto"/>
        <w:tabs>
          <w:tab w:leader="none" w:pos="241"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Although the Company and two business units (PSG and ASG) exceeded their 2023 gross margin targets, none of our NEOs earned 100% of possible points on that goal given that each missed one or more quarterly targets. Similarly, although results on the operating expense goal for the Company and each business unit exceeded target, only ISG fully achieved that goal in each of the four quarters to earn 100% of the possible points for that goal.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each of Messrs. El-Khoury and Trent, each of the NEO Financial Goals was measured against Company-wide results (69.5% in the aggregate). For each of our other NEOs, his NEO Financial Goals was measured against the results for his specific business unit (Mr. Keeton – PSG, 71% aggregate score; Mr. Jatou – ISG, 71% aggregate score; and Mr. Gopalswamy – ASG, 50% aggregate score).</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auto"/>
        </w:rPr>
        <w:t>The NEO Strategic Goals</w:t>
      </w:r>
      <w:r>
        <w:rPr>
          <w:rFonts w:ascii="Arial" w:cs="Arial" w:eastAsia="Arial" w:hAnsi="Arial"/>
          <w:sz w:val="18"/>
          <w:szCs w:val="18"/>
          <w:color w:val="auto"/>
        </w:rPr>
        <w:t xml:space="preserve"> – this portion, which represents the other 50% of the Individual Goal achievement percentage, is composed of between four and 10 additional metrics and targets specifically tailored to each NEO’s role, area of oversight and strategic focus, including financial and non-financial goals and other metrics based on the definition and deployment of management’s strategy and the planning and execution of certain transformation initiatives, including ESG, new product, quality improvement, human capital and operational initiatives. Mr. Gopalswamy, who transitioned from the role of Chief Strategy Officer to General Manager of ASG mid-year, was evaluated on strategic goals specific to his Chief Strategy Officer role for the first quarter but assumed ASG-specific strategic goals for the remainder of the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NEO Strategic Goals were scored: (i) for certain binary metrics, at either 0% or 100% attainment without linear interpolation between the</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attainment levels, or (ii) at up to 100% attainment, with linear interpolation for attainment between the threshold and target levels. Like the NEO Financial Goals, each NEO Strategic Goal was scored separately and each was weighted with a specific point value based on its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strategic importance and/or the level of complexity involved in achieving the goal. Particular scoring metrics used to determine whether a given target had been achieved were also established at the time the 2023 STI program was approved. Following the end of the year, the HCC Committee evaluated performance against these metrics, and after considering the CEO’s recommendations regarding performance of each NEO, including himself, determined each NEO’s Individual Goal achievement percentage, as follows:</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800" w:type="dxa"/>
            <w:vAlign w:val="bottom"/>
            <w:shd w:val="clear" w:color="auto" w:fill="465E66"/>
          </w:tcPr>
          <w:p>
            <w:pPr>
              <w:spacing w:after="0"/>
              <w:rPr>
                <w:sz w:val="14"/>
                <w:szCs w:val="14"/>
                <w:color w:val="auto"/>
              </w:rPr>
            </w:pPr>
          </w:p>
        </w:tc>
        <w:tc>
          <w:tcPr>
            <w:tcW w:w="1980" w:type="dxa"/>
            <w:vAlign w:val="bottom"/>
            <w:vMerge w:val="restart"/>
            <w:shd w:val="clear" w:color="auto" w:fill="465E66"/>
          </w:tcPr>
          <w:p>
            <w:pPr>
              <w:jc w:val="center"/>
              <w:ind w:left="22"/>
              <w:spacing w:after="0"/>
              <w:rPr>
                <w:sz w:val="20"/>
                <w:szCs w:val="20"/>
                <w:color w:val="auto"/>
              </w:rPr>
            </w:pPr>
            <w:r>
              <w:rPr>
                <w:rFonts w:ascii="Arial" w:cs="Arial" w:eastAsia="Arial" w:hAnsi="Arial"/>
                <w:sz w:val="14"/>
                <w:szCs w:val="14"/>
                <w:b w:val="1"/>
                <w:bCs w:val="1"/>
                <w:color w:val="FFFFFF"/>
              </w:rPr>
              <w:t>NEO Financial Goals</w:t>
            </w:r>
          </w:p>
        </w:tc>
        <w:tc>
          <w:tcPr>
            <w:tcW w:w="17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NEO Strategic Goals</w:t>
            </w:r>
          </w:p>
        </w:tc>
        <w:tc>
          <w:tcPr>
            <w:tcW w:w="19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Final Individual Goal</w:t>
            </w:r>
          </w:p>
        </w:tc>
        <w:tc>
          <w:tcPr>
            <w:tcW w:w="33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Combined Payout Percentage</w:t>
            </w:r>
          </w:p>
        </w:tc>
        <w:tc>
          <w:tcPr>
            <w:tcW w:w="0" w:type="dxa"/>
            <w:vAlign w:val="bottom"/>
          </w:tcPr>
          <w:p>
            <w:pPr>
              <w:spacing w:after="0"/>
              <w:rPr>
                <w:sz w:val="1"/>
                <w:szCs w:val="1"/>
                <w:color w:val="auto"/>
              </w:rPr>
            </w:pPr>
          </w:p>
        </w:tc>
      </w:tr>
      <w:tr>
        <w:trPr>
          <w:trHeight w:val="144"/>
        </w:trPr>
        <w:tc>
          <w:tcPr>
            <w:tcW w:w="180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w:t>
            </w:r>
          </w:p>
        </w:tc>
        <w:tc>
          <w:tcPr>
            <w:tcW w:w="1980" w:type="dxa"/>
            <w:vAlign w:val="bottom"/>
            <w:vMerge w:val="continue"/>
            <w:shd w:val="clear" w:color="auto" w:fill="465E66"/>
          </w:tcPr>
          <w:p>
            <w:pPr>
              <w:spacing w:after="0"/>
              <w:rPr>
                <w:sz w:val="12"/>
                <w:szCs w:val="12"/>
                <w:color w:val="auto"/>
              </w:rPr>
            </w:pPr>
          </w:p>
        </w:tc>
        <w:tc>
          <w:tcPr>
            <w:tcW w:w="1780" w:type="dxa"/>
            <w:vAlign w:val="bottom"/>
            <w:vMerge w:val="continue"/>
            <w:shd w:val="clear" w:color="auto" w:fill="465E66"/>
          </w:tcPr>
          <w:p>
            <w:pPr>
              <w:spacing w:after="0"/>
              <w:rPr>
                <w:sz w:val="12"/>
                <w:szCs w:val="12"/>
                <w:color w:val="auto"/>
              </w:rPr>
            </w:pPr>
          </w:p>
        </w:tc>
        <w:tc>
          <w:tcPr>
            <w:tcW w:w="1940" w:type="dxa"/>
            <w:vAlign w:val="bottom"/>
            <w:vMerge w:val="continue"/>
            <w:shd w:val="clear" w:color="auto" w:fill="465E66"/>
          </w:tcPr>
          <w:p>
            <w:pPr>
              <w:spacing w:after="0"/>
              <w:rPr>
                <w:sz w:val="12"/>
                <w:szCs w:val="12"/>
                <w:color w:val="auto"/>
              </w:rPr>
            </w:pPr>
          </w:p>
        </w:tc>
        <w:tc>
          <w:tcPr>
            <w:tcW w:w="332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Final Individual Goal Achievement x Corporate</w:t>
            </w:r>
          </w:p>
        </w:tc>
        <w:tc>
          <w:tcPr>
            <w:tcW w:w="0" w:type="dxa"/>
            <w:vAlign w:val="bottom"/>
          </w:tcPr>
          <w:p>
            <w:pPr>
              <w:spacing w:after="0"/>
              <w:rPr>
                <w:sz w:val="1"/>
                <w:szCs w:val="1"/>
                <w:color w:val="auto"/>
              </w:rPr>
            </w:pPr>
          </w:p>
        </w:tc>
      </w:tr>
      <w:tr>
        <w:trPr>
          <w:trHeight w:val="189"/>
        </w:trPr>
        <w:tc>
          <w:tcPr>
            <w:tcW w:w="1800" w:type="dxa"/>
            <w:vAlign w:val="bottom"/>
            <w:vMerge w:val="continue"/>
            <w:shd w:val="clear" w:color="auto" w:fill="465E66"/>
          </w:tcPr>
          <w:p>
            <w:pPr>
              <w:spacing w:after="0"/>
              <w:rPr>
                <w:sz w:val="16"/>
                <w:szCs w:val="16"/>
                <w:color w:val="auto"/>
              </w:rPr>
            </w:pPr>
          </w:p>
        </w:tc>
        <w:tc>
          <w:tcPr>
            <w:tcW w:w="1980" w:type="dxa"/>
            <w:vAlign w:val="bottom"/>
            <w:shd w:val="clear" w:color="auto" w:fill="465E66"/>
          </w:tcPr>
          <w:p>
            <w:pPr>
              <w:jc w:val="center"/>
              <w:ind w:left="22"/>
              <w:spacing w:after="0"/>
              <w:rPr>
                <w:sz w:val="20"/>
                <w:szCs w:val="20"/>
                <w:color w:val="auto"/>
              </w:rPr>
            </w:pPr>
            <w:r>
              <w:rPr>
                <w:rFonts w:ascii="Arial" w:cs="Arial" w:eastAsia="Arial" w:hAnsi="Arial"/>
                <w:sz w:val="14"/>
                <w:szCs w:val="14"/>
                <w:color w:val="FFFFFF"/>
              </w:rPr>
              <w:t>(50% weighting)</w:t>
            </w:r>
          </w:p>
        </w:tc>
        <w:tc>
          <w:tcPr>
            <w:tcW w:w="1780" w:type="dxa"/>
            <w:vAlign w:val="bottom"/>
            <w:shd w:val="clear" w:color="auto" w:fill="465E66"/>
          </w:tcPr>
          <w:p>
            <w:pPr>
              <w:jc w:val="center"/>
              <w:spacing w:after="0"/>
              <w:rPr>
                <w:sz w:val="20"/>
                <w:szCs w:val="20"/>
                <w:color w:val="auto"/>
              </w:rPr>
            </w:pPr>
            <w:r>
              <w:rPr>
                <w:rFonts w:ascii="Arial" w:cs="Arial" w:eastAsia="Arial" w:hAnsi="Arial"/>
                <w:sz w:val="14"/>
                <w:szCs w:val="14"/>
                <w:color w:val="FFFFFF"/>
              </w:rPr>
              <w:t>(50% weighting)</w:t>
            </w:r>
          </w:p>
        </w:tc>
        <w:tc>
          <w:tcPr>
            <w:tcW w:w="19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Achievement Percentage</w:t>
            </w:r>
          </w:p>
        </w:tc>
        <w:tc>
          <w:tcPr>
            <w:tcW w:w="33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Multiplier (64.1%)</w:t>
            </w:r>
          </w:p>
        </w:tc>
        <w:tc>
          <w:tcPr>
            <w:tcW w:w="0" w:type="dxa"/>
            <w:vAlign w:val="bottom"/>
          </w:tcPr>
          <w:p>
            <w:pPr>
              <w:spacing w:after="0"/>
              <w:rPr>
                <w:sz w:val="1"/>
                <w:szCs w:val="1"/>
                <w:color w:val="auto"/>
              </w:rPr>
            </w:pPr>
          </w:p>
        </w:tc>
      </w:tr>
      <w:tr>
        <w:trPr>
          <w:trHeight w:val="216"/>
        </w:trPr>
        <w:tc>
          <w:tcPr>
            <w:tcW w:w="1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98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69.50%</w:t>
            </w:r>
          </w:p>
        </w:tc>
        <w:tc>
          <w:tcPr>
            <w:tcW w:w="1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97.66%</w:t>
            </w:r>
          </w:p>
        </w:tc>
        <w:tc>
          <w:tcPr>
            <w:tcW w:w="1940" w:type="dxa"/>
            <w:vAlign w:val="bottom"/>
            <w:shd w:val="clear" w:color="auto" w:fill="DBDBDB"/>
          </w:tcPr>
          <w:p>
            <w:pPr>
              <w:jc w:val="center"/>
              <w:ind w:left="2"/>
              <w:spacing w:after="0"/>
              <w:rPr>
                <w:sz w:val="20"/>
                <w:szCs w:val="20"/>
                <w:color w:val="auto"/>
              </w:rPr>
            </w:pPr>
            <w:r>
              <w:rPr>
                <w:rFonts w:ascii="Arial" w:cs="Arial" w:eastAsia="Arial" w:hAnsi="Arial"/>
                <w:sz w:val="16"/>
                <w:szCs w:val="16"/>
                <w:color w:val="auto"/>
                <w:w w:val="99"/>
              </w:rPr>
              <w:t>83.58%</w:t>
            </w:r>
          </w:p>
        </w:tc>
        <w:tc>
          <w:tcPr>
            <w:tcW w:w="33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53.57%</w:t>
            </w: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980" w:type="dxa"/>
            <w:vAlign w:val="bottom"/>
          </w:tcPr>
          <w:p>
            <w:pPr>
              <w:jc w:val="center"/>
              <w:ind w:left="22"/>
              <w:spacing w:after="0"/>
              <w:rPr>
                <w:sz w:val="20"/>
                <w:szCs w:val="20"/>
                <w:color w:val="auto"/>
              </w:rPr>
            </w:pPr>
            <w:r>
              <w:rPr>
                <w:rFonts w:ascii="Arial" w:cs="Arial" w:eastAsia="Arial" w:hAnsi="Arial"/>
                <w:sz w:val="16"/>
                <w:szCs w:val="16"/>
                <w:color w:val="auto"/>
              </w:rPr>
              <w:t>69.50%</w:t>
            </w:r>
          </w:p>
        </w:tc>
        <w:tc>
          <w:tcPr>
            <w:tcW w:w="1780" w:type="dxa"/>
            <w:vAlign w:val="bottom"/>
          </w:tcPr>
          <w:p>
            <w:pPr>
              <w:jc w:val="center"/>
              <w:spacing w:after="0"/>
              <w:rPr>
                <w:sz w:val="20"/>
                <w:szCs w:val="20"/>
                <w:color w:val="auto"/>
              </w:rPr>
            </w:pPr>
            <w:r>
              <w:rPr>
                <w:rFonts w:ascii="Arial" w:cs="Arial" w:eastAsia="Arial" w:hAnsi="Arial"/>
                <w:sz w:val="16"/>
                <w:szCs w:val="16"/>
                <w:color w:val="auto"/>
              </w:rPr>
              <w:t>100.00%</w:t>
            </w:r>
          </w:p>
        </w:tc>
        <w:tc>
          <w:tcPr>
            <w:tcW w:w="1940" w:type="dxa"/>
            <w:vAlign w:val="bottom"/>
          </w:tcPr>
          <w:p>
            <w:pPr>
              <w:jc w:val="center"/>
              <w:ind w:left="2"/>
              <w:spacing w:after="0"/>
              <w:rPr>
                <w:sz w:val="20"/>
                <w:szCs w:val="20"/>
                <w:color w:val="auto"/>
              </w:rPr>
            </w:pPr>
            <w:r>
              <w:rPr>
                <w:rFonts w:ascii="Arial" w:cs="Arial" w:eastAsia="Arial" w:hAnsi="Arial"/>
                <w:sz w:val="16"/>
                <w:szCs w:val="16"/>
                <w:color w:val="auto"/>
                <w:w w:val="99"/>
              </w:rPr>
              <w:t>84.75%</w:t>
            </w:r>
          </w:p>
        </w:tc>
        <w:tc>
          <w:tcPr>
            <w:tcW w:w="3320" w:type="dxa"/>
            <w:vAlign w:val="bottom"/>
          </w:tcPr>
          <w:p>
            <w:pPr>
              <w:jc w:val="center"/>
              <w:spacing w:after="0"/>
              <w:rPr>
                <w:sz w:val="20"/>
                <w:szCs w:val="20"/>
                <w:color w:val="auto"/>
              </w:rPr>
            </w:pPr>
            <w:r>
              <w:rPr>
                <w:rFonts w:ascii="Arial" w:cs="Arial" w:eastAsia="Arial" w:hAnsi="Arial"/>
                <w:sz w:val="16"/>
                <w:szCs w:val="16"/>
                <w:color w:val="auto"/>
                <w:w w:val="99"/>
              </w:rPr>
              <w:t>54.32%</w:t>
            </w:r>
          </w:p>
        </w:tc>
        <w:tc>
          <w:tcPr>
            <w:tcW w:w="0" w:type="dxa"/>
            <w:vAlign w:val="bottom"/>
          </w:tcPr>
          <w:p>
            <w:pPr>
              <w:spacing w:after="0"/>
              <w:rPr>
                <w:sz w:val="1"/>
                <w:szCs w:val="1"/>
                <w:color w:val="auto"/>
              </w:rPr>
            </w:pPr>
          </w:p>
        </w:tc>
      </w:tr>
      <w:tr>
        <w:trPr>
          <w:trHeight w:val="217"/>
        </w:trPr>
        <w:tc>
          <w:tcPr>
            <w:tcW w:w="1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98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71.00%</w:t>
            </w:r>
          </w:p>
        </w:tc>
        <w:tc>
          <w:tcPr>
            <w:tcW w:w="17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86.68%</w:t>
            </w:r>
          </w:p>
        </w:tc>
        <w:tc>
          <w:tcPr>
            <w:tcW w:w="1940" w:type="dxa"/>
            <w:vAlign w:val="bottom"/>
            <w:shd w:val="clear" w:color="auto" w:fill="DBDBDB"/>
          </w:tcPr>
          <w:p>
            <w:pPr>
              <w:jc w:val="center"/>
              <w:ind w:left="2"/>
              <w:spacing w:after="0"/>
              <w:rPr>
                <w:sz w:val="20"/>
                <w:szCs w:val="20"/>
                <w:color w:val="auto"/>
              </w:rPr>
            </w:pPr>
            <w:r>
              <w:rPr>
                <w:rFonts w:ascii="Arial" w:cs="Arial" w:eastAsia="Arial" w:hAnsi="Arial"/>
                <w:sz w:val="16"/>
                <w:szCs w:val="16"/>
                <w:color w:val="auto"/>
                <w:w w:val="99"/>
              </w:rPr>
              <w:t>78.84%</w:t>
            </w:r>
          </w:p>
        </w:tc>
        <w:tc>
          <w:tcPr>
            <w:tcW w:w="33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50.54%</w:t>
            </w: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Sudhir Gopalswamy</w:t>
            </w:r>
          </w:p>
        </w:tc>
        <w:tc>
          <w:tcPr>
            <w:tcW w:w="1980" w:type="dxa"/>
            <w:vAlign w:val="bottom"/>
          </w:tcPr>
          <w:p>
            <w:pPr>
              <w:jc w:val="center"/>
              <w:ind w:left="22"/>
              <w:spacing w:after="0"/>
              <w:rPr>
                <w:sz w:val="20"/>
                <w:szCs w:val="20"/>
                <w:color w:val="auto"/>
              </w:rPr>
            </w:pPr>
            <w:r>
              <w:rPr>
                <w:rFonts w:ascii="Arial" w:cs="Arial" w:eastAsia="Arial" w:hAnsi="Arial"/>
                <w:sz w:val="16"/>
                <w:szCs w:val="16"/>
                <w:color w:val="auto"/>
              </w:rPr>
              <w:t>50.00%</w:t>
            </w:r>
          </w:p>
        </w:tc>
        <w:tc>
          <w:tcPr>
            <w:tcW w:w="1780" w:type="dxa"/>
            <w:vAlign w:val="bottom"/>
          </w:tcPr>
          <w:p>
            <w:pPr>
              <w:jc w:val="center"/>
              <w:spacing w:after="0"/>
              <w:rPr>
                <w:sz w:val="20"/>
                <w:szCs w:val="20"/>
                <w:color w:val="auto"/>
              </w:rPr>
            </w:pPr>
            <w:r>
              <w:rPr>
                <w:rFonts w:ascii="Arial" w:cs="Arial" w:eastAsia="Arial" w:hAnsi="Arial"/>
                <w:sz w:val="16"/>
                <w:szCs w:val="16"/>
                <w:color w:val="auto"/>
              </w:rPr>
              <w:t>96.72%</w:t>
            </w:r>
          </w:p>
        </w:tc>
        <w:tc>
          <w:tcPr>
            <w:tcW w:w="1940" w:type="dxa"/>
            <w:vAlign w:val="bottom"/>
          </w:tcPr>
          <w:p>
            <w:pPr>
              <w:jc w:val="center"/>
              <w:ind w:left="2"/>
              <w:spacing w:after="0"/>
              <w:rPr>
                <w:sz w:val="20"/>
                <w:szCs w:val="20"/>
                <w:color w:val="auto"/>
              </w:rPr>
            </w:pPr>
            <w:r>
              <w:rPr>
                <w:rFonts w:ascii="Arial" w:cs="Arial" w:eastAsia="Arial" w:hAnsi="Arial"/>
                <w:sz w:val="16"/>
                <w:szCs w:val="16"/>
                <w:color w:val="auto"/>
                <w:w w:val="99"/>
              </w:rPr>
              <w:t>73.36%</w:t>
            </w:r>
          </w:p>
        </w:tc>
        <w:tc>
          <w:tcPr>
            <w:tcW w:w="3320" w:type="dxa"/>
            <w:vAlign w:val="bottom"/>
          </w:tcPr>
          <w:p>
            <w:pPr>
              <w:jc w:val="center"/>
              <w:spacing w:after="0"/>
              <w:rPr>
                <w:sz w:val="20"/>
                <w:szCs w:val="20"/>
                <w:color w:val="auto"/>
              </w:rPr>
            </w:pPr>
            <w:r>
              <w:rPr>
                <w:rFonts w:ascii="Arial" w:cs="Arial" w:eastAsia="Arial" w:hAnsi="Arial"/>
                <w:sz w:val="16"/>
                <w:szCs w:val="16"/>
                <w:color w:val="auto"/>
                <w:w w:val="99"/>
              </w:rPr>
              <w:t>47.02%</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Ross F. Jatou</w:t>
            </w:r>
          </w:p>
        </w:tc>
        <w:tc>
          <w:tcPr>
            <w:tcW w:w="1980" w:type="dxa"/>
            <w:vAlign w:val="bottom"/>
            <w:tcBorders>
              <w:bottom w:val="single" w:sz="8" w:color="auto"/>
            </w:tcBorders>
            <w:shd w:val="clear" w:color="auto" w:fill="DBDBDB"/>
          </w:tcPr>
          <w:p>
            <w:pPr>
              <w:jc w:val="center"/>
              <w:ind w:left="22"/>
              <w:spacing w:after="0"/>
              <w:rPr>
                <w:sz w:val="20"/>
                <w:szCs w:val="20"/>
                <w:color w:val="auto"/>
              </w:rPr>
            </w:pPr>
            <w:r>
              <w:rPr>
                <w:rFonts w:ascii="Arial" w:cs="Arial" w:eastAsia="Arial" w:hAnsi="Arial"/>
                <w:sz w:val="16"/>
                <w:szCs w:val="16"/>
                <w:color w:val="auto"/>
              </w:rPr>
              <w:t>71.00%</w:t>
            </w:r>
          </w:p>
        </w:tc>
        <w:tc>
          <w:tcPr>
            <w:tcW w:w="17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81.58%</w:t>
            </w:r>
          </w:p>
        </w:tc>
        <w:tc>
          <w:tcPr>
            <w:tcW w:w="1940" w:type="dxa"/>
            <w:vAlign w:val="bottom"/>
            <w:tcBorders>
              <w:bottom w:val="single" w:sz="8" w:color="auto"/>
            </w:tcBorders>
            <w:shd w:val="clear" w:color="auto" w:fill="DBDBDB"/>
          </w:tcPr>
          <w:p>
            <w:pPr>
              <w:jc w:val="center"/>
              <w:ind w:left="2"/>
              <w:spacing w:after="0"/>
              <w:rPr>
                <w:sz w:val="20"/>
                <w:szCs w:val="20"/>
                <w:color w:val="auto"/>
              </w:rPr>
            </w:pPr>
            <w:r>
              <w:rPr>
                <w:rFonts w:ascii="Arial" w:cs="Arial" w:eastAsia="Arial" w:hAnsi="Arial"/>
                <w:sz w:val="16"/>
                <w:szCs w:val="16"/>
                <w:color w:val="auto"/>
                <w:w w:val="99"/>
              </w:rPr>
              <w:t>76.29%</w:t>
            </w:r>
          </w:p>
        </w:tc>
        <w:tc>
          <w:tcPr>
            <w:tcW w:w="3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48.90%</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indicated in the chart above, each of Messrs. El-Khoury, Trent and Gopalswamy met nearly all of his NEO Strategic Goals for 2023, resulting in achievement of 96% or more on NEO Strategic Goals. For Messrs. Keeton and Jatou, who earned just under 87% and 82%,</w:t>
      </w:r>
    </w:p>
    <w:p>
      <w:pPr>
        <w:jc w:val="both"/>
        <w:spacing w:after="0" w:line="226" w:lineRule="auto"/>
        <w:rPr>
          <w:sz w:val="20"/>
          <w:szCs w:val="20"/>
          <w:color w:val="auto"/>
        </w:rPr>
      </w:pPr>
      <w:r>
        <w:rPr>
          <w:rFonts w:ascii="Arial" w:cs="Arial" w:eastAsia="Arial" w:hAnsi="Arial"/>
          <w:sz w:val="18"/>
          <w:szCs w:val="18"/>
          <w:color w:val="auto"/>
        </w:rPr>
        <w:t>respectively for their NEO Strategic Goals, the few additional points lost were primarily related to certain business unit milestones such as inventory reduction, which became more challenging than expected as our sector began experiencing softening in the second half of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noted in the chart above, the resulting Individual Goal Achievement percentages for our NEOs ranged between 73-85%.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Non-GAAP Measures</w:t>
      </w:r>
      <w:r>
        <w:rPr>
          <w:rFonts w:ascii="Arial" w:cs="Arial" w:eastAsia="Arial" w:hAnsi="Arial"/>
          <w:sz w:val="18"/>
          <w:szCs w:val="18"/>
          <w:color w:val="auto"/>
        </w:rPr>
        <w:t>. Several of the financial targets in the Corporate Multiplier and NEO Financial Goals were non-GAAP</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measures. The HCC Committee determined that non-GAAP metrics should be used for the 2023 STI program rather than GAAP metrics to prevent payments under the 2023 STI program from being significantly impacted (positively or negatively) by extraordinary or unusual events or non-cash items. The HCC Committee also considered adjustments eliminating the effect of certain non-cash items to be appropriate, believing that the adjusted numbers are a better indicator of the Company’s actual operating performance. For a reconciliation of GAAP to</w:t>
      </w:r>
    </w:p>
    <w:p>
      <w:pPr>
        <w:spacing w:after="0"/>
        <w:rPr>
          <w:sz w:val="20"/>
          <w:szCs w:val="20"/>
          <w:color w:val="auto"/>
        </w:rPr>
      </w:pPr>
      <w:r>
        <w:rPr>
          <w:rFonts w:ascii="Arial" w:cs="Arial" w:eastAsia="Arial" w:hAnsi="Arial"/>
          <w:sz w:val="18"/>
          <w:szCs w:val="18"/>
          <w:color w:val="auto"/>
        </w:rPr>
        <w:t>non-GAAP measures included in this proxy statement, please see the Appendix.</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Final Payouts under the 2023 STI Program</w:t>
      </w:r>
      <w:r>
        <w:rPr>
          <w:rFonts w:ascii="Arial" w:cs="Arial" w:eastAsia="Arial" w:hAnsi="Arial"/>
          <w:sz w:val="18"/>
          <w:szCs w:val="18"/>
          <w:color w:val="auto"/>
        </w:rPr>
        <w:t>. After evaluating all relevant performance results, the HCC Committee approved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to our NEOs under the 2023 STI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34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39" w:name="page40"/>
    <w:bookmarkEnd w:id="39"/>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20" w:type="dxa"/>
            <w:vAlign w:val="bottom"/>
            <w:shd w:val="clear" w:color="auto" w:fill="465E66"/>
          </w:tcPr>
          <w:p>
            <w:pPr>
              <w:spacing w:after="0"/>
              <w:rPr>
                <w:sz w:val="14"/>
                <w:szCs w:val="14"/>
                <w:color w:val="auto"/>
              </w:rPr>
            </w:pPr>
          </w:p>
        </w:tc>
        <w:tc>
          <w:tcPr>
            <w:tcW w:w="1820" w:type="dxa"/>
            <w:vAlign w:val="bottom"/>
            <w:vMerge w:val="restart"/>
            <w:shd w:val="clear" w:color="auto" w:fill="465E66"/>
          </w:tcPr>
          <w:p>
            <w:pPr>
              <w:ind w:left="340"/>
              <w:spacing w:after="0"/>
              <w:rPr>
                <w:sz w:val="20"/>
                <w:szCs w:val="20"/>
                <w:color w:val="auto"/>
              </w:rPr>
            </w:pPr>
            <w:r>
              <w:rPr>
                <w:rFonts w:ascii="Arial" w:cs="Arial" w:eastAsia="Arial" w:hAnsi="Arial"/>
                <w:sz w:val="14"/>
                <w:szCs w:val="14"/>
                <w:b w:val="1"/>
                <w:bCs w:val="1"/>
                <w:color w:val="FFFFFF"/>
              </w:rPr>
              <w:t>Corporate Multiplier</w:t>
            </w:r>
          </w:p>
        </w:tc>
        <w:tc>
          <w:tcPr>
            <w:tcW w:w="2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Individual Goal Achievement</w:t>
            </w:r>
          </w:p>
        </w:tc>
        <w:tc>
          <w:tcPr>
            <w:tcW w:w="1760" w:type="dxa"/>
            <w:vAlign w:val="bottom"/>
            <w:vMerge w:val="restart"/>
            <w:shd w:val="clear" w:color="auto" w:fill="465E66"/>
          </w:tcPr>
          <w:p>
            <w:pPr>
              <w:ind w:left="460"/>
              <w:spacing w:after="0"/>
              <w:rPr>
                <w:sz w:val="20"/>
                <w:szCs w:val="20"/>
                <w:color w:val="auto"/>
              </w:rPr>
            </w:pPr>
            <w:r>
              <w:rPr>
                <w:rFonts w:ascii="Arial" w:cs="Arial" w:eastAsia="Arial" w:hAnsi="Arial"/>
                <w:sz w:val="14"/>
                <w:szCs w:val="14"/>
                <w:b w:val="1"/>
                <w:bCs w:val="1"/>
                <w:color w:val="FFFFFF"/>
              </w:rPr>
              <w:t>STI Target</w:t>
            </w:r>
          </w:p>
        </w:tc>
        <w:tc>
          <w:tcPr>
            <w:tcW w:w="16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Eligible</w:t>
            </w:r>
          </w:p>
        </w:tc>
        <w:tc>
          <w:tcPr>
            <w:tcW w:w="16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Final Cash</w:t>
            </w:r>
          </w:p>
        </w:tc>
        <w:tc>
          <w:tcPr>
            <w:tcW w:w="0" w:type="dxa"/>
            <w:vAlign w:val="bottom"/>
          </w:tcPr>
          <w:p>
            <w:pPr>
              <w:spacing w:after="0"/>
              <w:rPr>
                <w:sz w:val="1"/>
                <w:szCs w:val="1"/>
                <w:color w:val="auto"/>
              </w:rPr>
            </w:pPr>
          </w:p>
        </w:tc>
      </w:tr>
      <w:tr>
        <w:trPr>
          <w:trHeight w:val="144"/>
        </w:trPr>
        <w:tc>
          <w:tcPr>
            <w:tcW w:w="182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w:t>
            </w:r>
          </w:p>
        </w:tc>
        <w:tc>
          <w:tcPr>
            <w:tcW w:w="1820" w:type="dxa"/>
            <w:vAlign w:val="bottom"/>
            <w:vMerge w:val="continue"/>
            <w:shd w:val="clear" w:color="auto" w:fill="465E66"/>
          </w:tcPr>
          <w:p>
            <w:pPr>
              <w:spacing w:after="0"/>
              <w:rPr>
                <w:sz w:val="12"/>
                <w:szCs w:val="12"/>
                <w:color w:val="auto"/>
              </w:rPr>
            </w:pPr>
          </w:p>
        </w:tc>
        <w:tc>
          <w:tcPr>
            <w:tcW w:w="2260" w:type="dxa"/>
            <w:vAlign w:val="bottom"/>
            <w:shd w:val="clear" w:color="auto" w:fill="465E66"/>
          </w:tcPr>
          <w:p>
            <w:pPr>
              <w:jc w:val="center"/>
              <w:ind w:right="2"/>
              <w:spacing w:after="0" w:line="145" w:lineRule="exact"/>
              <w:rPr>
                <w:sz w:val="20"/>
                <w:szCs w:val="20"/>
                <w:color w:val="auto"/>
              </w:rPr>
            </w:pPr>
            <w:r>
              <w:rPr>
                <w:rFonts w:ascii="Arial" w:cs="Arial" w:eastAsia="Arial" w:hAnsi="Arial"/>
                <w:sz w:val="14"/>
                <w:szCs w:val="14"/>
                <w:b w:val="1"/>
                <w:bCs w:val="1"/>
                <w:color w:val="FFFFFF"/>
              </w:rPr>
              <w:t>Percentage</w:t>
            </w:r>
          </w:p>
        </w:tc>
        <w:tc>
          <w:tcPr>
            <w:tcW w:w="1760" w:type="dxa"/>
            <w:vAlign w:val="bottom"/>
            <w:vMerge w:val="continue"/>
            <w:shd w:val="clear" w:color="auto" w:fill="465E66"/>
          </w:tcPr>
          <w:p>
            <w:pPr>
              <w:spacing w:after="0"/>
              <w:rPr>
                <w:sz w:val="12"/>
                <w:szCs w:val="12"/>
                <w:color w:val="auto"/>
              </w:rPr>
            </w:pPr>
          </w:p>
        </w:tc>
        <w:tc>
          <w:tcPr>
            <w:tcW w:w="160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Earnings (1)</w:t>
            </w:r>
          </w:p>
        </w:tc>
        <w:tc>
          <w:tcPr>
            <w:tcW w:w="168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STI Payment</w:t>
            </w:r>
          </w:p>
        </w:tc>
        <w:tc>
          <w:tcPr>
            <w:tcW w:w="0" w:type="dxa"/>
            <w:vAlign w:val="bottom"/>
          </w:tcPr>
          <w:p>
            <w:pPr>
              <w:spacing w:after="0"/>
              <w:rPr>
                <w:sz w:val="1"/>
                <w:szCs w:val="1"/>
                <w:color w:val="auto"/>
              </w:rPr>
            </w:pPr>
          </w:p>
        </w:tc>
      </w:tr>
      <w:tr>
        <w:trPr>
          <w:trHeight w:val="189"/>
        </w:trPr>
        <w:tc>
          <w:tcPr>
            <w:tcW w:w="1820" w:type="dxa"/>
            <w:vAlign w:val="bottom"/>
            <w:vMerge w:val="continue"/>
            <w:shd w:val="clear" w:color="auto" w:fill="465E66"/>
          </w:tcPr>
          <w:p>
            <w:pPr>
              <w:spacing w:after="0"/>
              <w:rPr>
                <w:sz w:val="16"/>
                <w:szCs w:val="16"/>
                <w:color w:val="auto"/>
              </w:rPr>
            </w:pPr>
          </w:p>
        </w:tc>
        <w:tc>
          <w:tcPr>
            <w:tcW w:w="1820" w:type="dxa"/>
            <w:vAlign w:val="bottom"/>
            <w:shd w:val="clear" w:color="auto" w:fill="465E66"/>
          </w:tcPr>
          <w:p>
            <w:pPr>
              <w:jc w:val="center"/>
              <w:ind w:left="162"/>
              <w:spacing w:after="0"/>
              <w:rPr>
                <w:sz w:val="20"/>
                <w:szCs w:val="20"/>
                <w:color w:val="auto"/>
              </w:rPr>
            </w:pPr>
            <w:r>
              <w:rPr>
                <w:rFonts w:ascii="Arial" w:cs="Arial" w:eastAsia="Arial" w:hAnsi="Arial"/>
                <w:sz w:val="14"/>
                <w:szCs w:val="14"/>
                <w:b w:val="1"/>
                <w:bCs w:val="1"/>
                <w:color w:val="FFFFFF"/>
              </w:rPr>
              <w:t>(%)</w:t>
            </w:r>
          </w:p>
        </w:tc>
        <w:tc>
          <w:tcPr>
            <w:tcW w:w="2260" w:type="dxa"/>
            <w:vAlign w:val="bottom"/>
            <w:shd w:val="clear" w:color="auto" w:fill="465E66"/>
          </w:tcPr>
          <w:p>
            <w:pPr>
              <w:jc w:val="center"/>
              <w:ind w:right="2"/>
              <w:spacing w:after="0"/>
              <w:rPr>
                <w:sz w:val="20"/>
                <w:szCs w:val="20"/>
                <w:color w:val="auto"/>
              </w:rPr>
            </w:pPr>
            <w:r>
              <w:rPr>
                <w:rFonts w:ascii="Arial" w:cs="Arial" w:eastAsia="Arial" w:hAnsi="Arial"/>
                <w:sz w:val="14"/>
                <w:szCs w:val="14"/>
                <w:b w:val="1"/>
                <w:bCs w:val="1"/>
                <w:color w:val="FFFFFF"/>
              </w:rPr>
              <w:t>(%)</w:t>
            </w:r>
          </w:p>
        </w:tc>
        <w:tc>
          <w:tcPr>
            <w:tcW w:w="1760" w:type="dxa"/>
            <w:vAlign w:val="bottom"/>
            <w:shd w:val="clear" w:color="auto" w:fill="465E66"/>
          </w:tcPr>
          <w:p>
            <w:pPr>
              <w:ind w:left="180"/>
              <w:spacing w:after="0"/>
              <w:rPr>
                <w:sz w:val="20"/>
                <w:szCs w:val="20"/>
                <w:color w:val="auto"/>
              </w:rPr>
            </w:pPr>
            <w:r>
              <w:rPr>
                <w:rFonts w:ascii="Arial" w:cs="Arial" w:eastAsia="Arial" w:hAnsi="Arial"/>
                <w:sz w:val="14"/>
                <w:szCs w:val="14"/>
                <w:b w:val="1"/>
                <w:bCs w:val="1"/>
                <w:color w:val="FFFFFF"/>
              </w:rPr>
              <w:t>(% of Base Salary)</w:t>
            </w:r>
          </w:p>
        </w:tc>
        <w:tc>
          <w:tcPr>
            <w:tcW w:w="16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820" w:type="dxa"/>
            <w:vAlign w:val="bottom"/>
            <w:shd w:val="clear" w:color="auto" w:fill="DBDBDB"/>
          </w:tcPr>
          <w:p>
            <w:pPr>
              <w:jc w:val="center"/>
              <w:ind w:left="162"/>
              <w:spacing w:after="0"/>
              <w:rPr>
                <w:sz w:val="20"/>
                <w:szCs w:val="20"/>
                <w:color w:val="auto"/>
              </w:rPr>
            </w:pPr>
            <w:r>
              <w:rPr>
                <w:rFonts w:ascii="Arial" w:cs="Arial" w:eastAsia="Arial" w:hAnsi="Arial"/>
                <w:sz w:val="16"/>
                <w:szCs w:val="16"/>
                <w:color w:val="auto"/>
              </w:rPr>
              <w:t>64.1%</w:t>
            </w:r>
          </w:p>
        </w:tc>
        <w:tc>
          <w:tcPr>
            <w:tcW w:w="2260" w:type="dxa"/>
            <w:vAlign w:val="bottom"/>
            <w:shd w:val="clear" w:color="auto" w:fill="DBDBDB"/>
          </w:tcPr>
          <w:p>
            <w:pPr>
              <w:jc w:val="center"/>
              <w:ind w:right="2"/>
              <w:spacing w:after="0"/>
              <w:rPr>
                <w:sz w:val="20"/>
                <w:szCs w:val="20"/>
                <w:color w:val="auto"/>
              </w:rPr>
            </w:pPr>
            <w:r>
              <w:rPr>
                <w:rFonts w:ascii="Arial" w:cs="Arial" w:eastAsia="Arial" w:hAnsi="Arial"/>
                <w:sz w:val="16"/>
                <w:szCs w:val="16"/>
                <w:color w:val="auto"/>
                <w:w w:val="99"/>
              </w:rPr>
              <w:t>83.58%</w:t>
            </w:r>
          </w:p>
        </w:tc>
        <w:tc>
          <w:tcPr>
            <w:tcW w:w="1760" w:type="dxa"/>
            <w:vAlign w:val="bottom"/>
            <w:shd w:val="clear" w:color="auto" w:fill="DBDBDB"/>
          </w:tcPr>
          <w:p>
            <w:pPr>
              <w:jc w:val="center"/>
              <w:ind w:right="82"/>
              <w:spacing w:after="0"/>
              <w:rPr>
                <w:sz w:val="20"/>
                <w:szCs w:val="20"/>
                <w:color w:val="auto"/>
              </w:rPr>
            </w:pPr>
            <w:r>
              <w:rPr>
                <w:rFonts w:ascii="Arial" w:cs="Arial" w:eastAsia="Arial" w:hAnsi="Arial"/>
                <w:sz w:val="16"/>
                <w:szCs w:val="16"/>
                <w:color w:val="auto"/>
                <w:w w:val="97"/>
              </w:rPr>
              <w:t>175%</w:t>
            </w:r>
          </w:p>
        </w:tc>
        <w:tc>
          <w:tcPr>
            <w:tcW w:w="16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1,130,769</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1,060,163</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820" w:type="dxa"/>
            <w:vAlign w:val="bottom"/>
          </w:tcPr>
          <w:p>
            <w:pPr>
              <w:jc w:val="center"/>
              <w:ind w:left="162"/>
              <w:spacing w:after="0"/>
              <w:rPr>
                <w:sz w:val="20"/>
                <w:szCs w:val="20"/>
                <w:color w:val="auto"/>
              </w:rPr>
            </w:pPr>
            <w:r>
              <w:rPr>
                <w:rFonts w:ascii="Arial" w:cs="Arial" w:eastAsia="Arial" w:hAnsi="Arial"/>
                <w:sz w:val="16"/>
                <w:szCs w:val="16"/>
                <w:color w:val="auto"/>
              </w:rPr>
              <w:t>64.1%</w:t>
            </w:r>
          </w:p>
        </w:tc>
        <w:tc>
          <w:tcPr>
            <w:tcW w:w="2260" w:type="dxa"/>
            <w:vAlign w:val="bottom"/>
          </w:tcPr>
          <w:p>
            <w:pPr>
              <w:jc w:val="center"/>
              <w:ind w:right="2"/>
              <w:spacing w:after="0"/>
              <w:rPr>
                <w:sz w:val="20"/>
                <w:szCs w:val="20"/>
                <w:color w:val="auto"/>
              </w:rPr>
            </w:pPr>
            <w:r>
              <w:rPr>
                <w:rFonts w:ascii="Arial" w:cs="Arial" w:eastAsia="Arial" w:hAnsi="Arial"/>
                <w:sz w:val="16"/>
                <w:szCs w:val="16"/>
                <w:color w:val="auto"/>
                <w:w w:val="99"/>
              </w:rPr>
              <w:t>84.75%</w:t>
            </w:r>
          </w:p>
        </w:tc>
        <w:tc>
          <w:tcPr>
            <w:tcW w:w="1760" w:type="dxa"/>
            <w:vAlign w:val="bottom"/>
          </w:tcPr>
          <w:p>
            <w:pPr>
              <w:jc w:val="center"/>
              <w:ind w:right="82"/>
              <w:spacing w:after="0"/>
              <w:rPr>
                <w:sz w:val="20"/>
                <w:szCs w:val="20"/>
                <w:color w:val="auto"/>
              </w:rPr>
            </w:pPr>
            <w:r>
              <w:rPr>
                <w:rFonts w:ascii="Arial" w:cs="Arial" w:eastAsia="Arial" w:hAnsi="Arial"/>
                <w:sz w:val="16"/>
                <w:szCs w:val="16"/>
                <w:color w:val="auto"/>
                <w:w w:val="97"/>
              </w:rPr>
              <w:t>125%</w:t>
            </w:r>
          </w:p>
        </w:tc>
        <w:tc>
          <w:tcPr>
            <w:tcW w:w="1600" w:type="dxa"/>
            <w:vAlign w:val="bottom"/>
          </w:tcPr>
          <w:p>
            <w:pPr>
              <w:jc w:val="center"/>
              <w:spacing w:after="0"/>
              <w:rPr>
                <w:sz w:val="20"/>
                <w:szCs w:val="20"/>
                <w:color w:val="auto"/>
              </w:rPr>
            </w:pPr>
            <w:r>
              <w:rPr>
                <w:rFonts w:ascii="Arial" w:cs="Arial" w:eastAsia="Arial" w:hAnsi="Arial"/>
                <w:sz w:val="16"/>
                <w:szCs w:val="16"/>
                <w:color w:val="auto"/>
              </w:rPr>
              <w:t>649,038</w:t>
            </w:r>
          </w:p>
        </w:tc>
        <w:tc>
          <w:tcPr>
            <w:tcW w:w="1680" w:type="dxa"/>
            <w:vAlign w:val="bottom"/>
          </w:tcPr>
          <w:p>
            <w:pPr>
              <w:jc w:val="center"/>
              <w:spacing w:after="0"/>
              <w:rPr>
                <w:sz w:val="20"/>
                <w:szCs w:val="20"/>
                <w:color w:val="auto"/>
              </w:rPr>
            </w:pPr>
            <w:r>
              <w:rPr>
                <w:rFonts w:ascii="Arial" w:cs="Arial" w:eastAsia="Arial" w:hAnsi="Arial"/>
                <w:sz w:val="16"/>
                <w:szCs w:val="16"/>
                <w:color w:val="auto"/>
              </w:rPr>
              <w:t>440,736</w:t>
            </w:r>
          </w:p>
        </w:tc>
        <w:tc>
          <w:tcPr>
            <w:tcW w:w="0" w:type="dxa"/>
            <w:vAlign w:val="bottom"/>
          </w:tcPr>
          <w:p>
            <w:pPr>
              <w:spacing w:after="0"/>
              <w:rPr>
                <w:sz w:val="1"/>
                <w:szCs w:val="1"/>
                <w:color w:val="auto"/>
              </w:rPr>
            </w:pPr>
          </w:p>
        </w:tc>
      </w:tr>
      <w:tr>
        <w:trPr>
          <w:trHeight w:val="217"/>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820" w:type="dxa"/>
            <w:vAlign w:val="bottom"/>
            <w:shd w:val="clear" w:color="auto" w:fill="DBDBDB"/>
          </w:tcPr>
          <w:p>
            <w:pPr>
              <w:jc w:val="center"/>
              <w:ind w:left="162"/>
              <w:spacing w:after="0"/>
              <w:rPr>
                <w:sz w:val="20"/>
                <w:szCs w:val="20"/>
                <w:color w:val="auto"/>
              </w:rPr>
            </w:pPr>
            <w:r>
              <w:rPr>
                <w:rFonts w:ascii="Arial" w:cs="Arial" w:eastAsia="Arial" w:hAnsi="Arial"/>
                <w:sz w:val="16"/>
                <w:szCs w:val="16"/>
                <w:color w:val="auto"/>
              </w:rPr>
              <w:t>64.1%</w:t>
            </w:r>
          </w:p>
        </w:tc>
        <w:tc>
          <w:tcPr>
            <w:tcW w:w="2260" w:type="dxa"/>
            <w:vAlign w:val="bottom"/>
            <w:shd w:val="clear" w:color="auto" w:fill="DBDBDB"/>
          </w:tcPr>
          <w:p>
            <w:pPr>
              <w:jc w:val="center"/>
              <w:ind w:right="2"/>
              <w:spacing w:after="0"/>
              <w:rPr>
                <w:sz w:val="20"/>
                <w:szCs w:val="20"/>
                <w:color w:val="auto"/>
              </w:rPr>
            </w:pPr>
            <w:r>
              <w:rPr>
                <w:rFonts w:ascii="Arial" w:cs="Arial" w:eastAsia="Arial" w:hAnsi="Arial"/>
                <w:sz w:val="16"/>
                <w:szCs w:val="16"/>
                <w:color w:val="auto"/>
                <w:w w:val="99"/>
              </w:rPr>
              <w:t>78.84%</w:t>
            </w:r>
          </w:p>
        </w:tc>
        <w:tc>
          <w:tcPr>
            <w:tcW w:w="1760" w:type="dxa"/>
            <w:vAlign w:val="bottom"/>
            <w:shd w:val="clear" w:color="auto" w:fill="DBDBDB"/>
          </w:tcPr>
          <w:p>
            <w:pPr>
              <w:jc w:val="center"/>
              <w:ind w:right="82"/>
              <w:spacing w:after="0"/>
              <w:rPr>
                <w:sz w:val="20"/>
                <w:szCs w:val="20"/>
                <w:color w:val="auto"/>
              </w:rPr>
            </w:pPr>
            <w:r>
              <w:rPr>
                <w:rFonts w:ascii="Arial" w:cs="Arial" w:eastAsia="Arial" w:hAnsi="Arial"/>
                <w:sz w:val="16"/>
                <w:szCs w:val="16"/>
                <w:color w:val="auto"/>
                <w:w w:val="97"/>
              </w:rPr>
              <w:t>100%</w:t>
            </w:r>
          </w:p>
        </w:tc>
        <w:tc>
          <w:tcPr>
            <w:tcW w:w="16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574,038</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290,099</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Sudhir Gopalswamy</w:t>
            </w:r>
          </w:p>
        </w:tc>
        <w:tc>
          <w:tcPr>
            <w:tcW w:w="1820" w:type="dxa"/>
            <w:vAlign w:val="bottom"/>
          </w:tcPr>
          <w:p>
            <w:pPr>
              <w:jc w:val="center"/>
              <w:ind w:left="162"/>
              <w:spacing w:after="0"/>
              <w:rPr>
                <w:sz w:val="20"/>
                <w:szCs w:val="20"/>
                <w:color w:val="auto"/>
              </w:rPr>
            </w:pPr>
            <w:r>
              <w:rPr>
                <w:rFonts w:ascii="Arial" w:cs="Arial" w:eastAsia="Arial" w:hAnsi="Arial"/>
                <w:sz w:val="16"/>
                <w:szCs w:val="16"/>
                <w:color w:val="auto"/>
              </w:rPr>
              <w:t>64.1%</w:t>
            </w:r>
          </w:p>
        </w:tc>
        <w:tc>
          <w:tcPr>
            <w:tcW w:w="2260" w:type="dxa"/>
            <w:vAlign w:val="bottom"/>
          </w:tcPr>
          <w:p>
            <w:pPr>
              <w:jc w:val="center"/>
              <w:ind w:right="2"/>
              <w:spacing w:after="0"/>
              <w:rPr>
                <w:sz w:val="20"/>
                <w:szCs w:val="20"/>
                <w:color w:val="auto"/>
              </w:rPr>
            </w:pPr>
            <w:r>
              <w:rPr>
                <w:rFonts w:ascii="Arial" w:cs="Arial" w:eastAsia="Arial" w:hAnsi="Arial"/>
                <w:sz w:val="16"/>
                <w:szCs w:val="16"/>
                <w:color w:val="auto"/>
                <w:w w:val="99"/>
              </w:rPr>
              <w:t>73.36%</w:t>
            </w:r>
          </w:p>
        </w:tc>
        <w:tc>
          <w:tcPr>
            <w:tcW w:w="1760" w:type="dxa"/>
            <w:vAlign w:val="bottom"/>
          </w:tcPr>
          <w:p>
            <w:pPr>
              <w:jc w:val="center"/>
              <w:ind w:right="82"/>
              <w:spacing w:after="0"/>
              <w:rPr>
                <w:sz w:val="20"/>
                <w:szCs w:val="20"/>
                <w:color w:val="auto"/>
              </w:rPr>
            </w:pPr>
            <w:r>
              <w:rPr>
                <w:rFonts w:ascii="Arial" w:cs="Arial" w:eastAsia="Arial" w:hAnsi="Arial"/>
                <w:sz w:val="16"/>
                <w:szCs w:val="16"/>
                <w:color w:val="auto"/>
                <w:w w:val="99"/>
              </w:rPr>
              <w:t>85%</w:t>
            </w:r>
          </w:p>
        </w:tc>
        <w:tc>
          <w:tcPr>
            <w:tcW w:w="1600" w:type="dxa"/>
            <w:vAlign w:val="bottom"/>
          </w:tcPr>
          <w:p>
            <w:pPr>
              <w:jc w:val="center"/>
              <w:spacing w:after="0"/>
              <w:rPr>
                <w:sz w:val="20"/>
                <w:szCs w:val="20"/>
                <w:color w:val="auto"/>
              </w:rPr>
            </w:pPr>
            <w:r>
              <w:rPr>
                <w:rFonts w:ascii="Arial" w:cs="Arial" w:eastAsia="Arial" w:hAnsi="Arial"/>
                <w:sz w:val="16"/>
                <w:szCs w:val="16"/>
                <w:color w:val="auto"/>
              </w:rPr>
              <w:t>470,577</w:t>
            </w:r>
          </w:p>
        </w:tc>
        <w:tc>
          <w:tcPr>
            <w:tcW w:w="1680" w:type="dxa"/>
            <w:vAlign w:val="bottom"/>
          </w:tcPr>
          <w:p>
            <w:pPr>
              <w:jc w:val="center"/>
              <w:spacing w:after="0"/>
              <w:rPr>
                <w:sz w:val="20"/>
                <w:szCs w:val="20"/>
                <w:color w:val="auto"/>
              </w:rPr>
            </w:pPr>
            <w:r>
              <w:rPr>
                <w:rFonts w:ascii="Arial" w:cs="Arial" w:eastAsia="Arial" w:hAnsi="Arial"/>
                <w:sz w:val="16"/>
                <w:szCs w:val="16"/>
                <w:color w:val="auto"/>
              </w:rPr>
              <w:t>188,091</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Ross F. Jatou (2)</w:t>
            </w:r>
          </w:p>
        </w:tc>
        <w:tc>
          <w:tcPr>
            <w:tcW w:w="1820" w:type="dxa"/>
            <w:vAlign w:val="bottom"/>
            <w:tcBorders>
              <w:bottom w:val="single" w:sz="8" w:color="auto"/>
            </w:tcBorders>
            <w:shd w:val="clear" w:color="auto" w:fill="DBDBDB"/>
          </w:tcPr>
          <w:p>
            <w:pPr>
              <w:jc w:val="center"/>
              <w:ind w:left="162"/>
              <w:spacing w:after="0"/>
              <w:rPr>
                <w:sz w:val="20"/>
                <w:szCs w:val="20"/>
                <w:color w:val="auto"/>
              </w:rPr>
            </w:pPr>
            <w:r>
              <w:rPr>
                <w:rFonts w:ascii="Arial" w:cs="Arial" w:eastAsia="Arial" w:hAnsi="Arial"/>
                <w:sz w:val="16"/>
                <w:szCs w:val="16"/>
                <w:color w:val="auto"/>
              </w:rPr>
              <w:t>64.1%</w:t>
            </w:r>
          </w:p>
        </w:tc>
        <w:tc>
          <w:tcPr>
            <w:tcW w:w="2260" w:type="dxa"/>
            <w:vAlign w:val="bottom"/>
            <w:tcBorders>
              <w:bottom w:val="single" w:sz="8" w:color="auto"/>
            </w:tcBorders>
            <w:shd w:val="clear" w:color="auto" w:fill="DBDBDB"/>
          </w:tcPr>
          <w:p>
            <w:pPr>
              <w:jc w:val="right"/>
              <w:ind w:right="982"/>
              <w:spacing w:after="0"/>
              <w:rPr>
                <w:sz w:val="20"/>
                <w:szCs w:val="20"/>
                <w:color w:val="auto"/>
              </w:rPr>
            </w:pPr>
            <w:r>
              <w:rPr>
                <w:rFonts w:ascii="Arial" w:cs="Arial" w:eastAsia="Arial" w:hAnsi="Arial"/>
                <w:sz w:val="16"/>
                <w:szCs w:val="16"/>
                <w:color w:val="auto"/>
              </w:rPr>
              <w:t>76.29%</w:t>
            </w:r>
          </w:p>
        </w:tc>
        <w:tc>
          <w:tcPr>
            <w:tcW w:w="176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85%</w:t>
            </w:r>
          </w:p>
        </w:tc>
        <w:tc>
          <w:tcPr>
            <w:tcW w:w="1600" w:type="dxa"/>
            <w:vAlign w:val="bottom"/>
            <w:tcBorders>
              <w:bottom w:val="single" w:sz="8" w:color="auto"/>
            </w:tcBorders>
            <w:shd w:val="clear" w:color="auto" w:fill="DBDBDB"/>
          </w:tcPr>
          <w:p>
            <w:pPr>
              <w:jc w:val="right"/>
              <w:ind w:right="602"/>
              <w:spacing w:after="0"/>
              <w:rPr>
                <w:sz w:val="20"/>
                <w:szCs w:val="20"/>
                <w:color w:val="auto"/>
              </w:rPr>
            </w:pPr>
            <w:r>
              <w:rPr>
                <w:rFonts w:ascii="Arial" w:cs="Arial" w:eastAsia="Arial" w:hAnsi="Arial"/>
                <w:sz w:val="16"/>
                <w:szCs w:val="16"/>
                <w:color w:val="auto"/>
              </w:rPr>
              <w:t>466,346</w:t>
            </w:r>
          </w:p>
        </w:tc>
        <w:tc>
          <w:tcPr>
            <w:tcW w:w="16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0" w:hanging="226"/>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base salary actually paid during the year as reflected in the SCT.</w:t>
      </w:r>
    </w:p>
    <w:p>
      <w:pPr>
        <w:spacing w:after="0" w:line="41" w:lineRule="exact"/>
        <w:rPr>
          <w:rFonts w:ascii="Arial" w:cs="Arial" w:eastAsia="Arial" w:hAnsi="Arial"/>
          <w:sz w:val="14"/>
          <w:szCs w:val="14"/>
          <w:color w:val="auto"/>
        </w:rPr>
      </w:pPr>
    </w:p>
    <w:p>
      <w:pPr>
        <w:ind w:left="500" w:right="400" w:hanging="326"/>
        <w:spacing w:after="0" w:line="264" w:lineRule="auto"/>
        <w:tabs>
          <w:tab w:leader="none" w:pos="392" w:val="left"/>
        </w:tabs>
        <w:numPr>
          <w:ilvl w:val="0"/>
          <w:numId w:val="63"/>
        </w:numPr>
        <w:rPr>
          <w:rFonts w:ascii="Arial" w:cs="Arial" w:eastAsia="Arial" w:hAnsi="Arial"/>
          <w:sz w:val="14"/>
          <w:szCs w:val="14"/>
          <w:color w:val="auto"/>
        </w:rPr>
      </w:pPr>
      <w:r>
        <w:rPr>
          <w:rFonts w:ascii="Arial" w:cs="Arial" w:eastAsia="Arial" w:hAnsi="Arial"/>
          <w:sz w:val="14"/>
          <w:szCs w:val="14"/>
          <w:color w:val="auto"/>
        </w:rPr>
        <w:t>Although Mr. Jatou was employed for the full year, given that his last date of employment (February 22, 2024) occurred before the payout date, he was not eligible to receive a payout under the 2023 STI program. Based on actual performance, his 2023 STI payout would have been $193,844.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Program</w:t>
      </w:r>
      <w:r>
        <w:rPr>
          <w:rFonts w:ascii="Arial" w:cs="Arial" w:eastAsia="Arial" w:hAnsi="Arial"/>
          <w:sz w:val="18"/>
          <w:szCs w:val="18"/>
          <w:color w:val="auto"/>
        </w:rPr>
        <w:t>. Our 2023 LTI program reflects the following principles:</w:t>
      </w:r>
    </w:p>
    <w:p>
      <w:pPr>
        <w:spacing w:after="0" w:line="239" w:lineRule="exact"/>
        <w:rPr>
          <w:sz w:val="20"/>
          <w:szCs w:val="20"/>
          <w:color w:val="auto"/>
        </w:rPr>
      </w:pPr>
    </w:p>
    <w:p>
      <w:pPr>
        <w:ind w:left="660" w:right="20" w:hanging="328"/>
        <w:spacing w:after="0" w:line="23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equity-based awards should comprise the largest percentage of each NEO’s annual target TDC in order to further align NEO and stockholder interests;</w:t>
      </w:r>
    </w:p>
    <w:p>
      <w:pPr>
        <w:ind w:left="660" w:hanging="328"/>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equity grants are budgeted consistent with market practice with actual grants awarded based on performance and potential;</w:t>
      </w:r>
    </w:p>
    <w:p>
      <w:pPr>
        <w:ind w:left="660" w:hanging="328"/>
        <w:spacing w:after="0" w:line="23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goals underlying our PBRSUs are designed to drive behavior in support of our AOP and long-term business strategies;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above target or above stretch levels should provide commensurate payout opportunities; and</w:t>
      </w: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 department and individual performance may drive above-market equity grants in the following annual cycle.</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2023, the HCC Committee made annual LTI awards (the 2023 LTI program) to each NEO as described in the following table. These LTI awards consisted of 60% PBRSUs (the 2023 PBRSUs) and 40% RSUs (the 2023 RSUs), which were granted under the SIP. The HCC Committee determined that this allocation between PBRSUs and RSUs provided a reasonable balance between performance-based and retention incentives.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shd w:val="clear" w:color="auto" w:fill="465E66"/>
          </w:tcPr>
          <w:p>
            <w:pPr>
              <w:spacing w:after="0"/>
              <w:rPr>
                <w:sz w:val="14"/>
                <w:szCs w:val="14"/>
                <w:color w:val="auto"/>
              </w:rPr>
            </w:pPr>
          </w:p>
        </w:tc>
        <w:tc>
          <w:tcPr>
            <w:tcW w:w="1880" w:type="dxa"/>
            <w:vAlign w:val="bottom"/>
            <w:shd w:val="clear" w:color="auto" w:fill="465E66"/>
          </w:tcPr>
          <w:p>
            <w:pPr>
              <w:jc w:val="center"/>
              <w:ind w:left="42"/>
              <w:spacing w:after="0"/>
              <w:rPr>
                <w:sz w:val="20"/>
                <w:szCs w:val="20"/>
                <w:color w:val="auto"/>
              </w:rPr>
            </w:pPr>
            <w:r>
              <w:rPr>
                <w:rFonts w:ascii="Arial" w:cs="Arial" w:eastAsia="Arial" w:hAnsi="Arial"/>
                <w:sz w:val="14"/>
                <w:szCs w:val="14"/>
                <w:b w:val="1"/>
                <w:bCs w:val="1"/>
                <w:color w:val="FFFFFF"/>
              </w:rPr>
              <w:t>Target 2023 PBRSU</w:t>
            </w:r>
          </w:p>
        </w:tc>
        <w:tc>
          <w:tcPr>
            <w:tcW w:w="13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2023 PBRSUs</w:t>
            </w:r>
          </w:p>
        </w:tc>
        <w:tc>
          <w:tcPr>
            <w:tcW w:w="1960" w:type="dxa"/>
            <w:vAlign w:val="bottom"/>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Target 2023 RSU Value</w:t>
            </w:r>
          </w:p>
        </w:tc>
        <w:tc>
          <w:tcPr>
            <w:tcW w:w="1380" w:type="dxa"/>
            <w:vAlign w:val="bottom"/>
            <w:vMerge w:val="restart"/>
            <w:shd w:val="clear" w:color="auto" w:fill="465E66"/>
          </w:tcPr>
          <w:p>
            <w:pPr>
              <w:ind w:left="220"/>
              <w:spacing w:after="0"/>
              <w:rPr>
                <w:sz w:val="20"/>
                <w:szCs w:val="20"/>
                <w:color w:val="auto"/>
              </w:rPr>
            </w:pPr>
            <w:r>
              <w:rPr>
                <w:rFonts w:ascii="Arial" w:cs="Arial" w:eastAsia="Arial" w:hAnsi="Arial"/>
                <w:sz w:val="14"/>
                <w:szCs w:val="14"/>
                <w:b w:val="1"/>
                <w:bCs w:val="1"/>
                <w:color w:val="FFFFFF"/>
              </w:rPr>
              <w:t>2023 RSUs</w:t>
            </w:r>
          </w:p>
        </w:tc>
        <w:tc>
          <w:tcPr>
            <w:tcW w:w="26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Total Target 2023 LTI Value</w:t>
            </w:r>
          </w:p>
        </w:tc>
        <w:tc>
          <w:tcPr>
            <w:tcW w:w="0" w:type="dxa"/>
            <w:vAlign w:val="bottom"/>
          </w:tcPr>
          <w:p>
            <w:pPr>
              <w:spacing w:after="0"/>
              <w:rPr>
                <w:sz w:val="1"/>
                <w:szCs w:val="1"/>
                <w:color w:val="auto"/>
              </w:rPr>
            </w:pPr>
          </w:p>
        </w:tc>
      </w:tr>
      <w:tr>
        <w:trPr>
          <w:trHeight w:val="149"/>
        </w:trPr>
        <w:tc>
          <w:tcPr>
            <w:tcW w:w="20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NEO</w:t>
            </w:r>
          </w:p>
        </w:tc>
        <w:tc>
          <w:tcPr>
            <w:tcW w:w="1880" w:type="dxa"/>
            <w:vAlign w:val="bottom"/>
            <w:shd w:val="clear" w:color="auto" w:fill="465E66"/>
          </w:tcPr>
          <w:p>
            <w:pPr>
              <w:jc w:val="center"/>
              <w:ind w:left="42"/>
              <w:spacing w:after="0" w:line="149" w:lineRule="exact"/>
              <w:rPr>
                <w:sz w:val="20"/>
                <w:szCs w:val="20"/>
                <w:color w:val="auto"/>
              </w:rPr>
            </w:pPr>
            <w:r>
              <w:rPr>
                <w:rFonts w:ascii="Arial" w:cs="Arial" w:eastAsia="Arial" w:hAnsi="Arial"/>
                <w:sz w:val="14"/>
                <w:szCs w:val="14"/>
                <w:b w:val="1"/>
                <w:bCs w:val="1"/>
                <w:color w:val="FFFFFF"/>
                <w:w w:val="96"/>
              </w:rPr>
              <w:t>Value</w:t>
            </w:r>
          </w:p>
        </w:tc>
        <w:tc>
          <w:tcPr>
            <w:tcW w:w="1360" w:type="dxa"/>
            <w:vAlign w:val="bottom"/>
            <w:shd w:val="clear" w:color="auto" w:fill="465E66"/>
          </w:tcPr>
          <w:p>
            <w:pPr>
              <w:jc w:val="center"/>
              <w:ind w:left="22"/>
              <w:spacing w:after="0" w:line="149" w:lineRule="exact"/>
              <w:rPr>
                <w:sz w:val="20"/>
                <w:szCs w:val="20"/>
                <w:color w:val="auto"/>
              </w:rPr>
            </w:pPr>
            <w:r>
              <w:rPr>
                <w:rFonts w:ascii="Arial" w:cs="Arial" w:eastAsia="Arial" w:hAnsi="Arial"/>
                <w:sz w:val="14"/>
                <w:szCs w:val="14"/>
                <w:b w:val="1"/>
                <w:bCs w:val="1"/>
                <w:color w:val="FFFFFF"/>
              </w:rPr>
              <w:t>(at Target)</w:t>
            </w:r>
          </w:p>
        </w:tc>
        <w:tc>
          <w:tcPr>
            <w:tcW w:w="1960" w:type="dxa"/>
            <w:vAlign w:val="bottom"/>
            <w:vMerge w:val="continue"/>
            <w:shd w:val="clear" w:color="auto" w:fill="465E66"/>
          </w:tcPr>
          <w:p>
            <w:pPr>
              <w:spacing w:after="0"/>
              <w:rPr>
                <w:sz w:val="12"/>
                <w:szCs w:val="12"/>
                <w:color w:val="auto"/>
              </w:rPr>
            </w:pPr>
          </w:p>
        </w:tc>
        <w:tc>
          <w:tcPr>
            <w:tcW w:w="1380" w:type="dxa"/>
            <w:vAlign w:val="bottom"/>
            <w:vMerge w:val="continue"/>
            <w:shd w:val="clear" w:color="auto" w:fill="465E66"/>
          </w:tcPr>
          <w:p>
            <w:pPr>
              <w:spacing w:after="0"/>
              <w:rPr>
                <w:sz w:val="12"/>
                <w:szCs w:val="12"/>
                <w:color w:val="auto"/>
              </w:rPr>
            </w:pPr>
          </w:p>
        </w:tc>
        <w:tc>
          <w:tcPr>
            <w:tcW w:w="26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(PBRSUs + RSUs)</w:t>
            </w:r>
          </w:p>
        </w:tc>
        <w:tc>
          <w:tcPr>
            <w:tcW w:w="0" w:type="dxa"/>
            <w:vAlign w:val="bottom"/>
          </w:tcPr>
          <w:p>
            <w:pPr>
              <w:spacing w:after="0"/>
              <w:rPr>
                <w:sz w:val="1"/>
                <w:szCs w:val="1"/>
                <w:color w:val="auto"/>
              </w:rPr>
            </w:pPr>
          </w:p>
        </w:tc>
      </w:tr>
      <w:tr>
        <w:trPr>
          <w:trHeight w:val="189"/>
        </w:trPr>
        <w:tc>
          <w:tcPr>
            <w:tcW w:w="2040" w:type="dxa"/>
            <w:vAlign w:val="bottom"/>
            <w:vMerge w:val="continue"/>
            <w:shd w:val="clear" w:color="auto" w:fill="465E66"/>
          </w:tcPr>
          <w:p>
            <w:pPr>
              <w:spacing w:after="0"/>
              <w:rPr>
                <w:sz w:val="16"/>
                <w:szCs w:val="16"/>
                <w:color w:val="auto"/>
              </w:rPr>
            </w:pPr>
          </w:p>
        </w:tc>
        <w:tc>
          <w:tcPr>
            <w:tcW w:w="1880" w:type="dxa"/>
            <w:vAlign w:val="bottom"/>
            <w:shd w:val="clear" w:color="auto" w:fill="465E66"/>
          </w:tcPr>
          <w:p>
            <w:pPr>
              <w:jc w:val="center"/>
              <w:ind w:left="42"/>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shd w:val="clear" w:color="auto" w:fill="465E66"/>
          </w:tcPr>
          <w:p>
            <w:pPr>
              <w:jc w:val="center"/>
              <w:ind w:left="22"/>
              <w:spacing w:after="0"/>
              <w:rPr>
                <w:sz w:val="20"/>
                <w:szCs w:val="20"/>
                <w:color w:val="auto"/>
              </w:rPr>
            </w:pPr>
            <w:r>
              <w:rPr>
                <w:rFonts w:ascii="Arial" w:cs="Arial" w:eastAsia="Arial" w:hAnsi="Arial"/>
                <w:sz w:val="14"/>
                <w:szCs w:val="14"/>
                <w:b w:val="1"/>
                <w:bCs w:val="1"/>
                <w:color w:val="FFFFFF"/>
              </w:rPr>
              <w:t>(#)</w:t>
            </w:r>
          </w:p>
        </w:tc>
        <w:tc>
          <w:tcPr>
            <w:tcW w:w="19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465E66"/>
          </w:tcPr>
          <w:p>
            <w:pPr>
              <w:jc w:val="center"/>
              <w:ind w:right="62"/>
              <w:spacing w:after="0"/>
              <w:rPr>
                <w:sz w:val="20"/>
                <w:szCs w:val="20"/>
                <w:color w:val="auto"/>
              </w:rPr>
            </w:pPr>
            <w:r>
              <w:rPr>
                <w:rFonts w:ascii="Arial" w:cs="Arial" w:eastAsia="Arial" w:hAnsi="Arial"/>
                <w:sz w:val="14"/>
                <w:szCs w:val="14"/>
                <w:b w:val="1"/>
                <w:bCs w:val="1"/>
                <w:color w:val="FFFFFF"/>
                <w:w w:val="93"/>
              </w:rPr>
              <w:t>(#)</w:t>
            </w:r>
          </w:p>
        </w:tc>
        <w:tc>
          <w:tcPr>
            <w:tcW w:w="26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880" w:type="dxa"/>
            <w:vAlign w:val="bottom"/>
            <w:shd w:val="clear" w:color="auto" w:fill="DBDBDB"/>
          </w:tcPr>
          <w:p>
            <w:pPr>
              <w:jc w:val="center"/>
              <w:ind w:left="42"/>
              <w:spacing w:after="0"/>
              <w:rPr>
                <w:sz w:val="20"/>
                <w:szCs w:val="20"/>
                <w:color w:val="auto"/>
              </w:rPr>
            </w:pPr>
            <w:r>
              <w:rPr>
                <w:rFonts w:ascii="Arial" w:cs="Arial" w:eastAsia="Arial" w:hAnsi="Arial"/>
                <w:sz w:val="16"/>
                <w:szCs w:val="16"/>
                <w:color w:val="auto"/>
                <w:w w:val="99"/>
              </w:rPr>
              <w:t>10,050,000</w:t>
            </w:r>
          </w:p>
        </w:tc>
        <w:tc>
          <w:tcPr>
            <w:tcW w:w="136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126,766</w:t>
            </w:r>
          </w:p>
        </w:tc>
        <w:tc>
          <w:tcPr>
            <w:tcW w:w="19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6,700,000</w:t>
            </w:r>
          </w:p>
        </w:tc>
        <w:tc>
          <w:tcPr>
            <w:tcW w:w="1380" w:type="dxa"/>
            <w:vAlign w:val="bottom"/>
            <w:shd w:val="clear" w:color="auto" w:fill="DBDBDB"/>
          </w:tcPr>
          <w:p>
            <w:pPr>
              <w:jc w:val="center"/>
              <w:ind w:right="62"/>
              <w:spacing w:after="0"/>
              <w:rPr>
                <w:sz w:val="20"/>
                <w:szCs w:val="20"/>
                <w:color w:val="auto"/>
              </w:rPr>
            </w:pPr>
            <w:r>
              <w:rPr>
                <w:rFonts w:ascii="Arial" w:cs="Arial" w:eastAsia="Arial" w:hAnsi="Arial"/>
                <w:sz w:val="16"/>
                <w:szCs w:val="16"/>
                <w:color w:val="auto"/>
                <w:w w:val="98"/>
              </w:rPr>
              <w:t>84,511</w:t>
            </w:r>
          </w:p>
        </w:tc>
        <w:tc>
          <w:tcPr>
            <w:tcW w:w="26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16,750,000</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Thad Trent</w:t>
            </w:r>
          </w:p>
        </w:tc>
        <w:tc>
          <w:tcPr>
            <w:tcW w:w="1880" w:type="dxa"/>
            <w:vAlign w:val="bottom"/>
          </w:tcPr>
          <w:p>
            <w:pPr>
              <w:jc w:val="center"/>
              <w:ind w:left="42"/>
              <w:spacing w:after="0"/>
              <w:rPr>
                <w:sz w:val="20"/>
                <w:szCs w:val="20"/>
                <w:color w:val="auto"/>
              </w:rPr>
            </w:pPr>
            <w:r>
              <w:rPr>
                <w:rFonts w:ascii="Arial" w:cs="Arial" w:eastAsia="Arial" w:hAnsi="Arial"/>
                <w:sz w:val="16"/>
                <w:szCs w:val="16"/>
                <w:color w:val="auto"/>
              </w:rPr>
              <w:t>3,600,000</w:t>
            </w:r>
          </w:p>
        </w:tc>
        <w:tc>
          <w:tcPr>
            <w:tcW w:w="1360" w:type="dxa"/>
            <w:vAlign w:val="bottom"/>
          </w:tcPr>
          <w:p>
            <w:pPr>
              <w:jc w:val="center"/>
              <w:ind w:left="22"/>
              <w:spacing w:after="0"/>
              <w:rPr>
                <w:sz w:val="20"/>
                <w:szCs w:val="20"/>
                <w:color w:val="auto"/>
              </w:rPr>
            </w:pPr>
            <w:r>
              <w:rPr>
                <w:rFonts w:ascii="Arial" w:cs="Arial" w:eastAsia="Arial" w:hAnsi="Arial"/>
                <w:sz w:val="16"/>
                <w:szCs w:val="16"/>
                <w:color w:val="auto"/>
              </w:rPr>
              <w:t>45,409</w:t>
            </w:r>
          </w:p>
        </w:tc>
        <w:tc>
          <w:tcPr>
            <w:tcW w:w="1960" w:type="dxa"/>
            <w:vAlign w:val="bottom"/>
          </w:tcPr>
          <w:p>
            <w:pPr>
              <w:jc w:val="center"/>
              <w:spacing w:after="0"/>
              <w:rPr>
                <w:sz w:val="20"/>
                <w:szCs w:val="20"/>
                <w:color w:val="auto"/>
              </w:rPr>
            </w:pPr>
            <w:r>
              <w:rPr>
                <w:rFonts w:ascii="Arial" w:cs="Arial" w:eastAsia="Arial" w:hAnsi="Arial"/>
                <w:sz w:val="16"/>
                <w:szCs w:val="16"/>
                <w:color w:val="auto"/>
              </w:rPr>
              <w:t>2,400,000</w:t>
            </w:r>
          </w:p>
        </w:tc>
        <w:tc>
          <w:tcPr>
            <w:tcW w:w="1380" w:type="dxa"/>
            <w:vAlign w:val="bottom"/>
          </w:tcPr>
          <w:p>
            <w:pPr>
              <w:jc w:val="center"/>
              <w:ind w:right="62"/>
              <w:spacing w:after="0"/>
              <w:rPr>
                <w:sz w:val="20"/>
                <w:szCs w:val="20"/>
                <w:color w:val="auto"/>
              </w:rPr>
            </w:pPr>
            <w:r>
              <w:rPr>
                <w:rFonts w:ascii="Arial" w:cs="Arial" w:eastAsia="Arial" w:hAnsi="Arial"/>
                <w:sz w:val="16"/>
                <w:szCs w:val="16"/>
                <w:color w:val="auto"/>
                <w:w w:val="98"/>
              </w:rPr>
              <w:t>30,273</w:t>
            </w:r>
          </w:p>
        </w:tc>
        <w:tc>
          <w:tcPr>
            <w:tcW w:w="2620" w:type="dxa"/>
            <w:vAlign w:val="bottom"/>
          </w:tcPr>
          <w:p>
            <w:pPr>
              <w:jc w:val="center"/>
              <w:spacing w:after="0"/>
              <w:rPr>
                <w:sz w:val="20"/>
                <w:szCs w:val="20"/>
                <w:color w:val="auto"/>
              </w:rPr>
            </w:pPr>
            <w:r>
              <w:rPr>
                <w:rFonts w:ascii="Arial" w:cs="Arial" w:eastAsia="Arial" w:hAnsi="Arial"/>
                <w:sz w:val="16"/>
                <w:szCs w:val="16"/>
                <w:color w:val="auto"/>
              </w:rPr>
              <w:t>6,000,000</w:t>
            </w:r>
          </w:p>
        </w:tc>
        <w:tc>
          <w:tcPr>
            <w:tcW w:w="0" w:type="dxa"/>
            <w:vAlign w:val="bottom"/>
          </w:tcPr>
          <w:p>
            <w:pPr>
              <w:spacing w:after="0"/>
              <w:rPr>
                <w:sz w:val="1"/>
                <w:szCs w:val="1"/>
                <w:color w:val="auto"/>
              </w:rPr>
            </w:pPr>
          </w:p>
        </w:tc>
      </w:tr>
      <w:tr>
        <w:trPr>
          <w:trHeight w:val="217"/>
        </w:trPr>
        <w:tc>
          <w:tcPr>
            <w:tcW w:w="2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880" w:type="dxa"/>
            <w:vAlign w:val="bottom"/>
            <w:shd w:val="clear" w:color="auto" w:fill="DBDBDB"/>
          </w:tcPr>
          <w:p>
            <w:pPr>
              <w:jc w:val="center"/>
              <w:ind w:left="42"/>
              <w:spacing w:after="0"/>
              <w:rPr>
                <w:sz w:val="20"/>
                <w:szCs w:val="20"/>
                <w:color w:val="auto"/>
              </w:rPr>
            </w:pPr>
            <w:r>
              <w:rPr>
                <w:rFonts w:ascii="Arial" w:cs="Arial" w:eastAsia="Arial" w:hAnsi="Arial"/>
                <w:sz w:val="16"/>
                <w:szCs w:val="16"/>
                <w:color w:val="auto"/>
              </w:rPr>
              <w:t>2,700,000</w:t>
            </w:r>
          </w:p>
        </w:tc>
        <w:tc>
          <w:tcPr>
            <w:tcW w:w="1360" w:type="dxa"/>
            <w:vAlign w:val="bottom"/>
            <w:shd w:val="clear" w:color="auto" w:fill="DBDBDB"/>
          </w:tcPr>
          <w:p>
            <w:pPr>
              <w:jc w:val="center"/>
              <w:ind w:left="22"/>
              <w:spacing w:after="0"/>
              <w:rPr>
                <w:sz w:val="20"/>
                <w:szCs w:val="20"/>
                <w:color w:val="auto"/>
              </w:rPr>
            </w:pPr>
            <w:r>
              <w:rPr>
                <w:rFonts w:ascii="Arial" w:cs="Arial" w:eastAsia="Arial" w:hAnsi="Arial"/>
                <w:sz w:val="16"/>
                <w:szCs w:val="16"/>
                <w:color w:val="auto"/>
              </w:rPr>
              <w:t>34,057</w:t>
            </w:r>
          </w:p>
        </w:tc>
        <w:tc>
          <w:tcPr>
            <w:tcW w:w="19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1,800,000</w:t>
            </w:r>
          </w:p>
        </w:tc>
        <w:tc>
          <w:tcPr>
            <w:tcW w:w="1380" w:type="dxa"/>
            <w:vAlign w:val="bottom"/>
            <w:shd w:val="clear" w:color="auto" w:fill="DBDBDB"/>
          </w:tcPr>
          <w:p>
            <w:pPr>
              <w:jc w:val="center"/>
              <w:ind w:right="62"/>
              <w:spacing w:after="0"/>
              <w:rPr>
                <w:sz w:val="20"/>
                <w:szCs w:val="20"/>
                <w:color w:val="auto"/>
              </w:rPr>
            </w:pPr>
            <w:r>
              <w:rPr>
                <w:rFonts w:ascii="Arial" w:cs="Arial" w:eastAsia="Arial" w:hAnsi="Arial"/>
                <w:sz w:val="16"/>
                <w:szCs w:val="16"/>
                <w:color w:val="auto"/>
                <w:w w:val="98"/>
              </w:rPr>
              <w:t>22,705</w:t>
            </w:r>
          </w:p>
        </w:tc>
        <w:tc>
          <w:tcPr>
            <w:tcW w:w="26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4,500,000</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Sudhir Gopalswamy (1)</w:t>
            </w:r>
          </w:p>
        </w:tc>
        <w:tc>
          <w:tcPr>
            <w:tcW w:w="1880" w:type="dxa"/>
            <w:vAlign w:val="bottom"/>
          </w:tcPr>
          <w:p>
            <w:pPr>
              <w:jc w:val="center"/>
              <w:ind w:left="42"/>
              <w:spacing w:after="0"/>
              <w:rPr>
                <w:sz w:val="20"/>
                <w:szCs w:val="20"/>
                <w:color w:val="auto"/>
              </w:rPr>
            </w:pPr>
            <w:r>
              <w:rPr>
                <w:rFonts w:ascii="Arial" w:cs="Arial" w:eastAsia="Arial" w:hAnsi="Arial"/>
                <w:sz w:val="16"/>
                <w:szCs w:val="16"/>
                <w:color w:val="auto"/>
              </w:rPr>
              <w:t>1,380,000</w:t>
            </w:r>
          </w:p>
        </w:tc>
        <w:tc>
          <w:tcPr>
            <w:tcW w:w="1360" w:type="dxa"/>
            <w:vAlign w:val="bottom"/>
          </w:tcPr>
          <w:p>
            <w:pPr>
              <w:jc w:val="center"/>
              <w:ind w:left="22"/>
              <w:spacing w:after="0"/>
              <w:rPr>
                <w:sz w:val="20"/>
                <w:szCs w:val="20"/>
                <w:color w:val="auto"/>
              </w:rPr>
            </w:pPr>
            <w:r>
              <w:rPr>
                <w:rFonts w:ascii="Arial" w:cs="Arial" w:eastAsia="Arial" w:hAnsi="Arial"/>
                <w:sz w:val="16"/>
                <w:szCs w:val="16"/>
                <w:color w:val="auto"/>
              </w:rPr>
              <w:t>17,023</w:t>
            </w:r>
          </w:p>
        </w:tc>
        <w:tc>
          <w:tcPr>
            <w:tcW w:w="1960" w:type="dxa"/>
            <w:vAlign w:val="bottom"/>
          </w:tcPr>
          <w:p>
            <w:pPr>
              <w:jc w:val="center"/>
              <w:spacing w:after="0"/>
              <w:rPr>
                <w:sz w:val="20"/>
                <w:szCs w:val="20"/>
                <w:color w:val="auto"/>
              </w:rPr>
            </w:pPr>
            <w:r>
              <w:rPr>
                <w:rFonts w:ascii="Arial" w:cs="Arial" w:eastAsia="Arial" w:hAnsi="Arial"/>
                <w:sz w:val="16"/>
                <w:szCs w:val="16"/>
                <w:color w:val="auto"/>
              </w:rPr>
              <w:t>920,000</w:t>
            </w:r>
          </w:p>
        </w:tc>
        <w:tc>
          <w:tcPr>
            <w:tcW w:w="1380" w:type="dxa"/>
            <w:vAlign w:val="bottom"/>
          </w:tcPr>
          <w:p>
            <w:pPr>
              <w:jc w:val="center"/>
              <w:ind w:right="62"/>
              <w:spacing w:after="0"/>
              <w:rPr>
                <w:sz w:val="20"/>
                <w:szCs w:val="20"/>
                <w:color w:val="auto"/>
              </w:rPr>
            </w:pPr>
            <w:r>
              <w:rPr>
                <w:rFonts w:ascii="Arial" w:cs="Arial" w:eastAsia="Arial" w:hAnsi="Arial"/>
                <w:sz w:val="16"/>
                <w:szCs w:val="16"/>
                <w:color w:val="auto"/>
                <w:w w:val="98"/>
              </w:rPr>
              <w:t>11,349</w:t>
            </w:r>
          </w:p>
        </w:tc>
        <w:tc>
          <w:tcPr>
            <w:tcW w:w="2620" w:type="dxa"/>
            <w:vAlign w:val="bottom"/>
          </w:tcPr>
          <w:p>
            <w:pPr>
              <w:jc w:val="center"/>
              <w:spacing w:after="0"/>
              <w:rPr>
                <w:sz w:val="20"/>
                <w:szCs w:val="20"/>
                <w:color w:val="auto"/>
              </w:rPr>
            </w:pPr>
            <w:r>
              <w:rPr>
                <w:rFonts w:ascii="Arial" w:cs="Arial" w:eastAsia="Arial" w:hAnsi="Arial"/>
                <w:sz w:val="16"/>
                <w:szCs w:val="16"/>
                <w:color w:val="auto"/>
              </w:rPr>
              <w:t>2,300,000</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Ross F. Jatou</w:t>
            </w:r>
          </w:p>
        </w:tc>
        <w:tc>
          <w:tcPr>
            <w:tcW w:w="1880" w:type="dxa"/>
            <w:vAlign w:val="bottom"/>
            <w:tcBorders>
              <w:bottom w:val="single" w:sz="8" w:color="auto"/>
            </w:tcBorders>
            <w:shd w:val="clear" w:color="auto" w:fill="DBDBDB"/>
          </w:tcPr>
          <w:p>
            <w:pPr>
              <w:jc w:val="center"/>
              <w:ind w:left="42"/>
              <w:spacing w:after="0"/>
              <w:rPr>
                <w:sz w:val="20"/>
                <w:szCs w:val="20"/>
                <w:color w:val="auto"/>
              </w:rPr>
            </w:pPr>
            <w:r>
              <w:rPr>
                <w:rFonts w:ascii="Arial" w:cs="Arial" w:eastAsia="Arial" w:hAnsi="Arial"/>
                <w:sz w:val="16"/>
                <w:szCs w:val="16"/>
                <w:color w:val="auto"/>
              </w:rPr>
              <w:t>1,200,000</w:t>
            </w:r>
          </w:p>
        </w:tc>
        <w:tc>
          <w:tcPr>
            <w:tcW w:w="1360" w:type="dxa"/>
            <w:vAlign w:val="bottom"/>
            <w:tcBorders>
              <w:bottom w:val="single" w:sz="8" w:color="auto"/>
            </w:tcBorders>
            <w:shd w:val="clear" w:color="auto" w:fill="DBDBDB"/>
          </w:tcPr>
          <w:p>
            <w:pPr>
              <w:jc w:val="center"/>
              <w:ind w:left="22"/>
              <w:spacing w:after="0"/>
              <w:rPr>
                <w:sz w:val="20"/>
                <w:szCs w:val="20"/>
                <w:color w:val="auto"/>
              </w:rPr>
            </w:pPr>
            <w:r>
              <w:rPr>
                <w:rFonts w:ascii="Arial" w:cs="Arial" w:eastAsia="Arial" w:hAnsi="Arial"/>
                <w:sz w:val="16"/>
                <w:szCs w:val="16"/>
                <w:color w:val="auto"/>
              </w:rPr>
              <w:t>15,137</w:t>
            </w:r>
          </w:p>
        </w:tc>
        <w:tc>
          <w:tcPr>
            <w:tcW w:w="19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800,000</w:t>
            </w:r>
          </w:p>
        </w:tc>
        <w:tc>
          <w:tcPr>
            <w:tcW w:w="1380" w:type="dxa"/>
            <w:vAlign w:val="bottom"/>
            <w:tcBorders>
              <w:bottom w:val="single" w:sz="8" w:color="auto"/>
            </w:tcBorders>
            <w:shd w:val="clear" w:color="auto" w:fill="DBDBDB"/>
          </w:tcPr>
          <w:p>
            <w:pPr>
              <w:jc w:val="center"/>
              <w:ind w:right="62"/>
              <w:spacing w:after="0"/>
              <w:rPr>
                <w:sz w:val="20"/>
                <w:szCs w:val="20"/>
                <w:color w:val="auto"/>
              </w:rPr>
            </w:pPr>
            <w:r>
              <w:rPr>
                <w:rFonts w:ascii="Arial" w:cs="Arial" w:eastAsia="Arial" w:hAnsi="Arial"/>
                <w:sz w:val="16"/>
                <w:szCs w:val="16"/>
                <w:color w:val="auto"/>
                <w:w w:val="98"/>
              </w:rPr>
              <w:t>10,091</w:t>
            </w:r>
          </w:p>
        </w:tc>
        <w:tc>
          <w:tcPr>
            <w:tcW w:w="26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120" w:hanging="234"/>
        <w:spacing w:after="0" w:line="244" w:lineRule="auto"/>
        <w:tabs>
          <w:tab w:leader="none" w:pos="233"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figures include two grants made to Mr. Gopalswamy: (a) his February 2023 annual LTI award with a grant date target value of $1.7 million and (b) an incremental LTI award in May 2023 with a grant date target value of $0.6 million, in consideration of his assumption of the General Manager, ASG role.</w:t>
      </w:r>
    </w:p>
    <w:p>
      <w:pPr>
        <w:spacing w:after="0" w:line="298"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i w:val="1"/>
          <w:iCs w:val="1"/>
          <w:u w:val="single" w:color="auto"/>
          <w:color w:val="auto"/>
        </w:rPr>
        <w:t>Description of 2023 RSUs</w:t>
      </w:r>
      <w:r>
        <w:rPr>
          <w:rFonts w:ascii="Arial" w:cs="Arial" w:eastAsia="Arial" w:hAnsi="Arial"/>
          <w:sz w:val="18"/>
          <w:szCs w:val="18"/>
          <w:color w:val="auto"/>
        </w:rPr>
        <w:t>. As in prior years, the 2023 RSUs are time-based and will vest annually in one-third increments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subject to the NEO’s continued employment through the applicable vesting date.</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u w:val="single" w:color="auto"/>
          <w:color w:val="auto"/>
        </w:rPr>
        <w:t>Description of 2023 PBRSUs</w:t>
      </w:r>
      <w:r>
        <w:rPr>
          <w:rFonts w:ascii="Arial" w:cs="Arial" w:eastAsia="Arial" w:hAnsi="Arial"/>
          <w:sz w:val="18"/>
          <w:szCs w:val="18"/>
          <w:color w:val="auto"/>
        </w:rPr>
        <w:t>. The 2023 PBRSUs are performance-based equity awards for which vesting is contingent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a mix of annual financial and strategic goals, including a component that adjusts a portion of final payouts, up or down, based on our one-, two-, and three-year TSR performance relative to a peer group, to ensure that the awards remain linked to performance over a full three-year period.</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first step, we measure our performance against four performance goals (the 2023 LTI Performance Goals). As detailed in the below chart, two of the goals are financial (LTI Financial Goals) and the other two are strategic (LTI Strategic Goals), with each of the four goals scored separately. All four goals measured performance over the 2023 fiscal year but the awards will pay out in equal installments over a three-year period and, as a second step, the payout under each tranche of the LTI Financial Goals (50% of the target award) is further adjusted based on our TSR relative to a peer group over the one-, two- or three-year periods beginning on January 1, 2023 and ending on December 31 prior to each vesting date (the TSR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Step 1 - Measure Performance Against LTI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089140" cy="3511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9140" cy="35115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Type of Goal</w:t>
            </w: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LTI Goal</w:t>
            </w:r>
          </w:p>
        </w:tc>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Description and Measurement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FFFFFF"/>
              </w:rPr>
              <w:t>Max Payout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FFFFFF"/>
              </w:rPr>
              <w:t>Subject to Step 2</w:t>
            </w:r>
          </w:p>
        </w:tc>
        <w:tc>
          <w:tcPr>
            <w:tcW w:w="0" w:type="dxa"/>
            <w:vAlign w:val="bottom"/>
          </w:tcPr>
          <w:p>
            <w:pPr>
              <w:spacing w:after="0"/>
              <w:rPr>
                <w:sz w:val="1"/>
                <w:szCs w:val="1"/>
                <w:color w:val="auto"/>
              </w:rPr>
            </w:pPr>
          </w:p>
        </w:tc>
      </w:tr>
      <w:tr>
        <w:trPr>
          <w:trHeight w:val="185"/>
        </w:trPr>
        <w:tc>
          <w:tcPr>
            <w:tcW w:w="120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460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FFFFFF"/>
              </w:rPr>
              <w:t>(as a % of Target)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FFFFFF"/>
              </w:rPr>
              <w:t>TSR Adjustment?</w:t>
            </w:r>
          </w:p>
        </w:tc>
        <w:tc>
          <w:tcPr>
            <w:tcW w:w="0" w:type="dxa"/>
            <w:vAlign w:val="bottom"/>
          </w:tcPr>
          <w:p>
            <w:pPr>
              <w:spacing w:after="0"/>
              <w:rPr>
                <w:sz w:val="1"/>
                <w:szCs w:val="1"/>
                <w:color w:val="auto"/>
              </w:rPr>
            </w:pPr>
          </w:p>
        </w:tc>
      </w:tr>
      <w:tr>
        <w:trPr>
          <w:trHeight w:val="162"/>
        </w:trPr>
        <w:tc>
          <w:tcPr>
            <w:tcW w:w="1200" w:type="dxa"/>
            <w:vAlign w:val="bottom"/>
            <w:shd w:val="clear" w:color="auto" w:fill="DBDBDB"/>
          </w:tcPr>
          <w:p>
            <w:pPr>
              <w:spacing w:after="0"/>
              <w:rPr>
                <w:sz w:val="14"/>
                <w:szCs w:val="14"/>
                <w:color w:val="auto"/>
              </w:rPr>
            </w:pPr>
          </w:p>
        </w:tc>
        <w:tc>
          <w:tcPr>
            <w:tcW w:w="15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New Product</w:t>
            </w:r>
          </w:p>
        </w:tc>
        <w:tc>
          <w:tcPr>
            <w:tcW w:w="4600" w:type="dxa"/>
            <w:vAlign w:val="bottom"/>
            <w:tcBorders>
              <w:right w:val="single" w:sz="8" w:color="DBDBDB"/>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Derived from our 2023 financial statements</w:t>
            </w:r>
          </w:p>
        </w:tc>
        <w:tc>
          <w:tcPr>
            <w:tcW w:w="146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150%</w:t>
            </w:r>
          </w:p>
        </w:tc>
        <w:tc>
          <w:tcPr>
            <w:tcW w:w="23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DBDBDB"/>
          </w:tcPr>
          <w:p>
            <w:pPr>
              <w:spacing w:after="0"/>
              <w:rPr>
                <w:sz w:val="11"/>
                <w:szCs w:val="11"/>
                <w:color w:val="auto"/>
              </w:rPr>
            </w:pPr>
          </w:p>
        </w:tc>
        <w:tc>
          <w:tcPr>
            <w:tcW w:w="15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4600" w:type="dxa"/>
            <w:vAlign w:val="bottom"/>
            <w:tcBorders>
              <w:right w:val="single" w:sz="8" w:color="DBDBDB"/>
            </w:tcBorders>
            <w:vMerge w:val="continue"/>
            <w:shd w:val="clear" w:color="auto" w:fill="DBDBDB"/>
          </w:tcPr>
          <w:p>
            <w:pPr>
              <w:spacing w:after="0"/>
              <w:rPr>
                <w:sz w:val="11"/>
                <w:szCs w:val="11"/>
                <w:color w:val="auto"/>
              </w:rPr>
            </w:pPr>
          </w:p>
        </w:tc>
        <w:tc>
          <w:tcPr>
            <w:tcW w:w="1460" w:type="dxa"/>
            <w:vAlign w:val="bottom"/>
            <w:vMerge w:val="continue"/>
            <w:shd w:val="clear" w:color="auto" w:fill="DBDBDB"/>
          </w:tcPr>
          <w:p>
            <w:pPr>
              <w:spacing w:after="0"/>
              <w:rPr>
                <w:sz w:val="11"/>
                <w:szCs w:val="11"/>
                <w:color w:val="auto"/>
              </w:rPr>
            </w:pPr>
          </w:p>
        </w:tc>
        <w:tc>
          <w:tcPr>
            <w:tcW w:w="23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Financial</w:t>
            </w:r>
          </w:p>
        </w:tc>
        <w:tc>
          <w:tcPr>
            <w:tcW w:w="1540" w:type="dxa"/>
            <w:vAlign w:val="bottom"/>
            <w:vMerge w:val="continue"/>
            <w:shd w:val="clear" w:color="auto" w:fill="DBDBDB"/>
          </w:tcPr>
          <w:p>
            <w:pPr>
              <w:spacing w:after="0"/>
              <w:rPr>
                <w:sz w:val="7"/>
                <w:szCs w:val="7"/>
                <w:color w:val="auto"/>
              </w:rPr>
            </w:pPr>
          </w:p>
        </w:tc>
        <w:tc>
          <w:tcPr>
            <w:tcW w:w="4600" w:type="dxa"/>
            <w:vAlign w:val="bottom"/>
            <w:tcBorders>
              <w:right w:val="single" w:sz="8" w:color="DBDBDB"/>
            </w:tcBorders>
            <w:shd w:val="clear" w:color="auto" w:fill="DBDBDB"/>
          </w:tcPr>
          <w:p>
            <w:pPr>
              <w:spacing w:after="0"/>
              <w:rPr>
                <w:sz w:val="7"/>
                <w:szCs w:val="7"/>
                <w:color w:val="auto"/>
              </w:rPr>
            </w:pPr>
          </w:p>
        </w:tc>
        <w:tc>
          <w:tcPr>
            <w:tcW w:w="1460" w:type="dxa"/>
            <w:vAlign w:val="bottom"/>
            <w:shd w:val="clear" w:color="auto" w:fill="DBDBDB"/>
          </w:tcPr>
          <w:p>
            <w:pPr>
              <w:spacing w:after="0"/>
              <w:rPr>
                <w:sz w:val="7"/>
                <w:szCs w:val="7"/>
                <w:color w:val="auto"/>
              </w:rPr>
            </w:pPr>
          </w:p>
        </w:tc>
        <w:tc>
          <w:tcPr>
            <w:tcW w:w="23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Yes (see below for details)</w:t>
            </w:r>
          </w:p>
        </w:tc>
        <w:tc>
          <w:tcPr>
            <w:tcW w:w="0" w:type="dxa"/>
            <w:vAlign w:val="bottom"/>
          </w:tcPr>
          <w:p>
            <w:pPr>
              <w:spacing w:after="0"/>
              <w:rPr>
                <w:sz w:val="1"/>
                <w:szCs w:val="1"/>
                <w:color w:val="auto"/>
              </w:rPr>
            </w:pPr>
          </w:p>
        </w:tc>
      </w:tr>
      <w:tr>
        <w:trPr>
          <w:trHeight w:val="177"/>
        </w:trPr>
        <w:tc>
          <w:tcPr>
            <w:tcW w:w="1200" w:type="dxa"/>
            <w:vAlign w:val="bottom"/>
            <w:vMerge w:val="continue"/>
            <w:shd w:val="clear" w:color="auto" w:fill="DBDBDB"/>
          </w:tcPr>
          <w:p>
            <w:pPr>
              <w:spacing w:after="0"/>
              <w:rPr>
                <w:sz w:val="15"/>
                <w:szCs w:val="15"/>
                <w:color w:val="auto"/>
              </w:rPr>
            </w:pPr>
          </w:p>
        </w:tc>
        <w:tc>
          <w:tcPr>
            <w:tcW w:w="15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Non-GAAP</w:t>
            </w:r>
          </w:p>
        </w:tc>
        <w:tc>
          <w:tcPr>
            <w:tcW w:w="4600" w:type="dxa"/>
            <w:vAlign w:val="bottom"/>
            <w:tcBorders>
              <w:right w:val="single" w:sz="8" w:color="DBDBDB"/>
            </w:tcBorders>
            <w:shd w:val="clear" w:color="auto" w:fill="DBDBDB"/>
          </w:tcPr>
          <w:p>
            <w:pPr>
              <w:ind w:left="40"/>
              <w:spacing w:after="0" w:line="177" w:lineRule="exact"/>
              <w:rPr>
                <w:sz w:val="20"/>
                <w:szCs w:val="20"/>
                <w:color w:val="auto"/>
              </w:rPr>
            </w:pPr>
            <w:r>
              <w:rPr>
                <w:rFonts w:ascii="Arial" w:cs="Arial" w:eastAsia="Arial" w:hAnsi="Arial"/>
                <w:sz w:val="16"/>
                <w:szCs w:val="16"/>
                <w:color w:val="auto"/>
              </w:rPr>
              <w:t>Derived from our 2023 financial statements and calculated as</w:t>
            </w:r>
          </w:p>
        </w:tc>
        <w:tc>
          <w:tcPr>
            <w:tcW w:w="1460" w:type="dxa"/>
            <w:vAlign w:val="bottom"/>
            <w:shd w:val="clear" w:color="auto" w:fill="DBDBDB"/>
          </w:tcPr>
          <w:p>
            <w:pPr>
              <w:spacing w:after="0"/>
              <w:rPr>
                <w:sz w:val="15"/>
                <w:szCs w:val="15"/>
                <w:color w:val="auto"/>
              </w:rPr>
            </w:pPr>
          </w:p>
        </w:tc>
        <w:tc>
          <w:tcPr>
            <w:tcW w:w="238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DBDBDB"/>
          </w:tcPr>
          <w:p>
            <w:pPr>
              <w:spacing w:after="0"/>
              <w:rPr>
                <w:sz w:val="7"/>
                <w:szCs w:val="7"/>
                <w:color w:val="auto"/>
              </w:rPr>
            </w:pPr>
          </w:p>
        </w:tc>
        <w:tc>
          <w:tcPr>
            <w:tcW w:w="1540" w:type="dxa"/>
            <w:vAlign w:val="bottom"/>
            <w:vMerge w:val="continue"/>
            <w:shd w:val="clear" w:color="auto" w:fill="DBDBDB"/>
          </w:tcPr>
          <w:p>
            <w:pPr>
              <w:spacing w:after="0"/>
              <w:rPr>
                <w:sz w:val="7"/>
                <w:szCs w:val="7"/>
                <w:color w:val="auto"/>
              </w:rPr>
            </w:pPr>
          </w:p>
        </w:tc>
        <w:tc>
          <w:tcPr>
            <w:tcW w:w="4600" w:type="dxa"/>
            <w:vAlign w:val="bottom"/>
            <w:tcBorders>
              <w:right w:val="single" w:sz="8" w:color="DBDBDB"/>
            </w:tcBorders>
            <w:vMerge w:val="restart"/>
            <w:shd w:val="clear" w:color="auto" w:fill="DBDBDB"/>
          </w:tcPr>
          <w:p>
            <w:pPr>
              <w:ind w:left="40"/>
              <w:spacing w:after="0" w:line="162" w:lineRule="exact"/>
              <w:rPr>
                <w:sz w:val="20"/>
                <w:szCs w:val="20"/>
                <w:color w:val="auto"/>
              </w:rPr>
            </w:pPr>
            <w:r>
              <w:rPr>
                <w:rFonts w:ascii="Arial" w:cs="Arial" w:eastAsia="Arial" w:hAnsi="Arial"/>
                <w:sz w:val="16"/>
                <w:szCs w:val="16"/>
                <w:color w:val="auto"/>
              </w:rPr>
              <w:t>described in the GAAP reconciliation appendix to our earnings</w:t>
            </w:r>
          </w:p>
        </w:tc>
        <w:tc>
          <w:tcPr>
            <w:tcW w:w="1460" w:type="dxa"/>
            <w:vAlign w:val="bottom"/>
            <w:vMerge w:val="restart"/>
            <w:shd w:val="clear" w:color="auto" w:fill="DBDBDB"/>
          </w:tcPr>
          <w:p>
            <w:pPr>
              <w:jc w:val="center"/>
              <w:spacing w:after="0" w:line="162" w:lineRule="exact"/>
              <w:rPr>
                <w:sz w:val="20"/>
                <w:szCs w:val="20"/>
                <w:color w:val="auto"/>
              </w:rPr>
            </w:pPr>
            <w:r>
              <w:rPr>
                <w:rFonts w:ascii="Arial" w:cs="Arial" w:eastAsia="Arial" w:hAnsi="Arial"/>
                <w:sz w:val="16"/>
                <w:szCs w:val="16"/>
                <w:color w:val="auto"/>
              </w:rPr>
              <w:t>150%</w:t>
            </w:r>
          </w:p>
        </w:tc>
        <w:tc>
          <w:tcPr>
            <w:tcW w:w="23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shd w:val="clear" w:color="auto" w:fill="DBDBDB"/>
          </w:tcPr>
          <w:p>
            <w:pPr>
              <w:spacing w:after="0"/>
              <w:rPr>
                <w:sz w:val="7"/>
                <w:szCs w:val="7"/>
                <w:color w:val="auto"/>
              </w:rPr>
            </w:pPr>
          </w:p>
        </w:tc>
        <w:tc>
          <w:tcPr>
            <w:tcW w:w="15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Operating Margin</w:t>
            </w:r>
          </w:p>
        </w:tc>
        <w:tc>
          <w:tcPr>
            <w:tcW w:w="4600" w:type="dxa"/>
            <w:vAlign w:val="bottom"/>
            <w:tcBorders>
              <w:right w:val="single" w:sz="8" w:color="DBDBDB"/>
            </w:tcBorders>
            <w:vMerge w:val="continue"/>
            <w:shd w:val="clear" w:color="auto" w:fill="DBDBDB"/>
          </w:tcPr>
          <w:p>
            <w:pPr>
              <w:spacing w:after="0"/>
              <w:rPr>
                <w:sz w:val="7"/>
                <w:szCs w:val="7"/>
                <w:color w:val="auto"/>
              </w:rPr>
            </w:pPr>
          </w:p>
        </w:tc>
        <w:tc>
          <w:tcPr>
            <w:tcW w:w="1460" w:type="dxa"/>
            <w:vAlign w:val="bottom"/>
            <w:vMerge w:val="continue"/>
            <w:shd w:val="clear" w:color="auto" w:fill="DBDBDB"/>
          </w:tcPr>
          <w:p>
            <w:pPr>
              <w:spacing w:after="0"/>
              <w:rPr>
                <w:sz w:val="7"/>
                <w:szCs w:val="7"/>
                <w:color w:val="auto"/>
              </w:rPr>
            </w:pPr>
          </w:p>
        </w:tc>
        <w:tc>
          <w:tcPr>
            <w:tcW w:w="23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00" w:type="dxa"/>
            <w:vAlign w:val="bottom"/>
            <w:shd w:val="clear" w:color="auto" w:fill="DBDBDB"/>
          </w:tcPr>
          <w:p>
            <w:pPr>
              <w:spacing w:after="0"/>
              <w:rPr>
                <w:sz w:val="11"/>
                <w:szCs w:val="11"/>
                <w:color w:val="auto"/>
              </w:rPr>
            </w:pPr>
          </w:p>
        </w:tc>
        <w:tc>
          <w:tcPr>
            <w:tcW w:w="1540" w:type="dxa"/>
            <w:vAlign w:val="bottom"/>
            <w:vMerge w:val="continue"/>
            <w:shd w:val="clear" w:color="auto" w:fill="DBDBDB"/>
          </w:tcPr>
          <w:p>
            <w:pPr>
              <w:spacing w:after="0"/>
              <w:rPr>
                <w:sz w:val="11"/>
                <w:szCs w:val="11"/>
                <w:color w:val="auto"/>
              </w:rPr>
            </w:pPr>
          </w:p>
        </w:tc>
        <w:tc>
          <w:tcPr>
            <w:tcW w:w="4600" w:type="dxa"/>
            <w:vAlign w:val="bottom"/>
            <w:tcBorders>
              <w:right w:val="single" w:sz="8" w:color="DBDBDB"/>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release</w:t>
            </w:r>
          </w:p>
        </w:tc>
        <w:tc>
          <w:tcPr>
            <w:tcW w:w="1460" w:type="dxa"/>
            <w:vAlign w:val="bottom"/>
            <w:shd w:val="clear" w:color="auto" w:fill="DBDBDB"/>
          </w:tcPr>
          <w:p>
            <w:pPr>
              <w:spacing w:after="0"/>
              <w:rPr>
                <w:sz w:val="11"/>
                <w:szCs w:val="11"/>
                <w:color w:val="auto"/>
              </w:rPr>
            </w:pPr>
          </w:p>
        </w:tc>
        <w:tc>
          <w:tcPr>
            <w:tcW w:w="23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00" w:type="dxa"/>
            <w:vAlign w:val="bottom"/>
            <w:tcBorders>
              <w:bottom w:val="single" w:sz="8" w:color="auto"/>
            </w:tcBorders>
            <w:shd w:val="clear" w:color="auto" w:fill="DBDBDB"/>
          </w:tcPr>
          <w:p>
            <w:pPr>
              <w:spacing w:after="0"/>
              <w:rPr>
                <w:sz w:val="7"/>
                <w:szCs w:val="7"/>
                <w:color w:val="auto"/>
              </w:rPr>
            </w:pPr>
          </w:p>
        </w:tc>
        <w:tc>
          <w:tcPr>
            <w:tcW w:w="1540" w:type="dxa"/>
            <w:vAlign w:val="bottom"/>
            <w:tcBorders>
              <w:bottom w:val="single" w:sz="8" w:color="auto"/>
            </w:tcBorders>
            <w:shd w:val="clear" w:color="auto" w:fill="DBDBDB"/>
          </w:tcPr>
          <w:p>
            <w:pPr>
              <w:spacing w:after="0"/>
              <w:rPr>
                <w:sz w:val="7"/>
                <w:szCs w:val="7"/>
                <w:color w:val="auto"/>
              </w:rPr>
            </w:pPr>
          </w:p>
        </w:tc>
        <w:tc>
          <w:tcPr>
            <w:tcW w:w="4600" w:type="dxa"/>
            <w:vAlign w:val="bottom"/>
            <w:tcBorders>
              <w:bottom w:val="single" w:sz="8" w:color="auto"/>
              <w:right w:val="single" w:sz="8" w:color="DBDBDB"/>
            </w:tcBorders>
            <w:vMerge w:val="continue"/>
            <w:shd w:val="clear" w:color="auto" w:fill="DBDBDB"/>
          </w:tcPr>
          <w:p>
            <w:pPr>
              <w:spacing w:after="0"/>
              <w:rPr>
                <w:sz w:val="7"/>
                <w:szCs w:val="7"/>
                <w:color w:val="auto"/>
              </w:rPr>
            </w:pPr>
          </w:p>
        </w:tc>
        <w:tc>
          <w:tcPr>
            <w:tcW w:w="1460" w:type="dxa"/>
            <w:vAlign w:val="bottom"/>
            <w:tcBorders>
              <w:bottom w:val="single" w:sz="8" w:color="auto"/>
            </w:tcBorders>
            <w:shd w:val="clear" w:color="auto" w:fill="DBDBDB"/>
          </w:tcPr>
          <w:p>
            <w:pPr>
              <w:spacing w:after="0"/>
              <w:rPr>
                <w:sz w:val="7"/>
                <w:szCs w:val="7"/>
                <w:color w:val="auto"/>
              </w:rPr>
            </w:pPr>
          </w:p>
        </w:tc>
        <w:tc>
          <w:tcPr>
            <w:tcW w:w="238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540" w:type="dxa"/>
            <w:vAlign w:val="bottom"/>
          </w:tcPr>
          <w:p>
            <w:pPr>
              <w:ind w:left="20"/>
              <w:spacing w:after="0" w:line="156" w:lineRule="exact"/>
              <w:rPr>
                <w:sz w:val="20"/>
                <w:szCs w:val="20"/>
                <w:color w:val="auto"/>
              </w:rPr>
            </w:pPr>
            <w:r>
              <w:rPr>
                <w:rFonts w:ascii="Arial" w:cs="Arial" w:eastAsia="Arial" w:hAnsi="Arial"/>
                <w:sz w:val="16"/>
                <w:szCs w:val="16"/>
                <w:color w:val="auto"/>
              </w:rPr>
              <w:t>SiC Product</w:t>
            </w:r>
          </w:p>
        </w:tc>
        <w:tc>
          <w:tcPr>
            <w:tcW w:w="4600" w:type="dxa"/>
            <w:vAlign w:val="bottom"/>
            <w:tcBorders>
              <w:right w:val="single" w:sz="8" w:color="DBDBDB"/>
            </w:tcBorders>
          </w:tcPr>
          <w:p>
            <w:pPr>
              <w:ind w:left="20"/>
              <w:spacing w:after="0" w:line="156" w:lineRule="exact"/>
              <w:rPr>
                <w:sz w:val="20"/>
                <w:szCs w:val="20"/>
                <w:color w:val="auto"/>
              </w:rPr>
            </w:pPr>
            <w:r>
              <w:rPr>
                <w:rFonts w:ascii="Arial" w:cs="Arial" w:eastAsia="Arial" w:hAnsi="Arial"/>
                <w:sz w:val="16"/>
                <w:szCs w:val="16"/>
                <w:color w:val="auto"/>
              </w:rPr>
              <w:t>Measured based on the revenue we generated for new SiC</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200%</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00" w:type="dxa"/>
            <w:vAlign w:val="bottom"/>
          </w:tcPr>
          <w:p>
            <w:pPr>
              <w:spacing w:after="0"/>
              <w:rPr>
                <w:sz w:val="11"/>
                <w:szCs w:val="11"/>
                <w:color w:val="auto"/>
              </w:rPr>
            </w:pPr>
          </w:p>
        </w:tc>
        <w:tc>
          <w:tcPr>
            <w:tcW w:w="1540" w:type="dxa"/>
            <w:vAlign w:val="bottom"/>
            <w:vMerge w:val="restart"/>
          </w:tcPr>
          <w:p>
            <w:pPr>
              <w:ind w:left="20"/>
              <w:spacing w:after="0"/>
              <w:rPr>
                <w:sz w:val="20"/>
                <w:szCs w:val="20"/>
                <w:color w:val="auto"/>
              </w:rPr>
            </w:pPr>
            <w:r>
              <w:rPr>
                <w:rFonts w:ascii="Arial" w:cs="Arial" w:eastAsia="Arial" w:hAnsi="Arial"/>
                <w:sz w:val="16"/>
                <w:szCs w:val="16"/>
                <w:color w:val="auto"/>
              </w:rPr>
              <w:t>Revenue Ramp</w:t>
            </w:r>
          </w:p>
        </w:tc>
        <w:tc>
          <w:tcPr>
            <w:tcW w:w="460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6"/>
                <w:szCs w:val="16"/>
                <w:color w:val="auto"/>
              </w:rPr>
              <w:t>products as compared to 2022</w:t>
            </w:r>
          </w:p>
        </w:tc>
        <w:tc>
          <w:tcPr>
            <w:tcW w:w="146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00" w:type="dxa"/>
            <w:vAlign w:val="bottom"/>
            <w:vMerge w:val="restart"/>
          </w:tcPr>
          <w:p>
            <w:pPr>
              <w:ind w:left="20"/>
              <w:spacing w:after="0"/>
              <w:rPr>
                <w:sz w:val="20"/>
                <w:szCs w:val="20"/>
                <w:color w:val="auto"/>
              </w:rPr>
            </w:pPr>
            <w:r>
              <w:rPr>
                <w:rFonts w:ascii="Arial" w:cs="Arial" w:eastAsia="Arial" w:hAnsi="Arial"/>
                <w:sz w:val="16"/>
                <w:szCs w:val="16"/>
                <w:color w:val="auto"/>
              </w:rPr>
              <w:t>Strategic</w:t>
            </w:r>
          </w:p>
        </w:tc>
        <w:tc>
          <w:tcPr>
            <w:tcW w:w="1540" w:type="dxa"/>
            <w:vAlign w:val="bottom"/>
            <w:tcBorders>
              <w:bottom w:val="single" w:sz="8" w:color="DBDBDB"/>
            </w:tcBorders>
            <w:vMerge w:val="continue"/>
          </w:tcPr>
          <w:p>
            <w:pPr>
              <w:spacing w:after="0"/>
              <w:rPr>
                <w:sz w:val="7"/>
                <w:szCs w:val="7"/>
                <w:color w:val="auto"/>
              </w:rPr>
            </w:pPr>
          </w:p>
        </w:tc>
        <w:tc>
          <w:tcPr>
            <w:tcW w:w="4600" w:type="dxa"/>
            <w:vAlign w:val="bottom"/>
            <w:tcBorders>
              <w:bottom w:val="single" w:sz="8" w:color="DBDBDB"/>
              <w:right w:val="single" w:sz="8" w:color="DBDBDB"/>
            </w:tcBorders>
            <w:vMerge w:val="continue"/>
          </w:tcPr>
          <w:p>
            <w:pPr>
              <w:spacing w:after="0"/>
              <w:rPr>
                <w:sz w:val="7"/>
                <w:szCs w:val="7"/>
                <w:color w:val="auto"/>
              </w:rPr>
            </w:pPr>
          </w:p>
        </w:tc>
        <w:tc>
          <w:tcPr>
            <w:tcW w:w="1460" w:type="dxa"/>
            <w:vAlign w:val="bottom"/>
            <w:tcBorders>
              <w:bottom w:val="single" w:sz="8" w:color="DBDBDB"/>
            </w:tcBorders>
          </w:tcPr>
          <w:p>
            <w:pPr>
              <w:spacing w:after="0"/>
              <w:rPr>
                <w:sz w:val="7"/>
                <w:szCs w:val="7"/>
                <w:color w:val="auto"/>
              </w:rPr>
            </w:pPr>
          </w:p>
        </w:tc>
        <w:tc>
          <w:tcPr>
            <w:tcW w:w="2380" w:type="dxa"/>
            <w:vAlign w:val="bottom"/>
            <w:vMerge w:val="restart"/>
          </w:tcPr>
          <w:p>
            <w:pPr>
              <w:jc w:val="center"/>
              <w:spacing w:after="0"/>
              <w:rPr>
                <w:sz w:val="20"/>
                <w:szCs w:val="20"/>
                <w:color w:val="auto"/>
              </w:rPr>
            </w:pPr>
            <w:r>
              <w:rPr>
                <w:rFonts w:ascii="Arial" w:cs="Arial" w:eastAsia="Arial" w:hAnsi="Arial"/>
                <w:sz w:val="16"/>
                <w:szCs w:val="16"/>
                <w:color w:val="auto"/>
              </w:rPr>
              <w:t>No TSR Adjustment</w:t>
            </w: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1540" w:type="dxa"/>
            <w:vAlign w:val="bottom"/>
          </w:tcPr>
          <w:p>
            <w:pPr>
              <w:ind w:left="20"/>
              <w:spacing w:after="0" w:line="156" w:lineRule="exact"/>
              <w:rPr>
                <w:sz w:val="20"/>
                <w:szCs w:val="20"/>
                <w:color w:val="auto"/>
              </w:rPr>
            </w:pPr>
            <w:r>
              <w:rPr>
                <w:rFonts w:ascii="Arial" w:cs="Arial" w:eastAsia="Arial" w:hAnsi="Arial"/>
                <w:sz w:val="16"/>
                <w:szCs w:val="16"/>
                <w:color w:val="auto"/>
              </w:rPr>
              <w:t>Design Wins</w:t>
            </w:r>
          </w:p>
        </w:tc>
        <w:tc>
          <w:tcPr>
            <w:tcW w:w="460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6"/>
                <w:szCs w:val="16"/>
                <w:color w:val="auto"/>
              </w:rPr>
              <w:t>Measured based on the amount of revenue generated by such</w:t>
            </w:r>
          </w:p>
        </w:tc>
        <w:tc>
          <w:tcPr>
            <w:tcW w:w="14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5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Supporting 5-year</w:t>
            </w:r>
          </w:p>
        </w:tc>
        <w:tc>
          <w:tcPr>
            <w:tcW w:w="4600" w:type="dxa"/>
            <w:vAlign w:val="bottom"/>
            <w:tcBorders>
              <w:right w:val="single" w:sz="8" w:color="DBDBDB"/>
            </w:tcBorders>
            <w:vMerge w:val="continue"/>
          </w:tcPr>
          <w:p>
            <w:pPr>
              <w:spacing w:after="0"/>
              <w:rPr>
                <w:sz w:val="7"/>
                <w:szCs w:val="7"/>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200%</w:t>
            </w: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460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6"/>
                <w:szCs w:val="16"/>
                <w:color w:val="auto"/>
              </w:rPr>
              <w:t>design wins</w:t>
            </w:r>
          </w:p>
        </w:tc>
        <w:tc>
          <w:tcPr>
            <w:tcW w:w="146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1540" w:type="dxa"/>
            <w:vAlign w:val="bottom"/>
            <w:vMerge w:val="restart"/>
          </w:tcPr>
          <w:p>
            <w:pPr>
              <w:ind w:left="20"/>
              <w:spacing w:after="0"/>
              <w:rPr>
                <w:sz w:val="20"/>
                <w:szCs w:val="20"/>
                <w:color w:val="auto"/>
              </w:rPr>
            </w:pPr>
            <w:r>
              <w:rPr>
                <w:rFonts w:ascii="Arial" w:cs="Arial" w:eastAsia="Arial" w:hAnsi="Arial"/>
                <w:sz w:val="16"/>
                <w:szCs w:val="16"/>
                <w:color w:val="auto"/>
              </w:rPr>
              <w:t>Plan</w:t>
            </w:r>
          </w:p>
        </w:tc>
        <w:tc>
          <w:tcPr>
            <w:tcW w:w="4600" w:type="dxa"/>
            <w:vAlign w:val="bottom"/>
            <w:tcBorders>
              <w:right w:val="single" w:sz="8" w:color="DBDBDB"/>
            </w:tcBorders>
            <w:vMerge w:val="continue"/>
          </w:tcPr>
          <w:p>
            <w:pPr>
              <w:spacing w:after="0"/>
              <w:rPr>
                <w:sz w:val="11"/>
                <w:szCs w:val="11"/>
                <w:color w:val="auto"/>
              </w:rPr>
            </w:pPr>
          </w:p>
        </w:tc>
        <w:tc>
          <w:tcPr>
            <w:tcW w:w="14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2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4600" w:type="dxa"/>
            <w:vAlign w:val="bottom"/>
            <w:tcBorders>
              <w:bottom w:val="single" w:sz="8" w:color="auto"/>
              <w:right w:val="single" w:sz="8" w:color="DBDBDB"/>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-1199515</wp:posOffset>
            </wp:positionV>
            <wp:extent cx="4843780" cy="6000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43780" cy="600075"/>
                    </a:xfrm>
                    <a:prstGeom prst="rect">
                      <a:avLst/>
                    </a:prstGeom>
                    <a:noFill/>
                  </pic:spPr>
                </pic:pic>
              </a:graphicData>
            </a:graphic>
          </wp:anchor>
        </w:drawing>
      </w:r>
    </w:p>
    <w:p>
      <w:pPr>
        <w:spacing w:after="0" w:line="3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using a mix of performance periods in our LTI program emphasizes different priorities. All four of our 2023 LTI Performance Goals, while measured over a one-year period, are forward-looking and establish a baseline to help us achieve our longer-term strategic</w:t>
      </w:r>
    </w:p>
    <w:p>
      <w:pPr>
        <w:spacing w:after="0" w:line="219" w:lineRule="auto"/>
        <w:rPr>
          <w:sz w:val="20"/>
          <w:szCs w:val="20"/>
          <w:color w:val="auto"/>
        </w:rPr>
      </w:pPr>
      <w:r>
        <w:rPr>
          <w:rFonts w:ascii="Arial" w:cs="Arial" w:eastAsia="Arial" w:hAnsi="Arial"/>
          <w:sz w:val="18"/>
          <w:szCs w:val="18"/>
          <w:color w:val="auto"/>
        </w:rPr>
        <w:t>goals. Having our PBRSUs vest over a three-year period, with a significant portion of the ultimate payout remaining variable, to be adjusted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up or down with our relative TSR performance measured from January 1 of the year of grant to December 31 of the year before each scheduled vesting date, links overall payout of these awards to longer-term stockholder returns.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Considerations Regarding 2023 LTI Performance Goals</w:t>
      </w:r>
      <w:r>
        <w:rPr>
          <w:rFonts w:ascii="Arial" w:cs="Arial" w:eastAsia="Arial" w:hAnsi="Arial"/>
          <w:sz w:val="18"/>
          <w:szCs w:val="18"/>
          <w:color w:val="auto"/>
        </w:rPr>
        <w:t>. The 2023 LTI program was designed to reward performance consistent with our</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long-term strategic objectives. Similar to our 2023 STI program, the HCC Committee determined that the use of certain non-GAAP metrics would be more appropriate for our 2023 LTI program than GAAP metrics as it would prevent 2023 LTI payouts from being significantly</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impacted (positively or negatively) by extraordinary or unusual events or non-cash items. The HCC Committee also considered adjustments eliminating the effect of certain non-cash items to be appropriate, believing that the adjusted numbers are a better indicator of our Company’s actual operating performance.</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HCC Committee also considered the advantages and disadvantages of using absolute versus relative performance measures and believes that the 2023 LTI Program struck an appropriate balance by using both types of measures in the PBRSU grants. Absolute measures are consistent with stockholder expectations, allow for greater sense of control and influence by the executive, encourage motivation and are consistent with our cash flow and ability to pay. Conversely, relative measures, such as our TSR Adjustment, result in adjustment, up or down, to payouts for our executives based on our performance compared to our peers in a highly competitive marketplace.</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36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1" w:name="page42"/>
    <w:bookmarkEnd w:id="4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specific targets under each of the 2023 LTI Performance Goals:</w:t>
      </w:r>
    </w:p>
    <w:p>
      <w:pPr>
        <w:spacing w:after="0" w:line="29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00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2023 LTI Performance Goals</w:t>
            </w:r>
          </w:p>
        </w:tc>
        <w:tc>
          <w:tcPr>
            <w:tcW w:w="1720" w:type="dxa"/>
            <w:vAlign w:val="bottom"/>
            <w:shd w:val="clear" w:color="auto" w:fill="465E66"/>
          </w:tcPr>
          <w:p>
            <w:pPr>
              <w:jc w:val="center"/>
              <w:ind w:left="148"/>
              <w:spacing w:after="0"/>
              <w:rPr>
                <w:sz w:val="20"/>
                <w:szCs w:val="20"/>
                <w:color w:val="auto"/>
              </w:rPr>
            </w:pPr>
            <w:r>
              <w:rPr>
                <w:rFonts w:ascii="Arial" w:cs="Arial" w:eastAsia="Arial" w:hAnsi="Arial"/>
                <w:sz w:val="14"/>
                <w:szCs w:val="14"/>
                <w:b w:val="1"/>
                <w:bCs w:val="1"/>
                <w:color w:val="FFFFFF"/>
              </w:rPr>
              <w:t>Weighting (as</w:t>
            </w:r>
          </w:p>
        </w:tc>
        <w:tc>
          <w:tcPr>
            <w:tcW w:w="1400" w:type="dxa"/>
            <w:vAlign w:val="bottom"/>
            <w:shd w:val="clear" w:color="auto" w:fill="465E66"/>
          </w:tcPr>
          <w:p>
            <w:pPr>
              <w:jc w:val="center"/>
              <w:ind w:right="68"/>
              <w:spacing w:after="0"/>
              <w:rPr>
                <w:sz w:val="20"/>
                <w:szCs w:val="20"/>
                <w:color w:val="auto"/>
              </w:rPr>
            </w:pPr>
            <w:r>
              <w:rPr>
                <w:rFonts w:ascii="Arial" w:cs="Arial" w:eastAsia="Arial" w:hAnsi="Arial"/>
                <w:sz w:val="14"/>
                <w:szCs w:val="14"/>
                <w:b w:val="1"/>
                <w:bCs w:val="1"/>
                <w:color w:val="FFFFFF"/>
              </w:rPr>
              <w:t>0% Payout</w:t>
            </w:r>
          </w:p>
        </w:tc>
        <w:tc>
          <w:tcPr>
            <w:tcW w:w="1640" w:type="dxa"/>
            <w:vAlign w:val="bottom"/>
            <w:shd w:val="clear" w:color="auto" w:fill="465E66"/>
          </w:tcPr>
          <w:p>
            <w:pPr>
              <w:jc w:val="center"/>
              <w:ind w:left="88"/>
              <w:spacing w:after="0"/>
              <w:rPr>
                <w:sz w:val="20"/>
                <w:szCs w:val="20"/>
                <w:color w:val="auto"/>
              </w:rPr>
            </w:pPr>
            <w:r>
              <w:rPr>
                <w:rFonts w:ascii="Arial" w:cs="Arial" w:eastAsia="Arial" w:hAnsi="Arial"/>
                <w:sz w:val="14"/>
                <w:szCs w:val="14"/>
                <w:b w:val="1"/>
                <w:bCs w:val="1"/>
                <w:color w:val="FFFFFF"/>
              </w:rPr>
              <w:t>100% Payout</w:t>
            </w:r>
          </w:p>
        </w:tc>
        <w:tc>
          <w:tcPr>
            <w:tcW w:w="1780" w:type="dxa"/>
            <w:vAlign w:val="bottom"/>
            <w:shd w:val="clear" w:color="auto" w:fill="465E66"/>
          </w:tcPr>
          <w:p>
            <w:pPr>
              <w:jc w:val="center"/>
              <w:ind w:left="28"/>
              <w:spacing w:after="0"/>
              <w:rPr>
                <w:sz w:val="20"/>
                <w:szCs w:val="20"/>
                <w:color w:val="auto"/>
              </w:rPr>
            </w:pPr>
            <w:r>
              <w:rPr>
                <w:rFonts w:ascii="Arial" w:cs="Arial" w:eastAsia="Arial" w:hAnsi="Arial"/>
                <w:sz w:val="14"/>
                <w:szCs w:val="14"/>
                <w:b w:val="1"/>
                <w:bCs w:val="1"/>
                <w:color w:val="FFFFFF"/>
              </w:rPr>
              <w:t>150% or 200% Payout</w:t>
            </w:r>
          </w:p>
        </w:tc>
      </w:tr>
      <w:tr>
        <w:trPr>
          <w:trHeight w:val="185"/>
        </w:trPr>
        <w:tc>
          <w:tcPr>
            <w:tcW w:w="400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Measured after 2023 PBRSU Performance Period (1)</w:t>
            </w:r>
          </w:p>
        </w:tc>
        <w:tc>
          <w:tcPr>
            <w:tcW w:w="1720" w:type="dxa"/>
            <w:vAlign w:val="bottom"/>
            <w:shd w:val="clear" w:color="auto" w:fill="465E66"/>
          </w:tcPr>
          <w:p>
            <w:pPr>
              <w:jc w:val="center"/>
              <w:ind w:left="128"/>
              <w:spacing w:after="0"/>
              <w:rPr>
                <w:sz w:val="20"/>
                <w:szCs w:val="20"/>
                <w:color w:val="auto"/>
              </w:rPr>
            </w:pPr>
            <w:r>
              <w:rPr>
                <w:rFonts w:ascii="Arial" w:cs="Arial" w:eastAsia="Arial" w:hAnsi="Arial"/>
                <w:sz w:val="14"/>
                <w:szCs w:val="14"/>
                <w:b w:val="1"/>
                <w:bCs w:val="1"/>
                <w:color w:val="FFFFFF"/>
              </w:rPr>
              <w:t>% of Target LTI)</w:t>
            </w:r>
          </w:p>
        </w:tc>
        <w:tc>
          <w:tcPr>
            <w:tcW w:w="1400" w:type="dxa"/>
            <w:vAlign w:val="bottom"/>
            <w:shd w:val="clear" w:color="auto" w:fill="465E66"/>
          </w:tcPr>
          <w:p>
            <w:pPr>
              <w:jc w:val="center"/>
              <w:ind w:right="68"/>
              <w:spacing w:after="0"/>
              <w:rPr>
                <w:sz w:val="20"/>
                <w:szCs w:val="20"/>
                <w:color w:val="auto"/>
              </w:rPr>
            </w:pPr>
            <w:r>
              <w:rPr>
                <w:rFonts w:ascii="Arial" w:cs="Arial" w:eastAsia="Arial" w:hAnsi="Arial"/>
                <w:sz w:val="14"/>
                <w:szCs w:val="14"/>
                <w:b w:val="1"/>
                <w:bCs w:val="1"/>
                <w:color w:val="FFFFFF"/>
              </w:rPr>
              <w:t>(Threshold)</w:t>
            </w:r>
          </w:p>
        </w:tc>
        <w:tc>
          <w:tcPr>
            <w:tcW w:w="1640" w:type="dxa"/>
            <w:vAlign w:val="bottom"/>
            <w:shd w:val="clear" w:color="auto" w:fill="465E66"/>
          </w:tcPr>
          <w:p>
            <w:pPr>
              <w:jc w:val="center"/>
              <w:ind w:left="88"/>
              <w:spacing w:after="0"/>
              <w:rPr>
                <w:sz w:val="20"/>
                <w:szCs w:val="20"/>
                <w:color w:val="auto"/>
              </w:rPr>
            </w:pPr>
            <w:r>
              <w:rPr>
                <w:rFonts w:ascii="Arial" w:cs="Arial" w:eastAsia="Arial" w:hAnsi="Arial"/>
                <w:sz w:val="14"/>
                <w:szCs w:val="14"/>
                <w:b w:val="1"/>
                <w:bCs w:val="1"/>
                <w:color w:val="FFFFFF"/>
                <w:w w:val="99"/>
              </w:rPr>
              <w:t>(Target)</w:t>
            </w:r>
          </w:p>
        </w:tc>
        <w:tc>
          <w:tcPr>
            <w:tcW w:w="1780" w:type="dxa"/>
            <w:vAlign w:val="bottom"/>
            <w:shd w:val="clear" w:color="auto" w:fill="465E66"/>
          </w:tcPr>
          <w:p>
            <w:pPr>
              <w:jc w:val="center"/>
              <w:ind w:left="28"/>
              <w:spacing w:after="0"/>
              <w:rPr>
                <w:sz w:val="20"/>
                <w:szCs w:val="20"/>
                <w:color w:val="auto"/>
              </w:rPr>
            </w:pPr>
            <w:r>
              <w:rPr>
                <w:rFonts w:ascii="Arial" w:cs="Arial" w:eastAsia="Arial" w:hAnsi="Arial"/>
                <w:sz w:val="14"/>
                <w:szCs w:val="14"/>
                <w:b w:val="1"/>
                <w:bCs w:val="1"/>
                <w:color w:val="FFFFFF"/>
              </w:rPr>
              <w:t>(Stretch)</w:t>
            </w:r>
          </w:p>
        </w:tc>
      </w:tr>
      <w:tr>
        <w:trPr>
          <w:trHeight w:val="203"/>
        </w:trPr>
        <w:tc>
          <w:tcPr>
            <w:tcW w:w="4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New Product Revenue (as a percent of all revenue)</w:t>
            </w:r>
          </w:p>
        </w:tc>
        <w:tc>
          <w:tcPr>
            <w:tcW w:w="172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rPr>
              <w:t>25.0%</w:t>
            </w:r>
          </w:p>
        </w:tc>
        <w:tc>
          <w:tcPr>
            <w:tcW w:w="1400" w:type="dxa"/>
            <w:vAlign w:val="bottom"/>
            <w:shd w:val="clear" w:color="auto" w:fill="DBDBDB"/>
          </w:tcPr>
          <w:p>
            <w:pPr>
              <w:jc w:val="center"/>
              <w:ind w:right="68"/>
              <w:spacing w:after="0"/>
              <w:rPr>
                <w:sz w:val="20"/>
                <w:szCs w:val="20"/>
                <w:color w:val="auto"/>
              </w:rPr>
            </w:pPr>
            <w:r>
              <w:rPr>
                <w:rFonts w:ascii="Arial" w:cs="Arial" w:eastAsia="Arial" w:hAnsi="Arial"/>
                <w:sz w:val="14"/>
                <w:szCs w:val="14"/>
                <w:color w:val="auto"/>
              </w:rPr>
              <w:t>19%</w:t>
            </w:r>
          </w:p>
        </w:tc>
        <w:tc>
          <w:tcPr>
            <w:tcW w:w="164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w w:val="99"/>
              </w:rPr>
              <w:t>25%</w:t>
            </w:r>
          </w:p>
        </w:tc>
        <w:tc>
          <w:tcPr>
            <w:tcW w:w="178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w w:val="99"/>
              </w:rPr>
              <w:t>30%</w:t>
            </w:r>
          </w:p>
        </w:tc>
      </w:tr>
      <w:tr>
        <w:trPr>
          <w:trHeight w:val="198"/>
        </w:trPr>
        <w:tc>
          <w:tcPr>
            <w:tcW w:w="4000" w:type="dxa"/>
            <w:vAlign w:val="bottom"/>
          </w:tcPr>
          <w:p>
            <w:pPr>
              <w:ind w:left="20"/>
              <w:spacing w:after="0"/>
              <w:rPr>
                <w:sz w:val="20"/>
                <w:szCs w:val="20"/>
                <w:color w:val="auto"/>
              </w:rPr>
            </w:pPr>
            <w:r>
              <w:rPr>
                <w:rFonts w:ascii="Arial" w:cs="Arial" w:eastAsia="Arial" w:hAnsi="Arial"/>
                <w:sz w:val="14"/>
                <w:szCs w:val="14"/>
                <w:color w:val="auto"/>
              </w:rPr>
              <w:t>Non-GAAP Operating Margin (2)</w:t>
            </w:r>
          </w:p>
        </w:tc>
        <w:tc>
          <w:tcPr>
            <w:tcW w:w="1720" w:type="dxa"/>
            <w:vAlign w:val="bottom"/>
          </w:tcPr>
          <w:p>
            <w:pPr>
              <w:jc w:val="center"/>
              <w:ind w:left="128"/>
              <w:spacing w:after="0"/>
              <w:rPr>
                <w:sz w:val="20"/>
                <w:szCs w:val="20"/>
                <w:color w:val="auto"/>
              </w:rPr>
            </w:pPr>
            <w:r>
              <w:rPr>
                <w:rFonts w:ascii="Arial" w:cs="Arial" w:eastAsia="Arial" w:hAnsi="Arial"/>
                <w:sz w:val="14"/>
                <w:szCs w:val="14"/>
                <w:color w:val="auto"/>
              </w:rPr>
              <w:t>25.0%</w:t>
            </w:r>
          </w:p>
        </w:tc>
        <w:tc>
          <w:tcPr>
            <w:tcW w:w="1400" w:type="dxa"/>
            <w:vAlign w:val="bottom"/>
          </w:tcPr>
          <w:p>
            <w:pPr>
              <w:jc w:val="center"/>
              <w:ind w:right="68"/>
              <w:spacing w:after="0"/>
              <w:rPr>
                <w:sz w:val="20"/>
                <w:szCs w:val="20"/>
                <w:color w:val="auto"/>
              </w:rPr>
            </w:pPr>
            <w:r>
              <w:rPr>
                <w:rFonts w:ascii="Arial" w:cs="Arial" w:eastAsia="Arial" w:hAnsi="Arial"/>
                <w:sz w:val="14"/>
                <w:szCs w:val="14"/>
                <w:color w:val="auto"/>
              </w:rPr>
              <w:t>30.0%</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32.6%</w:t>
            </w:r>
          </w:p>
        </w:tc>
        <w:tc>
          <w:tcPr>
            <w:tcW w:w="1780" w:type="dxa"/>
            <w:vAlign w:val="bottom"/>
          </w:tcPr>
          <w:p>
            <w:pPr>
              <w:jc w:val="center"/>
              <w:ind w:left="28"/>
              <w:spacing w:after="0"/>
              <w:rPr>
                <w:sz w:val="20"/>
                <w:szCs w:val="20"/>
                <w:color w:val="auto"/>
              </w:rPr>
            </w:pPr>
            <w:r>
              <w:rPr>
                <w:rFonts w:ascii="Arial" w:cs="Arial" w:eastAsia="Arial" w:hAnsi="Arial"/>
                <w:sz w:val="14"/>
                <w:szCs w:val="14"/>
                <w:color w:val="auto"/>
              </w:rPr>
              <w:t>34.0%</w:t>
            </w:r>
          </w:p>
        </w:tc>
      </w:tr>
      <w:tr>
        <w:trPr>
          <w:trHeight w:val="207"/>
        </w:trPr>
        <w:tc>
          <w:tcPr>
            <w:tcW w:w="4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SiC Product Revenue Ramp</w:t>
            </w:r>
          </w:p>
        </w:tc>
        <w:tc>
          <w:tcPr>
            <w:tcW w:w="1720" w:type="dxa"/>
            <w:vAlign w:val="bottom"/>
            <w:shd w:val="clear" w:color="auto" w:fill="DBDBDB"/>
          </w:tcPr>
          <w:p>
            <w:pPr>
              <w:jc w:val="center"/>
              <w:ind w:left="128"/>
              <w:spacing w:after="0"/>
              <w:rPr>
                <w:sz w:val="20"/>
                <w:szCs w:val="20"/>
                <w:color w:val="auto"/>
              </w:rPr>
            </w:pPr>
            <w:r>
              <w:rPr>
                <w:rFonts w:ascii="Arial" w:cs="Arial" w:eastAsia="Arial" w:hAnsi="Arial"/>
                <w:sz w:val="14"/>
                <w:szCs w:val="14"/>
                <w:color w:val="auto"/>
              </w:rPr>
              <w:t>33.3%</w:t>
            </w:r>
          </w:p>
        </w:tc>
        <w:tc>
          <w:tcPr>
            <w:tcW w:w="1400" w:type="dxa"/>
            <w:vAlign w:val="bottom"/>
            <w:shd w:val="clear" w:color="auto" w:fill="DBDBDB"/>
          </w:tcPr>
          <w:p>
            <w:pPr>
              <w:jc w:val="center"/>
              <w:ind w:right="68"/>
              <w:spacing w:after="0"/>
              <w:rPr>
                <w:sz w:val="20"/>
                <w:szCs w:val="20"/>
                <w:color w:val="auto"/>
              </w:rPr>
            </w:pPr>
            <w:r>
              <w:rPr>
                <w:rFonts w:ascii="Arial" w:cs="Arial" w:eastAsia="Arial" w:hAnsi="Arial"/>
                <w:sz w:val="14"/>
                <w:szCs w:val="14"/>
                <w:color w:val="auto"/>
                <w:w w:val="94"/>
              </w:rPr>
              <w:t>2x</w:t>
            </w:r>
          </w:p>
        </w:tc>
        <w:tc>
          <w:tcPr>
            <w:tcW w:w="164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3.8x</w:t>
            </w:r>
          </w:p>
        </w:tc>
        <w:tc>
          <w:tcPr>
            <w:tcW w:w="178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4.4x</w:t>
            </w:r>
          </w:p>
        </w:tc>
      </w:tr>
      <w:tr>
        <w:trPr>
          <w:trHeight w:val="198"/>
        </w:trPr>
        <w:tc>
          <w:tcPr>
            <w:tcW w:w="4000" w:type="dxa"/>
            <w:vAlign w:val="bottom"/>
          </w:tcPr>
          <w:p>
            <w:pPr>
              <w:ind w:left="20"/>
              <w:spacing w:after="0"/>
              <w:rPr>
                <w:sz w:val="20"/>
                <w:szCs w:val="20"/>
                <w:color w:val="auto"/>
              </w:rPr>
            </w:pPr>
            <w:r>
              <w:rPr>
                <w:rFonts w:ascii="Arial" w:cs="Arial" w:eastAsia="Arial" w:hAnsi="Arial"/>
                <w:sz w:val="14"/>
                <w:szCs w:val="14"/>
                <w:color w:val="auto"/>
              </w:rPr>
              <w:t>Design Wins Supporting 5-year Plan (3)</w:t>
            </w:r>
          </w:p>
        </w:tc>
        <w:tc>
          <w:tcPr>
            <w:tcW w:w="1720" w:type="dxa"/>
            <w:vAlign w:val="bottom"/>
          </w:tcPr>
          <w:p>
            <w:pPr>
              <w:jc w:val="center"/>
              <w:ind w:left="128"/>
              <w:spacing w:after="0"/>
              <w:rPr>
                <w:sz w:val="20"/>
                <w:szCs w:val="20"/>
                <w:color w:val="auto"/>
              </w:rPr>
            </w:pPr>
            <w:r>
              <w:rPr>
                <w:rFonts w:ascii="Arial" w:cs="Arial" w:eastAsia="Arial" w:hAnsi="Arial"/>
                <w:sz w:val="14"/>
                <w:szCs w:val="14"/>
                <w:color w:val="auto"/>
              </w:rPr>
              <w:t>16.7%</w:t>
            </w:r>
          </w:p>
        </w:tc>
        <w:tc>
          <w:tcPr>
            <w:tcW w:w="1400" w:type="dxa"/>
            <w:vAlign w:val="bottom"/>
          </w:tcPr>
          <w:p>
            <w:pPr>
              <w:jc w:val="center"/>
              <w:ind w:right="68"/>
              <w:spacing w:after="0"/>
              <w:rPr>
                <w:sz w:val="20"/>
                <w:szCs w:val="20"/>
                <w:color w:val="auto"/>
              </w:rPr>
            </w:pPr>
            <w:r>
              <w:rPr>
                <w:rFonts w:ascii="Arial" w:cs="Arial" w:eastAsia="Arial" w:hAnsi="Arial"/>
                <w:sz w:val="14"/>
                <w:szCs w:val="14"/>
                <w:color w:val="auto"/>
              </w:rPr>
              <w:t>$4.0 billion</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$5.0 billion</w:t>
            </w:r>
          </w:p>
        </w:tc>
        <w:tc>
          <w:tcPr>
            <w:tcW w:w="1780" w:type="dxa"/>
            <w:vAlign w:val="bottom"/>
          </w:tcPr>
          <w:p>
            <w:pPr>
              <w:jc w:val="center"/>
              <w:ind w:left="28"/>
              <w:spacing w:after="0"/>
              <w:rPr>
                <w:sz w:val="20"/>
                <w:szCs w:val="20"/>
                <w:color w:val="auto"/>
              </w:rPr>
            </w:pPr>
            <w:r>
              <w:rPr>
                <w:rFonts w:ascii="Arial" w:cs="Arial" w:eastAsia="Arial" w:hAnsi="Arial"/>
                <w:sz w:val="14"/>
                <w:szCs w:val="14"/>
                <w:color w:val="auto"/>
              </w:rPr>
              <w:t>$6.0 billion</w:t>
            </w:r>
          </w:p>
        </w:tc>
      </w:tr>
      <w:tr>
        <w:trPr>
          <w:trHeight w:val="207"/>
        </w:trPr>
        <w:tc>
          <w:tcPr>
            <w:tcW w:w="5720" w:type="dxa"/>
            <w:vAlign w:val="bottom"/>
            <w:gridSpan w:val="2"/>
            <w:shd w:val="clear" w:color="auto" w:fill="465E66"/>
          </w:tcPr>
          <w:p>
            <w:pPr>
              <w:ind w:left="620"/>
              <w:spacing w:after="0"/>
              <w:rPr>
                <w:sz w:val="20"/>
                <w:szCs w:val="20"/>
                <w:color w:val="auto"/>
              </w:rPr>
            </w:pPr>
            <w:r>
              <w:rPr>
                <w:rFonts w:ascii="Arial" w:cs="Arial" w:eastAsia="Arial" w:hAnsi="Arial"/>
                <w:sz w:val="14"/>
                <w:szCs w:val="14"/>
                <w:b w:val="1"/>
                <w:bCs w:val="1"/>
                <w:color w:val="FFFFFF"/>
              </w:rPr>
              <w:t>TSR Adjustment Measured after each TSR Performance Period</w:t>
            </w:r>
          </w:p>
        </w:tc>
        <w:tc>
          <w:tcPr>
            <w:tcW w:w="1400" w:type="dxa"/>
            <w:vAlign w:val="bottom"/>
            <w:shd w:val="clear" w:color="auto" w:fill="465E66"/>
          </w:tcPr>
          <w:p>
            <w:pPr>
              <w:spacing w:after="0"/>
              <w:rPr>
                <w:sz w:val="17"/>
                <w:szCs w:val="17"/>
                <w:color w:val="auto"/>
              </w:rPr>
            </w:pPr>
          </w:p>
        </w:tc>
        <w:tc>
          <w:tcPr>
            <w:tcW w:w="1640" w:type="dxa"/>
            <w:vAlign w:val="bottom"/>
            <w:shd w:val="clear" w:color="auto" w:fill="465E66"/>
          </w:tcPr>
          <w:p>
            <w:pPr>
              <w:jc w:val="center"/>
              <w:ind w:left="88"/>
              <w:spacing w:after="0"/>
              <w:rPr>
                <w:sz w:val="20"/>
                <w:szCs w:val="20"/>
                <w:color w:val="auto"/>
              </w:rPr>
            </w:pPr>
            <w:r>
              <w:rPr>
                <w:rFonts w:ascii="Arial" w:cs="Arial" w:eastAsia="Arial" w:hAnsi="Arial"/>
                <w:sz w:val="14"/>
                <w:szCs w:val="14"/>
                <w:b w:val="1"/>
                <w:bCs w:val="1"/>
                <w:color w:val="FFFFFF"/>
              </w:rPr>
              <w:t>Payout Range</w:t>
            </w:r>
          </w:p>
        </w:tc>
        <w:tc>
          <w:tcPr>
            <w:tcW w:w="1780" w:type="dxa"/>
            <w:vAlign w:val="bottom"/>
            <w:shd w:val="clear" w:color="auto" w:fill="465E66"/>
          </w:tcPr>
          <w:p>
            <w:pPr>
              <w:spacing w:after="0"/>
              <w:rPr>
                <w:sz w:val="17"/>
                <w:szCs w:val="17"/>
                <w:color w:val="auto"/>
              </w:rPr>
            </w:pPr>
          </w:p>
        </w:tc>
      </w:tr>
      <w:tr>
        <w:trPr>
          <w:trHeight w:val="198"/>
        </w:trPr>
        <w:tc>
          <w:tcPr>
            <w:tcW w:w="40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Relative TSR</w:t>
            </w:r>
          </w:p>
        </w:tc>
        <w:tc>
          <w:tcPr>
            <w:tcW w:w="17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spacing w:after="0"/>
              <w:rPr>
                <w:sz w:val="17"/>
                <w:szCs w:val="17"/>
                <w:color w:val="auto"/>
              </w:rPr>
            </w:pPr>
          </w:p>
        </w:tc>
        <w:tc>
          <w:tcPr>
            <w:tcW w:w="1640" w:type="dxa"/>
            <w:vAlign w:val="bottom"/>
            <w:tcBorders>
              <w:bottom w:val="single" w:sz="8" w:color="auto"/>
            </w:tcBorders>
            <w:shd w:val="clear" w:color="auto" w:fill="DBDBDB"/>
          </w:tcPr>
          <w:p>
            <w:pPr>
              <w:jc w:val="center"/>
              <w:ind w:left="88"/>
              <w:spacing w:after="0"/>
              <w:rPr>
                <w:sz w:val="20"/>
                <w:szCs w:val="20"/>
                <w:color w:val="auto"/>
              </w:rPr>
            </w:pPr>
            <w:r>
              <w:rPr>
                <w:rFonts w:ascii="Arial" w:cs="Arial" w:eastAsia="Arial" w:hAnsi="Arial"/>
                <w:sz w:val="14"/>
                <w:szCs w:val="14"/>
                <w:color w:val="auto"/>
              </w:rPr>
              <w:t>50% to 150% (4)</w:t>
            </w:r>
          </w:p>
        </w:tc>
        <w:tc>
          <w:tcPr>
            <w:tcW w:w="1780" w:type="dxa"/>
            <w:vAlign w:val="bottom"/>
            <w:tcBorders>
              <w:bottom w:val="single" w:sz="8" w:color="auto"/>
            </w:tcBorders>
            <w:shd w:val="clear" w:color="auto" w:fill="DBDBDB"/>
          </w:tcPr>
          <w:p>
            <w:pPr>
              <w:spacing w:after="0"/>
              <w:rPr>
                <w:sz w:val="17"/>
                <w:szCs w:val="17"/>
                <w:color w:val="auto"/>
              </w:rPr>
            </w:pPr>
          </w:p>
        </w:tc>
      </w:tr>
    </w:tbl>
    <w:p>
      <w:pPr>
        <w:spacing w:after="0" w:line="4" w:lineRule="exact"/>
        <w:rPr>
          <w:sz w:val="20"/>
          <w:szCs w:val="20"/>
          <w:color w:val="auto"/>
        </w:rPr>
      </w:pPr>
    </w:p>
    <w:p>
      <w:pPr>
        <w:ind w:left="620" w:right="420" w:hanging="250"/>
        <w:spacing w:after="0" w:line="235" w:lineRule="auto"/>
        <w:tabs>
          <w:tab w:leader="none" w:pos="593"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LTI Performance Goals aside from the goal regarding the delivery of design wins are calculated in a manner consistent with how we calculate these figures for purposes of our earnings releases. Payouts under each 2023 LTI Performance Goal are determined using linear interpolation from threshold to target and from target to stretch.</w:t>
      </w:r>
    </w:p>
    <w:p>
      <w:pPr>
        <w:spacing w:after="0" w:line="13" w:lineRule="exact"/>
        <w:rPr>
          <w:rFonts w:ascii="Arial" w:cs="Arial" w:eastAsia="Arial" w:hAnsi="Arial"/>
          <w:sz w:val="14"/>
          <w:szCs w:val="14"/>
          <w:color w:val="auto"/>
        </w:rPr>
      </w:pPr>
    </w:p>
    <w:p>
      <w:pPr>
        <w:ind w:left="620" w:right="500" w:hanging="250"/>
        <w:spacing w:after="0" w:line="252" w:lineRule="auto"/>
        <w:tabs>
          <w:tab w:leader="none" w:pos="593"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Non-GAAP operating margin measures the percentage growth from our actual results achieved for the prior fiscal year. It is calculated and adjusted by the HCC Committee in the same manner as for the 2023 STI program (discussed above).</w:t>
      </w:r>
    </w:p>
    <w:p>
      <w:pPr>
        <w:ind w:left="620" w:right="440" w:hanging="250"/>
        <w:spacing w:after="0" w:line="251" w:lineRule="auto"/>
        <w:tabs>
          <w:tab w:leader="none" w:pos="593"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Design win revenue means the annual value of all “standard” opportunities in the sales funnel whose sales status at the part number level is advanced to “design win” during 2023.</w:t>
      </w:r>
    </w:p>
    <w:p>
      <w:pPr>
        <w:ind w:left="620" w:right="600" w:hanging="250"/>
        <w:spacing w:after="0" w:line="263" w:lineRule="auto"/>
        <w:tabs>
          <w:tab w:leader="none" w:pos="593"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described above, the TSR Adjustment, which applies to the LTI Financial Goals, is a further adjustment (from a reduction of 50% to a maximum increase of 150%) to the number of shares earned on the basis of our performance as measured against each LTI Financial Goal.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end of 2023, the HCC Committee determined the number of PBRSUs deemed to be preliminarily earned based on the results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each of the 2023 LTI Performance Goals. These units will then vest and pay out in shares of our common stock in three equal annual installments in 2024, 2025 and 2026, subject to any applicable TSR Adjustment as described below and provided the NEO remains</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employed on the applicable vesting date. For a discussion of our 2023 performance results, please see below under “Results for PBRSUs with Performance Periods Ending in 2023.”</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One-, Two- and Three-Year TSR Adjustments</w:t>
      </w:r>
      <w:r>
        <w:rPr>
          <w:rFonts w:ascii="Arial" w:cs="Arial" w:eastAsia="Arial" w:hAnsi="Arial"/>
          <w:sz w:val="18"/>
          <w:szCs w:val="18"/>
          <w:color w:val="auto"/>
        </w:rPr>
        <w:t>. As noted above, we include a relative TSR Adjustment in the design of our PBRSUs to emphasize the importance of our stock performance as compared to an industry peer group. Specifically, the number of PBRSUs vesting in each tranche as a result of the LTI Financial Goals will be adjusted based on our relative TSR over the performance period beginning on</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January 1, 2023 and ending on December 31 of the year immediately preceding the vesting date. This means that, for the portion of any PBRSUs subject to the TSR Adjustment, the number of shares preliminarily earned based on our results relative to the LTI Financial Goals will be further adjusted, on a tranche-by-tranche basis, by our one-year (first tranche), two-year (second tranche) and three-year (third tranche) relative TSR. The TSR Adjustment is a percentage (between 50-150%) that is then multiplied by the number of shares preliminarily earned under each of the LTI Financial Goals in a given tranche as follows: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Step 2 - TSR Adjustment to Step 1 Results for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-115570</wp:posOffset>
            </wp:positionV>
            <wp:extent cx="5777865"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77865" cy="377190"/>
                    </a:xfrm>
                    <a:prstGeom prst="rect">
                      <a:avLst/>
                    </a:prstGeom>
                    <a:noFill/>
                  </pic:spPr>
                </pic:pic>
              </a:graphicData>
            </a:graphic>
          </wp:anchor>
        </w:drawing>
      </w:r>
    </w:p>
    <w:tbl>
      <w:tblPr>
        <w:tblLayout w:type="fixed"/>
        <w:tblInd w:w="1080" w:type="dxa"/>
        <w:tblCellMar>
          <w:top w:w="0" w:type="dxa"/>
          <w:left w:w="0" w:type="dxa"/>
          <w:bottom w:w="0" w:type="dxa"/>
          <w:right w:w="0" w:type="dxa"/>
        </w:tblCellMar>
      </w:tblPr>
      <w:tr>
        <w:trPr>
          <w:trHeight w:val="184"/>
        </w:trPr>
        <w:tc>
          <w:tcPr>
            <w:tcW w:w="4320" w:type="dxa"/>
            <w:vAlign w:val="bottom"/>
            <w:vMerge w:val="restart"/>
          </w:tcPr>
          <w:p>
            <w:pPr>
              <w:ind w:left="220"/>
              <w:spacing w:after="0"/>
              <w:rPr>
                <w:sz w:val="20"/>
                <w:szCs w:val="20"/>
                <w:color w:val="auto"/>
              </w:rPr>
            </w:pPr>
            <w:r>
              <w:rPr>
                <w:rFonts w:ascii="Arial" w:cs="Arial" w:eastAsia="Arial" w:hAnsi="Arial"/>
                <w:sz w:val="16"/>
                <w:szCs w:val="16"/>
                <w:b w:val="1"/>
                <w:bCs w:val="1"/>
                <w:color w:val="FFFFFF"/>
              </w:rPr>
              <w:t>Relative TSR</w:t>
            </w:r>
          </w:p>
        </w:tc>
        <w:tc>
          <w:tcPr>
            <w:tcW w:w="4780" w:type="dxa"/>
            <w:vAlign w:val="bottom"/>
          </w:tcPr>
          <w:p>
            <w:pPr>
              <w:jc w:val="center"/>
              <w:ind w:left="79"/>
              <w:spacing w:after="0"/>
              <w:rPr>
                <w:sz w:val="20"/>
                <w:szCs w:val="20"/>
                <w:color w:val="auto"/>
              </w:rPr>
            </w:pPr>
            <w:r>
              <w:rPr>
                <w:rFonts w:ascii="Arial" w:cs="Arial" w:eastAsia="Arial" w:hAnsi="Arial"/>
                <w:sz w:val="16"/>
                <w:szCs w:val="16"/>
                <w:b w:val="1"/>
                <w:bCs w:val="1"/>
                <w:color w:val="FFFFFF"/>
              </w:rPr>
              <w:t>TSR Adjustment</w:t>
            </w: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4780" w:type="dxa"/>
            <w:vAlign w:val="bottom"/>
          </w:tcPr>
          <w:p>
            <w:pPr>
              <w:jc w:val="center"/>
              <w:ind w:left="99"/>
              <w:spacing w:after="0"/>
              <w:rPr>
                <w:sz w:val="20"/>
                <w:szCs w:val="20"/>
                <w:color w:val="auto"/>
              </w:rPr>
            </w:pPr>
            <w:r>
              <w:rPr>
                <w:rFonts w:ascii="Arial" w:cs="Arial" w:eastAsia="Arial" w:hAnsi="Arial"/>
                <w:sz w:val="16"/>
                <w:szCs w:val="16"/>
                <w:color w:val="FFFFFF"/>
              </w:rPr>
              <w:t>(applied to Step 1 Financial Units in each Tranche)</w:t>
            </w:r>
          </w:p>
        </w:tc>
        <w:tc>
          <w:tcPr>
            <w:tcW w:w="0" w:type="dxa"/>
            <w:vAlign w:val="bottom"/>
          </w:tcPr>
          <w:p>
            <w:pPr>
              <w:spacing w:after="0"/>
              <w:rPr>
                <w:sz w:val="1"/>
                <w:szCs w:val="1"/>
                <w:color w:val="auto"/>
              </w:rPr>
            </w:pPr>
          </w:p>
        </w:tc>
      </w:tr>
      <w:tr>
        <w:trPr>
          <w:trHeight w:val="216"/>
        </w:trPr>
        <w:tc>
          <w:tcPr>
            <w:tcW w:w="4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Equal to or greater than 75th Percentile</w:t>
            </w:r>
          </w:p>
        </w:tc>
        <w:tc>
          <w:tcPr>
            <w:tcW w:w="4780" w:type="dxa"/>
            <w:vAlign w:val="bottom"/>
            <w:shd w:val="clear" w:color="auto" w:fill="DBDBDB"/>
          </w:tcPr>
          <w:p>
            <w:pPr>
              <w:jc w:val="center"/>
              <w:ind w:left="99"/>
              <w:spacing w:after="0"/>
              <w:rPr>
                <w:sz w:val="20"/>
                <w:szCs w:val="20"/>
                <w:color w:val="auto"/>
              </w:rPr>
            </w:pPr>
            <w:r>
              <w:rPr>
                <w:rFonts w:ascii="Arial" w:cs="Arial" w:eastAsia="Arial" w:hAnsi="Arial"/>
                <w:sz w:val="16"/>
                <w:szCs w:val="16"/>
                <w:color w:val="auto"/>
              </w:rPr>
              <w:t>150% (fixed)</w:t>
            </w:r>
          </w:p>
        </w:tc>
        <w:tc>
          <w:tcPr>
            <w:tcW w:w="0" w:type="dxa"/>
            <w:vAlign w:val="bottom"/>
          </w:tcPr>
          <w:p>
            <w:pPr>
              <w:spacing w:after="0"/>
              <w:rPr>
                <w:sz w:val="1"/>
                <w:szCs w:val="1"/>
                <w:color w:val="auto"/>
              </w:rPr>
            </w:pPr>
          </w:p>
        </w:tc>
      </w:tr>
      <w:tr>
        <w:trPr>
          <w:trHeight w:val="215"/>
        </w:trPr>
        <w:tc>
          <w:tcPr>
            <w:tcW w:w="4320" w:type="dxa"/>
            <w:vAlign w:val="bottom"/>
          </w:tcPr>
          <w:p>
            <w:pPr>
              <w:ind w:left="220"/>
              <w:spacing w:after="0"/>
              <w:rPr>
                <w:sz w:val="20"/>
                <w:szCs w:val="20"/>
                <w:color w:val="auto"/>
              </w:rPr>
            </w:pPr>
            <w:r>
              <w:rPr>
                <w:rFonts w:ascii="Arial" w:cs="Arial" w:eastAsia="Arial" w:hAnsi="Arial"/>
                <w:sz w:val="16"/>
                <w:szCs w:val="16"/>
                <w:color w:val="auto"/>
              </w:rPr>
              <w:t>Greater than 50th but less than 75th Percentile</w:t>
            </w:r>
          </w:p>
        </w:tc>
        <w:tc>
          <w:tcPr>
            <w:tcW w:w="4780" w:type="dxa"/>
            <w:vAlign w:val="bottom"/>
          </w:tcPr>
          <w:p>
            <w:pPr>
              <w:jc w:val="center"/>
              <w:ind w:left="79"/>
              <w:spacing w:after="0"/>
              <w:rPr>
                <w:sz w:val="20"/>
                <w:szCs w:val="20"/>
                <w:color w:val="auto"/>
              </w:rPr>
            </w:pPr>
            <w:r>
              <w:rPr>
                <w:rFonts w:ascii="Arial" w:cs="Arial" w:eastAsia="Arial" w:hAnsi="Arial"/>
                <w:sz w:val="16"/>
                <w:szCs w:val="16"/>
                <w:color w:val="auto"/>
              </w:rPr>
              <w:t>% determined by straight line linear interpolation</w:t>
            </w:r>
          </w:p>
        </w:tc>
        <w:tc>
          <w:tcPr>
            <w:tcW w:w="0" w:type="dxa"/>
            <w:vAlign w:val="bottom"/>
          </w:tcPr>
          <w:p>
            <w:pPr>
              <w:spacing w:after="0"/>
              <w:rPr>
                <w:sz w:val="1"/>
                <w:szCs w:val="1"/>
                <w:color w:val="auto"/>
              </w:rPr>
            </w:pPr>
          </w:p>
        </w:tc>
      </w:tr>
      <w:tr>
        <w:trPr>
          <w:trHeight w:val="217"/>
        </w:trPr>
        <w:tc>
          <w:tcPr>
            <w:tcW w:w="4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At least 25th but no greater than 50th Percentile</w:t>
            </w:r>
          </w:p>
        </w:tc>
        <w:tc>
          <w:tcPr>
            <w:tcW w:w="4780" w:type="dxa"/>
            <w:vAlign w:val="bottom"/>
            <w:shd w:val="clear" w:color="auto" w:fill="DBDBDB"/>
          </w:tcPr>
          <w:p>
            <w:pPr>
              <w:jc w:val="center"/>
              <w:ind w:left="99"/>
              <w:spacing w:after="0"/>
              <w:rPr>
                <w:sz w:val="20"/>
                <w:szCs w:val="20"/>
                <w:color w:val="auto"/>
              </w:rPr>
            </w:pPr>
            <w:r>
              <w:rPr>
                <w:rFonts w:ascii="Arial" w:cs="Arial" w:eastAsia="Arial" w:hAnsi="Arial"/>
                <w:sz w:val="16"/>
                <w:szCs w:val="16"/>
                <w:color w:val="auto"/>
              </w:rPr>
              <w:t>100% (fixed)</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than 25th Percentile</w:t>
            </w:r>
          </w:p>
        </w:tc>
        <w:tc>
          <w:tcPr>
            <w:tcW w:w="47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50% (fixed)</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TSR Peer Companies</w:t>
      </w:r>
      <w:r>
        <w:rPr>
          <w:rFonts w:ascii="Arial" w:cs="Arial" w:eastAsia="Arial" w:hAnsi="Arial"/>
          <w:sz w:val="18"/>
          <w:szCs w:val="18"/>
          <w:color w:val="auto"/>
        </w:rPr>
        <w:t>. To determine our relative TSR at the end of the applicable period, we calculate the percentage change between the beginning stock price and the ending stock price for our stock and that of each TSR peer company. For purposes of this calculation, we use the average closing stock price for fourth fiscal quarter of 2022 as the beginning stock price and the average closing stock price for the fourth fiscal quarter of the last year in the TSR performance period (2023, 2024 or 2025) as the ending stock price. Any dividends paid are treated as reinvested and the companies are then ordered by percentage change. Unless the HCC Committee determines otherwise, any peer company that is no longer trading on a national securities market on the last day of the performance period will be removed from the list for purposes of the relative TSR calculation for that period.</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For the 2023 PBRSUs, our TSR performance peer companies consist of the following companies:</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20" w:type="dxa"/>
            <w:vAlign w:val="bottom"/>
            <w:shd w:val="clear" w:color="auto" w:fill="465E66"/>
          </w:tcPr>
          <w:p>
            <w:pPr>
              <w:spacing w:after="0"/>
              <w:rPr>
                <w:sz w:val="17"/>
                <w:szCs w:val="17"/>
                <w:color w:val="auto"/>
              </w:rPr>
            </w:pPr>
          </w:p>
        </w:tc>
        <w:tc>
          <w:tcPr>
            <w:tcW w:w="3560" w:type="dxa"/>
            <w:vAlign w:val="bottom"/>
            <w:shd w:val="clear" w:color="auto" w:fill="465E66"/>
          </w:tcPr>
          <w:p>
            <w:pPr>
              <w:ind w:left="800"/>
              <w:spacing w:after="0"/>
              <w:rPr>
                <w:sz w:val="20"/>
                <w:szCs w:val="20"/>
                <w:color w:val="auto"/>
              </w:rPr>
            </w:pPr>
            <w:r>
              <w:rPr>
                <w:rFonts w:ascii="Arial" w:cs="Arial" w:eastAsia="Arial" w:hAnsi="Arial"/>
                <w:sz w:val="14"/>
                <w:szCs w:val="14"/>
                <w:b w:val="1"/>
                <w:bCs w:val="1"/>
                <w:color w:val="FFFFFF"/>
              </w:rPr>
              <w:t>TSR Performance Peer Companies</w:t>
            </w:r>
          </w:p>
        </w:tc>
        <w:tc>
          <w:tcPr>
            <w:tcW w:w="3940" w:type="dxa"/>
            <w:vAlign w:val="bottom"/>
            <w:shd w:val="clear" w:color="auto" w:fill="465E66"/>
          </w:tcPr>
          <w:p>
            <w:pPr>
              <w:spacing w:after="0"/>
              <w:rPr>
                <w:sz w:val="17"/>
                <w:szCs w:val="17"/>
                <w:color w:val="auto"/>
              </w:rPr>
            </w:pPr>
          </w:p>
        </w:tc>
      </w:tr>
      <w:tr>
        <w:trPr>
          <w:trHeight w:val="216"/>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Ambarella Inc.</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Maxlinear Inc.</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Renesas Electronics Corporation</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ams AG</w:t>
            </w:r>
          </w:p>
        </w:tc>
        <w:tc>
          <w:tcPr>
            <w:tcW w:w="3560" w:type="dxa"/>
            <w:vAlign w:val="bottom"/>
          </w:tcPr>
          <w:p>
            <w:pPr>
              <w:ind w:left="360"/>
              <w:spacing w:after="0"/>
              <w:rPr>
                <w:sz w:val="20"/>
                <w:szCs w:val="20"/>
                <w:color w:val="auto"/>
              </w:rPr>
            </w:pPr>
            <w:r>
              <w:rPr>
                <w:rFonts w:ascii="Arial" w:cs="Arial" w:eastAsia="Arial" w:hAnsi="Arial"/>
                <w:sz w:val="16"/>
                <w:szCs w:val="16"/>
                <w:color w:val="auto"/>
              </w:rPr>
              <w:t>Melexis N.V.</w:t>
            </w:r>
          </w:p>
        </w:tc>
        <w:tc>
          <w:tcPr>
            <w:tcW w:w="3940" w:type="dxa"/>
            <w:vAlign w:val="bottom"/>
          </w:tcPr>
          <w:p>
            <w:pPr>
              <w:ind w:left="380"/>
              <w:spacing w:after="0"/>
              <w:rPr>
                <w:sz w:val="20"/>
                <w:szCs w:val="20"/>
                <w:color w:val="auto"/>
              </w:rPr>
            </w:pPr>
            <w:r>
              <w:rPr>
                <w:rFonts w:ascii="Arial" w:cs="Arial" w:eastAsia="Arial" w:hAnsi="Arial"/>
                <w:sz w:val="16"/>
                <w:szCs w:val="16"/>
                <w:color w:val="auto"/>
              </w:rPr>
              <w:t>Rohm Co., Ltd.</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Analog Devices, Inc.</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Microchip Technology Incorporated</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Semtech Corporation</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Broadcom Inc.</w:t>
            </w:r>
          </w:p>
        </w:tc>
        <w:tc>
          <w:tcPr>
            <w:tcW w:w="3560" w:type="dxa"/>
            <w:vAlign w:val="bottom"/>
          </w:tcPr>
          <w:p>
            <w:pPr>
              <w:ind w:left="360"/>
              <w:spacing w:after="0"/>
              <w:rPr>
                <w:sz w:val="20"/>
                <w:szCs w:val="20"/>
                <w:color w:val="auto"/>
              </w:rPr>
            </w:pPr>
            <w:r>
              <w:rPr>
                <w:rFonts w:ascii="Arial" w:cs="Arial" w:eastAsia="Arial" w:hAnsi="Arial"/>
                <w:sz w:val="16"/>
                <w:szCs w:val="16"/>
                <w:color w:val="auto"/>
              </w:rPr>
              <w:t>MKS Instruments, Inc.</w:t>
            </w:r>
          </w:p>
        </w:tc>
        <w:tc>
          <w:tcPr>
            <w:tcW w:w="3940" w:type="dxa"/>
            <w:vAlign w:val="bottom"/>
          </w:tcPr>
          <w:p>
            <w:pPr>
              <w:ind w:left="380"/>
              <w:spacing w:after="0"/>
              <w:rPr>
                <w:sz w:val="20"/>
                <w:szCs w:val="20"/>
                <w:color w:val="auto"/>
              </w:rPr>
            </w:pPr>
            <w:r>
              <w:rPr>
                <w:rFonts w:ascii="Arial" w:cs="Arial" w:eastAsia="Arial" w:hAnsi="Arial"/>
                <w:sz w:val="16"/>
                <w:szCs w:val="16"/>
                <w:color w:val="auto"/>
              </w:rPr>
              <w:t>Sensata Technologies Holding plc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Cirrus Logic, Inc.</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Monolithic Power Systems, Inc.</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Silicon Laboratories Inc.</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Diodes Incorporated</w:t>
            </w:r>
          </w:p>
        </w:tc>
        <w:tc>
          <w:tcPr>
            <w:tcW w:w="3560" w:type="dxa"/>
            <w:vAlign w:val="bottom"/>
          </w:tcPr>
          <w:p>
            <w:pPr>
              <w:ind w:left="360"/>
              <w:spacing w:after="0"/>
              <w:rPr>
                <w:sz w:val="20"/>
                <w:szCs w:val="20"/>
                <w:color w:val="auto"/>
              </w:rPr>
            </w:pPr>
            <w:r>
              <w:rPr>
                <w:rFonts w:ascii="Arial" w:cs="Arial" w:eastAsia="Arial" w:hAnsi="Arial"/>
                <w:sz w:val="16"/>
                <w:szCs w:val="16"/>
                <w:color w:val="auto"/>
              </w:rPr>
              <w:t>Murata Manufacturing Co., Ltd.</w:t>
            </w:r>
          </w:p>
        </w:tc>
        <w:tc>
          <w:tcPr>
            <w:tcW w:w="3940" w:type="dxa"/>
            <w:vAlign w:val="bottom"/>
          </w:tcPr>
          <w:p>
            <w:pPr>
              <w:ind w:left="380"/>
              <w:spacing w:after="0"/>
              <w:rPr>
                <w:sz w:val="20"/>
                <w:szCs w:val="20"/>
                <w:color w:val="auto"/>
              </w:rPr>
            </w:pPr>
            <w:r>
              <w:rPr>
                <w:rFonts w:ascii="Arial" w:cs="Arial" w:eastAsia="Arial" w:hAnsi="Arial"/>
                <w:sz w:val="16"/>
                <w:szCs w:val="16"/>
                <w:color w:val="auto"/>
              </w:rPr>
              <w:t>Skyworks Solutions, Inc.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Infineon Technologies AG</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National Instruments Corporation*</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STMicroelectronics N.V.</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Knowles Corporation</w:t>
            </w:r>
          </w:p>
        </w:tc>
        <w:tc>
          <w:tcPr>
            <w:tcW w:w="3560" w:type="dxa"/>
            <w:vAlign w:val="bottom"/>
          </w:tcPr>
          <w:p>
            <w:pPr>
              <w:ind w:left="360"/>
              <w:spacing w:after="0"/>
              <w:rPr>
                <w:sz w:val="20"/>
                <w:szCs w:val="20"/>
                <w:color w:val="auto"/>
              </w:rPr>
            </w:pPr>
            <w:r>
              <w:rPr>
                <w:rFonts w:ascii="Arial" w:cs="Arial" w:eastAsia="Arial" w:hAnsi="Arial"/>
                <w:sz w:val="16"/>
                <w:szCs w:val="16"/>
                <w:color w:val="auto"/>
              </w:rPr>
              <w:t>NXP Semiconductors N.V.</w:t>
            </w:r>
          </w:p>
        </w:tc>
        <w:tc>
          <w:tcPr>
            <w:tcW w:w="3940" w:type="dxa"/>
            <w:vAlign w:val="bottom"/>
          </w:tcPr>
          <w:p>
            <w:pPr>
              <w:ind w:left="380"/>
              <w:spacing w:after="0"/>
              <w:rPr>
                <w:sz w:val="20"/>
                <w:szCs w:val="20"/>
                <w:color w:val="auto"/>
              </w:rPr>
            </w:pPr>
            <w:r>
              <w:rPr>
                <w:rFonts w:ascii="Arial" w:cs="Arial" w:eastAsia="Arial" w:hAnsi="Arial"/>
                <w:sz w:val="16"/>
                <w:szCs w:val="16"/>
                <w:color w:val="auto"/>
              </w:rPr>
              <w:t>Synaptics Incorporated</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Lattice Semiconductor Corporation</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Parade Technologies, Ltd.</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Texas Instruments Incorporated</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Littelfuse, Inc.</w:t>
            </w:r>
          </w:p>
        </w:tc>
        <w:tc>
          <w:tcPr>
            <w:tcW w:w="3560" w:type="dxa"/>
            <w:vAlign w:val="bottom"/>
          </w:tcPr>
          <w:p>
            <w:pPr>
              <w:ind w:left="360"/>
              <w:spacing w:after="0"/>
              <w:rPr>
                <w:sz w:val="20"/>
                <w:szCs w:val="20"/>
                <w:color w:val="auto"/>
              </w:rPr>
            </w:pPr>
            <w:r>
              <w:rPr>
                <w:rFonts w:ascii="Arial" w:cs="Arial" w:eastAsia="Arial" w:hAnsi="Arial"/>
                <w:sz w:val="16"/>
                <w:szCs w:val="16"/>
                <w:color w:val="auto"/>
              </w:rPr>
              <w:t>Power Integrations, Inc.</w:t>
            </w:r>
          </w:p>
        </w:tc>
        <w:tc>
          <w:tcPr>
            <w:tcW w:w="3940" w:type="dxa"/>
            <w:vAlign w:val="bottom"/>
          </w:tcPr>
          <w:p>
            <w:pPr>
              <w:ind w:left="380"/>
              <w:spacing w:after="0"/>
              <w:rPr>
                <w:sz w:val="20"/>
                <w:szCs w:val="20"/>
                <w:color w:val="auto"/>
              </w:rPr>
            </w:pPr>
            <w:r>
              <w:rPr>
                <w:rFonts w:ascii="Arial" w:cs="Arial" w:eastAsia="Arial" w:hAnsi="Arial"/>
                <w:sz w:val="16"/>
                <w:szCs w:val="16"/>
                <w:color w:val="auto"/>
              </w:rPr>
              <w:t>Vishay Intertechnology, Inc.</w:t>
            </w:r>
          </w:p>
        </w:tc>
      </w:tr>
      <w:tr>
        <w:trPr>
          <w:trHeight w:val="217"/>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Macom Technology Solutions Holdings, Inc.</w:t>
            </w:r>
          </w:p>
        </w:tc>
        <w:tc>
          <w:tcPr>
            <w:tcW w:w="35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Qorvo, Inc.</w:t>
            </w:r>
          </w:p>
        </w:tc>
        <w:tc>
          <w:tcPr>
            <w:tcW w:w="39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Wolfspeed, Inc.</w:t>
            </w: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Marvell Technology, Inc.</w:t>
            </w:r>
          </w:p>
        </w:tc>
        <w:tc>
          <w:tcPr>
            <w:tcW w:w="35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Realtek Semiconductor Corp.</w:t>
            </w:r>
          </w:p>
        </w:tc>
        <w:tc>
          <w:tcPr>
            <w:tcW w:w="3940" w:type="dxa"/>
            <w:vAlign w:val="bottom"/>
            <w:tcBorders>
              <w:bottom w:val="single" w:sz="8" w:color="auto"/>
            </w:tcBorders>
          </w:tcPr>
          <w:p>
            <w:pPr>
              <w:spacing w:after="0"/>
              <w:rPr>
                <w:sz w:val="18"/>
                <w:szCs w:val="18"/>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*National Instruments Corporation was acquired in October 2023 and thus was excluded from subsequent TSR calculations.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TSR peer companies listed above represent a mix of companies listed on the PHLX Semiconductor Index and other publicly traded semiconductor companies whose product and service offerings, market capitalization, business model and other characteristics are similar to ours.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for PBRSUs with Performance Periods Ending in 2023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New Hire Grant</w:t>
      </w:r>
      <w:r>
        <w:rPr>
          <w:rFonts w:ascii="Arial" w:cs="Arial" w:eastAsia="Arial" w:hAnsi="Arial"/>
          <w:sz w:val="18"/>
          <w:szCs w:val="18"/>
          <w:color w:val="auto"/>
        </w:rPr>
        <w:t>. In connection with our appointment of Mr. Trent as our chief financial officer (CFO) in February 2021, the HCC</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Committee granted him an onboarding LTI award, including PBRSUs with a grant date value of approximately $3.9 million. As previously disclosed, vesting of these PBRSUs would vary between 0-100% depending upon our TSR over the two-year period following Mr. Trent’s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appointment (February 16, 2021 through February 15, 2023), relative to the TSR of our defined group of peer companies (same group and calculation principles as our 2021 PBRSUs). Following the end of the performance period, the HCC Committee confirmed that 100% of the PBRSUs were earned, as our TSR was highest among the peer group, excluding four peers (Dialog Semiconductor PLC, Inphi Corporation, Maxim Integrated Products, Inc. and Xilinx, Inc.) that had been acquired or were no longer trading at the end of the period. These PBRSUs vested on March 14, 2023.</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Final Tranche of 2021 PBRSUs. </w:t>
      </w:r>
      <w:r>
        <w:rPr>
          <w:rFonts w:ascii="Arial" w:cs="Arial" w:eastAsia="Arial" w:hAnsi="Arial"/>
          <w:sz w:val="18"/>
          <w:szCs w:val="18"/>
          <w:color w:val="auto"/>
        </w:rPr>
        <w:t>In early 2024, the HCC Committee determined that our three-year relative TSR was ranked first amongst our</w:t>
      </w:r>
      <w:r>
        <w:rPr>
          <w:rFonts w:ascii="Arial" w:cs="Arial" w:eastAsia="Arial" w:hAnsi="Arial"/>
          <w:sz w:val="18"/>
          <w:szCs w:val="18"/>
          <w:i w:val="1"/>
          <w:iCs w:val="1"/>
          <w:color w:val="auto"/>
        </w:rPr>
        <w:t xml:space="preserve"> </w:t>
      </w:r>
      <w:r>
        <w:rPr>
          <w:rFonts w:ascii="Arial" w:cs="Arial" w:eastAsia="Arial" w:hAnsi="Arial"/>
          <w:sz w:val="18"/>
          <w:szCs w:val="18"/>
          <w:color w:val="auto"/>
        </w:rPr>
        <w:t>peer group for purposes of the 2021 PBRSUs subject to a TSR Adjustment. As a result, for officers holding those awards, their third tranche payout, as preliminarily determined on the basis of 2021 financial metrics, was multiplied by 150%. Following the HCC Committee’s certification of the results, these PBRSUs vested on February 15, 2024. The peer group for these awards was the same as the TSR peer group for our 2023 PBRSUs except it included Dialog Semiconductor Plc, Inphi Corporation, Maxim Integrated Products, Inc. and Xilinx, Inc. Ultimately, Dialog Semiconductor Plc (acquired in August 2021), Inphi Corporation (acquired in April 2023), Maxim Integrated Products, Inc.</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(acquired in August 2021), Xilinx, Inc. (acquired in February 2022) and National Instruments Corporation (acquired in October 2023) were excluded from the calculation.</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Second Tranche of 2022 PBRSUs. </w:t>
      </w:r>
      <w:r>
        <w:rPr>
          <w:rFonts w:ascii="Arial" w:cs="Arial" w:eastAsia="Arial" w:hAnsi="Arial"/>
          <w:sz w:val="18"/>
          <w:szCs w:val="18"/>
          <w:color w:val="auto"/>
        </w:rPr>
        <w:t>In early 2024, the HCC Committee determined that our two-year relative TSR was ranked third amongst</w:t>
      </w:r>
      <w:r>
        <w:rPr>
          <w:rFonts w:ascii="Arial" w:cs="Arial" w:eastAsia="Arial" w:hAnsi="Arial"/>
          <w:sz w:val="18"/>
          <w:szCs w:val="18"/>
          <w:i w:val="1"/>
          <w:iCs w:val="1"/>
          <w:color w:val="auto"/>
        </w:rPr>
        <w:t xml:space="preserve"> </w:t>
      </w:r>
      <w:r>
        <w:rPr>
          <w:rFonts w:ascii="Arial" w:cs="Arial" w:eastAsia="Arial" w:hAnsi="Arial"/>
          <w:sz w:val="18"/>
          <w:szCs w:val="18"/>
          <w:color w:val="auto"/>
        </w:rPr>
        <w:t>our peer group for purposes of the 2022 PBRSUs subject to a TSR Adjustment. As a result, for officers holding those awards, their second tranche payout, as preliminarily determined on the basis of 2022 financial metrics, was multiplied by 150%. Following the HCC Committee’s certification of the results, these PBRSUs vested on February 2, 2024. The peer group for these awards was the same as the TSR peer group for our 2023 PBRSUs except it included Xilinx, Inc. Ultimately, both Xilinx, Inc. (acquired in February 2022) and National Instruments Corporation (acquired in October 2023) were excluded from the calculation.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First Tranche of 2023 PBRSUs</w:t>
      </w:r>
      <w:r>
        <w:rPr>
          <w:rFonts w:ascii="Arial" w:cs="Arial" w:eastAsia="Arial" w:hAnsi="Arial"/>
          <w:sz w:val="18"/>
          <w:szCs w:val="18"/>
          <w:color w:val="auto"/>
        </w:rPr>
        <w:t>. In early 2024, the HCC Committee reviewed the LTI Performance Goals underlying our 2023 PBRSUs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our LTI Financial Goals were achieved at an aggregate 116% and our LTI Strategic Goals were achieved at an aggregate 150%. Additionally, our relative TSR for 2023 was at the 66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among our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38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3" w:name="page44"/>
    <w:bookmarkEnd w:id="43"/>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peers (excluding National Instruments Corporation, which was acquired in October 2023), resulting in a combined payout under the LTI Financial Goals of 153%, and an overall combined payout of 151% for the first tranche of the 2023 PBRSUs. A breakdown of performance by LTI Performance Goal is shown in the chart below. For 2023 PBRSUs, payout on each of the second and third tranches (in 2024 and 2025, respectively) will be adjusted based on our relative TSR for the applicable two- or three-year period once those performance periods are complete. Based on performance thus far, the combined payout percentage for each of the second and third tranches will range between 104-162% of the original target for that tranche.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Borders>
              <w:top w:val="single" w:sz="8" w:color="465E66"/>
            </w:tcBorders>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Type of Goal</w:t>
            </w:r>
          </w:p>
        </w:tc>
        <w:tc>
          <w:tcPr>
            <w:tcW w:w="2560" w:type="dxa"/>
            <w:vAlign w:val="bottom"/>
            <w:tcBorders>
              <w:top w:val="single" w:sz="8" w:color="465E66"/>
              <w:right w:val="single" w:sz="8" w:color="465E66"/>
            </w:tcBorders>
            <w:shd w:val="clear" w:color="auto" w:fill="465E66"/>
          </w:tcPr>
          <w:p>
            <w:pPr>
              <w:spacing w:after="0"/>
              <w:rPr>
                <w:sz w:val="14"/>
                <w:szCs w:val="14"/>
                <w:color w:val="auto"/>
              </w:rPr>
            </w:pPr>
          </w:p>
        </w:tc>
        <w:tc>
          <w:tcPr>
            <w:tcW w:w="1360" w:type="dxa"/>
            <w:vAlign w:val="bottom"/>
            <w:tcBorders>
              <w:top w:val="single" w:sz="8" w:color="465E66"/>
              <w:right w:val="single" w:sz="8" w:color="465E66"/>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0% Payout</w:t>
            </w:r>
          </w:p>
        </w:tc>
        <w:tc>
          <w:tcPr>
            <w:tcW w:w="1280" w:type="dxa"/>
            <w:vAlign w:val="bottom"/>
            <w:tcBorders>
              <w:top w:val="single" w:sz="8" w:color="465E66"/>
              <w:right w:val="single" w:sz="8" w:color="465E66"/>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100% Payout</w:t>
            </w:r>
          </w:p>
        </w:tc>
        <w:tc>
          <w:tcPr>
            <w:tcW w:w="1340" w:type="dxa"/>
            <w:vAlign w:val="bottom"/>
            <w:tcBorders>
              <w:top w:val="single" w:sz="8" w:color="465E66"/>
              <w:right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150% or 200%</w:t>
            </w:r>
          </w:p>
        </w:tc>
        <w:tc>
          <w:tcPr>
            <w:tcW w:w="1260" w:type="dxa"/>
            <w:vAlign w:val="bottom"/>
            <w:tcBorders>
              <w:top w:val="single" w:sz="8" w:color="465E66"/>
              <w:right w:val="single" w:sz="8" w:color="465E66"/>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Actual 2023</w:t>
            </w:r>
          </w:p>
        </w:tc>
        <w:tc>
          <w:tcPr>
            <w:tcW w:w="1240" w:type="dxa"/>
            <w:vAlign w:val="bottom"/>
            <w:tcBorders>
              <w:top w:val="single" w:sz="8" w:color="465E66"/>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Resulting Goal</w:t>
            </w:r>
          </w:p>
        </w:tc>
        <w:tc>
          <w:tcPr>
            <w:tcW w:w="1180" w:type="dxa"/>
            <w:vAlign w:val="bottom"/>
            <w:tcBorders>
              <w:top w:val="single" w:sz="8" w:color="auto"/>
              <w:right w:val="single" w:sz="8" w:color="auto"/>
            </w:tcBorders>
            <w:gridSpan w:val="3"/>
            <w:shd w:val="clear" w:color="auto" w:fill="465E66"/>
          </w:tcPr>
          <w:p>
            <w:pPr>
              <w:jc w:val="center"/>
              <w:ind w:right="20"/>
              <w:spacing w:after="0"/>
              <w:rPr>
                <w:sz w:val="20"/>
                <w:szCs w:val="20"/>
                <w:color w:val="auto"/>
              </w:rPr>
            </w:pPr>
            <w:r>
              <w:rPr>
                <w:rFonts w:ascii="Arial" w:cs="Arial" w:eastAsia="Arial" w:hAnsi="Arial"/>
                <w:sz w:val="14"/>
                <w:szCs w:val="14"/>
                <w:b w:val="1"/>
                <w:bCs w:val="1"/>
                <w:color w:val="FFFFFF"/>
              </w:rPr>
              <w:t>Final Payout</w:t>
            </w:r>
          </w:p>
        </w:tc>
        <w:tc>
          <w:tcPr>
            <w:tcW w:w="0" w:type="dxa"/>
            <w:vAlign w:val="bottom"/>
          </w:tcPr>
          <w:p>
            <w:pPr>
              <w:spacing w:after="0"/>
              <w:rPr>
                <w:sz w:val="1"/>
                <w:szCs w:val="1"/>
                <w:color w:val="auto"/>
              </w:rPr>
            </w:pPr>
          </w:p>
        </w:tc>
      </w:tr>
      <w:tr>
        <w:trPr>
          <w:trHeight w:val="148"/>
        </w:trPr>
        <w:tc>
          <w:tcPr>
            <w:tcW w:w="1040" w:type="dxa"/>
            <w:vAlign w:val="bottom"/>
            <w:vMerge w:val="continue"/>
            <w:shd w:val="clear" w:color="auto" w:fill="465E66"/>
          </w:tcPr>
          <w:p>
            <w:pPr>
              <w:spacing w:after="0"/>
              <w:rPr>
                <w:sz w:val="12"/>
                <w:szCs w:val="12"/>
                <w:color w:val="auto"/>
              </w:rPr>
            </w:pPr>
          </w:p>
        </w:tc>
        <w:tc>
          <w:tcPr>
            <w:tcW w:w="2560" w:type="dxa"/>
            <w:vAlign w:val="bottom"/>
            <w:tcBorders>
              <w:right w:val="single" w:sz="8" w:color="465E66"/>
            </w:tcBorders>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LTI Performance Goal</w:t>
            </w:r>
          </w:p>
        </w:tc>
        <w:tc>
          <w:tcPr>
            <w:tcW w:w="1360" w:type="dxa"/>
            <w:vAlign w:val="bottom"/>
            <w:tcBorders>
              <w:right w:val="single" w:sz="8" w:color="465E66"/>
            </w:tcBorders>
            <w:vMerge w:val="continue"/>
            <w:shd w:val="clear" w:color="auto" w:fill="465E66"/>
          </w:tcPr>
          <w:p>
            <w:pPr>
              <w:spacing w:after="0"/>
              <w:rPr>
                <w:sz w:val="12"/>
                <w:szCs w:val="12"/>
                <w:color w:val="auto"/>
              </w:rPr>
            </w:pPr>
          </w:p>
        </w:tc>
        <w:tc>
          <w:tcPr>
            <w:tcW w:w="1280" w:type="dxa"/>
            <w:vAlign w:val="bottom"/>
            <w:tcBorders>
              <w:right w:val="single" w:sz="8" w:color="465E66"/>
            </w:tcBorders>
            <w:vMerge w:val="continue"/>
            <w:shd w:val="clear" w:color="auto" w:fill="465E66"/>
          </w:tcPr>
          <w:p>
            <w:pPr>
              <w:spacing w:after="0"/>
              <w:rPr>
                <w:sz w:val="12"/>
                <w:szCs w:val="12"/>
                <w:color w:val="auto"/>
              </w:rPr>
            </w:pPr>
          </w:p>
        </w:tc>
        <w:tc>
          <w:tcPr>
            <w:tcW w:w="1340" w:type="dxa"/>
            <w:vAlign w:val="bottom"/>
            <w:tcBorders>
              <w:right w:val="single" w:sz="8" w:color="465E66"/>
            </w:tcBorders>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Payout</w:t>
            </w:r>
          </w:p>
        </w:tc>
        <w:tc>
          <w:tcPr>
            <w:tcW w:w="1260" w:type="dxa"/>
            <w:vAlign w:val="bottom"/>
            <w:tcBorders>
              <w:right w:val="single" w:sz="8" w:color="465E66"/>
            </w:tcBorders>
            <w:vMerge w:val="continue"/>
            <w:shd w:val="clear" w:color="auto" w:fill="465E66"/>
          </w:tcPr>
          <w:p>
            <w:pPr>
              <w:spacing w:after="0"/>
              <w:rPr>
                <w:sz w:val="12"/>
                <w:szCs w:val="12"/>
                <w:color w:val="auto"/>
              </w:rPr>
            </w:pPr>
          </w:p>
        </w:tc>
        <w:tc>
          <w:tcPr>
            <w:tcW w:w="1240" w:type="dxa"/>
            <w:vAlign w:val="bottom"/>
            <w:tcBorders>
              <w:right w:val="single" w:sz="8" w:color="auto"/>
            </w:tcBorders>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Achievement</w:t>
            </w:r>
          </w:p>
        </w:tc>
        <w:tc>
          <w:tcPr>
            <w:tcW w:w="1180" w:type="dxa"/>
            <w:vAlign w:val="bottom"/>
            <w:tcBorders>
              <w:right w:val="single" w:sz="8" w:color="auto"/>
            </w:tcBorders>
            <w:gridSpan w:val="3"/>
            <w:shd w:val="clear" w:color="auto" w:fill="465E66"/>
          </w:tcPr>
          <w:p>
            <w:pPr>
              <w:jc w:val="center"/>
              <w:ind w:right="20"/>
              <w:spacing w:after="0" w:line="149" w:lineRule="exact"/>
              <w:rPr>
                <w:sz w:val="20"/>
                <w:szCs w:val="20"/>
                <w:color w:val="auto"/>
              </w:rPr>
            </w:pPr>
            <w:r>
              <w:rPr>
                <w:rFonts w:ascii="Arial" w:cs="Arial" w:eastAsia="Arial" w:hAnsi="Arial"/>
                <w:sz w:val="14"/>
                <w:szCs w:val="14"/>
                <w:b w:val="1"/>
                <w:bCs w:val="1"/>
                <w:color w:val="FFFFFF"/>
              </w:rPr>
              <w:t>Percentage for</w:t>
            </w:r>
          </w:p>
        </w:tc>
        <w:tc>
          <w:tcPr>
            <w:tcW w:w="0" w:type="dxa"/>
            <w:vAlign w:val="bottom"/>
          </w:tcPr>
          <w:p>
            <w:pPr>
              <w:spacing w:after="0"/>
              <w:rPr>
                <w:sz w:val="1"/>
                <w:szCs w:val="1"/>
                <w:color w:val="auto"/>
              </w:rPr>
            </w:pPr>
          </w:p>
        </w:tc>
      </w:tr>
      <w:tr>
        <w:trPr>
          <w:trHeight w:val="189"/>
        </w:trPr>
        <w:tc>
          <w:tcPr>
            <w:tcW w:w="104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(1)</w:t>
            </w:r>
          </w:p>
        </w:tc>
        <w:tc>
          <w:tcPr>
            <w:tcW w:w="2560" w:type="dxa"/>
            <w:vAlign w:val="bottom"/>
            <w:tcBorders>
              <w:right w:val="single" w:sz="8" w:color="465E66"/>
            </w:tcBorders>
            <w:vMerge w:val="continue"/>
            <w:shd w:val="clear" w:color="auto" w:fill="465E66"/>
          </w:tcPr>
          <w:p>
            <w:pPr>
              <w:spacing w:after="0"/>
              <w:rPr>
                <w:sz w:val="16"/>
                <w:szCs w:val="16"/>
                <w:color w:val="auto"/>
              </w:rPr>
            </w:pPr>
          </w:p>
        </w:tc>
        <w:tc>
          <w:tcPr>
            <w:tcW w:w="1360" w:type="dxa"/>
            <w:vAlign w:val="bottom"/>
            <w:tcBorders>
              <w:right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(Threshold)</w:t>
            </w:r>
          </w:p>
        </w:tc>
        <w:tc>
          <w:tcPr>
            <w:tcW w:w="1280" w:type="dxa"/>
            <w:vAlign w:val="bottom"/>
            <w:tcBorders>
              <w:right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w w:val="99"/>
              </w:rPr>
              <w:t>(Target)</w:t>
            </w:r>
          </w:p>
        </w:tc>
        <w:tc>
          <w:tcPr>
            <w:tcW w:w="1340" w:type="dxa"/>
            <w:vAlign w:val="bottom"/>
            <w:tcBorders>
              <w:right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(Stretch)</w:t>
            </w:r>
          </w:p>
        </w:tc>
        <w:tc>
          <w:tcPr>
            <w:tcW w:w="1260" w:type="dxa"/>
            <w:vAlign w:val="bottom"/>
            <w:tcBorders>
              <w:right w:val="single" w:sz="8" w:color="465E66"/>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Performance</w:t>
            </w:r>
          </w:p>
        </w:tc>
        <w:tc>
          <w:tcPr>
            <w:tcW w:w="1240" w:type="dxa"/>
            <w:vAlign w:val="bottom"/>
            <w:tcBorders>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color w:val="FFFFFF"/>
              </w:rPr>
              <w:t>Percentage (2)</w:t>
            </w:r>
          </w:p>
        </w:tc>
        <w:tc>
          <w:tcPr>
            <w:tcW w:w="1180" w:type="dxa"/>
            <w:vAlign w:val="bottom"/>
            <w:tcBorders>
              <w:right w:val="single" w:sz="8" w:color="auto"/>
            </w:tcBorders>
            <w:gridSpan w:val="3"/>
            <w:shd w:val="clear" w:color="auto" w:fill="465E66"/>
          </w:tcPr>
          <w:p>
            <w:pPr>
              <w:jc w:val="center"/>
              <w:ind w:right="20"/>
              <w:spacing w:after="0"/>
              <w:rPr>
                <w:sz w:val="20"/>
                <w:szCs w:val="20"/>
                <w:color w:val="auto"/>
              </w:rPr>
            </w:pPr>
            <w:r>
              <w:rPr>
                <w:rFonts w:ascii="Arial" w:cs="Arial" w:eastAsia="Arial" w:hAnsi="Arial"/>
                <w:sz w:val="14"/>
                <w:szCs w:val="14"/>
                <w:b w:val="1"/>
                <w:bCs w:val="1"/>
                <w:color w:val="FFFFFF"/>
              </w:rPr>
              <w:t>First Tranche (3)</w:t>
            </w:r>
          </w:p>
        </w:tc>
        <w:tc>
          <w:tcPr>
            <w:tcW w:w="0" w:type="dxa"/>
            <w:vAlign w:val="bottom"/>
          </w:tcPr>
          <w:p>
            <w:pPr>
              <w:spacing w:after="0"/>
              <w:rPr>
                <w:sz w:val="1"/>
                <w:szCs w:val="1"/>
                <w:color w:val="auto"/>
              </w:rPr>
            </w:pPr>
          </w:p>
        </w:tc>
      </w:tr>
      <w:tr>
        <w:trPr>
          <w:trHeight w:val="176"/>
        </w:trPr>
        <w:tc>
          <w:tcPr>
            <w:tcW w:w="1040" w:type="dxa"/>
            <w:vAlign w:val="bottom"/>
            <w:shd w:val="clear" w:color="auto" w:fill="DBDBDB"/>
          </w:tcPr>
          <w:p>
            <w:pPr>
              <w:spacing w:after="0"/>
              <w:rPr>
                <w:sz w:val="15"/>
                <w:szCs w:val="15"/>
                <w:color w:val="auto"/>
              </w:rPr>
            </w:pPr>
          </w:p>
        </w:tc>
        <w:tc>
          <w:tcPr>
            <w:tcW w:w="2560" w:type="dxa"/>
            <w:vAlign w:val="bottom"/>
            <w:tcBorders>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New Product Revenue (as a percent</w:t>
            </w:r>
          </w:p>
        </w:tc>
        <w:tc>
          <w:tcPr>
            <w:tcW w:w="1360" w:type="dxa"/>
            <w:vAlign w:val="bottom"/>
            <w:tcBorders>
              <w:right w:val="single" w:sz="8" w:color="DBDBDB"/>
            </w:tcBorders>
            <w:shd w:val="clear" w:color="auto" w:fill="DBDBDB"/>
          </w:tcPr>
          <w:p>
            <w:pPr>
              <w:spacing w:after="0"/>
              <w:rPr>
                <w:sz w:val="15"/>
                <w:szCs w:val="15"/>
                <w:color w:val="auto"/>
              </w:rPr>
            </w:pPr>
          </w:p>
        </w:tc>
        <w:tc>
          <w:tcPr>
            <w:tcW w:w="1280" w:type="dxa"/>
            <w:vAlign w:val="bottom"/>
            <w:tcBorders>
              <w:right w:val="single" w:sz="8" w:color="DBDBDB"/>
            </w:tcBorders>
            <w:shd w:val="clear" w:color="auto" w:fill="DBDBDB"/>
          </w:tcPr>
          <w:p>
            <w:pPr>
              <w:spacing w:after="0"/>
              <w:rPr>
                <w:sz w:val="15"/>
                <w:szCs w:val="15"/>
                <w:color w:val="auto"/>
              </w:rPr>
            </w:pPr>
          </w:p>
        </w:tc>
        <w:tc>
          <w:tcPr>
            <w:tcW w:w="1340" w:type="dxa"/>
            <w:vAlign w:val="bottom"/>
            <w:tcBorders>
              <w:right w:val="single" w:sz="8" w:color="DBDBDB"/>
            </w:tcBorders>
            <w:shd w:val="clear" w:color="auto" w:fill="DBDBDB"/>
          </w:tcPr>
          <w:p>
            <w:pPr>
              <w:spacing w:after="0"/>
              <w:rPr>
                <w:sz w:val="15"/>
                <w:szCs w:val="15"/>
                <w:color w:val="auto"/>
              </w:rPr>
            </w:pPr>
          </w:p>
        </w:tc>
        <w:tc>
          <w:tcPr>
            <w:tcW w:w="1260" w:type="dxa"/>
            <w:vAlign w:val="bottom"/>
            <w:tcBorders>
              <w:right w:val="single" w:sz="8" w:color="DBDBDB"/>
            </w:tcBorders>
            <w:shd w:val="clear" w:color="auto" w:fill="DBDBDB"/>
          </w:tcPr>
          <w:p>
            <w:pPr>
              <w:spacing w:after="0"/>
              <w:rPr>
                <w:sz w:val="15"/>
                <w:szCs w:val="15"/>
                <w:color w:val="auto"/>
              </w:rPr>
            </w:pPr>
          </w:p>
        </w:tc>
        <w:tc>
          <w:tcPr>
            <w:tcW w:w="1240" w:type="dxa"/>
            <w:vAlign w:val="bottom"/>
            <w:tcBorders>
              <w:right w:val="single" w:sz="8" w:color="auto"/>
            </w:tcBorders>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42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Financial</w:t>
            </w:r>
          </w:p>
        </w:tc>
        <w:tc>
          <w:tcPr>
            <w:tcW w:w="2560" w:type="dxa"/>
            <w:vAlign w:val="bottom"/>
            <w:tcBorders>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of all revenue)</w:t>
            </w:r>
          </w:p>
        </w:tc>
        <w:tc>
          <w:tcPr>
            <w:tcW w:w="13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19%</w:t>
            </w:r>
          </w:p>
        </w:tc>
        <w:tc>
          <w:tcPr>
            <w:tcW w:w="128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25%</w:t>
            </w:r>
          </w:p>
        </w:tc>
        <w:tc>
          <w:tcPr>
            <w:tcW w:w="13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30%</w:t>
            </w:r>
          </w:p>
        </w:tc>
        <w:tc>
          <w:tcPr>
            <w:tcW w:w="12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29.3%</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143%</w:t>
            </w:r>
          </w:p>
        </w:tc>
        <w:tc>
          <w:tcPr>
            <w:tcW w:w="1180" w:type="dxa"/>
            <w:vAlign w:val="bottom"/>
            <w:tcBorders>
              <w:right w:val="single" w:sz="8" w:color="auto"/>
            </w:tcBorders>
            <w:gridSpan w:val="3"/>
            <w:shd w:val="clear" w:color="auto" w:fill="DBDBDB"/>
          </w:tcPr>
          <w:p>
            <w:pPr>
              <w:jc w:val="right"/>
              <w:ind w:right="42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6"/>
        </w:trPr>
        <w:tc>
          <w:tcPr>
            <w:tcW w:w="1040" w:type="dxa"/>
            <w:vAlign w:val="bottom"/>
            <w:shd w:val="clear" w:color="auto" w:fill="DBDBDB"/>
          </w:tcPr>
          <w:p>
            <w:pPr>
              <w:spacing w:after="0"/>
              <w:rPr>
                <w:sz w:val="18"/>
                <w:szCs w:val="18"/>
                <w:color w:val="auto"/>
              </w:rPr>
            </w:pPr>
          </w:p>
        </w:tc>
        <w:tc>
          <w:tcPr>
            <w:tcW w:w="2560" w:type="dxa"/>
            <w:vAlign w:val="bottom"/>
            <w:tcBorders>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Non-GAAP Operating Margin</w:t>
            </w:r>
          </w:p>
        </w:tc>
        <w:tc>
          <w:tcPr>
            <w:tcW w:w="13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30.0%</w:t>
            </w:r>
          </w:p>
        </w:tc>
        <w:tc>
          <w:tcPr>
            <w:tcW w:w="128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32.6%</w:t>
            </w:r>
          </w:p>
        </w:tc>
        <w:tc>
          <w:tcPr>
            <w:tcW w:w="13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34.0%</w:t>
            </w:r>
          </w:p>
        </w:tc>
        <w:tc>
          <w:tcPr>
            <w:tcW w:w="12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32.3%</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88%</w:t>
            </w:r>
          </w:p>
        </w:tc>
        <w:tc>
          <w:tcPr>
            <w:tcW w:w="1180" w:type="dxa"/>
            <w:vAlign w:val="bottom"/>
            <w:tcBorders>
              <w:right w:val="single" w:sz="8" w:color="auto"/>
            </w:tcBorders>
            <w:gridSpan w:val="3"/>
            <w:shd w:val="clear" w:color="auto" w:fill="DBDBDB"/>
          </w:tcPr>
          <w:p>
            <w:pPr>
              <w:jc w:val="right"/>
              <w:ind w:right="42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2"/>
        </w:trPr>
        <w:tc>
          <w:tcPr>
            <w:tcW w:w="1040" w:type="dxa"/>
            <w:vAlign w:val="bottom"/>
            <w:vMerge w:val="restart"/>
          </w:tcPr>
          <w:p>
            <w:pPr>
              <w:ind w:left="20"/>
              <w:spacing w:after="0"/>
              <w:rPr>
                <w:sz w:val="20"/>
                <w:szCs w:val="20"/>
                <w:color w:val="auto"/>
              </w:rPr>
            </w:pPr>
            <w:r>
              <w:rPr>
                <w:rFonts w:ascii="Arial" w:cs="Arial" w:eastAsia="Arial" w:hAnsi="Arial"/>
                <w:sz w:val="14"/>
                <w:szCs w:val="14"/>
                <w:color w:val="auto"/>
              </w:rPr>
              <w:t>Strategic</w:t>
            </w:r>
          </w:p>
        </w:tc>
        <w:tc>
          <w:tcPr>
            <w:tcW w:w="2560" w:type="dxa"/>
            <w:vAlign w:val="bottom"/>
            <w:tcBorders>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SiC Product Revenue Ramp</w:t>
            </w:r>
          </w:p>
        </w:tc>
        <w:tc>
          <w:tcPr>
            <w:tcW w:w="136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4"/>
                <w:szCs w:val="14"/>
                <w:color w:val="auto"/>
                <w:w w:val="94"/>
              </w:rPr>
              <w:t>2x</w:t>
            </w:r>
          </w:p>
        </w:tc>
        <w:tc>
          <w:tcPr>
            <w:tcW w:w="128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4"/>
                <w:szCs w:val="14"/>
                <w:color w:val="auto"/>
                <w:w w:val="98"/>
              </w:rPr>
              <w:t>3.8x</w:t>
            </w:r>
          </w:p>
        </w:tc>
        <w:tc>
          <w:tcPr>
            <w:tcW w:w="134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4"/>
                <w:szCs w:val="14"/>
                <w:color w:val="auto"/>
                <w:w w:val="98"/>
              </w:rPr>
              <w:t>4.4x</w:t>
            </w:r>
          </w:p>
        </w:tc>
        <w:tc>
          <w:tcPr>
            <w:tcW w:w="1260" w:type="dxa"/>
            <w:vAlign w:val="bottom"/>
            <w:tcBorders>
              <w:bottom w:val="single" w:sz="8" w:color="DBDBDB"/>
              <w:right w:val="single" w:sz="8" w:color="DBDBDB"/>
            </w:tcBorders>
          </w:tcPr>
          <w:p>
            <w:pPr>
              <w:jc w:val="center"/>
              <w:spacing w:after="0"/>
              <w:rPr>
                <w:sz w:val="20"/>
                <w:szCs w:val="20"/>
                <w:color w:val="auto"/>
              </w:rPr>
            </w:pPr>
            <w:r>
              <w:rPr>
                <w:rFonts w:ascii="Arial" w:cs="Arial" w:eastAsia="Arial" w:hAnsi="Arial"/>
                <w:sz w:val="14"/>
                <w:szCs w:val="14"/>
                <w:color w:val="auto"/>
              </w:rPr>
              <w:t>4.0x</w:t>
            </w:r>
          </w:p>
        </w:tc>
        <w:tc>
          <w:tcPr>
            <w:tcW w:w="124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133%</w:t>
            </w:r>
          </w:p>
        </w:tc>
        <w:tc>
          <w:tcPr>
            <w:tcW w:w="1180" w:type="dxa"/>
            <w:vAlign w:val="bottom"/>
            <w:tcBorders>
              <w:bottom w:val="single" w:sz="8" w:color="DBDBDB"/>
              <w:right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256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4"/>
                <w:szCs w:val="14"/>
                <w:color w:val="auto"/>
              </w:rPr>
              <w:t>Design Wins Supporting 5-year Plan</w:t>
            </w:r>
          </w:p>
        </w:tc>
        <w:tc>
          <w:tcPr>
            <w:tcW w:w="136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auto"/>
              </w:rPr>
              <w:t>$4.0 billion</w:t>
            </w:r>
          </w:p>
        </w:tc>
        <w:tc>
          <w:tcPr>
            <w:tcW w:w="12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auto"/>
              </w:rPr>
              <w:t>$5.0 billion</w:t>
            </w:r>
          </w:p>
        </w:tc>
        <w:tc>
          <w:tcPr>
            <w:tcW w:w="134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auto"/>
              </w:rPr>
              <w:t>$6.0 billion</w:t>
            </w:r>
          </w:p>
        </w:tc>
        <w:tc>
          <w:tcPr>
            <w:tcW w:w="126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auto"/>
              </w:rPr>
              <w:t>$5.84 billion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184%</w:t>
            </w:r>
          </w:p>
        </w:tc>
        <w:tc>
          <w:tcPr>
            <w:tcW w:w="1180" w:type="dxa"/>
            <w:vAlign w:val="bottom"/>
            <w:tcBorders>
              <w:right w:val="single" w:sz="8" w:color="auto"/>
            </w:tcBorders>
            <w:gridSpan w:val="3"/>
            <w:vMerge w:val="restart"/>
          </w:tcPr>
          <w:p>
            <w:pPr>
              <w:jc w:val="right"/>
              <w:ind w:right="42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560" w:type="dxa"/>
            <w:vAlign w:val="bottom"/>
            <w:tcBorders>
              <w:right w:val="single" w:sz="8" w:color="DBDBDB"/>
            </w:tcBorders>
            <w:vMerge w:val="continue"/>
          </w:tcPr>
          <w:p>
            <w:pPr>
              <w:spacing w:after="0"/>
              <w:rPr>
                <w:sz w:val="9"/>
                <w:szCs w:val="9"/>
                <w:color w:val="auto"/>
              </w:rPr>
            </w:pPr>
          </w:p>
        </w:tc>
        <w:tc>
          <w:tcPr>
            <w:tcW w:w="1360" w:type="dxa"/>
            <w:vAlign w:val="bottom"/>
            <w:tcBorders>
              <w:right w:val="single" w:sz="8" w:color="DBDBDB"/>
            </w:tcBorders>
            <w:vMerge w:val="continue"/>
          </w:tcPr>
          <w:p>
            <w:pPr>
              <w:spacing w:after="0"/>
              <w:rPr>
                <w:sz w:val="9"/>
                <w:szCs w:val="9"/>
                <w:color w:val="auto"/>
              </w:rPr>
            </w:pPr>
          </w:p>
        </w:tc>
        <w:tc>
          <w:tcPr>
            <w:tcW w:w="1280" w:type="dxa"/>
            <w:vAlign w:val="bottom"/>
            <w:tcBorders>
              <w:right w:val="single" w:sz="8" w:color="DBDBDB"/>
            </w:tcBorders>
            <w:vMerge w:val="continue"/>
          </w:tcPr>
          <w:p>
            <w:pPr>
              <w:spacing w:after="0"/>
              <w:rPr>
                <w:sz w:val="9"/>
                <w:szCs w:val="9"/>
                <w:color w:val="auto"/>
              </w:rPr>
            </w:pPr>
          </w:p>
        </w:tc>
        <w:tc>
          <w:tcPr>
            <w:tcW w:w="1340" w:type="dxa"/>
            <w:vAlign w:val="bottom"/>
            <w:tcBorders>
              <w:right w:val="single" w:sz="8" w:color="DBDBDB"/>
            </w:tcBorders>
            <w:vMerge w:val="continue"/>
          </w:tcPr>
          <w:p>
            <w:pPr>
              <w:spacing w:after="0"/>
              <w:rPr>
                <w:sz w:val="9"/>
                <w:szCs w:val="9"/>
                <w:color w:val="auto"/>
              </w:rPr>
            </w:pPr>
          </w:p>
        </w:tc>
        <w:tc>
          <w:tcPr>
            <w:tcW w:w="1260" w:type="dxa"/>
            <w:vAlign w:val="bottom"/>
            <w:tcBorders>
              <w:right w:val="single" w:sz="8" w:color="DBDBDB"/>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40" w:type="dxa"/>
            <w:vAlign w:val="bottom"/>
            <w:tcBorders>
              <w:bottom w:val="single" w:sz="8" w:color="auto"/>
            </w:tcBorders>
          </w:tcPr>
          <w:p>
            <w:pPr>
              <w:spacing w:after="0"/>
              <w:rPr>
                <w:sz w:val="7"/>
                <w:szCs w:val="7"/>
                <w:color w:val="auto"/>
              </w:rPr>
            </w:pPr>
          </w:p>
        </w:tc>
        <w:tc>
          <w:tcPr>
            <w:tcW w:w="2560" w:type="dxa"/>
            <w:vAlign w:val="bottom"/>
            <w:tcBorders>
              <w:bottom w:val="single" w:sz="8" w:color="auto"/>
              <w:right w:val="single" w:sz="8" w:color="DBDBDB"/>
            </w:tcBorders>
            <w:vMerge w:val="continue"/>
          </w:tcPr>
          <w:p>
            <w:pPr>
              <w:spacing w:after="0"/>
              <w:rPr>
                <w:sz w:val="7"/>
                <w:szCs w:val="7"/>
                <w:color w:val="auto"/>
              </w:rPr>
            </w:pPr>
          </w:p>
        </w:tc>
        <w:tc>
          <w:tcPr>
            <w:tcW w:w="1360" w:type="dxa"/>
            <w:vAlign w:val="bottom"/>
            <w:tcBorders>
              <w:bottom w:val="single" w:sz="8" w:color="auto"/>
              <w:right w:val="single" w:sz="8" w:color="DBDBDB"/>
            </w:tcBorders>
          </w:tcPr>
          <w:p>
            <w:pPr>
              <w:spacing w:after="0"/>
              <w:rPr>
                <w:sz w:val="7"/>
                <w:szCs w:val="7"/>
                <w:color w:val="auto"/>
              </w:rPr>
            </w:pPr>
          </w:p>
        </w:tc>
        <w:tc>
          <w:tcPr>
            <w:tcW w:w="1280" w:type="dxa"/>
            <w:vAlign w:val="bottom"/>
            <w:tcBorders>
              <w:bottom w:val="single" w:sz="8" w:color="auto"/>
              <w:right w:val="single" w:sz="8" w:color="DBDBDB"/>
            </w:tcBorders>
          </w:tcPr>
          <w:p>
            <w:pPr>
              <w:spacing w:after="0"/>
              <w:rPr>
                <w:sz w:val="7"/>
                <w:szCs w:val="7"/>
                <w:color w:val="auto"/>
              </w:rPr>
            </w:pPr>
          </w:p>
        </w:tc>
        <w:tc>
          <w:tcPr>
            <w:tcW w:w="1340" w:type="dxa"/>
            <w:vAlign w:val="bottom"/>
            <w:tcBorders>
              <w:bottom w:val="single" w:sz="8" w:color="auto"/>
              <w:right w:val="single" w:sz="8" w:color="DBDBDB"/>
            </w:tcBorders>
          </w:tcPr>
          <w:p>
            <w:pPr>
              <w:spacing w:after="0"/>
              <w:rPr>
                <w:sz w:val="7"/>
                <w:szCs w:val="7"/>
                <w:color w:val="auto"/>
              </w:rPr>
            </w:pPr>
          </w:p>
        </w:tc>
        <w:tc>
          <w:tcPr>
            <w:tcW w:w="1260" w:type="dxa"/>
            <w:vAlign w:val="bottom"/>
            <w:tcBorders>
              <w:bottom w:val="single" w:sz="8" w:color="auto"/>
              <w:right w:val="single" w:sz="8" w:color="DBDBDB"/>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040" w:type="dxa"/>
            <w:vAlign w:val="bottom"/>
            <w:shd w:val="clear" w:color="auto" w:fill="DBDBDB"/>
          </w:tcPr>
          <w:p>
            <w:pPr>
              <w:spacing w:after="0"/>
              <w:rPr>
                <w:sz w:val="13"/>
                <w:szCs w:val="13"/>
                <w:color w:val="auto"/>
              </w:rPr>
            </w:pPr>
          </w:p>
        </w:tc>
        <w:tc>
          <w:tcPr>
            <w:tcW w:w="2560" w:type="dxa"/>
            <w:vAlign w:val="bottom"/>
            <w:tcBorders>
              <w:right w:val="single" w:sz="8" w:color="DBDBDB"/>
            </w:tcBorders>
            <w:shd w:val="clear" w:color="auto" w:fill="DBDBDB"/>
          </w:tcPr>
          <w:p>
            <w:pPr>
              <w:spacing w:after="0"/>
              <w:rPr>
                <w:sz w:val="13"/>
                <w:szCs w:val="13"/>
                <w:color w:val="auto"/>
              </w:rPr>
            </w:pPr>
          </w:p>
        </w:tc>
        <w:tc>
          <w:tcPr>
            <w:tcW w:w="1360" w:type="dxa"/>
            <w:vAlign w:val="bottom"/>
            <w:tcBorders>
              <w:right w:val="single" w:sz="8" w:color="DBDBDB"/>
            </w:tcBorders>
            <w:shd w:val="clear" w:color="auto" w:fill="DBDBDB"/>
          </w:tcPr>
          <w:p>
            <w:pPr>
              <w:spacing w:after="0"/>
              <w:rPr>
                <w:sz w:val="13"/>
                <w:szCs w:val="13"/>
                <w:color w:val="auto"/>
              </w:rPr>
            </w:pPr>
          </w:p>
        </w:tc>
        <w:tc>
          <w:tcPr>
            <w:tcW w:w="1280" w:type="dxa"/>
            <w:vAlign w:val="bottom"/>
            <w:tcBorders>
              <w:right w:val="single" w:sz="8" w:color="DBDBDB"/>
            </w:tcBorders>
            <w:shd w:val="clear" w:color="auto" w:fill="DBDBDB"/>
          </w:tcPr>
          <w:p>
            <w:pPr>
              <w:spacing w:after="0"/>
              <w:rPr>
                <w:sz w:val="13"/>
                <w:szCs w:val="13"/>
                <w:color w:val="auto"/>
              </w:rPr>
            </w:pPr>
          </w:p>
        </w:tc>
        <w:tc>
          <w:tcPr>
            <w:tcW w:w="3840" w:type="dxa"/>
            <w:vAlign w:val="bottom"/>
            <w:tcBorders>
              <w:right w:val="single" w:sz="8" w:color="DBDBDB"/>
            </w:tcBorders>
            <w:gridSpan w:val="3"/>
            <w:shd w:val="clear" w:color="auto" w:fill="DBDBDB"/>
          </w:tcPr>
          <w:p>
            <w:pPr>
              <w:ind w:left="1120"/>
              <w:spacing w:after="0" w:line="159" w:lineRule="exact"/>
              <w:rPr>
                <w:sz w:val="20"/>
                <w:szCs w:val="20"/>
                <w:color w:val="auto"/>
              </w:rPr>
            </w:pPr>
            <w:r>
              <w:rPr>
                <w:rFonts w:ascii="Arial" w:cs="Arial" w:eastAsia="Arial" w:hAnsi="Arial"/>
                <w:sz w:val="14"/>
                <w:szCs w:val="14"/>
                <w:i w:val="1"/>
                <w:iCs w:val="1"/>
                <w:color w:val="auto"/>
              </w:rPr>
              <w:t>First tranche combined payout percentage</w:t>
            </w:r>
          </w:p>
        </w:tc>
        <w:tc>
          <w:tcPr>
            <w:tcW w:w="1180" w:type="dxa"/>
            <w:vAlign w:val="bottom"/>
            <w:tcBorders>
              <w:right w:val="single" w:sz="8" w:color="DBDBDB"/>
            </w:tcBorders>
            <w:gridSpan w:val="3"/>
            <w:shd w:val="clear" w:color="auto" w:fill="DBDBDB"/>
          </w:tcPr>
          <w:p>
            <w:pPr>
              <w:jc w:val="right"/>
              <w:ind w:right="420"/>
              <w:spacing w:after="0" w:line="159" w:lineRule="exact"/>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20"/>
        </w:trPr>
        <w:tc>
          <w:tcPr>
            <w:tcW w:w="1040" w:type="dxa"/>
            <w:vAlign w:val="bottom"/>
            <w:tcBorders>
              <w:top w:val="single" w:sz="8" w:color="DBDBDB"/>
            </w:tcBorders>
            <w:shd w:val="clear" w:color="auto" w:fill="DBDBDB"/>
          </w:tcPr>
          <w:p>
            <w:pPr>
              <w:spacing w:after="0" w:line="20" w:lineRule="exact"/>
              <w:rPr>
                <w:sz w:val="1"/>
                <w:szCs w:val="1"/>
                <w:color w:val="auto"/>
              </w:rPr>
            </w:pPr>
          </w:p>
        </w:tc>
        <w:tc>
          <w:tcPr>
            <w:tcW w:w="25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3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2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34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24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auto"/>
            </w:tcBorders>
            <w:shd w:val="clear" w:color="auto" w:fill="DBDBDB"/>
          </w:tcPr>
          <w:p>
            <w:pPr>
              <w:spacing w:after="0" w:line="20" w:lineRule="exact"/>
              <w:rPr>
                <w:sz w:val="1"/>
                <w:szCs w:val="1"/>
                <w:color w:val="auto"/>
              </w:rPr>
            </w:pPr>
          </w:p>
        </w:tc>
        <w:tc>
          <w:tcPr>
            <w:tcW w:w="4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40575"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ind w:left="260" w:right="340" w:hanging="234"/>
        <w:spacing w:after="0" w:line="244" w:lineRule="auto"/>
        <w:tabs>
          <w:tab w:leader="none" w:pos="233"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maximum payout at the stretch level for each financial goal, without giving effect to any TSR Adjustment, is 150%, while the maximum payout at the stretch level for each strategic goal is 200%.</w:t>
      </w:r>
    </w:p>
    <w:p>
      <w:pPr>
        <w:spacing w:after="0" w:line="10" w:lineRule="exact"/>
        <w:rPr>
          <w:rFonts w:ascii="Arial" w:cs="Arial" w:eastAsia="Arial" w:hAnsi="Arial"/>
          <w:sz w:val="14"/>
          <w:szCs w:val="14"/>
          <w:color w:val="auto"/>
        </w:rPr>
      </w:pPr>
    </w:p>
    <w:p>
      <w:pPr>
        <w:ind w:left="260" w:right="100" w:hanging="234"/>
        <w:spacing w:after="0" w:line="225" w:lineRule="auto"/>
        <w:tabs>
          <w:tab w:leader="none" w:pos="233"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column reflects the degree of achievement on each of the four goals, without giving effect to any TSR Adjustment. To calculate the number of PBRSUs preliminarily earned under each goal, we multiply this figure by the number of target PBRSUs granted to the NEO that were associated with that goal, then divide the result into three equal tranches. For the tranches associated with LTI Strategic Goals, that number of PBRSUs is fixed and will be paid over a three-year period, subject to the NEO’s continued employment through each vesting date. The tranches associated with LTI Financial Goals are not fixed but rather will be adjusted, on a tranche-by-tranche basis, for our relative TSR performance over the one-, two- or three-year performance period, as applicable.</w:t>
      </w:r>
    </w:p>
    <w:p>
      <w:pPr>
        <w:spacing w:after="0" w:line="14" w:lineRule="exact"/>
        <w:rPr>
          <w:rFonts w:ascii="Arial" w:cs="Arial" w:eastAsia="Arial" w:hAnsi="Arial"/>
          <w:sz w:val="14"/>
          <w:szCs w:val="14"/>
          <w:color w:val="auto"/>
        </w:rPr>
      </w:pPr>
    </w:p>
    <w:p>
      <w:pPr>
        <w:ind w:left="260" w:right="360" w:hanging="234"/>
        <w:spacing w:after="0" w:line="235" w:lineRule="auto"/>
        <w:tabs>
          <w:tab w:leader="none" w:pos="233"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column reflects the payout percentages under each of the four goals for the first tranche, with the payout for each LTI Financial Goal adjusted based on our relative TSR performance for 2023 (achieved at the 66th percentile, which meant that the resulting goal achievement percentage for each LTI Financial Goal was multiplied by 132%). This compares to a maximum possible combined payout percentage of 212.5% for each tranche.</w:t>
      </w:r>
    </w:p>
    <w:p>
      <w:pPr>
        <w:spacing w:after="0" w:line="3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Post-Termination Compensation. </w:t>
      </w:r>
      <w:r>
        <w:rPr>
          <w:rFonts w:ascii="Arial" w:cs="Arial" w:eastAsia="Arial" w:hAnsi="Arial"/>
          <w:sz w:val="18"/>
          <w:szCs w:val="18"/>
          <w:color w:val="auto"/>
        </w:rPr>
        <w:t>In addition to the compensation received by our NEOs during 2023 and the other benefits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available to all eligible employees, we also provide certain post-termination benefits to our executive officers as described below.</w:t>
      </w:r>
    </w:p>
    <w:p>
      <w:pPr>
        <w:spacing w:after="0" w:line="18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i w:val="1"/>
          <w:iCs w:val="1"/>
          <w:u w:val="single" w:color="auto"/>
          <w:color w:val="auto"/>
        </w:rPr>
        <w:t>Employment Agreements</w:t>
      </w:r>
      <w:r>
        <w:rPr>
          <w:rFonts w:ascii="Arial" w:cs="Arial" w:eastAsia="Arial" w:hAnsi="Arial"/>
          <w:sz w:val="18"/>
          <w:szCs w:val="18"/>
          <w:color w:val="auto"/>
        </w:rPr>
        <w:t>. Under our employment agreements, each NEO would be entitled to certain post-termination payments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qualifying termination (whether in connection with, or outside of, a change in control). For more detail regarding the severance and change in control provisions of the employment agreements, see “Compensation of Executive Officers — Employment Agreements” and “Compensation of Executive Officers — Potential Payments Upon Termination of Employment or Change in Control” below in this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Release Requirement and Restrictive Covenants</w:t>
      </w:r>
      <w:r>
        <w:rPr>
          <w:rFonts w:ascii="Arial" w:cs="Arial" w:eastAsia="Arial" w:hAnsi="Arial"/>
          <w:sz w:val="18"/>
          <w:szCs w:val="18"/>
          <w:color w:val="auto"/>
        </w:rPr>
        <w:t>. The HCC Committee believes that our post-termination compensation and related</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arrangements with our NEOs are aligned with existing market practices related to, and are consistent with, the principal objectives of our compensation programs. To the extent a NEO’s employment agreement contains severance benefits or a change in control provision, those</w:t>
      </w:r>
    </w:p>
    <w:p>
      <w:pPr>
        <w:spacing w:after="0" w:line="2"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 xml:space="preserve">benefits are predicated upon the NEO being terminated without cause (or resigning for good reason). In addition, an NEO’s receipt of any severance benefits is conditioned upon the NEO signing a general release and waiver and complying with certain restrictive covenants, including non-solicitation, confidentiality and non-disparagement agreements, as well as non-competition or non-interference agreements, all of which serve the best interests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our stockholders.</w:t>
      </w:r>
    </w:p>
    <w:p>
      <w:pPr>
        <w:spacing w:after="0" w:line="197"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i w:val="1"/>
          <w:iCs w:val="1"/>
          <w:u w:val="single" w:color="auto"/>
          <w:color w:val="auto"/>
        </w:rPr>
        <w:t>Advantages of Our Double-Trigger Change in Control Arrangements</w:t>
      </w:r>
      <w:r>
        <w:rPr>
          <w:rFonts w:ascii="Arial" w:cs="Arial" w:eastAsia="Arial" w:hAnsi="Arial"/>
          <w:sz w:val="18"/>
          <w:szCs w:val="18"/>
          <w:color w:val="auto"/>
        </w:rPr>
        <w:t>. The HCC Committee believes that our management plays a critical role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success of our company and that it is important to protect them with a baseline of guaranteed compensation in the event of an involuntary (or constructive) termination in connection with a change in control. Change of control protections for our executive officers and other key personnel are an important part of good corporate governance, as they alleviate individual concerns about the possible involuntary loss of employment and ensure that the interests of our executives will be materially consistent with the interests of other stockholders when considering corporate transactions. In addition, we believe that these change of control protections preserve morale and productivity and encourage retention in the face of the potential disruptive impact of an actual or potential change of control of </w:t>
      </w:r>
      <w:r>
        <w:rPr>
          <w:rFonts w:ascii="Arial" w:cs="Arial" w:eastAsia="Arial" w:hAnsi="Arial"/>
          <w:sz w:val="18"/>
          <w:szCs w:val="18"/>
          <w:b w:val="1"/>
          <w:bCs w:val="1"/>
          <w:color w:val="auto"/>
        </w:rPr>
        <w:t>onsemi</w:t>
      </w:r>
      <w:r>
        <w:rPr>
          <w:rFonts w:ascii="Arial" w:cs="Arial" w:eastAsia="Arial" w:hAnsi="Arial"/>
          <w:sz w:val="18"/>
          <w:szCs w:val="18"/>
          <w:color w:val="auto"/>
        </w:rPr>
        <w:t>.</w:t>
      </w:r>
    </w:p>
    <w:p>
      <w:pPr>
        <w:spacing w:after="0" w:line="2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color w:val="auto"/>
        </w:rPr>
        <w:t>. Consistent with our pay-for-performance compensation philosophy, we provide our executive officers with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perquisites:</w:t>
      </w:r>
    </w:p>
    <w:p>
      <w:pPr>
        <w:spacing w:after="0" w:line="193"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monthly auto allowance;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1"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4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enhanced coverage for life insurance (coverage of $1,000,000, which is $500,000 above the maximum allowed standard coverage of two times base salary that is afforded to all employees);</w:t>
      </w:r>
    </w:p>
    <w:p>
      <w:pPr>
        <w:ind w:left="660" w:hanging="328"/>
        <w:spacing w:after="0" w:line="23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executive physical examination; and</w:t>
      </w: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planning services reimbursement up to $10,000 per year.</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HCC Committee believes these limited perquisites help to maintain the competitiveness of our compensation package vis-à-vis our peer companies and provide value at a reasonable cost to us.</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Other Benefit Plans and Programs</w:t>
      </w:r>
      <w:r>
        <w:rPr>
          <w:rFonts w:ascii="Arial" w:cs="Arial" w:eastAsia="Arial" w:hAnsi="Arial"/>
          <w:sz w:val="18"/>
          <w:szCs w:val="18"/>
          <w:color w:val="auto"/>
        </w:rPr>
        <w:t>. We do not currently offer any executive retirement plans, pension benefits or non-qualified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plans. Executives are eligible to participate in benefit programs available to all of our full-time employees. These generally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available programs, which are designed to provide competitive capital accumulation and other benefits, include:</w:t>
      </w:r>
    </w:p>
    <w:p>
      <w:pPr>
        <w:spacing w:after="0" w:line="22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tax-qualified employee stock purchase plan;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401(k) savings plan; and</w:t>
      </w: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medical, dental, disability and life insurance programs.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Process and Procedures for Considering and Determining Executive Compensation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Among other responsibilities, our HCC Committee is primarily responsible for establishing the compensation programs for our NEOs and other senior executives, including the CEO, as well as monitoring, annually reviewing and approving the goals and objectives relevant to these programs.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Role of Compensation Consultants</w:t>
      </w:r>
      <w:r>
        <w:rPr>
          <w:rFonts w:ascii="Arial" w:cs="Arial" w:eastAsia="Arial" w:hAnsi="Arial"/>
          <w:sz w:val="18"/>
          <w:szCs w:val="18"/>
          <w:color w:val="auto"/>
        </w:rPr>
        <w:t>. The HCC Committee engaged FW Cook as its primary independent compensation consultant to assist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recommending the form and amount of executive and director compensation for our 2023 executive compensation programs. Among other things, with respect to our 2023 compensation programs, FW Cook was requested to:</w:t>
      </w:r>
    </w:p>
    <w:p>
      <w:pPr>
        <w:spacing w:after="0" w:line="22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perform an executive compensation review, including a peer group review and competitive pay assessments;</w:t>
      </w:r>
    </w:p>
    <w:p>
      <w:pPr>
        <w:spacing w:after="0" w:line="8" w:lineRule="exact"/>
        <w:rPr>
          <w:rFonts w:ascii="Arial" w:cs="Arial" w:eastAsia="Arial" w:hAnsi="Arial"/>
          <w:sz w:val="22"/>
          <w:szCs w:val="22"/>
          <w:color w:val="auto"/>
        </w:rPr>
      </w:pPr>
    </w:p>
    <w:p>
      <w:pPr>
        <w:ind w:left="660" w:hanging="328"/>
        <w:spacing w:after="0" w:line="209"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perform a short-term incentive plan and equity grant review;</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perform a non-employee director compensation review;</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provide legislative and regulatory updates;</w:t>
      </w:r>
    </w:p>
    <w:p>
      <w:pPr>
        <w:spacing w:after="0" w:line="10"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71"/>
        </w:numPr>
        <w:rPr>
          <w:rFonts w:ascii="Arial" w:cs="Arial" w:eastAsia="Arial" w:hAnsi="Arial"/>
          <w:sz w:val="22"/>
          <w:szCs w:val="22"/>
          <w:color w:val="auto"/>
        </w:rPr>
      </w:pPr>
      <w:r>
        <w:rPr>
          <w:rFonts w:ascii="Arial" w:cs="Arial" w:eastAsia="Arial" w:hAnsi="Arial"/>
          <w:sz w:val="18"/>
          <w:szCs w:val="18"/>
          <w:color w:val="auto"/>
        </w:rPr>
        <w:t>provide additional assistance, as requested, in analyzing and determining senior executive compensation and reviewing the CD&amp;A; and</w:t>
      </w:r>
    </w:p>
    <w:p>
      <w:pPr>
        <w:ind w:left="660" w:hanging="328"/>
        <w:spacing w:after="0" w:line="230"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attend meetings of the HCC Committee as requested.</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After evaluating FW Cook’s independence in light of applicable SEC rules and Nasdaq listing standards, the HCC Committee has concluded that FW Cook is independent and that its work for the HCC Committee has not raised any conflict of interest.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determining compensation for our executive officers and non-employee directors, the HCC Committee considers information and advice provided by its independent compensation consultant. The HCC Committee believes that FW Cook has the requisite skills, knowledge, industry expertise and experience, as well as the necessary resources, to provide a comprehensive approach to executive and non-employee director compensation planning, strategy and governance. While the HCC Committee considers the advice and recommendations</w:t>
      </w:r>
    </w:p>
    <w:p>
      <w:pPr>
        <w:jc w:val="both"/>
        <w:spacing w:after="0" w:line="237" w:lineRule="auto"/>
        <w:rPr>
          <w:sz w:val="20"/>
          <w:szCs w:val="20"/>
          <w:color w:val="auto"/>
        </w:rPr>
      </w:pPr>
      <w:r>
        <w:rPr>
          <w:rFonts w:ascii="Arial" w:cs="Arial" w:eastAsia="Arial" w:hAnsi="Arial"/>
          <w:sz w:val="18"/>
          <w:szCs w:val="18"/>
          <w:color w:val="auto"/>
        </w:rPr>
        <w:t>of its independent consultant, ultimately, the HCC Committee has the decision-making authority with respect to our compensation programs, including the specific amounts paid to our executive officers.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Senior Executives in Determining Executive Compensation</w:t>
      </w:r>
      <w:r>
        <w:rPr>
          <w:rFonts w:ascii="Arial" w:cs="Arial" w:eastAsia="Arial" w:hAnsi="Arial"/>
          <w:sz w:val="18"/>
          <w:szCs w:val="18"/>
          <w:color w:val="auto"/>
        </w:rPr>
        <w:t>. The HCC Committee made all compensation decisions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 compensation in 2023 except that the full Board (excluding Mr. El-Khoury) reviews and approves compensation for Mr. El-Khoury, taking into account the HCC Committee’s recommendations. However, our CEO and other senior executives regularly provide information and recommendations to the HCC Committee on the compensation and performance of other officers. Specifically, the CEO presents the HCC Committee with an individual performance overview for each executive officer, describing the officer’s accomplishments for the prior year, as well as his or her strengths, areas of improvement and development plans. The senior executives also assist the HCC Committee in determining the level of achievement of the performance targets underlying performance-based awards and incentives and provide other information specifically requested by the HCC Committee from time to time. With respect to the compensation of the CEO, FW Cook works directly with the HCC Committee, which makes a recommendation to the full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5" w:name="page46"/>
    <w:bookmarkEnd w:id="4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Board (excluding Mr. El-Khoury). The CEO does not make, and neither the HCC Committee nor the Board seek from him, recommendations on the level of his compensation. Further, no NEO or any other member of management makes recommendations on the level of his or her own compensation.</w:t>
      </w:r>
    </w:p>
    <w:p>
      <w:pPr>
        <w:spacing w:after="0" w:line="196"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b w:val="1"/>
          <w:bCs w:val="1"/>
          <w:i w:val="1"/>
          <w:iCs w:val="1"/>
          <w:color w:val="auto"/>
        </w:rPr>
        <w:t>Use of Market Data</w:t>
      </w:r>
      <w:r>
        <w:rPr>
          <w:rFonts w:ascii="Arial" w:cs="Arial" w:eastAsia="Arial" w:hAnsi="Arial"/>
          <w:sz w:val="18"/>
          <w:szCs w:val="18"/>
          <w:color w:val="auto"/>
        </w:rPr>
        <w:t>. The HCC Committee considers competitive market data, among other factors, in determining the individual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programs and in allocating between cash and non-cash compensation and between STI and LTI compensation. Although the peer company or other survey data is a starting point and a significant factor in the HCC Committee’s compensation determinations, it is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not the only factor. During 2022, FW Cook conducted an executive compensation study and made recommendations regarding changes to compensation design for our 2023 programs (the FW Cook Report). The HCC Committee used data provided in the FW Cook Report to</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assist in structuring the 2023 compensation packages for our NEOs. In connection with its preparation of this report, FW Cook recommended changes to the peer group in light of consolidation within the semiconductor industry and changes to the revenue and market capitalization of our prior peer group companies. Criteria used to screen the peer group generally included:</w:t>
      </w:r>
    </w:p>
    <w:p>
      <w:pPr>
        <w:spacing w:after="0" w:line="206"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revenue between approximately 0.4 to 3 times our revenue;</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twelve-month average market capitalization between approximately 0.33 to 5 times our market capitalization;</w:t>
      </w:r>
    </w:p>
    <w:p>
      <w:pPr>
        <w:ind w:left="660" w:hanging="328"/>
        <w:spacing w:after="0" w:line="23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industry screens pertaining to other semiconductor, semiconductor equipment and broader technology hardware companies;</w:t>
      </w:r>
    </w:p>
    <w:p>
      <w:pPr>
        <w:ind w:left="660" w:hanging="328"/>
        <w:spacing w:after="0" w:line="23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peer groups that Institutional Shareholder Services Inc. and Glass, Lewis &amp; Co. LLC utilize for </w:t>
      </w:r>
      <w:r>
        <w:rPr>
          <w:rFonts w:ascii="Arial" w:cs="Arial" w:eastAsia="Arial" w:hAnsi="Arial"/>
          <w:sz w:val="18"/>
          <w:szCs w:val="18"/>
          <w:b w:val="1"/>
          <w:bCs w:val="1"/>
          <w:color w:val="auto"/>
        </w:rPr>
        <w:t>onsemi</w:t>
      </w:r>
      <w:r>
        <w:rPr>
          <w:rFonts w:ascii="Arial" w:cs="Arial" w:eastAsia="Arial" w:hAnsi="Arial"/>
          <w:sz w:val="18"/>
          <w:szCs w:val="18"/>
          <w:color w:val="auto"/>
        </w:rPr>
        <w:t>;</w:t>
      </w:r>
    </w:p>
    <w:p>
      <w:pPr>
        <w:ind w:left="660" w:hanging="328"/>
        <w:spacing w:after="0" w:line="23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analyses of the “peers of current peers” as of the date of the FW Cook Report and of other companies using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as a benchmark;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onsemi</w:t>
      </w:r>
      <w:r>
        <w:rPr>
          <w:rFonts w:ascii="Arial" w:cs="Arial" w:eastAsia="Arial" w:hAnsi="Arial"/>
          <w:sz w:val="18"/>
          <w:szCs w:val="18"/>
          <w:color w:val="auto"/>
        </w:rPr>
        <w:t>’s relative TSR performance peer group.</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considering these criteria, the HCC Committee determined that the peer group identified in 2022 to inform 2023 compensation decisions (the 2023 Peer Group) would consist of:</w:t>
      </w:r>
    </w:p>
    <w:p>
      <w:pPr>
        <w:spacing w:after="0" w:line="226"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2760" w:type="dxa"/>
            <w:vAlign w:val="bottom"/>
            <w:shd w:val="clear" w:color="auto" w:fill="465E66"/>
          </w:tcPr>
          <w:p>
            <w:pPr>
              <w:spacing w:after="0"/>
              <w:rPr>
                <w:sz w:val="17"/>
                <w:szCs w:val="17"/>
                <w:color w:val="auto"/>
              </w:rPr>
            </w:pPr>
          </w:p>
        </w:tc>
        <w:tc>
          <w:tcPr>
            <w:tcW w:w="4320" w:type="dxa"/>
            <w:vAlign w:val="bottom"/>
            <w:shd w:val="clear" w:color="auto" w:fill="465E66"/>
          </w:tcPr>
          <w:p>
            <w:pPr>
              <w:ind w:left="220"/>
              <w:spacing w:after="0"/>
              <w:rPr>
                <w:sz w:val="20"/>
                <w:szCs w:val="20"/>
                <w:color w:val="auto"/>
              </w:rPr>
            </w:pPr>
            <w:r>
              <w:rPr>
                <w:rFonts w:ascii="Arial" w:cs="Arial" w:eastAsia="Arial" w:hAnsi="Arial"/>
                <w:sz w:val="14"/>
                <w:szCs w:val="14"/>
                <w:b w:val="1"/>
                <w:bCs w:val="1"/>
                <w:color w:val="FFFFFF"/>
              </w:rPr>
              <w:t>2023 Peer Group</w:t>
            </w:r>
          </w:p>
        </w:tc>
      </w:tr>
      <w:tr>
        <w:trPr>
          <w:trHeight w:val="216"/>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Advanced Micro Devices, Inc.</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Microchip Technology Incorporated</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Analog Devices, Inc.</w:t>
            </w:r>
          </w:p>
        </w:tc>
        <w:tc>
          <w:tcPr>
            <w:tcW w:w="4320" w:type="dxa"/>
            <w:vAlign w:val="bottom"/>
          </w:tcPr>
          <w:p>
            <w:pPr>
              <w:ind w:left="780"/>
              <w:spacing w:after="0"/>
              <w:rPr>
                <w:sz w:val="20"/>
                <w:szCs w:val="20"/>
                <w:color w:val="auto"/>
              </w:rPr>
            </w:pPr>
            <w:r>
              <w:rPr>
                <w:rFonts w:ascii="Arial" w:cs="Arial" w:eastAsia="Arial" w:hAnsi="Arial"/>
                <w:sz w:val="16"/>
                <w:szCs w:val="16"/>
                <w:color w:val="auto"/>
              </w:rPr>
              <w:t>Monolithic Power Systems, Inc.</w:t>
            </w:r>
          </w:p>
        </w:tc>
      </w:tr>
      <w:tr>
        <w:trPr>
          <w:trHeight w:val="217"/>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Applied Materials, Inc.</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Qorvo, Inc.</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First Solar, Inc.</w:t>
            </w:r>
          </w:p>
        </w:tc>
        <w:tc>
          <w:tcPr>
            <w:tcW w:w="4320" w:type="dxa"/>
            <w:vAlign w:val="bottom"/>
          </w:tcPr>
          <w:p>
            <w:pPr>
              <w:ind w:left="780"/>
              <w:spacing w:after="0"/>
              <w:rPr>
                <w:sz w:val="20"/>
                <w:szCs w:val="20"/>
                <w:color w:val="auto"/>
              </w:rPr>
            </w:pPr>
            <w:r>
              <w:rPr>
                <w:rFonts w:ascii="Arial" w:cs="Arial" w:eastAsia="Arial" w:hAnsi="Arial"/>
                <w:sz w:val="16"/>
                <w:szCs w:val="16"/>
                <w:color w:val="auto"/>
              </w:rPr>
              <w:t>Skyworks Solutions, Inc.</w:t>
            </w:r>
          </w:p>
        </w:tc>
      </w:tr>
      <w:tr>
        <w:trPr>
          <w:trHeight w:val="217"/>
        </w:trPr>
        <w:tc>
          <w:tcPr>
            <w:tcW w:w="2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Lam Research Corporation</w:t>
            </w:r>
          </w:p>
        </w:tc>
        <w:tc>
          <w:tcPr>
            <w:tcW w:w="43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Texas Instruments Incorporated</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Marvell Technology, Inc.</w:t>
            </w:r>
          </w:p>
        </w:tc>
        <w:tc>
          <w:tcPr>
            <w:tcW w:w="4320" w:type="dxa"/>
            <w:vAlign w:val="bottom"/>
          </w:tcPr>
          <w:p>
            <w:pPr>
              <w:ind w:left="780"/>
              <w:spacing w:after="0"/>
              <w:rPr>
                <w:sz w:val="20"/>
                <w:szCs w:val="20"/>
                <w:color w:val="auto"/>
              </w:rPr>
            </w:pPr>
            <w:r>
              <w:rPr>
                <w:rFonts w:ascii="Arial" w:cs="Arial" w:eastAsia="Arial" w:hAnsi="Arial"/>
                <w:sz w:val="16"/>
                <w:szCs w:val="16"/>
                <w:color w:val="auto"/>
              </w:rPr>
              <w:t>Wolfspeed, Inc.</w:t>
            </w:r>
          </w:p>
        </w:tc>
      </w:tr>
      <w:tr>
        <w:trPr>
          <w:trHeight w:val="216"/>
        </w:trPr>
        <w:tc>
          <w:tcPr>
            <w:tcW w:w="2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Maxim Integrated Products, Inc. (1)</w:t>
            </w:r>
          </w:p>
        </w:tc>
        <w:tc>
          <w:tcPr>
            <w:tcW w:w="4320" w:type="dxa"/>
            <w:vAlign w:val="bottom"/>
            <w:tcBorders>
              <w:bottom w:val="single" w:sz="8" w:color="auto"/>
            </w:tcBorders>
            <w:shd w:val="clear" w:color="auto" w:fill="DBDBDB"/>
          </w:tcPr>
          <w:p>
            <w:pPr>
              <w:spacing w:after="0"/>
              <w:rPr>
                <w:sz w:val="18"/>
                <w:szCs w:val="18"/>
                <w:color w:val="auto"/>
              </w:rPr>
            </w:pPr>
          </w:p>
        </w:tc>
      </w:tr>
    </w:tbl>
    <w:p>
      <w:pPr>
        <w:spacing w:after="0" w:line="4"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(1) Maxim Integrated Products, Inc. was acquired by Analog Devices, Inc. in August 2021.</w:t>
      </w:r>
    </w:p>
    <w:p>
      <w:pPr>
        <w:spacing w:after="0" w:line="34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At the time that this peer group was approved, the Company’s revenue and earnings before interest, taxes, depreciation and amortization were above the peer group median and its market cap was between the 25th percentile and median.</w:t>
      </w:r>
    </w:p>
    <w:p>
      <w:pPr>
        <w:spacing w:after="0" w:line="18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In evaluating the competitiveness of the Company’s compensation program, the FW Cook Report utilized data from S&amp;P Capital IQ as it pertained to the most recently reported four quarters, quarter or fiscal year end, as applicable.</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Other Factors</w:t>
      </w:r>
      <w:r>
        <w:rPr>
          <w:rFonts w:ascii="Arial" w:cs="Arial" w:eastAsia="Arial" w:hAnsi="Arial"/>
          <w:sz w:val="18"/>
          <w:szCs w:val="18"/>
          <w:color w:val="auto"/>
        </w:rPr>
        <w:t>. In addition to the market data provided by the independent compensation consultant, the HCC Committee also assesses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factors when making compensation decisions, including, but not limited to</w:t>
      </w:r>
    </w:p>
    <w:p>
      <w:pPr>
        <w:spacing w:after="0" w:line="18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executive’s individual responsibilities, skills, expertise and value added through performance;</w:t>
      </w:r>
    </w:p>
    <w:p>
      <w:pPr>
        <w:spacing w:after="0" w:line="13"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executive’s prior compensation and LTI award accumulation;</w:t>
      </w:r>
    </w:p>
    <w:p>
      <w:pPr>
        <w:ind w:left="660" w:hanging="328"/>
        <w:spacing w:after="0" w:line="23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contractual commitments with the executives, such as the terms of their respective employment agreements;</w:t>
      </w:r>
    </w:p>
    <w:p>
      <w:pPr>
        <w:ind w:left="660" w:hanging="328"/>
        <w:spacing w:after="0" w:line="23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LTI awards, equity availability and usage, the potential voting power dilution to our stockholders and the projected impact on our earnings per share for the relevant years;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internal pay equity, although the HCC Committee does not have a policy requiring any set levels of internal pay differentiation.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HCC Committee separately reviews CEO performance based on, among other factors considered relevant, Company performance, including revenue growth, earnings growth, gross margin improvement, free cash flow and earnings per share, and further considers downturns or volatility in general economic conditions and other issues facing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Risk Analysis</w:t>
      </w:r>
      <w:r>
        <w:rPr>
          <w:rFonts w:ascii="Arial" w:cs="Arial" w:eastAsia="Arial" w:hAnsi="Arial"/>
          <w:sz w:val="18"/>
          <w:szCs w:val="18"/>
          <w:color w:val="auto"/>
        </w:rPr>
        <w:t>. The HCC Committee considers the potential for unacceptable risk-taking in its compensation design and performs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assessments with respect to its duties and actions. The HCC Committee believes that the design of our executive compensation program does not unduly incentivize our executives to take actions that may conflict with our long-term best interests. Material risk in our compensation design is mitigated in several ways, including as follows:</w:t>
      </w:r>
    </w:p>
    <w:p>
      <w:pPr>
        <w:spacing w:after="0" w:line="201" w:lineRule="exact"/>
        <w:rPr>
          <w:sz w:val="20"/>
          <w:szCs w:val="20"/>
          <w:color w:val="auto"/>
        </w:rPr>
      </w:pPr>
    </w:p>
    <w:p>
      <w:pPr>
        <w:ind w:left="660" w:hanging="328"/>
        <w:spacing w:after="0" w:line="245"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Performance-based pay opportunities are designed with goals that are rigorous but attainable without the need to take inappropriate risks and with the goal of driving long-term value to our stockholders.</w:t>
      </w:r>
    </w:p>
    <w:p>
      <w:pPr>
        <w:ind w:left="660" w:hanging="328"/>
        <w:spacing w:after="0" w:line="22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program consists of an appropriate mix of pay elements, with total compensation not overly weighted toward any one compensation component.</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base salaries of our NEOs, although comprising a relatively modest component of aggregate total compensation, nevertheless are adequate to discourage undue risk-taking.</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Opportunities under our STI and LTI programs are capped so that the upside potential is not so large as to encourage excessive risk-taking.</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stock-based incentives vest or are earned over a multi-year period, which provides long-term upside potential, but also requires the executive to bear the economic risk of the award over the vesting period.</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generally use different performance metrics in different programs and awards, which provides balance and lessens the opportunity to take undue risk in meeting a single goal.</w:t>
      </w:r>
    </w:p>
    <w:p>
      <w:pPr>
        <w:spacing w:after="0" w:line="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stock components inherent in our LTI program, combined with our stock ownership guidelines, align the interests of our executives with a goal of long-term preservation and appreciation of stockholder value.</w:t>
      </w:r>
    </w:p>
    <w:p>
      <w:pPr>
        <w:spacing w:after="0" w:line="1" w:lineRule="exact"/>
        <w:rPr>
          <w:rFonts w:ascii="Arial" w:cs="Arial" w:eastAsia="Arial" w:hAnsi="Arial"/>
          <w:sz w:val="18"/>
          <w:szCs w:val="18"/>
          <w:color w:val="auto"/>
        </w:rPr>
      </w:pPr>
    </w:p>
    <w:p>
      <w:pPr>
        <w:ind w:left="660" w:right="20" w:hanging="328"/>
        <w:spacing w:after="0" w:line="22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Incentive payments and awards are subject to clawback in the event of a material restatement of our financial results and in certain other cases.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Consideration of the compensation design of comparator companies helps avoid unusually high pay opportunities relative to the Company’s peers.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utilize severance programs with reasonable terms and double-trigger change in control provisions to support retention of our executives.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Policies Relating to Executive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Hedging / Pledging Transactions</w:t>
      </w:r>
      <w:r>
        <w:rPr>
          <w:rFonts w:ascii="Arial" w:cs="Arial" w:eastAsia="Arial" w:hAnsi="Arial"/>
          <w:sz w:val="18"/>
          <w:szCs w:val="18"/>
          <w:color w:val="auto"/>
        </w:rPr>
        <w:t>. We have a comprehensive Insider Trading Policy, which, among other things, prohibits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non-employee directors from engaging in transactions that hedge or offset, or are designed to hedge or offset, any decrease in the market value of Company securities or that otherwise have economic consequences comparable to the same. Our executive officers and non-employee directors are also prohibited from any pledging or margin transactions with respect to our stock, including, but not limited to, holding our securities in a margin account or otherwise pledging such securities as collateral for a loan. Our other employees are also encouraged to adhere to these rules.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Retention Guidelines for Officers</w:t>
      </w:r>
      <w:r>
        <w:rPr>
          <w:rFonts w:ascii="Arial" w:cs="Arial" w:eastAsia="Arial" w:hAnsi="Arial"/>
          <w:sz w:val="18"/>
          <w:szCs w:val="18"/>
          <w:color w:val="auto"/>
        </w:rPr>
        <w:t>. We have adopted robust stock ownership guidelines for our executive officers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non-employee directors. The minimum stock ownership guideline varies based on position, ranging from two times base salary (for anyone holding the title of Senior Vice President) to six times base salary for our CEO. For purposes of the guidelines, we count only fully-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vested, unrestricted shares of our common stock (not any unvested equity awards). As of the record date, all of our NEOs were either in compliance with, or within the five-year grace period for compliance under, these guidelines. For additional information regarding these guidelines, please see the section entitled, “Director and Officer Stock Ownership and Retention Guidelines” in the Stock Ownership section of this proxy statement.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Clawback Policies</w:t>
      </w:r>
      <w:r>
        <w:rPr>
          <w:rFonts w:ascii="Arial" w:cs="Arial" w:eastAsia="Arial" w:hAnsi="Arial"/>
          <w:sz w:val="18"/>
          <w:szCs w:val="18"/>
          <w:color w:val="auto"/>
        </w:rPr>
        <w:t>. We have had robust clawback policies in place since 2014, covering both financial restatements as well as misconduct.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2023, in light of the new SEC rules and NASDAQ listing standards regarding clawback policies, we adopted a standalone Dodd-Frank Clawback Policy (Dodd-Frank Policy) that tracks those new requirements.</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In addition to our Dodd-Frank Policy, our NEOs continue to be subject to our Conduct-based Clawback Policy (Conduct Policy), a version of which has been in place since 2014. The Conduct Policy applies to a broader scope of persons (including all senior vice presidents and others employed by or providing services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as determined by the HCC Committee), compensation (any incentive-based compensation, including time-based equity awards), and conduct than our Dodd-Frank Policy. Specifically, the Conduct Policy applies to (1) intentional misconduct by a covered person that is materially injurious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as determined by the Board, including conduct that contributes to an accounting restatement that would have triggered clawback from a covered person under the Dodd-Frank Policy had that person been a Section 16 officer subject to that policy; and (2) a material breach of a material provision of written agreement between </w:t>
      </w:r>
      <w:r>
        <w:rPr>
          <w:rFonts w:ascii="Arial" w:cs="Arial" w:eastAsia="Arial" w:hAnsi="Arial"/>
          <w:sz w:val="18"/>
          <w:szCs w:val="18"/>
          <w:b w:val="1"/>
          <w:bCs w:val="1"/>
          <w:color w:val="auto"/>
        </w:rPr>
        <w:t xml:space="preserve">onsemi </w:t>
      </w:r>
      <w:r>
        <w:rPr>
          <w:rFonts w:ascii="Arial" w:cs="Arial" w:eastAsia="Arial" w:hAnsi="Arial"/>
          <w:sz w:val="18"/>
          <w:szCs w:val="18"/>
          <w:color w:val="auto"/>
        </w:rPr>
        <w:t>and the covered person (such as restrictive covenants in an employment agreement).</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42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47" w:name="page48"/>
    <w:bookmarkEnd w:id="47"/>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and Tax Considerations on Executive Compensation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Accounting considerations play a role in the design of our executive compensation program. Accounting rules require us to expense the grant date fair values of our equity awards (that is, the value of our equity awards based on GAAP), which reduces the amount of our reported profits under GAAP. Because of this stock-based expensing and the impact of dilution to our stockholders, we closely monitor the number, the share amounts and the fair values of the equity awards that are granted each year. The HCC Committee also takes into account tax and other accounting consequences of its total compensation program and weighs these factors when setting total compensation and determining the individual elements of an officer’s compensation package.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Compensation Committee Report</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HCC Committee has reviewed and discussed the CD&amp;A with management. Based on such review and discussion, the HCC Committee recommended to the Board that the CD&amp;A be included in the Form 10-K and this proxy statement. This report is submitted by the HCC Committee.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Christine Y. Yan, Chair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L. Deitrich</w:t>
      </w:r>
    </w:p>
    <w:p>
      <w:pPr>
        <w:ind w:left="340"/>
        <w:spacing w:after="0" w:line="219" w:lineRule="auto"/>
        <w:rPr>
          <w:sz w:val="20"/>
          <w:szCs w:val="20"/>
          <w:color w:val="auto"/>
        </w:rPr>
      </w:pPr>
      <w:r>
        <w:rPr>
          <w:rFonts w:ascii="Arial" w:cs="Arial" w:eastAsia="Arial" w:hAnsi="Arial"/>
          <w:sz w:val="18"/>
          <w:szCs w:val="18"/>
          <w:color w:val="auto"/>
        </w:rPr>
        <w:t>Paul A. Mascarenas</w:t>
      </w:r>
    </w:p>
    <w:p>
      <w:pPr>
        <w:ind w:left="340"/>
        <w:spacing w:after="0"/>
        <w:rPr>
          <w:sz w:val="20"/>
          <w:szCs w:val="20"/>
          <w:color w:val="auto"/>
        </w:rPr>
      </w:pPr>
      <w:r>
        <w:rPr>
          <w:rFonts w:ascii="Arial" w:cs="Arial" w:eastAsia="Arial" w:hAnsi="Arial"/>
          <w:sz w:val="18"/>
          <w:szCs w:val="18"/>
          <w:color w:val="auto"/>
        </w:rPr>
        <w:t>Gregory L. Waters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set forth information concerning compensation earned by or paid to our NEOs for services provided to onsemi for the periods indicated.</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465E66"/>
          </w:tcPr>
          <w:p>
            <w:pPr>
              <w:spacing w:after="0"/>
              <w:rPr>
                <w:sz w:val="14"/>
                <w:szCs w:val="14"/>
                <w:color w:val="auto"/>
              </w:rPr>
            </w:pPr>
          </w:p>
        </w:tc>
        <w:tc>
          <w:tcPr>
            <w:tcW w:w="860" w:type="dxa"/>
            <w:vAlign w:val="bottom"/>
            <w:shd w:val="clear" w:color="auto" w:fill="465E66"/>
          </w:tcPr>
          <w:p>
            <w:pPr>
              <w:spacing w:after="0"/>
              <w:rPr>
                <w:sz w:val="14"/>
                <w:szCs w:val="14"/>
                <w:color w:val="auto"/>
              </w:rPr>
            </w:pPr>
          </w:p>
        </w:tc>
        <w:tc>
          <w:tcPr>
            <w:tcW w:w="1260" w:type="dxa"/>
            <w:vAlign w:val="bottom"/>
            <w:vMerge w:val="restart"/>
            <w:shd w:val="clear" w:color="auto" w:fill="465E66"/>
          </w:tcPr>
          <w:p>
            <w:pPr>
              <w:ind w:left="420"/>
              <w:spacing w:after="0"/>
              <w:rPr>
                <w:sz w:val="20"/>
                <w:szCs w:val="20"/>
                <w:color w:val="auto"/>
              </w:rPr>
            </w:pPr>
            <w:r>
              <w:rPr>
                <w:rFonts w:ascii="Arial" w:cs="Arial" w:eastAsia="Arial" w:hAnsi="Arial"/>
                <w:sz w:val="14"/>
                <w:szCs w:val="14"/>
                <w:b w:val="1"/>
                <w:bCs w:val="1"/>
                <w:color w:val="FFFFFF"/>
              </w:rPr>
              <w:t>Salary</w:t>
            </w:r>
          </w:p>
        </w:tc>
        <w:tc>
          <w:tcPr>
            <w:tcW w:w="960" w:type="dxa"/>
            <w:vAlign w:val="bottom"/>
            <w:vMerge w:val="restart"/>
            <w:shd w:val="clear" w:color="auto" w:fill="465E66"/>
          </w:tcPr>
          <w:p>
            <w:pPr>
              <w:ind w:left="320"/>
              <w:spacing w:after="0"/>
              <w:rPr>
                <w:sz w:val="20"/>
                <w:szCs w:val="20"/>
                <w:color w:val="auto"/>
              </w:rPr>
            </w:pPr>
            <w:r>
              <w:rPr>
                <w:rFonts w:ascii="Arial" w:cs="Arial" w:eastAsia="Arial" w:hAnsi="Arial"/>
                <w:sz w:val="14"/>
                <w:szCs w:val="14"/>
                <w:b w:val="1"/>
                <w:bCs w:val="1"/>
                <w:color w:val="FFFFFF"/>
              </w:rPr>
              <w:t>Bonus</w:t>
            </w:r>
          </w:p>
        </w:tc>
        <w:tc>
          <w:tcPr>
            <w:tcW w:w="1360" w:type="dxa"/>
            <w:vAlign w:val="bottom"/>
            <w:vMerge w:val="restart"/>
            <w:shd w:val="clear" w:color="auto" w:fill="465E66"/>
          </w:tcPr>
          <w:p>
            <w:pPr>
              <w:ind w:left="160"/>
              <w:spacing w:after="0"/>
              <w:rPr>
                <w:sz w:val="20"/>
                <w:szCs w:val="20"/>
                <w:color w:val="auto"/>
              </w:rPr>
            </w:pPr>
            <w:r>
              <w:rPr>
                <w:rFonts w:ascii="Arial" w:cs="Arial" w:eastAsia="Arial" w:hAnsi="Arial"/>
                <w:sz w:val="14"/>
                <w:szCs w:val="14"/>
                <w:b w:val="1"/>
                <w:bCs w:val="1"/>
                <w:color w:val="FFFFFF"/>
              </w:rPr>
              <w:t>Stock Awards (1)</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1460" w:type="dxa"/>
            <w:vAlign w:val="bottom"/>
            <w:shd w:val="clear" w:color="auto" w:fill="465E66"/>
          </w:tcPr>
          <w:p>
            <w:pPr>
              <w:jc w:val="center"/>
              <w:ind w:right="28"/>
              <w:spacing w:after="0"/>
              <w:rPr>
                <w:sz w:val="20"/>
                <w:szCs w:val="20"/>
                <w:color w:val="auto"/>
              </w:rPr>
            </w:pPr>
            <w:r>
              <w:rPr>
                <w:rFonts w:ascii="Arial" w:cs="Arial" w:eastAsia="Arial" w:hAnsi="Arial"/>
                <w:sz w:val="14"/>
                <w:szCs w:val="14"/>
                <w:b w:val="1"/>
                <w:bCs w:val="1"/>
                <w:color w:val="FFFFFF"/>
              </w:rPr>
              <w:t>All Other</w:t>
            </w:r>
          </w:p>
        </w:tc>
        <w:tc>
          <w:tcPr>
            <w:tcW w:w="1180" w:type="dxa"/>
            <w:vAlign w:val="bottom"/>
            <w:vMerge w:val="restart"/>
            <w:shd w:val="clear" w:color="auto" w:fill="465E66"/>
          </w:tcPr>
          <w:p>
            <w:pPr>
              <w:ind w:left="3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4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 and Principal Position</w:t>
            </w:r>
          </w:p>
        </w:tc>
        <w:tc>
          <w:tcPr>
            <w:tcW w:w="860" w:type="dxa"/>
            <w:vAlign w:val="bottom"/>
            <w:vMerge w:val="restart"/>
            <w:shd w:val="clear" w:color="auto" w:fill="465E66"/>
          </w:tcPr>
          <w:p>
            <w:pPr>
              <w:ind w:left="280"/>
              <w:spacing w:after="0"/>
              <w:rPr>
                <w:sz w:val="20"/>
                <w:szCs w:val="20"/>
                <w:color w:val="auto"/>
              </w:rPr>
            </w:pPr>
            <w:r>
              <w:rPr>
                <w:rFonts w:ascii="Arial" w:cs="Arial" w:eastAsia="Arial" w:hAnsi="Arial"/>
                <w:sz w:val="14"/>
                <w:szCs w:val="14"/>
                <w:b w:val="1"/>
                <w:bCs w:val="1"/>
                <w:color w:val="FFFFFF"/>
              </w:rPr>
              <w:t>Year</w:t>
            </w:r>
          </w:p>
        </w:tc>
        <w:tc>
          <w:tcPr>
            <w:tcW w:w="1260" w:type="dxa"/>
            <w:vAlign w:val="bottom"/>
            <w:vMerge w:val="continue"/>
            <w:shd w:val="clear" w:color="auto" w:fill="465E66"/>
          </w:tcPr>
          <w:p>
            <w:pPr>
              <w:spacing w:after="0"/>
              <w:rPr>
                <w:sz w:val="12"/>
                <w:szCs w:val="12"/>
                <w:color w:val="auto"/>
              </w:rPr>
            </w:pPr>
          </w:p>
        </w:tc>
        <w:tc>
          <w:tcPr>
            <w:tcW w:w="960" w:type="dxa"/>
            <w:vAlign w:val="bottom"/>
            <w:vMerge w:val="continue"/>
            <w:shd w:val="clear" w:color="auto" w:fill="465E66"/>
          </w:tcPr>
          <w:p>
            <w:pPr>
              <w:spacing w:after="0"/>
              <w:rPr>
                <w:sz w:val="12"/>
                <w:szCs w:val="12"/>
                <w:color w:val="auto"/>
              </w:rPr>
            </w:pPr>
          </w:p>
        </w:tc>
        <w:tc>
          <w:tcPr>
            <w:tcW w:w="1360" w:type="dxa"/>
            <w:vAlign w:val="bottom"/>
            <w:vMerge w:val="continue"/>
            <w:shd w:val="clear" w:color="auto" w:fill="465E66"/>
          </w:tcPr>
          <w:p>
            <w:pPr>
              <w:spacing w:after="0"/>
              <w:rPr>
                <w:sz w:val="12"/>
                <w:szCs w:val="12"/>
                <w:color w:val="auto"/>
              </w:rPr>
            </w:pPr>
          </w:p>
        </w:tc>
        <w:tc>
          <w:tcPr>
            <w:tcW w:w="16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Plan Compensation (2)</w:t>
            </w:r>
          </w:p>
        </w:tc>
        <w:tc>
          <w:tcPr>
            <w:tcW w:w="1460" w:type="dxa"/>
            <w:vAlign w:val="bottom"/>
            <w:shd w:val="clear" w:color="auto" w:fill="465E66"/>
          </w:tcPr>
          <w:p>
            <w:pPr>
              <w:jc w:val="center"/>
              <w:ind w:right="48"/>
              <w:spacing w:after="0" w:line="149" w:lineRule="exact"/>
              <w:rPr>
                <w:sz w:val="20"/>
                <w:szCs w:val="20"/>
                <w:color w:val="auto"/>
              </w:rPr>
            </w:pPr>
            <w:r>
              <w:rPr>
                <w:rFonts w:ascii="Arial" w:cs="Arial" w:eastAsia="Arial" w:hAnsi="Arial"/>
                <w:sz w:val="14"/>
                <w:szCs w:val="14"/>
                <w:b w:val="1"/>
                <w:bCs w:val="1"/>
                <w:color w:val="FFFFFF"/>
              </w:rPr>
              <w:t>Compensation (3)</w:t>
            </w:r>
          </w:p>
        </w:tc>
        <w:tc>
          <w:tcPr>
            <w:tcW w:w="118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vMerge w:val="continue"/>
            <w:shd w:val="clear" w:color="auto" w:fill="465E66"/>
          </w:tcPr>
          <w:p>
            <w:pPr>
              <w:spacing w:after="0"/>
              <w:rPr>
                <w:sz w:val="16"/>
                <w:szCs w:val="16"/>
                <w:color w:val="auto"/>
              </w:rPr>
            </w:pPr>
          </w:p>
        </w:tc>
        <w:tc>
          <w:tcPr>
            <w:tcW w:w="860" w:type="dxa"/>
            <w:vAlign w:val="bottom"/>
            <w:vMerge w:val="continue"/>
            <w:shd w:val="clear" w:color="auto" w:fill="465E66"/>
          </w:tcPr>
          <w:p>
            <w:pPr>
              <w:spacing w:after="0"/>
              <w:rPr>
                <w:sz w:val="16"/>
                <w:szCs w:val="16"/>
                <w:color w:val="auto"/>
              </w:rPr>
            </w:pP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465E66"/>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Hassane El-Khoury</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1,130,769</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17,733,531</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1,060,163</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41,050</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19,965,513</w:t>
            </w:r>
          </w:p>
        </w:tc>
        <w:tc>
          <w:tcPr>
            <w:tcW w:w="0" w:type="dxa"/>
            <w:vAlign w:val="bottom"/>
          </w:tcPr>
          <w:p>
            <w:pPr>
              <w:spacing w:after="0"/>
              <w:rPr>
                <w:sz w:val="1"/>
                <w:szCs w:val="1"/>
                <w:color w:val="auto"/>
              </w:rPr>
            </w:pPr>
          </w:p>
        </w:tc>
      </w:tr>
      <w:tr>
        <w:trPr>
          <w:trHeight w:val="112"/>
        </w:trPr>
        <w:tc>
          <w:tcPr>
            <w:tcW w:w="2460" w:type="dxa"/>
            <w:vAlign w:val="bottom"/>
            <w:shd w:val="clear" w:color="auto" w:fill="DBDBDB"/>
          </w:tcPr>
          <w:p>
            <w:pPr>
              <w:ind w:left="20"/>
              <w:spacing w:after="0" w:line="113" w:lineRule="exact"/>
              <w:rPr>
                <w:sz w:val="20"/>
                <w:szCs w:val="20"/>
                <w:color w:val="auto"/>
              </w:rPr>
            </w:pPr>
            <w:r>
              <w:rPr>
                <w:rFonts w:ascii="Arial" w:cs="Arial" w:eastAsia="Arial" w:hAnsi="Arial"/>
                <w:sz w:val="13"/>
                <w:szCs w:val="13"/>
                <w:color w:val="auto"/>
              </w:rPr>
              <w:t>President and Chief</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984,615</w:t>
            </w:r>
          </w:p>
        </w:tc>
        <w:tc>
          <w:tcPr>
            <w:tcW w:w="960" w:type="dxa"/>
            <w:vAlign w:val="bottom"/>
            <w:vMerge w:val="restart"/>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color w:val="auto"/>
              </w:rPr>
              <w:t>12,557,026</w:t>
            </w: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2,938,191</w:t>
            </w:r>
          </w:p>
        </w:tc>
        <w:tc>
          <w:tcPr>
            <w:tcW w:w="14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39,870</w:t>
            </w:r>
          </w:p>
        </w:tc>
        <w:tc>
          <w:tcPr>
            <w:tcW w:w="118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16,519,702</w:t>
            </w:r>
          </w:p>
        </w:tc>
        <w:tc>
          <w:tcPr>
            <w:tcW w:w="0" w:type="dxa"/>
            <w:vAlign w:val="bottom"/>
          </w:tcPr>
          <w:p>
            <w:pPr>
              <w:spacing w:after="0"/>
              <w:rPr>
                <w:sz w:val="1"/>
                <w:szCs w:val="1"/>
                <w:color w:val="auto"/>
              </w:rPr>
            </w:pPr>
          </w:p>
        </w:tc>
      </w:tr>
      <w:tr>
        <w:trPr>
          <w:trHeight w:val="185"/>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Executive Officer</w:t>
            </w:r>
          </w:p>
        </w:tc>
        <w:tc>
          <w:tcPr>
            <w:tcW w:w="860" w:type="dxa"/>
            <w:vAlign w:val="bottom"/>
            <w:vMerge w:val="continue"/>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360" w:type="dxa"/>
            <w:vAlign w:val="bottom"/>
            <w:vMerge w:val="continue"/>
            <w:shd w:val="clear" w:color="auto" w:fill="DBDBDB"/>
          </w:tcPr>
          <w:p>
            <w:pPr>
              <w:spacing w:after="0"/>
              <w:rPr>
                <w:sz w:val="16"/>
                <w:szCs w:val="16"/>
                <w:color w:val="auto"/>
              </w:rPr>
            </w:pPr>
          </w:p>
        </w:tc>
        <w:tc>
          <w:tcPr>
            <w:tcW w:w="1660" w:type="dxa"/>
            <w:vAlign w:val="bottom"/>
            <w:vMerge w:val="continue"/>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DBDBDB"/>
          </w:tcPr>
          <w:p>
            <w:pPr>
              <w:spacing w:after="0"/>
              <w:rPr>
                <w:sz w:val="21"/>
                <w:szCs w:val="21"/>
                <w:color w:val="auto"/>
              </w:rPr>
            </w:pP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950,000</w:t>
            </w:r>
          </w:p>
        </w:tc>
        <w:tc>
          <w:tcPr>
            <w:tcW w:w="96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285,000</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9,413,592</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2,137,500</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39,470</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12,825,562</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i w:val="1"/>
                <w:iCs w:val="1"/>
                <w:color w:val="auto"/>
              </w:rPr>
              <w:t>Thad Trent</w:t>
            </w: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Executive Vice President,</w:t>
            </w:r>
          </w:p>
        </w:tc>
        <w:tc>
          <w:tcPr>
            <w:tcW w:w="860" w:type="dxa"/>
            <w:vAlign w:val="bottom"/>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tcPr>
          <w:p>
            <w:pPr>
              <w:jc w:val="center"/>
              <w:spacing w:after="0"/>
              <w:rPr>
                <w:sz w:val="20"/>
                <w:szCs w:val="20"/>
                <w:color w:val="auto"/>
              </w:rPr>
            </w:pPr>
            <w:r>
              <w:rPr>
                <w:rFonts w:ascii="Arial" w:cs="Arial" w:eastAsia="Arial" w:hAnsi="Arial"/>
                <w:sz w:val="14"/>
                <w:szCs w:val="14"/>
                <w:color w:val="auto"/>
              </w:rPr>
              <w:t>649,038</w:t>
            </w:r>
          </w:p>
        </w:tc>
        <w:tc>
          <w:tcPr>
            <w:tcW w:w="960" w:type="dxa"/>
            <w:vAlign w:val="bottom"/>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left="88"/>
              <w:spacing w:after="0"/>
              <w:rPr>
                <w:sz w:val="20"/>
                <w:szCs w:val="20"/>
                <w:color w:val="auto"/>
              </w:rPr>
            </w:pPr>
            <w:r>
              <w:rPr>
                <w:rFonts w:ascii="Arial" w:cs="Arial" w:eastAsia="Arial" w:hAnsi="Arial"/>
                <w:sz w:val="14"/>
                <w:szCs w:val="14"/>
                <w:color w:val="auto"/>
              </w:rPr>
              <w:t>6,352,386</w:t>
            </w:r>
          </w:p>
        </w:tc>
        <w:tc>
          <w:tcPr>
            <w:tcW w:w="1660" w:type="dxa"/>
            <w:vAlign w:val="bottom"/>
          </w:tcPr>
          <w:p>
            <w:pPr>
              <w:jc w:val="center"/>
              <w:spacing w:after="0"/>
              <w:rPr>
                <w:sz w:val="20"/>
                <w:szCs w:val="20"/>
                <w:color w:val="auto"/>
              </w:rPr>
            </w:pPr>
            <w:r>
              <w:rPr>
                <w:rFonts w:ascii="Arial" w:cs="Arial" w:eastAsia="Arial" w:hAnsi="Arial"/>
                <w:sz w:val="14"/>
                <w:szCs w:val="14"/>
                <w:color w:val="auto"/>
              </w:rPr>
              <w:t>440,736</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42,832</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7,484,992</w:t>
            </w:r>
          </w:p>
        </w:tc>
        <w:tc>
          <w:tcPr>
            <w:tcW w:w="0" w:type="dxa"/>
            <w:vAlign w:val="bottom"/>
          </w:tcPr>
          <w:p>
            <w:pPr>
              <w:spacing w:after="0"/>
              <w:rPr>
                <w:sz w:val="1"/>
                <w:szCs w:val="1"/>
                <w:color w:val="auto"/>
              </w:rPr>
            </w:pPr>
          </w:p>
        </w:tc>
      </w:tr>
      <w:tr>
        <w:trPr>
          <w:trHeight w:val="108"/>
        </w:trPr>
        <w:tc>
          <w:tcPr>
            <w:tcW w:w="2460" w:type="dxa"/>
            <w:vAlign w:val="bottom"/>
          </w:tcPr>
          <w:p>
            <w:pPr>
              <w:ind w:left="100"/>
              <w:spacing w:after="0" w:line="108" w:lineRule="exact"/>
              <w:rPr>
                <w:sz w:val="20"/>
                <w:szCs w:val="20"/>
                <w:color w:val="auto"/>
              </w:rPr>
            </w:pPr>
            <w:r>
              <w:rPr>
                <w:rFonts w:ascii="Arial" w:cs="Arial" w:eastAsia="Arial" w:hAnsi="Arial"/>
                <w:sz w:val="12"/>
                <w:szCs w:val="12"/>
                <w:color w:val="auto"/>
              </w:rPr>
              <w:t>Chief Financial Officer</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600,000</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4,667,814</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1,185,000</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41,567</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6,494,381</w:t>
            </w: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and Treasurer</w:t>
            </w:r>
          </w:p>
        </w:tc>
        <w:tc>
          <w:tcPr>
            <w:tcW w:w="8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860" w:type="dxa"/>
            <w:vAlign w:val="bottom"/>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tcPr>
          <w:p>
            <w:pPr>
              <w:jc w:val="center"/>
              <w:spacing w:after="0"/>
              <w:rPr>
                <w:sz w:val="20"/>
                <w:szCs w:val="20"/>
                <w:color w:val="auto"/>
              </w:rPr>
            </w:pPr>
            <w:r>
              <w:rPr>
                <w:rFonts w:ascii="Arial" w:cs="Arial" w:eastAsia="Arial" w:hAnsi="Arial"/>
                <w:sz w:val="14"/>
                <w:szCs w:val="14"/>
                <w:color w:val="auto"/>
              </w:rPr>
              <w:t>505,385</w:t>
            </w:r>
          </w:p>
        </w:tc>
        <w:tc>
          <w:tcPr>
            <w:tcW w:w="960" w:type="dxa"/>
            <w:vAlign w:val="bottom"/>
          </w:tcPr>
          <w:p>
            <w:pPr>
              <w:jc w:val="center"/>
              <w:ind w:left="48"/>
              <w:spacing w:after="0"/>
              <w:rPr>
                <w:sz w:val="20"/>
                <w:szCs w:val="20"/>
                <w:color w:val="auto"/>
              </w:rPr>
            </w:pPr>
            <w:r>
              <w:rPr>
                <w:rFonts w:ascii="Arial" w:cs="Arial" w:eastAsia="Arial" w:hAnsi="Arial"/>
                <w:sz w:val="14"/>
                <w:szCs w:val="14"/>
                <w:color w:val="auto"/>
              </w:rPr>
              <w:t>101,077</w:t>
            </w:r>
          </w:p>
        </w:tc>
        <w:tc>
          <w:tcPr>
            <w:tcW w:w="1360" w:type="dxa"/>
            <w:vAlign w:val="bottom"/>
          </w:tcPr>
          <w:p>
            <w:pPr>
              <w:jc w:val="center"/>
              <w:ind w:left="88"/>
              <w:spacing w:after="0"/>
              <w:rPr>
                <w:sz w:val="20"/>
                <w:szCs w:val="20"/>
                <w:color w:val="auto"/>
              </w:rPr>
            </w:pPr>
            <w:r>
              <w:rPr>
                <w:rFonts w:ascii="Arial" w:cs="Arial" w:eastAsia="Arial" w:hAnsi="Arial"/>
                <w:sz w:val="14"/>
                <w:szCs w:val="14"/>
                <w:color w:val="auto"/>
              </w:rPr>
              <w:t>9,030,390</w:t>
            </w:r>
          </w:p>
        </w:tc>
        <w:tc>
          <w:tcPr>
            <w:tcW w:w="1660" w:type="dxa"/>
            <w:vAlign w:val="bottom"/>
          </w:tcPr>
          <w:p>
            <w:pPr>
              <w:jc w:val="center"/>
              <w:spacing w:after="0"/>
              <w:rPr>
                <w:sz w:val="20"/>
                <w:szCs w:val="20"/>
                <w:color w:val="auto"/>
              </w:rPr>
            </w:pPr>
            <w:r>
              <w:rPr>
                <w:rFonts w:ascii="Arial" w:cs="Arial" w:eastAsia="Arial" w:hAnsi="Arial"/>
                <w:sz w:val="14"/>
                <w:szCs w:val="14"/>
                <w:color w:val="auto"/>
              </w:rPr>
              <w:t>758,077</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236,588</w:t>
            </w:r>
          </w:p>
        </w:tc>
        <w:tc>
          <w:tcPr>
            <w:tcW w:w="1180" w:type="dxa"/>
            <w:vAlign w:val="bottom"/>
          </w:tcPr>
          <w:p>
            <w:pPr>
              <w:jc w:val="center"/>
              <w:ind w:right="28"/>
              <w:spacing w:after="0"/>
              <w:rPr>
                <w:sz w:val="20"/>
                <w:szCs w:val="20"/>
                <w:color w:val="auto"/>
              </w:rPr>
            </w:pPr>
            <w:r>
              <w:rPr>
                <w:rFonts w:ascii="Arial" w:cs="Arial" w:eastAsia="Arial" w:hAnsi="Arial"/>
                <w:sz w:val="14"/>
                <w:szCs w:val="14"/>
                <w:color w:val="auto"/>
              </w:rPr>
              <w:t>10,631,517</w:t>
            </w:r>
          </w:p>
        </w:tc>
        <w:tc>
          <w:tcPr>
            <w:tcW w:w="0" w:type="dxa"/>
            <w:vAlign w:val="bottom"/>
          </w:tcPr>
          <w:p>
            <w:pPr>
              <w:spacing w:after="0"/>
              <w:rPr>
                <w:sz w:val="1"/>
                <w:szCs w:val="1"/>
                <w:color w:val="auto"/>
              </w:rPr>
            </w:pPr>
          </w:p>
        </w:tc>
      </w:tr>
      <w:tr>
        <w:trPr>
          <w:trHeight w:val="193"/>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Simon Keeton</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574,038</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4,764,335</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290,099</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37,965</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5,666,437</w:t>
            </w:r>
          </w:p>
        </w:tc>
        <w:tc>
          <w:tcPr>
            <w:tcW w:w="0" w:type="dxa"/>
            <w:vAlign w:val="bottom"/>
          </w:tcPr>
          <w:p>
            <w:pPr>
              <w:spacing w:after="0"/>
              <w:rPr>
                <w:sz w:val="1"/>
                <w:szCs w:val="1"/>
                <w:color w:val="auto"/>
              </w:rPr>
            </w:pPr>
          </w:p>
        </w:tc>
      </w:tr>
      <w:tr>
        <w:trPr>
          <w:trHeight w:val="112"/>
        </w:trPr>
        <w:tc>
          <w:tcPr>
            <w:tcW w:w="2460" w:type="dxa"/>
            <w:vAlign w:val="bottom"/>
            <w:shd w:val="clear" w:color="auto" w:fill="DBDBDB"/>
          </w:tcPr>
          <w:p>
            <w:pPr>
              <w:ind w:left="20"/>
              <w:spacing w:after="0" w:line="113" w:lineRule="exact"/>
              <w:rPr>
                <w:sz w:val="20"/>
                <w:szCs w:val="20"/>
                <w:color w:val="auto"/>
              </w:rPr>
            </w:pPr>
            <w:r>
              <w:rPr>
                <w:rFonts w:ascii="Arial" w:cs="Arial" w:eastAsia="Arial" w:hAnsi="Arial"/>
                <w:sz w:val="13"/>
                <w:szCs w:val="13"/>
                <w:color w:val="auto"/>
              </w:rPr>
              <w:t>Group President,</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517,307</w:t>
            </w:r>
          </w:p>
        </w:tc>
        <w:tc>
          <w:tcPr>
            <w:tcW w:w="960" w:type="dxa"/>
            <w:vAlign w:val="bottom"/>
            <w:vMerge w:val="restart"/>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color w:val="auto"/>
              </w:rPr>
              <w:t>2,471,243</w:t>
            </w: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842,487</w:t>
            </w:r>
          </w:p>
        </w:tc>
        <w:tc>
          <w:tcPr>
            <w:tcW w:w="14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34,761</w:t>
            </w:r>
          </w:p>
        </w:tc>
        <w:tc>
          <w:tcPr>
            <w:tcW w:w="118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3,865,798</w:t>
            </w:r>
          </w:p>
        </w:tc>
        <w:tc>
          <w:tcPr>
            <w:tcW w:w="0" w:type="dxa"/>
            <w:vAlign w:val="bottom"/>
          </w:tcPr>
          <w:p>
            <w:pPr>
              <w:spacing w:after="0"/>
              <w:rPr>
                <w:sz w:val="1"/>
                <w:szCs w:val="1"/>
                <w:color w:val="auto"/>
              </w:rPr>
            </w:pPr>
          </w:p>
        </w:tc>
      </w:tr>
      <w:tr>
        <w:trPr>
          <w:trHeight w:val="185"/>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Power Solutions Group</w:t>
            </w:r>
          </w:p>
        </w:tc>
        <w:tc>
          <w:tcPr>
            <w:tcW w:w="860" w:type="dxa"/>
            <w:vAlign w:val="bottom"/>
            <w:vMerge w:val="continue"/>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360" w:type="dxa"/>
            <w:vAlign w:val="bottom"/>
            <w:vMerge w:val="continue"/>
            <w:shd w:val="clear" w:color="auto" w:fill="DBDBDB"/>
          </w:tcPr>
          <w:p>
            <w:pPr>
              <w:spacing w:after="0"/>
              <w:rPr>
                <w:sz w:val="16"/>
                <w:szCs w:val="16"/>
                <w:color w:val="auto"/>
              </w:rPr>
            </w:pPr>
          </w:p>
        </w:tc>
        <w:tc>
          <w:tcPr>
            <w:tcW w:w="1660" w:type="dxa"/>
            <w:vAlign w:val="bottom"/>
            <w:vMerge w:val="continue"/>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DBDBDB"/>
          </w:tcPr>
          <w:p>
            <w:pPr>
              <w:spacing w:after="0"/>
              <w:rPr>
                <w:sz w:val="21"/>
                <w:szCs w:val="21"/>
                <w:color w:val="auto"/>
              </w:rPr>
            </w:pP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473,462</w:t>
            </w:r>
          </w:p>
        </w:tc>
        <w:tc>
          <w:tcPr>
            <w:tcW w:w="96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80,488</w:t>
            </w:r>
          </w:p>
        </w:tc>
        <w:tc>
          <w:tcPr>
            <w:tcW w:w="136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2,675,491</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603,664</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33,172</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3,866,277</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i w:val="1"/>
                <w:iCs w:val="1"/>
                <w:color w:val="auto"/>
              </w:rPr>
              <w:t xml:space="preserve">Sudhir Gopalswamy </w:t>
            </w:r>
            <w:r>
              <w:rPr>
                <w:rFonts w:ascii="Arial" w:cs="Arial" w:eastAsia="Arial" w:hAnsi="Arial"/>
                <w:sz w:val="14"/>
                <w:szCs w:val="14"/>
                <w:color w:val="auto"/>
              </w:rPr>
              <w:t>(4)</w:t>
            </w:r>
          </w:p>
        </w:tc>
        <w:tc>
          <w:tcPr>
            <w:tcW w:w="860" w:type="dxa"/>
            <w:vAlign w:val="bottom"/>
            <w:vMerge w:val="restart"/>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470,577</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left="88"/>
              <w:spacing w:after="0"/>
              <w:rPr>
                <w:sz w:val="20"/>
                <w:szCs w:val="20"/>
                <w:color w:val="auto"/>
              </w:rPr>
            </w:pPr>
            <w:r>
              <w:rPr>
                <w:rFonts w:ascii="Arial" w:cs="Arial" w:eastAsia="Arial" w:hAnsi="Arial"/>
                <w:sz w:val="14"/>
                <w:szCs w:val="14"/>
                <w:color w:val="auto"/>
              </w:rPr>
              <w:t>2,450,469</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rPr>
              <w:t>188,091</w:t>
            </w:r>
          </w:p>
        </w:tc>
        <w:tc>
          <w:tcPr>
            <w:tcW w:w="1460" w:type="dxa"/>
            <w:vAlign w:val="bottom"/>
            <w:vMerge w:val="restart"/>
          </w:tcPr>
          <w:p>
            <w:pPr>
              <w:jc w:val="center"/>
              <w:ind w:right="28"/>
              <w:spacing w:after="0"/>
              <w:rPr>
                <w:sz w:val="20"/>
                <w:szCs w:val="20"/>
                <w:color w:val="auto"/>
              </w:rPr>
            </w:pPr>
            <w:r>
              <w:rPr>
                <w:rFonts w:ascii="Arial" w:cs="Arial" w:eastAsia="Arial" w:hAnsi="Arial"/>
                <w:sz w:val="14"/>
                <w:szCs w:val="14"/>
                <w:color w:val="auto"/>
              </w:rPr>
              <w:t>36,500</w:t>
            </w:r>
          </w:p>
        </w:tc>
        <w:tc>
          <w:tcPr>
            <w:tcW w:w="1180" w:type="dxa"/>
            <w:vAlign w:val="bottom"/>
            <w:vMerge w:val="restart"/>
          </w:tcPr>
          <w:p>
            <w:pPr>
              <w:jc w:val="center"/>
              <w:ind w:right="28"/>
              <w:spacing w:after="0"/>
              <w:rPr>
                <w:sz w:val="20"/>
                <w:szCs w:val="20"/>
                <w:color w:val="auto"/>
              </w:rPr>
            </w:pPr>
            <w:r>
              <w:rPr>
                <w:rFonts w:ascii="Arial" w:cs="Arial" w:eastAsia="Arial" w:hAnsi="Arial"/>
                <w:sz w:val="14"/>
                <w:szCs w:val="14"/>
                <w:color w:val="auto"/>
              </w:rPr>
              <w:t>3,145,637</w:t>
            </w:r>
          </w:p>
        </w:tc>
        <w:tc>
          <w:tcPr>
            <w:tcW w:w="0" w:type="dxa"/>
            <w:vAlign w:val="bottom"/>
          </w:tcPr>
          <w:p>
            <w:pPr>
              <w:spacing w:after="0"/>
              <w:rPr>
                <w:sz w:val="1"/>
                <w:szCs w:val="1"/>
                <w:color w:val="auto"/>
              </w:rPr>
            </w:pPr>
          </w:p>
        </w:tc>
      </w:tr>
      <w:tr>
        <w:trPr>
          <w:trHeight w:val="123"/>
        </w:trPr>
        <w:tc>
          <w:tcPr>
            <w:tcW w:w="246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Group President,</w:t>
            </w:r>
          </w:p>
        </w:tc>
        <w:tc>
          <w:tcPr>
            <w:tcW w:w="8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46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460" w:type="dxa"/>
            <w:vAlign w:val="bottom"/>
          </w:tcPr>
          <w:p>
            <w:pPr>
              <w:ind w:left="100"/>
              <w:spacing w:after="0" w:line="145" w:lineRule="exact"/>
              <w:rPr>
                <w:sz w:val="20"/>
                <w:szCs w:val="20"/>
                <w:color w:val="auto"/>
              </w:rPr>
            </w:pPr>
            <w:r>
              <w:rPr>
                <w:rFonts w:ascii="Arial" w:cs="Arial" w:eastAsia="Arial" w:hAnsi="Arial"/>
                <w:sz w:val="14"/>
                <w:szCs w:val="14"/>
                <w:color w:val="auto"/>
              </w:rPr>
              <w:t>Analog and Mixed-Signal</w:t>
            </w: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100"/>
              <w:spacing w:after="0" w:line="139" w:lineRule="exact"/>
              <w:rPr>
                <w:sz w:val="20"/>
                <w:szCs w:val="20"/>
                <w:color w:val="auto"/>
              </w:rPr>
            </w:pPr>
            <w:r>
              <w:rPr>
                <w:rFonts w:ascii="Arial" w:cs="Arial" w:eastAsia="Arial" w:hAnsi="Arial"/>
                <w:sz w:val="14"/>
                <w:szCs w:val="14"/>
                <w:color w:val="auto"/>
              </w:rPr>
              <w:t>Group and Intelligent Sensing</w:t>
            </w: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100"/>
              <w:spacing w:after="0"/>
              <w:rPr>
                <w:sz w:val="20"/>
                <w:szCs w:val="20"/>
                <w:color w:val="auto"/>
              </w:rPr>
            </w:pPr>
            <w:r>
              <w:rPr>
                <w:rFonts w:ascii="Arial" w:cs="Arial" w:eastAsia="Arial" w:hAnsi="Arial"/>
                <w:sz w:val="14"/>
                <w:szCs w:val="14"/>
                <w:color w:val="auto"/>
              </w:rPr>
              <w:t>Group</w:t>
            </w: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i w:val="1"/>
                <w:iCs w:val="1"/>
                <w:color w:val="auto"/>
              </w:rPr>
              <w:t xml:space="preserve">Ross F. Jatou </w:t>
            </w:r>
            <w:r>
              <w:rPr>
                <w:rFonts w:ascii="Arial" w:cs="Arial" w:eastAsia="Arial" w:hAnsi="Arial"/>
                <w:sz w:val="14"/>
                <w:szCs w:val="14"/>
                <w:color w:val="auto"/>
              </w:rPr>
              <w:t>(5)</w:t>
            </w:r>
          </w:p>
        </w:tc>
        <w:tc>
          <w:tcPr>
            <w:tcW w:w="86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166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Former Senior Vice President</w:t>
            </w:r>
          </w:p>
        </w:tc>
        <w:tc>
          <w:tcPr>
            <w:tcW w:w="860" w:type="dxa"/>
            <w:vAlign w:val="bottom"/>
            <w:shd w:val="clear" w:color="auto" w:fill="DBDBDB"/>
          </w:tcPr>
          <w:p>
            <w:pPr>
              <w:ind w:left="28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466,346</w:t>
            </w:r>
          </w:p>
        </w:tc>
        <w:tc>
          <w:tcPr>
            <w:tcW w:w="9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w w:val="99"/>
              </w:rPr>
              <w:t>2,117,501</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40,389</w:t>
            </w:r>
          </w:p>
        </w:tc>
        <w:tc>
          <w:tcPr>
            <w:tcW w:w="11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2,624,236</w:t>
            </w:r>
          </w:p>
        </w:tc>
        <w:tc>
          <w:tcPr>
            <w:tcW w:w="0" w:type="dxa"/>
            <w:vAlign w:val="bottom"/>
          </w:tcPr>
          <w:p>
            <w:pPr>
              <w:spacing w:after="0"/>
              <w:rPr>
                <w:sz w:val="1"/>
                <w:szCs w:val="1"/>
                <w:color w:val="auto"/>
              </w:rPr>
            </w:pPr>
          </w:p>
        </w:tc>
      </w:tr>
      <w:tr>
        <w:trPr>
          <w:trHeight w:val="108"/>
        </w:trPr>
        <w:tc>
          <w:tcPr>
            <w:tcW w:w="2460" w:type="dxa"/>
            <w:vAlign w:val="bottom"/>
            <w:shd w:val="clear" w:color="auto" w:fill="DBDBDB"/>
          </w:tcPr>
          <w:p>
            <w:pPr>
              <w:ind w:left="100"/>
              <w:spacing w:after="0" w:line="108" w:lineRule="exact"/>
              <w:rPr>
                <w:sz w:val="20"/>
                <w:szCs w:val="20"/>
                <w:color w:val="auto"/>
              </w:rPr>
            </w:pPr>
            <w:r>
              <w:rPr>
                <w:rFonts w:ascii="Arial" w:cs="Arial" w:eastAsia="Arial" w:hAnsi="Arial"/>
                <w:sz w:val="12"/>
                <w:szCs w:val="12"/>
                <w:color w:val="auto"/>
              </w:rPr>
              <w:t>and General Manager,</w:t>
            </w:r>
          </w:p>
        </w:tc>
        <w:tc>
          <w:tcPr>
            <w:tcW w:w="86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2022</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450,000</w:t>
            </w:r>
          </w:p>
        </w:tc>
        <w:tc>
          <w:tcPr>
            <w:tcW w:w="960" w:type="dxa"/>
            <w:vAlign w:val="bottom"/>
            <w:vMerge w:val="restart"/>
            <w:shd w:val="clear" w:color="auto" w:fill="DBDBDB"/>
          </w:tcPr>
          <w:p>
            <w:pPr>
              <w:jc w:val="center"/>
              <w:ind w:left="68"/>
              <w:spacing w:after="0"/>
              <w:rPr>
                <w:sz w:val="20"/>
                <w:szCs w:val="20"/>
                <w:color w:val="auto"/>
              </w:rPr>
            </w:pPr>
            <w:r>
              <w:rPr>
                <w:rFonts w:ascii="Arial" w:cs="Arial" w:eastAsia="Arial" w:hAnsi="Arial"/>
                <w:sz w:val="14"/>
                <w:szCs w:val="14"/>
                <w:color w:val="auto"/>
                <w:w w:val="99"/>
              </w:rPr>
              <w:t>—</w:t>
            </w:r>
          </w:p>
        </w:tc>
        <w:tc>
          <w:tcPr>
            <w:tcW w:w="1360" w:type="dxa"/>
            <w:vAlign w:val="bottom"/>
            <w:vMerge w:val="restart"/>
            <w:shd w:val="clear" w:color="auto" w:fill="DBDBDB"/>
          </w:tcPr>
          <w:p>
            <w:pPr>
              <w:jc w:val="center"/>
              <w:ind w:left="88"/>
              <w:spacing w:after="0"/>
              <w:rPr>
                <w:sz w:val="20"/>
                <w:szCs w:val="20"/>
                <w:color w:val="auto"/>
              </w:rPr>
            </w:pPr>
            <w:r>
              <w:rPr>
                <w:rFonts w:ascii="Arial" w:cs="Arial" w:eastAsia="Arial" w:hAnsi="Arial"/>
                <w:sz w:val="14"/>
                <w:szCs w:val="14"/>
                <w:color w:val="auto"/>
              </w:rPr>
              <w:t>1,537,690</w:t>
            </w: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723,155</w:t>
            </w:r>
          </w:p>
        </w:tc>
        <w:tc>
          <w:tcPr>
            <w:tcW w:w="146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31,622</w:t>
            </w:r>
          </w:p>
        </w:tc>
        <w:tc>
          <w:tcPr>
            <w:tcW w:w="1180" w:type="dxa"/>
            <w:vAlign w:val="bottom"/>
            <w:vMerge w:val="restart"/>
            <w:shd w:val="clear" w:color="auto" w:fill="DBDBDB"/>
          </w:tcPr>
          <w:p>
            <w:pPr>
              <w:jc w:val="center"/>
              <w:ind w:right="28"/>
              <w:spacing w:after="0"/>
              <w:rPr>
                <w:sz w:val="20"/>
                <w:szCs w:val="20"/>
                <w:color w:val="auto"/>
              </w:rPr>
            </w:pPr>
            <w:r>
              <w:rPr>
                <w:rFonts w:ascii="Arial" w:cs="Arial" w:eastAsia="Arial" w:hAnsi="Arial"/>
                <w:sz w:val="14"/>
                <w:szCs w:val="14"/>
                <w:color w:val="auto"/>
              </w:rPr>
              <w:t>2,742,467</w:t>
            </w:r>
          </w:p>
        </w:tc>
        <w:tc>
          <w:tcPr>
            <w:tcW w:w="0" w:type="dxa"/>
            <w:vAlign w:val="bottom"/>
          </w:tcPr>
          <w:p>
            <w:pPr>
              <w:spacing w:after="0"/>
              <w:rPr>
                <w:sz w:val="1"/>
                <w:szCs w:val="1"/>
                <w:color w:val="auto"/>
              </w:rPr>
            </w:pPr>
          </w:p>
        </w:tc>
      </w:tr>
      <w:tr>
        <w:trPr>
          <w:trHeight w:val="189"/>
        </w:trPr>
        <w:tc>
          <w:tcPr>
            <w:tcW w:w="2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Intelligent Sensing Group</w:t>
            </w:r>
          </w:p>
        </w:tc>
        <w:tc>
          <w:tcPr>
            <w:tcW w:w="860" w:type="dxa"/>
            <w:vAlign w:val="bottom"/>
            <w:vMerge w:val="continue"/>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360" w:type="dxa"/>
            <w:vAlign w:val="bottom"/>
            <w:vMerge w:val="continue"/>
            <w:shd w:val="clear" w:color="auto" w:fill="DBDBDB"/>
          </w:tcPr>
          <w:p>
            <w:pPr>
              <w:spacing w:after="0"/>
              <w:rPr>
                <w:sz w:val="16"/>
                <w:szCs w:val="16"/>
                <w:color w:val="auto"/>
              </w:rPr>
            </w:pPr>
          </w:p>
        </w:tc>
        <w:tc>
          <w:tcPr>
            <w:tcW w:w="1660" w:type="dxa"/>
            <w:vAlign w:val="bottom"/>
            <w:vMerge w:val="continue"/>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46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4"/>
                <w:szCs w:val="14"/>
                <w:color w:val="auto"/>
              </w:rPr>
              <w:t>2021</w:t>
            </w:r>
          </w:p>
        </w:tc>
        <w:tc>
          <w:tcPr>
            <w:tcW w:w="12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450,000</w:t>
            </w:r>
          </w:p>
        </w:tc>
        <w:tc>
          <w:tcPr>
            <w:tcW w:w="960" w:type="dxa"/>
            <w:vAlign w:val="bottom"/>
            <w:tcBorders>
              <w:bottom w:val="single" w:sz="8" w:color="auto"/>
            </w:tcBorders>
            <w:shd w:val="clear" w:color="auto" w:fill="DBDBDB"/>
          </w:tcPr>
          <w:p>
            <w:pPr>
              <w:jc w:val="center"/>
              <w:ind w:left="48"/>
              <w:spacing w:after="0"/>
              <w:rPr>
                <w:sz w:val="20"/>
                <w:szCs w:val="20"/>
                <w:color w:val="auto"/>
              </w:rPr>
            </w:pPr>
            <w:r>
              <w:rPr>
                <w:rFonts w:ascii="Arial" w:cs="Arial" w:eastAsia="Arial" w:hAnsi="Arial"/>
                <w:sz w:val="14"/>
                <w:szCs w:val="14"/>
                <w:color w:val="auto"/>
              </w:rPr>
              <w:t>76,500</w:t>
            </w:r>
          </w:p>
        </w:tc>
        <w:tc>
          <w:tcPr>
            <w:tcW w:w="1360" w:type="dxa"/>
            <w:vAlign w:val="bottom"/>
            <w:tcBorders>
              <w:bottom w:val="single" w:sz="8" w:color="auto"/>
            </w:tcBorders>
            <w:shd w:val="clear" w:color="auto" w:fill="DBDBDB"/>
          </w:tcPr>
          <w:p>
            <w:pPr>
              <w:jc w:val="center"/>
              <w:ind w:left="88"/>
              <w:spacing w:after="0"/>
              <w:rPr>
                <w:sz w:val="20"/>
                <w:szCs w:val="20"/>
                <w:color w:val="auto"/>
              </w:rPr>
            </w:pPr>
            <w:r>
              <w:rPr>
                <w:rFonts w:ascii="Arial" w:cs="Arial" w:eastAsia="Arial" w:hAnsi="Arial"/>
                <w:sz w:val="14"/>
                <w:szCs w:val="14"/>
                <w:color w:val="auto"/>
              </w:rPr>
              <w:t>1,645,882</w:t>
            </w:r>
          </w:p>
        </w:tc>
        <w:tc>
          <w:tcPr>
            <w:tcW w:w="16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563,805</w:t>
            </w:r>
          </w:p>
        </w:tc>
        <w:tc>
          <w:tcPr>
            <w:tcW w:w="146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color w:val="auto"/>
              </w:rPr>
              <w:t>33,522</w:t>
            </w:r>
          </w:p>
        </w:tc>
        <w:tc>
          <w:tcPr>
            <w:tcW w:w="118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color w:val="auto"/>
              </w:rPr>
              <w:t>2,769,709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80" w:hanging="234"/>
        <w:spacing w:after="0" w:line="223" w:lineRule="auto"/>
        <w:tabs>
          <w:tab w:leader="none" w:pos="233"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awards of PBRSUs and RSUs computed in accordance with FASB ASC Topic 718 using the closing price of our common stock on the date of grant, except that the grant date value of the relative TSR component of our PBRSUs is determined by a third-party valuation firm based on probable outcomes. For the 2023 PBRSUs, this valuation was based upon a 100% attainment, which represents the probable outcomes of the performance conditions for those awards, consistent with the estimate of aggregate compensation cost to be recognized over the service period, determined as of the grant date, excluding the effect of estimated forfeitures. The amounts in this column do not necessarily represent the fair value for expensing purposes or the fair value of awards that were expected to vest as of December 31, 2023. The estimated number of units which are expected to vest is evaluated and adjusted each reporting period, as necessary, in connection with the Company’s quarterly and annual financial statements. We further discuss the assumptions we made in the valuation of stock awards in Note 11 of the Notes to Consolidated Financial Statements in the Form 10-K. At maximum, the 2023 PBRSUs would pay out to the applicable NEOs as follows: Mr. El-Khoury: $19,062,751; Mr. Trent: $6,828,460; Mr. Keeton: $5,121,375; Mr. Gopalswamy: $2,640,491; and Mr. Jatou: $2,276,265.</w:t>
      </w:r>
    </w:p>
    <w:p>
      <w:pPr>
        <w:spacing w:after="0" w:line="4" w:lineRule="exact"/>
        <w:rPr>
          <w:rFonts w:ascii="Arial" w:cs="Arial" w:eastAsia="Arial" w:hAnsi="Arial"/>
          <w:sz w:val="14"/>
          <w:szCs w:val="14"/>
          <w:color w:val="auto"/>
        </w:rPr>
      </w:pPr>
    </w:p>
    <w:p>
      <w:pPr>
        <w:ind w:left="260" w:right="100" w:hanging="234"/>
        <w:spacing w:after="0" w:line="263" w:lineRule="auto"/>
        <w:tabs>
          <w:tab w:leader="none" w:pos="233"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in this column reflect annual cash incentives actually earned by the NEO under our STI program. For information regarding our 2023 STI program, please see “Elements of Our Compensation Program — Short-Term Cash Incentive Program” in the CD&amp;A.</w:t>
      </w:r>
    </w:p>
    <w:p>
      <w:pPr>
        <w:spacing w:after="0" w:line="104" w:lineRule="exact"/>
        <w:rPr>
          <w:rFonts w:ascii="Arial" w:cs="Arial" w:eastAsia="Arial" w:hAnsi="Arial"/>
          <w:sz w:val="14"/>
          <w:szCs w:val="14"/>
          <w:color w:val="auto"/>
        </w:rPr>
      </w:pPr>
    </w:p>
    <w:p>
      <w:pPr>
        <w:ind w:left="240" w:hanging="214"/>
        <w:spacing w:after="0"/>
        <w:tabs>
          <w:tab w:leader="none" w:pos="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2023, amounts in this column consist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shd w:val="clear" w:color="auto" w:fill="465E66"/>
          </w:tcPr>
          <w:p>
            <w:pPr>
              <w:spacing w:after="0"/>
              <w:rPr>
                <w:sz w:val="14"/>
                <w:szCs w:val="14"/>
                <w:color w:val="auto"/>
              </w:rPr>
            </w:pPr>
          </w:p>
        </w:tc>
        <w:tc>
          <w:tcPr>
            <w:tcW w:w="1440" w:type="dxa"/>
            <w:vAlign w:val="bottom"/>
            <w:shd w:val="clear" w:color="auto" w:fill="465E66"/>
          </w:tcPr>
          <w:p>
            <w:pPr>
              <w:spacing w:after="0"/>
              <w:rPr>
                <w:sz w:val="14"/>
                <w:szCs w:val="14"/>
                <w:color w:val="auto"/>
              </w:rPr>
            </w:pPr>
          </w:p>
        </w:tc>
        <w:tc>
          <w:tcPr>
            <w:tcW w:w="12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Executive Group</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Premiums Paid by</w:t>
            </w:r>
          </w:p>
        </w:tc>
        <w:tc>
          <w:tcPr>
            <w:tcW w:w="1280" w:type="dxa"/>
            <w:vAlign w:val="bottom"/>
            <w:shd w:val="clear" w:color="auto" w:fill="465E66"/>
          </w:tcPr>
          <w:p>
            <w:pPr>
              <w:spacing w:after="0"/>
              <w:rPr>
                <w:sz w:val="14"/>
                <w:szCs w:val="14"/>
                <w:color w:val="auto"/>
              </w:rPr>
            </w:pPr>
          </w:p>
        </w:tc>
        <w:tc>
          <w:tcPr>
            <w:tcW w:w="1040" w:type="dxa"/>
            <w:vAlign w:val="bottom"/>
            <w:shd w:val="clear" w:color="auto" w:fill="465E66"/>
          </w:tcPr>
          <w:p>
            <w:pPr>
              <w:spacing w:after="0"/>
              <w:rPr>
                <w:sz w:val="14"/>
                <w:szCs w:val="14"/>
                <w:color w:val="auto"/>
              </w:rPr>
            </w:pPr>
          </w:p>
        </w:tc>
        <w:tc>
          <w:tcPr>
            <w:tcW w:w="1740" w:type="dxa"/>
            <w:vAlign w:val="bottom"/>
            <w:vMerge w:val="restart"/>
            <w:shd w:val="clear" w:color="auto" w:fill="465E66"/>
          </w:tcPr>
          <w:p>
            <w:pPr>
              <w:jc w:val="center"/>
              <w:ind w:left="8"/>
              <w:spacing w:after="0"/>
              <w:rPr>
                <w:sz w:val="20"/>
                <w:szCs w:val="20"/>
                <w:color w:val="auto"/>
              </w:rPr>
            </w:pPr>
            <w:r>
              <w:rPr>
                <w:rFonts w:ascii="Arial" w:cs="Arial" w:eastAsia="Arial" w:hAnsi="Arial"/>
                <w:sz w:val="14"/>
                <w:szCs w:val="14"/>
                <w:b w:val="1"/>
                <w:bCs w:val="1"/>
                <w:color w:val="FFFFFF"/>
              </w:rPr>
              <w:t>Imputed Income for</w:t>
            </w:r>
          </w:p>
        </w:tc>
        <w:tc>
          <w:tcPr>
            <w:tcW w:w="1380" w:type="dxa"/>
            <w:vAlign w:val="bottom"/>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465E66"/>
          </w:tcPr>
          <w:p>
            <w:pPr>
              <w:spacing w:after="0"/>
              <w:rPr>
                <w:sz w:val="12"/>
                <w:szCs w:val="12"/>
                <w:color w:val="auto"/>
              </w:rPr>
            </w:pPr>
          </w:p>
        </w:tc>
        <w:tc>
          <w:tcPr>
            <w:tcW w:w="1440" w:type="dxa"/>
            <w:vAlign w:val="bottom"/>
            <w:vMerge w:val="restart"/>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Company</w:t>
            </w:r>
          </w:p>
        </w:tc>
        <w:tc>
          <w:tcPr>
            <w:tcW w:w="1240" w:type="dxa"/>
            <w:vAlign w:val="bottom"/>
            <w:vMerge w:val="continue"/>
            <w:shd w:val="clear" w:color="auto" w:fill="465E66"/>
          </w:tcPr>
          <w:p>
            <w:pPr>
              <w:spacing w:after="0"/>
              <w:rPr>
                <w:sz w:val="12"/>
                <w:szCs w:val="12"/>
                <w:color w:val="auto"/>
              </w:rPr>
            </w:pPr>
          </w:p>
        </w:tc>
        <w:tc>
          <w:tcPr>
            <w:tcW w:w="150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the Company for</w:t>
            </w:r>
          </w:p>
        </w:tc>
        <w:tc>
          <w:tcPr>
            <w:tcW w:w="1280" w:type="dxa"/>
            <w:vAlign w:val="bottom"/>
            <w:shd w:val="clear" w:color="auto" w:fill="465E66"/>
          </w:tcPr>
          <w:p>
            <w:pPr>
              <w:spacing w:after="0"/>
              <w:rPr>
                <w:sz w:val="12"/>
                <w:szCs w:val="12"/>
                <w:color w:val="auto"/>
              </w:rPr>
            </w:pPr>
          </w:p>
        </w:tc>
        <w:tc>
          <w:tcPr>
            <w:tcW w:w="1040" w:type="dxa"/>
            <w:vAlign w:val="bottom"/>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Financial</w:t>
            </w:r>
          </w:p>
        </w:tc>
        <w:tc>
          <w:tcPr>
            <w:tcW w:w="1740" w:type="dxa"/>
            <w:vAlign w:val="bottom"/>
            <w:vMerge w:val="continue"/>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24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Term Life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Basic Life Insurance</w:t>
            </w:r>
          </w:p>
        </w:tc>
        <w:tc>
          <w:tcPr>
            <w:tcW w:w="1280" w:type="dxa"/>
            <w:vAlign w:val="bottom"/>
            <w:shd w:val="clear" w:color="auto" w:fill="465E66"/>
          </w:tcPr>
          <w:p>
            <w:pPr>
              <w:spacing w:after="0"/>
              <w:rPr>
                <w:sz w:val="12"/>
                <w:szCs w:val="12"/>
                <w:color w:val="auto"/>
              </w:rPr>
            </w:pPr>
          </w:p>
        </w:tc>
        <w:tc>
          <w:tcPr>
            <w:tcW w:w="1040" w:type="dxa"/>
            <w:vAlign w:val="bottom"/>
            <w:vMerge w:val="continue"/>
            <w:shd w:val="clear" w:color="auto" w:fill="465E66"/>
          </w:tcPr>
          <w:p>
            <w:pPr>
              <w:spacing w:after="0"/>
              <w:rPr>
                <w:sz w:val="12"/>
                <w:szCs w:val="12"/>
                <w:color w:val="auto"/>
              </w:rPr>
            </w:pPr>
          </w:p>
        </w:tc>
        <w:tc>
          <w:tcPr>
            <w:tcW w:w="1740" w:type="dxa"/>
            <w:vAlign w:val="bottom"/>
            <w:shd w:val="clear" w:color="auto" w:fill="465E66"/>
          </w:tcPr>
          <w:p>
            <w:pPr>
              <w:jc w:val="center"/>
              <w:ind w:left="8"/>
              <w:spacing w:after="0" w:line="149" w:lineRule="exact"/>
              <w:rPr>
                <w:sz w:val="20"/>
                <w:szCs w:val="20"/>
                <w:color w:val="auto"/>
              </w:rPr>
            </w:pPr>
            <w:r>
              <w:rPr>
                <w:rFonts w:ascii="Arial" w:cs="Arial" w:eastAsia="Arial" w:hAnsi="Arial"/>
                <w:sz w:val="14"/>
                <w:szCs w:val="14"/>
                <w:b w:val="1"/>
                <w:bCs w:val="1"/>
                <w:color w:val="FFFFFF"/>
              </w:rPr>
              <w:t>Post-Tax Long-Term</w:t>
            </w:r>
          </w:p>
        </w:tc>
        <w:tc>
          <w:tcPr>
            <w:tcW w:w="138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465E66"/>
          </w:tcPr>
          <w:p>
            <w:pPr>
              <w:spacing w:after="0"/>
              <w:rPr>
                <w:sz w:val="11"/>
                <w:szCs w:val="11"/>
                <w:color w:val="auto"/>
              </w:rPr>
            </w:pPr>
          </w:p>
        </w:tc>
        <w:tc>
          <w:tcPr>
            <w:tcW w:w="1440" w:type="dxa"/>
            <w:vAlign w:val="bottom"/>
            <w:shd w:val="clear" w:color="auto" w:fill="465E66"/>
          </w:tcPr>
          <w:p>
            <w:pPr>
              <w:jc w:val="center"/>
              <w:ind w:left="68"/>
              <w:spacing w:after="0" w:line="135" w:lineRule="exact"/>
              <w:rPr>
                <w:sz w:val="20"/>
                <w:szCs w:val="20"/>
                <w:color w:val="auto"/>
              </w:rPr>
            </w:pPr>
            <w:r>
              <w:rPr>
                <w:rFonts w:ascii="Arial" w:cs="Arial" w:eastAsia="Arial" w:hAnsi="Arial"/>
                <w:sz w:val="14"/>
                <w:szCs w:val="14"/>
                <w:b w:val="1"/>
                <w:bCs w:val="1"/>
                <w:color w:val="FFFFFF"/>
              </w:rPr>
              <w:t>Contributions</w:t>
            </w:r>
          </w:p>
        </w:tc>
        <w:tc>
          <w:tcPr>
            <w:tcW w:w="124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Insurance</w:t>
            </w:r>
          </w:p>
        </w:tc>
        <w:tc>
          <w:tcPr>
            <w:tcW w:w="150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and Accidental D&amp;D</w:t>
            </w:r>
          </w:p>
        </w:tc>
        <w:tc>
          <w:tcPr>
            <w:tcW w:w="128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Car Allowance</w:t>
            </w:r>
          </w:p>
        </w:tc>
        <w:tc>
          <w:tcPr>
            <w:tcW w:w="1040" w:type="dxa"/>
            <w:vAlign w:val="bottom"/>
            <w:shd w:val="clear" w:color="auto" w:fill="465E66"/>
          </w:tcPr>
          <w:p>
            <w:pPr>
              <w:ind w:left="200"/>
              <w:spacing w:after="0" w:line="135" w:lineRule="exact"/>
              <w:rPr>
                <w:sz w:val="20"/>
                <w:szCs w:val="20"/>
                <w:color w:val="auto"/>
              </w:rPr>
            </w:pPr>
            <w:r>
              <w:rPr>
                <w:rFonts w:ascii="Arial" w:cs="Arial" w:eastAsia="Arial" w:hAnsi="Arial"/>
                <w:sz w:val="14"/>
                <w:szCs w:val="14"/>
                <w:b w:val="1"/>
                <w:bCs w:val="1"/>
                <w:color w:val="FFFFFF"/>
              </w:rPr>
              <w:t>Planning</w:t>
            </w:r>
          </w:p>
        </w:tc>
        <w:tc>
          <w:tcPr>
            <w:tcW w:w="174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Disability Insurance</w:t>
            </w:r>
          </w:p>
        </w:tc>
        <w:tc>
          <w:tcPr>
            <w:tcW w:w="1380" w:type="dxa"/>
            <w:vAlign w:val="bottom"/>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Other Amounts*</w:t>
            </w:r>
          </w:p>
        </w:tc>
        <w:tc>
          <w:tcPr>
            <w:tcW w:w="0" w:type="dxa"/>
            <w:vAlign w:val="bottom"/>
          </w:tcPr>
          <w:p>
            <w:pPr>
              <w:spacing w:after="0"/>
              <w:rPr>
                <w:sz w:val="1"/>
                <w:szCs w:val="1"/>
                <w:color w:val="auto"/>
              </w:rPr>
            </w:pPr>
          </w:p>
        </w:tc>
      </w:tr>
      <w:tr>
        <w:trPr>
          <w:trHeight w:val="148"/>
        </w:trPr>
        <w:tc>
          <w:tcPr>
            <w:tcW w:w="150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1440" w:type="dxa"/>
            <w:vAlign w:val="bottom"/>
            <w:shd w:val="clear" w:color="auto" w:fill="465E66"/>
          </w:tcPr>
          <w:p>
            <w:pPr>
              <w:jc w:val="center"/>
              <w:ind w:left="68"/>
              <w:spacing w:after="0" w:line="149" w:lineRule="exact"/>
              <w:rPr>
                <w:sz w:val="20"/>
                <w:szCs w:val="20"/>
                <w:color w:val="auto"/>
              </w:rPr>
            </w:pPr>
            <w:r>
              <w:rPr>
                <w:rFonts w:ascii="Arial" w:cs="Arial" w:eastAsia="Arial" w:hAnsi="Arial"/>
                <w:sz w:val="14"/>
                <w:szCs w:val="14"/>
                <w:b w:val="1"/>
                <w:bCs w:val="1"/>
                <w:color w:val="FFFFFF"/>
              </w:rPr>
              <w:t>Under 401(k) Plan</w:t>
            </w:r>
          </w:p>
        </w:tc>
        <w:tc>
          <w:tcPr>
            <w:tcW w:w="124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Imputed Income</w:t>
            </w:r>
          </w:p>
        </w:tc>
        <w:tc>
          <w:tcPr>
            <w:tcW w:w="15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Insurance</w:t>
            </w:r>
          </w:p>
        </w:tc>
        <w:tc>
          <w:tcPr>
            <w:tcW w:w="1280" w:type="dxa"/>
            <w:vAlign w:val="bottom"/>
            <w:vMerge w:val="continue"/>
            <w:shd w:val="clear" w:color="auto" w:fill="465E66"/>
          </w:tcPr>
          <w:p>
            <w:pPr>
              <w:spacing w:after="0"/>
              <w:rPr>
                <w:sz w:val="12"/>
                <w:szCs w:val="12"/>
                <w:color w:val="auto"/>
              </w:rPr>
            </w:pPr>
          </w:p>
        </w:tc>
        <w:tc>
          <w:tcPr>
            <w:tcW w:w="1040" w:type="dxa"/>
            <w:vAlign w:val="bottom"/>
            <w:shd w:val="clear" w:color="auto" w:fill="465E66"/>
          </w:tcPr>
          <w:p>
            <w:pPr>
              <w:ind w:left="220"/>
              <w:spacing w:after="0" w:line="149" w:lineRule="exact"/>
              <w:rPr>
                <w:sz w:val="20"/>
                <w:szCs w:val="20"/>
                <w:color w:val="auto"/>
              </w:rPr>
            </w:pPr>
            <w:r>
              <w:rPr>
                <w:rFonts w:ascii="Arial" w:cs="Arial" w:eastAsia="Arial" w:hAnsi="Arial"/>
                <w:sz w:val="14"/>
                <w:szCs w:val="14"/>
                <w:b w:val="1"/>
                <w:bCs w:val="1"/>
                <w:color w:val="FFFFFF"/>
              </w:rPr>
              <w:t>Services</w:t>
            </w:r>
          </w:p>
        </w:tc>
        <w:tc>
          <w:tcPr>
            <w:tcW w:w="174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Benefit Payments</w:t>
            </w:r>
          </w:p>
        </w:tc>
        <w:tc>
          <w:tcPr>
            <w:tcW w:w="138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vMerge w:val="continue"/>
            <w:shd w:val="clear" w:color="auto" w:fill="465E66"/>
          </w:tcPr>
          <w:p>
            <w:pPr>
              <w:spacing w:after="0"/>
              <w:rPr>
                <w:sz w:val="16"/>
                <w:szCs w:val="16"/>
                <w:color w:val="auto"/>
              </w:rPr>
            </w:pPr>
          </w:p>
        </w:tc>
        <w:tc>
          <w:tcPr>
            <w:tcW w:w="144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465E66"/>
          </w:tcPr>
          <w:p>
            <w:pPr>
              <w:jc w:val="center"/>
              <w:ind w:right="48"/>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465E66"/>
          </w:tcPr>
          <w:p>
            <w:pPr>
              <w:jc w:val="center"/>
              <w:ind w:left="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1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Hassane El-Khoury</w:t>
            </w:r>
          </w:p>
        </w:tc>
        <w:tc>
          <w:tcPr>
            <w:tcW w:w="144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13,200</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1,150</w:t>
            </w:r>
          </w:p>
        </w:tc>
        <w:tc>
          <w:tcPr>
            <w:tcW w:w="15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1,380</w:t>
            </w:r>
          </w:p>
        </w:tc>
        <w:tc>
          <w:tcPr>
            <w:tcW w:w="1280" w:type="dxa"/>
            <w:vAlign w:val="bottom"/>
            <w:shd w:val="clear" w:color="auto" w:fill="DBDBDB"/>
          </w:tcPr>
          <w:p>
            <w:pPr>
              <w:jc w:val="center"/>
              <w:ind w:right="48"/>
              <w:spacing w:after="0"/>
              <w:rPr>
                <w:sz w:val="20"/>
                <w:szCs w:val="20"/>
                <w:color w:val="auto"/>
              </w:rPr>
            </w:pPr>
            <w:r>
              <w:rPr>
                <w:rFonts w:ascii="Arial" w:cs="Arial" w:eastAsia="Arial" w:hAnsi="Arial"/>
                <w:sz w:val="14"/>
                <w:szCs w:val="14"/>
                <w:color w:val="auto"/>
              </w:rPr>
              <w:t>14,400</w:t>
            </w: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540</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98"/>
        </w:trPr>
        <w:tc>
          <w:tcPr>
            <w:tcW w:w="1500" w:type="dxa"/>
            <w:vAlign w:val="bottom"/>
          </w:tcPr>
          <w:p>
            <w:pPr>
              <w:ind w:left="20"/>
              <w:spacing w:after="0"/>
              <w:rPr>
                <w:sz w:val="20"/>
                <w:szCs w:val="20"/>
                <w:color w:val="auto"/>
              </w:rPr>
            </w:pPr>
            <w:r>
              <w:rPr>
                <w:rFonts w:ascii="Arial" w:cs="Arial" w:eastAsia="Arial" w:hAnsi="Arial"/>
                <w:sz w:val="14"/>
                <w:szCs w:val="14"/>
                <w:color w:val="auto"/>
              </w:rPr>
              <w:t>Thad Trent</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rPr>
              <w:t>13,200</w:t>
            </w:r>
          </w:p>
        </w:tc>
        <w:tc>
          <w:tcPr>
            <w:tcW w:w="1240" w:type="dxa"/>
            <w:vAlign w:val="bottom"/>
          </w:tcPr>
          <w:p>
            <w:pPr>
              <w:jc w:val="center"/>
              <w:spacing w:after="0"/>
              <w:rPr>
                <w:sz w:val="20"/>
                <w:szCs w:val="20"/>
                <w:color w:val="auto"/>
              </w:rPr>
            </w:pPr>
            <w:r>
              <w:rPr>
                <w:rFonts w:ascii="Arial" w:cs="Arial" w:eastAsia="Arial" w:hAnsi="Arial"/>
                <w:sz w:val="14"/>
                <w:szCs w:val="14"/>
                <w:color w:val="auto"/>
              </w:rPr>
              <w:t>1,150</w:t>
            </w:r>
          </w:p>
        </w:tc>
        <w:tc>
          <w:tcPr>
            <w:tcW w:w="1500" w:type="dxa"/>
            <w:vAlign w:val="bottom"/>
          </w:tcPr>
          <w:p>
            <w:pPr>
              <w:jc w:val="center"/>
              <w:spacing w:after="0"/>
              <w:rPr>
                <w:sz w:val="20"/>
                <w:szCs w:val="20"/>
                <w:color w:val="auto"/>
              </w:rPr>
            </w:pPr>
            <w:r>
              <w:rPr>
                <w:rFonts w:ascii="Arial" w:cs="Arial" w:eastAsia="Arial" w:hAnsi="Arial"/>
                <w:sz w:val="14"/>
                <w:szCs w:val="14"/>
                <w:color w:val="auto"/>
              </w:rPr>
              <w:t>1,380</w:t>
            </w:r>
          </w:p>
        </w:tc>
        <w:tc>
          <w:tcPr>
            <w:tcW w:w="1280" w:type="dxa"/>
            <w:vAlign w:val="bottom"/>
          </w:tcPr>
          <w:p>
            <w:pPr>
              <w:jc w:val="center"/>
              <w:ind w:right="48"/>
              <w:spacing w:after="0"/>
              <w:rPr>
                <w:sz w:val="20"/>
                <w:szCs w:val="20"/>
                <w:color w:val="auto"/>
              </w:rPr>
            </w:pPr>
            <w:r>
              <w:rPr>
                <w:rFonts w:ascii="Arial" w:cs="Arial" w:eastAsia="Arial" w:hAnsi="Arial"/>
                <w:sz w:val="14"/>
                <w:szCs w:val="14"/>
                <w:color w:val="auto"/>
              </w:rPr>
              <w:t>14,400</w:t>
            </w:r>
          </w:p>
        </w:tc>
        <w:tc>
          <w:tcPr>
            <w:tcW w:w="1040" w:type="dxa"/>
            <w:vAlign w:val="bottom"/>
          </w:tcPr>
          <w:p>
            <w:pPr>
              <w:jc w:val="center"/>
              <w:spacing w:after="0"/>
              <w:rPr>
                <w:sz w:val="20"/>
                <w:szCs w:val="20"/>
                <w:color w:val="auto"/>
              </w:rPr>
            </w:pPr>
            <w:r>
              <w:rPr>
                <w:rFonts w:ascii="Arial" w:cs="Arial" w:eastAsia="Arial" w:hAnsi="Arial"/>
                <w:sz w:val="14"/>
                <w:szCs w:val="14"/>
                <w:color w:val="auto"/>
              </w:rPr>
              <w:t>10,000</w:t>
            </w:r>
          </w:p>
        </w:tc>
        <w:tc>
          <w:tcPr>
            <w:tcW w:w="1740" w:type="dxa"/>
            <w:vAlign w:val="bottom"/>
          </w:tcPr>
          <w:p>
            <w:pPr>
              <w:jc w:val="center"/>
              <w:spacing w:after="0"/>
              <w:rPr>
                <w:sz w:val="20"/>
                <w:szCs w:val="20"/>
                <w:color w:val="auto"/>
              </w:rPr>
            </w:pPr>
            <w:r>
              <w:rPr>
                <w:rFonts w:ascii="Arial" w:cs="Arial" w:eastAsia="Arial" w:hAnsi="Arial"/>
                <w:sz w:val="14"/>
                <w:szCs w:val="14"/>
                <w:color w:val="auto"/>
              </w:rPr>
              <w:t>2,322</w:t>
            </w:r>
          </w:p>
        </w:tc>
        <w:tc>
          <w:tcPr>
            <w:tcW w:w="1380" w:type="dxa"/>
            <w:vAlign w:val="bottom"/>
          </w:tcPr>
          <w:p>
            <w:pPr>
              <w:jc w:val="center"/>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7"/>
        </w:trPr>
        <w:tc>
          <w:tcPr>
            <w:tcW w:w="1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Simon Keeton</w:t>
            </w:r>
          </w:p>
        </w:tc>
        <w:tc>
          <w:tcPr>
            <w:tcW w:w="144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13,200</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1,150</w:t>
            </w:r>
          </w:p>
        </w:tc>
        <w:tc>
          <w:tcPr>
            <w:tcW w:w="15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1,380</w:t>
            </w:r>
          </w:p>
        </w:tc>
        <w:tc>
          <w:tcPr>
            <w:tcW w:w="1280" w:type="dxa"/>
            <w:vAlign w:val="bottom"/>
            <w:shd w:val="clear" w:color="auto" w:fill="DBDBDB"/>
          </w:tcPr>
          <w:p>
            <w:pPr>
              <w:jc w:val="center"/>
              <w:ind w:right="48"/>
              <w:spacing w:after="0"/>
              <w:rPr>
                <w:sz w:val="20"/>
                <w:szCs w:val="20"/>
                <w:color w:val="auto"/>
              </w:rPr>
            </w:pPr>
            <w:r>
              <w:rPr>
                <w:rFonts w:ascii="Arial" w:cs="Arial" w:eastAsia="Arial" w:hAnsi="Arial"/>
                <w:sz w:val="14"/>
                <w:szCs w:val="14"/>
                <w:color w:val="auto"/>
              </w:rPr>
              <w:t>14,400</w:t>
            </w: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5,212</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2,622</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500" w:type="dxa"/>
            <w:vAlign w:val="bottom"/>
          </w:tcPr>
          <w:p>
            <w:pPr>
              <w:ind w:left="20"/>
              <w:spacing w:after="0"/>
              <w:rPr>
                <w:sz w:val="20"/>
                <w:szCs w:val="20"/>
                <w:color w:val="auto"/>
              </w:rPr>
            </w:pPr>
            <w:r>
              <w:rPr>
                <w:rFonts w:ascii="Arial" w:cs="Arial" w:eastAsia="Arial" w:hAnsi="Arial"/>
                <w:sz w:val="14"/>
                <w:szCs w:val="14"/>
                <w:color w:val="auto"/>
              </w:rPr>
              <w:t>Sudhir Gopalswamy</w:t>
            </w:r>
          </w:p>
        </w:tc>
        <w:tc>
          <w:tcPr>
            <w:tcW w:w="1440" w:type="dxa"/>
            <w:vAlign w:val="bottom"/>
          </w:tcPr>
          <w:p>
            <w:pPr>
              <w:jc w:val="center"/>
              <w:ind w:left="48"/>
              <w:spacing w:after="0"/>
              <w:rPr>
                <w:sz w:val="20"/>
                <w:szCs w:val="20"/>
                <w:color w:val="auto"/>
              </w:rPr>
            </w:pPr>
            <w:r>
              <w:rPr>
                <w:rFonts w:ascii="Arial" w:cs="Arial" w:eastAsia="Arial" w:hAnsi="Arial"/>
                <w:sz w:val="14"/>
                <w:szCs w:val="14"/>
                <w:color w:val="auto"/>
              </w:rPr>
              <w:t>13,200</w:t>
            </w:r>
          </w:p>
        </w:tc>
        <w:tc>
          <w:tcPr>
            <w:tcW w:w="1240" w:type="dxa"/>
            <w:vAlign w:val="bottom"/>
          </w:tcPr>
          <w:p>
            <w:pPr>
              <w:jc w:val="center"/>
              <w:spacing w:after="0"/>
              <w:rPr>
                <w:sz w:val="20"/>
                <w:szCs w:val="20"/>
                <w:color w:val="auto"/>
              </w:rPr>
            </w:pPr>
            <w:r>
              <w:rPr>
                <w:rFonts w:ascii="Arial" w:cs="Arial" w:eastAsia="Arial" w:hAnsi="Arial"/>
                <w:sz w:val="14"/>
                <w:szCs w:val="14"/>
                <w:color w:val="auto"/>
              </w:rPr>
              <w:t>1,078</w:t>
            </w:r>
          </w:p>
        </w:tc>
        <w:tc>
          <w:tcPr>
            <w:tcW w:w="1500" w:type="dxa"/>
            <w:vAlign w:val="bottom"/>
          </w:tcPr>
          <w:p>
            <w:pPr>
              <w:jc w:val="center"/>
              <w:spacing w:after="0"/>
              <w:rPr>
                <w:sz w:val="20"/>
                <w:szCs w:val="20"/>
                <w:color w:val="auto"/>
              </w:rPr>
            </w:pPr>
            <w:r>
              <w:rPr>
                <w:rFonts w:ascii="Arial" w:cs="Arial" w:eastAsia="Arial" w:hAnsi="Arial"/>
                <w:sz w:val="14"/>
                <w:szCs w:val="14"/>
                <w:color w:val="auto"/>
              </w:rPr>
              <w:t>1,380</w:t>
            </w:r>
          </w:p>
        </w:tc>
        <w:tc>
          <w:tcPr>
            <w:tcW w:w="1280" w:type="dxa"/>
            <w:vAlign w:val="bottom"/>
          </w:tcPr>
          <w:p>
            <w:pPr>
              <w:jc w:val="center"/>
              <w:ind w:right="48"/>
              <w:spacing w:after="0"/>
              <w:rPr>
                <w:sz w:val="20"/>
                <w:szCs w:val="20"/>
                <w:color w:val="auto"/>
              </w:rPr>
            </w:pPr>
            <w:r>
              <w:rPr>
                <w:rFonts w:ascii="Arial" w:cs="Arial" w:eastAsia="Arial" w:hAnsi="Arial"/>
                <w:sz w:val="14"/>
                <w:szCs w:val="14"/>
                <w:color w:val="auto"/>
              </w:rPr>
              <w:t>9,600</w:t>
            </w:r>
          </w:p>
        </w:tc>
        <w:tc>
          <w:tcPr>
            <w:tcW w:w="1040" w:type="dxa"/>
            <w:vAlign w:val="bottom"/>
          </w:tcPr>
          <w:p>
            <w:pPr>
              <w:jc w:val="center"/>
              <w:spacing w:after="0"/>
              <w:rPr>
                <w:sz w:val="20"/>
                <w:szCs w:val="20"/>
                <w:color w:val="auto"/>
              </w:rPr>
            </w:pPr>
            <w:r>
              <w:rPr>
                <w:rFonts w:ascii="Arial" w:cs="Arial" w:eastAsia="Arial" w:hAnsi="Arial"/>
                <w:sz w:val="14"/>
                <w:szCs w:val="14"/>
                <w:color w:val="auto"/>
              </w:rPr>
              <w:t>10,000</w:t>
            </w:r>
          </w:p>
        </w:tc>
        <w:tc>
          <w:tcPr>
            <w:tcW w:w="1740" w:type="dxa"/>
            <w:vAlign w:val="bottom"/>
          </w:tcPr>
          <w:p>
            <w:pPr>
              <w:jc w:val="center"/>
              <w:spacing w:after="0"/>
              <w:rPr>
                <w:sz w:val="20"/>
                <w:szCs w:val="20"/>
                <w:color w:val="auto"/>
              </w:rPr>
            </w:pPr>
            <w:r>
              <w:rPr>
                <w:rFonts w:ascii="Arial" w:cs="Arial" w:eastAsia="Arial" w:hAnsi="Arial"/>
                <w:sz w:val="14"/>
                <w:szCs w:val="14"/>
                <w:color w:val="auto"/>
              </w:rPr>
              <w:t>1,242</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Ross F. Jatou</w:t>
            </w:r>
          </w:p>
        </w:tc>
        <w:tc>
          <w:tcPr>
            <w:tcW w:w="1440" w:type="dxa"/>
            <w:vAlign w:val="bottom"/>
            <w:shd w:val="clear" w:color="auto" w:fill="DBDBDB"/>
          </w:tcPr>
          <w:p>
            <w:pPr>
              <w:jc w:val="center"/>
              <w:ind w:left="48"/>
              <w:spacing w:after="0"/>
              <w:rPr>
                <w:sz w:val="20"/>
                <w:szCs w:val="20"/>
                <w:color w:val="auto"/>
              </w:rPr>
            </w:pPr>
            <w:r>
              <w:rPr>
                <w:rFonts w:ascii="Arial" w:cs="Arial" w:eastAsia="Arial" w:hAnsi="Arial"/>
                <w:sz w:val="14"/>
                <w:szCs w:val="14"/>
                <w:color w:val="auto"/>
              </w:rPr>
              <w:t>13,200</w:t>
            </w:r>
          </w:p>
        </w:tc>
        <w:tc>
          <w:tcPr>
            <w:tcW w:w="124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1,380</w:t>
            </w:r>
          </w:p>
        </w:tc>
        <w:tc>
          <w:tcPr>
            <w:tcW w:w="1280" w:type="dxa"/>
            <w:vAlign w:val="bottom"/>
            <w:shd w:val="clear" w:color="auto" w:fill="DBDBDB"/>
          </w:tcPr>
          <w:p>
            <w:pPr>
              <w:jc w:val="center"/>
              <w:ind w:right="48"/>
              <w:spacing w:after="0"/>
              <w:rPr>
                <w:sz w:val="20"/>
                <w:szCs w:val="20"/>
                <w:color w:val="auto"/>
              </w:rPr>
            </w:pPr>
            <w:r>
              <w:rPr>
                <w:rFonts w:ascii="Arial" w:cs="Arial" w:eastAsia="Arial" w:hAnsi="Arial"/>
                <w:sz w:val="14"/>
                <w:szCs w:val="14"/>
                <w:color w:val="auto"/>
              </w:rPr>
              <w:t>14,400</w:t>
            </w:r>
          </w:p>
        </w:tc>
        <w:tc>
          <w:tcPr>
            <w:tcW w:w="10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8,500</w:t>
            </w:r>
          </w:p>
        </w:tc>
        <w:tc>
          <w:tcPr>
            <w:tcW w:w="17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1,242</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94"/>
        <w:spacing w:after="0"/>
        <w:tabs>
          <w:tab w:leader="none" w:pos="280"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figures in “Other Amounts” reflect personal use electronic equipment for each of Messrs. El-Khoury and Trent and a patent award for Mr. Jatou.</w:t>
      </w:r>
    </w:p>
    <w:p>
      <w:pPr>
        <w:spacing w:after="0" w:line="41" w:lineRule="exact"/>
        <w:rPr>
          <w:rFonts w:ascii="Arial" w:cs="Arial" w:eastAsia="Arial" w:hAnsi="Arial"/>
          <w:sz w:val="14"/>
          <w:szCs w:val="14"/>
          <w:color w:val="auto"/>
        </w:rPr>
      </w:pPr>
    </w:p>
    <w:p>
      <w:pPr>
        <w:ind w:left="260" w:right="240" w:hanging="234"/>
        <w:spacing w:after="0" w:line="235"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Gopalswamy, who previously served as Senior Vice President, Chief Strategy Officer, assumed the role of General Manager, ASG on April 25, 2023. On February 22, 2024, he was promoted to the position of Group President of both the newly-constituted Analog and Mixed-Signal Group (which combined the former ASG with one division that was previously a part of PSG) and the Intelligent Sensing Group.</w:t>
      </w:r>
    </w:p>
    <w:p>
      <w:pPr>
        <w:spacing w:after="0" w:line="13" w:lineRule="exact"/>
        <w:rPr>
          <w:rFonts w:ascii="Arial" w:cs="Arial" w:eastAsia="Arial" w:hAnsi="Arial"/>
          <w:sz w:val="14"/>
          <w:szCs w:val="14"/>
          <w:color w:val="auto"/>
        </w:rPr>
      </w:pPr>
    </w:p>
    <w:p>
      <w:pPr>
        <w:ind w:left="260" w:right="300" w:hanging="234"/>
        <w:spacing w:after="0" w:line="264" w:lineRule="auto"/>
        <w:tabs>
          <w:tab w:leader="none" w:pos="233"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Jatou resigned from the offices of Senior Vice President and General Manager, Intelligent Sensing Group effective February 22, 2024. Upon his termination, all of his unvested equity awards were forfeited and he was no longer eligible to receive a payout under the 2023 STI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49" w:name="page50"/>
    <w:bookmarkEnd w:id="49"/>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Grants of Plan-Based Awards in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463"/>
        </w:trPr>
        <w:tc>
          <w:tcPr>
            <w:tcW w:w="1840" w:type="dxa"/>
            <w:vAlign w:val="bottom"/>
            <w:shd w:val="clear" w:color="auto" w:fill="465E66"/>
          </w:tcPr>
          <w:p>
            <w:pPr>
              <w:spacing w:after="0"/>
              <w:rPr>
                <w:sz w:val="24"/>
                <w:szCs w:val="24"/>
                <w:color w:val="auto"/>
              </w:rPr>
            </w:pPr>
          </w:p>
        </w:tc>
        <w:tc>
          <w:tcPr>
            <w:tcW w:w="980" w:type="dxa"/>
            <w:vAlign w:val="bottom"/>
            <w:shd w:val="clear" w:color="auto" w:fill="465E66"/>
          </w:tcPr>
          <w:p>
            <w:pPr>
              <w:spacing w:after="0"/>
              <w:rPr>
                <w:sz w:val="24"/>
                <w:szCs w:val="24"/>
                <w:color w:val="auto"/>
              </w:rPr>
            </w:pPr>
          </w:p>
        </w:tc>
        <w:tc>
          <w:tcPr>
            <w:tcW w:w="1380" w:type="dxa"/>
            <w:vAlign w:val="bottom"/>
            <w:shd w:val="clear" w:color="auto" w:fill="465E66"/>
          </w:tcPr>
          <w:p>
            <w:pPr>
              <w:spacing w:after="0"/>
              <w:rPr>
                <w:sz w:val="24"/>
                <w:szCs w:val="24"/>
                <w:color w:val="auto"/>
              </w:rPr>
            </w:pPr>
          </w:p>
        </w:tc>
        <w:tc>
          <w:tcPr>
            <w:tcW w:w="2200" w:type="dxa"/>
            <w:vAlign w:val="bottom"/>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280" w:type="dxa"/>
            <w:vAlign w:val="bottom"/>
            <w:shd w:val="clear" w:color="auto" w:fill="465E66"/>
          </w:tcPr>
          <w:p>
            <w:pPr>
              <w:spacing w:after="0"/>
              <w:rPr>
                <w:sz w:val="24"/>
                <w:szCs w:val="24"/>
                <w:color w:val="auto"/>
              </w:rPr>
            </w:pPr>
          </w:p>
        </w:tc>
        <w:tc>
          <w:tcPr>
            <w:tcW w:w="1140" w:type="dxa"/>
            <w:vAlign w:val="bottom"/>
            <w:shd w:val="clear" w:color="auto" w:fill="465E66"/>
          </w:tcPr>
          <w:p>
            <w:pPr>
              <w:spacing w:after="0"/>
              <w:rPr>
                <w:sz w:val="24"/>
                <w:szCs w:val="24"/>
                <w:color w:val="auto"/>
              </w:rPr>
            </w:pP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All Other Stock</w:t>
            </w:r>
          </w:p>
        </w:tc>
        <w:tc>
          <w:tcPr>
            <w:tcW w:w="1160" w:type="dxa"/>
            <w:vAlign w:val="bottom"/>
            <w:shd w:val="clear" w:color="auto" w:fill="465E66"/>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840" w:type="dxa"/>
            <w:vAlign w:val="bottom"/>
            <w:shd w:val="clear" w:color="auto" w:fill="465E66"/>
          </w:tcPr>
          <w:p>
            <w:pPr>
              <w:spacing w:after="0"/>
              <w:rPr>
                <w:sz w:val="5"/>
                <w:szCs w:val="5"/>
                <w:color w:val="auto"/>
              </w:rPr>
            </w:pPr>
          </w:p>
        </w:tc>
        <w:tc>
          <w:tcPr>
            <w:tcW w:w="980" w:type="dxa"/>
            <w:vAlign w:val="bottom"/>
            <w:shd w:val="clear" w:color="auto" w:fill="465E66"/>
          </w:tcPr>
          <w:p>
            <w:pPr>
              <w:spacing w:after="0"/>
              <w:rPr>
                <w:sz w:val="5"/>
                <w:szCs w:val="5"/>
                <w:color w:val="auto"/>
              </w:rPr>
            </w:pPr>
          </w:p>
        </w:tc>
        <w:tc>
          <w:tcPr>
            <w:tcW w:w="1380" w:type="dxa"/>
            <w:vAlign w:val="bottom"/>
            <w:shd w:val="clear" w:color="auto" w:fill="465E66"/>
          </w:tcPr>
          <w:p>
            <w:pPr>
              <w:spacing w:after="0"/>
              <w:rPr>
                <w:sz w:val="5"/>
                <w:szCs w:val="5"/>
                <w:color w:val="auto"/>
              </w:rPr>
            </w:pPr>
          </w:p>
        </w:tc>
        <w:tc>
          <w:tcPr>
            <w:tcW w:w="2200" w:type="dxa"/>
            <w:vAlign w:val="bottom"/>
            <w:gridSpan w:val="2"/>
            <w:vMerge w:val="continue"/>
            <w:shd w:val="clear" w:color="auto" w:fill="465E66"/>
          </w:tcPr>
          <w:p>
            <w:pPr>
              <w:spacing w:after="0"/>
              <w:rPr>
                <w:sz w:val="5"/>
                <w:szCs w:val="5"/>
                <w:color w:val="auto"/>
              </w:rPr>
            </w:pPr>
          </w:p>
        </w:tc>
        <w:tc>
          <w:tcPr>
            <w:tcW w:w="2420" w:type="dxa"/>
            <w:vAlign w:val="bottom"/>
            <w:gridSpan w:val="2"/>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Estimated Future Payouts Under</w:t>
            </w:r>
          </w:p>
        </w:tc>
        <w:tc>
          <w:tcPr>
            <w:tcW w:w="126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Awards: Number</w:t>
            </w:r>
          </w:p>
        </w:tc>
        <w:tc>
          <w:tcPr>
            <w:tcW w:w="116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0" w:type="dxa"/>
            <w:vAlign w:val="bottom"/>
          </w:tcPr>
          <w:p>
            <w:pPr>
              <w:spacing w:after="0"/>
              <w:rPr>
                <w:sz w:val="1"/>
                <w:szCs w:val="1"/>
                <w:color w:val="auto"/>
              </w:rPr>
            </w:pPr>
          </w:p>
        </w:tc>
      </w:tr>
      <w:tr>
        <w:trPr>
          <w:trHeight w:val="144"/>
        </w:trPr>
        <w:tc>
          <w:tcPr>
            <w:tcW w:w="1840" w:type="dxa"/>
            <w:vAlign w:val="bottom"/>
            <w:shd w:val="clear" w:color="auto" w:fill="465E66"/>
          </w:tcPr>
          <w:p>
            <w:pPr>
              <w:spacing w:after="0"/>
              <w:rPr>
                <w:sz w:val="12"/>
                <w:szCs w:val="12"/>
                <w:color w:val="auto"/>
              </w:rPr>
            </w:pPr>
          </w:p>
        </w:tc>
        <w:tc>
          <w:tcPr>
            <w:tcW w:w="98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2200" w:type="dxa"/>
            <w:vAlign w:val="bottom"/>
            <w:gridSpan w:val="2"/>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Under Non-Equity Incentive</w:t>
            </w:r>
          </w:p>
        </w:tc>
        <w:tc>
          <w:tcPr>
            <w:tcW w:w="2420" w:type="dxa"/>
            <w:vAlign w:val="bottom"/>
            <w:gridSpan w:val="2"/>
            <w:vMerge w:val="continue"/>
            <w:shd w:val="clear" w:color="auto" w:fill="465E66"/>
          </w:tcPr>
          <w:p>
            <w:pPr>
              <w:spacing w:after="0"/>
              <w:rPr>
                <w:sz w:val="12"/>
                <w:szCs w:val="12"/>
                <w:color w:val="auto"/>
              </w:rPr>
            </w:pPr>
          </w:p>
        </w:tc>
        <w:tc>
          <w:tcPr>
            <w:tcW w:w="1260" w:type="dxa"/>
            <w:vAlign w:val="bottom"/>
            <w:vMerge w:val="continue"/>
            <w:shd w:val="clear" w:color="auto" w:fill="465E66"/>
          </w:tcPr>
          <w:p>
            <w:pPr>
              <w:spacing w:after="0"/>
              <w:rPr>
                <w:sz w:val="12"/>
                <w:szCs w:val="12"/>
                <w:color w:val="auto"/>
              </w:rPr>
            </w:pPr>
          </w:p>
        </w:tc>
        <w:tc>
          <w:tcPr>
            <w:tcW w:w="116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40" w:type="dxa"/>
            <w:vAlign w:val="bottom"/>
            <w:shd w:val="clear" w:color="auto" w:fill="465E66"/>
          </w:tcPr>
          <w:p>
            <w:pPr>
              <w:spacing w:after="0"/>
              <w:rPr>
                <w:sz w:val="7"/>
                <w:szCs w:val="7"/>
                <w:color w:val="auto"/>
              </w:rPr>
            </w:pPr>
          </w:p>
        </w:tc>
        <w:tc>
          <w:tcPr>
            <w:tcW w:w="980" w:type="dxa"/>
            <w:vAlign w:val="bottom"/>
            <w:shd w:val="clear" w:color="auto" w:fill="465E66"/>
          </w:tcPr>
          <w:p>
            <w:pPr>
              <w:spacing w:after="0"/>
              <w:rPr>
                <w:sz w:val="7"/>
                <w:szCs w:val="7"/>
                <w:color w:val="auto"/>
              </w:rPr>
            </w:pPr>
          </w:p>
        </w:tc>
        <w:tc>
          <w:tcPr>
            <w:tcW w:w="1380" w:type="dxa"/>
            <w:vAlign w:val="bottom"/>
            <w:shd w:val="clear" w:color="auto" w:fill="465E66"/>
          </w:tcPr>
          <w:p>
            <w:pPr>
              <w:spacing w:after="0"/>
              <w:rPr>
                <w:sz w:val="7"/>
                <w:szCs w:val="7"/>
                <w:color w:val="auto"/>
              </w:rPr>
            </w:pPr>
          </w:p>
        </w:tc>
        <w:tc>
          <w:tcPr>
            <w:tcW w:w="2200" w:type="dxa"/>
            <w:vAlign w:val="bottom"/>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Plan Awards (1)</w:t>
            </w:r>
          </w:p>
        </w:tc>
        <w:tc>
          <w:tcPr>
            <w:tcW w:w="2420" w:type="dxa"/>
            <w:vAlign w:val="bottom"/>
            <w:gridSpan w:val="2"/>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Equity Incentive Plan Awards (2)</w:t>
            </w:r>
          </w:p>
        </w:tc>
        <w:tc>
          <w:tcPr>
            <w:tcW w:w="1260" w:type="dxa"/>
            <w:vAlign w:val="bottom"/>
            <w:shd w:val="clear" w:color="auto" w:fill="465E66"/>
          </w:tcPr>
          <w:p>
            <w:pPr>
              <w:jc w:val="center"/>
              <w:spacing w:after="0" w:line="81" w:lineRule="exact"/>
              <w:rPr>
                <w:sz w:val="20"/>
                <w:szCs w:val="20"/>
                <w:color w:val="auto"/>
              </w:rPr>
            </w:pPr>
            <w:r>
              <w:rPr>
                <w:rFonts w:ascii="Arial" w:cs="Arial" w:eastAsia="Arial" w:hAnsi="Arial"/>
                <w:sz w:val="9"/>
                <w:szCs w:val="9"/>
                <w:b w:val="1"/>
                <w:bCs w:val="1"/>
                <w:color w:val="FFFFFF"/>
              </w:rPr>
              <w:t>of Shares of</w:t>
            </w:r>
          </w:p>
        </w:tc>
        <w:tc>
          <w:tcPr>
            <w:tcW w:w="1160" w:type="dxa"/>
            <w:vAlign w:val="bottom"/>
            <w:shd w:val="clear" w:color="auto" w:fill="465E66"/>
          </w:tcPr>
          <w:p>
            <w:pPr>
              <w:jc w:val="center"/>
              <w:spacing w:after="0" w:line="81" w:lineRule="exact"/>
              <w:rPr>
                <w:sz w:val="20"/>
                <w:szCs w:val="20"/>
                <w:color w:val="auto"/>
              </w:rPr>
            </w:pPr>
            <w:r>
              <w:rPr>
                <w:rFonts w:ascii="Arial" w:cs="Arial" w:eastAsia="Arial" w:hAnsi="Arial"/>
                <w:sz w:val="9"/>
                <w:szCs w:val="9"/>
                <w:b w:val="1"/>
                <w:bCs w:val="1"/>
                <w:color w:val="FFFFFF"/>
              </w:rPr>
              <w:t>Value of Stock</w:t>
            </w:r>
          </w:p>
        </w:tc>
        <w:tc>
          <w:tcPr>
            <w:tcW w:w="0" w:type="dxa"/>
            <w:vAlign w:val="bottom"/>
          </w:tcPr>
          <w:p>
            <w:pPr>
              <w:spacing w:after="0"/>
              <w:rPr>
                <w:sz w:val="1"/>
                <w:szCs w:val="1"/>
                <w:color w:val="auto"/>
              </w:rPr>
            </w:pPr>
          </w:p>
        </w:tc>
      </w:tr>
      <w:tr>
        <w:trPr>
          <w:trHeight w:val="119"/>
        </w:trPr>
        <w:tc>
          <w:tcPr>
            <w:tcW w:w="1840" w:type="dxa"/>
            <w:vAlign w:val="bottom"/>
            <w:shd w:val="clear" w:color="auto" w:fill="465E66"/>
          </w:tcPr>
          <w:p>
            <w:pPr>
              <w:spacing w:after="0"/>
              <w:rPr>
                <w:sz w:val="10"/>
                <w:szCs w:val="10"/>
                <w:color w:val="auto"/>
              </w:rPr>
            </w:pPr>
          </w:p>
        </w:tc>
        <w:tc>
          <w:tcPr>
            <w:tcW w:w="980" w:type="dxa"/>
            <w:vAlign w:val="bottom"/>
            <w:shd w:val="clear" w:color="auto" w:fill="465E66"/>
          </w:tcPr>
          <w:p>
            <w:pPr>
              <w:spacing w:after="0"/>
              <w:rPr>
                <w:sz w:val="10"/>
                <w:szCs w:val="10"/>
                <w:color w:val="auto"/>
              </w:rPr>
            </w:pPr>
          </w:p>
        </w:tc>
        <w:tc>
          <w:tcPr>
            <w:tcW w:w="1380" w:type="dxa"/>
            <w:vAlign w:val="bottom"/>
            <w:shd w:val="clear" w:color="auto" w:fill="465E66"/>
          </w:tcPr>
          <w:p>
            <w:pPr>
              <w:spacing w:after="0"/>
              <w:rPr>
                <w:sz w:val="10"/>
                <w:szCs w:val="10"/>
                <w:color w:val="auto"/>
              </w:rPr>
            </w:pPr>
          </w:p>
        </w:tc>
        <w:tc>
          <w:tcPr>
            <w:tcW w:w="2200" w:type="dxa"/>
            <w:vAlign w:val="bottom"/>
            <w:gridSpan w:val="2"/>
            <w:vMerge w:val="continue"/>
            <w:shd w:val="clear" w:color="auto" w:fill="465E66"/>
          </w:tcPr>
          <w:p>
            <w:pPr>
              <w:spacing w:after="0"/>
              <w:rPr>
                <w:sz w:val="10"/>
                <w:szCs w:val="10"/>
                <w:color w:val="auto"/>
              </w:rPr>
            </w:pPr>
          </w:p>
        </w:tc>
        <w:tc>
          <w:tcPr>
            <w:tcW w:w="2420" w:type="dxa"/>
            <w:vAlign w:val="bottom"/>
            <w:gridSpan w:val="2"/>
            <w:vMerge w:val="continue"/>
            <w:shd w:val="clear" w:color="auto" w:fill="465E66"/>
          </w:tcPr>
          <w:p>
            <w:pPr>
              <w:spacing w:after="0"/>
              <w:rPr>
                <w:sz w:val="10"/>
                <w:szCs w:val="10"/>
                <w:color w:val="auto"/>
              </w:rPr>
            </w:pPr>
          </w:p>
        </w:tc>
        <w:tc>
          <w:tcPr>
            <w:tcW w:w="1260" w:type="dxa"/>
            <w:vAlign w:val="bottom"/>
            <w:vMerge w:val="restart"/>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Stock or Units</w:t>
            </w:r>
          </w:p>
        </w:tc>
        <w:tc>
          <w:tcPr>
            <w:tcW w:w="1160" w:type="dxa"/>
            <w:vAlign w:val="bottom"/>
            <w:vMerge w:val="restart"/>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and Option</w:t>
            </w:r>
          </w:p>
        </w:tc>
        <w:tc>
          <w:tcPr>
            <w:tcW w:w="0" w:type="dxa"/>
            <w:vAlign w:val="bottom"/>
          </w:tcPr>
          <w:p>
            <w:pPr>
              <w:spacing w:after="0"/>
              <w:rPr>
                <w:sz w:val="1"/>
                <w:szCs w:val="1"/>
                <w:color w:val="auto"/>
              </w:rPr>
            </w:pPr>
          </w:p>
        </w:tc>
      </w:tr>
      <w:tr>
        <w:trPr>
          <w:trHeight w:val="29"/>
        </w:trPr>
        <w:tc>
          <w:tcPr>
            <w:tcW w:w="1840" w:type="dxa"/>
            <w:vAlign w:val="bottom"/>
            <w:shd w:val="clear" w:color="auto" w:fill="465E66"/>
          </w:tcPr>
          <w:p>
            <w:pPr>
              <w:spacing w:after="0"/>
              <w:rPr>
                <w:sz w:val="2"/>
                <w:szCs w:val="2"/>
                <w:color w:val="auto"/>
              </w:rPr>
            </w:pPr>
          </w:p>
        </w:tc>
        <w:tc>
          <w:tcPr>
            <w:tcW w:w="980" w:type="dxa"/>
            <w:vAlign w:val="bottom"/>
            <w:shd w:val="clear" w:color="auto" w:fill="465E66"/>
          </w:tcPr>
          <w:p>
            <w:pPr>
              <w:spacing w:after="0"/>
              <w:rPr>
                <w:sz w:val="2"/>
                <w:szCs w:val="2"/>
                <w:color w:val="auto"/>
              </w:rPr>
            </w:pPr>
          </w:p>
        </w:tc>
        <w:tc>
          <w:tcPr>
            <w:tcW w:w="1380" w:type="dxa"/>
            <w:vAlign w:val="bottom"/>
            <w:shd w:val="clear" w:color="auto" w:fill="465E66"/>
          </w:tcPr>
          <w:p>
            <w:pPr>
              <w:spacing w:after="0"/>
              <w:rPr>
                <w:sz w:val="2"/>
                <w:szCs w:val="2"/>
                <w:color w:val="auto"/>
              </w:rPr>
            </w:pPr>
          </w:p>
        </w:tc>
        <w:tc>
          <w:tcPr>
            <w:tcW w:w="1180" w:type="dxa"/>
            <w:vAlign w:val="bottom"/>
            <w:vMerge w:val="restart"/>
            <w:shd w:val="clear" w:color="auto" w:fill="465E66"/>
          </w:tcPr>
          <w:p>
            <w:pPr>
              <w:ind w:left="400"/>
              <w:spacing w:after="0"/>
              <w:rPr>
                <w:sz w:val="20"/>
                <w:szCs w:val="20"/>
                <w:color w:val="auto"/>
              </w:rPr>
            </w:pPr>
            <w:r>
              <w:rPr>
                <w:rFonts w:ascii="Arial" w:cs="Arial" w:eastAsia="Arial" w:hAnsi="Arial"/>
                <w:sz w:val="14"/>
                <w:szCs w:val="14"/>
                <w:b w:val="1"/>
                <w:bCs w:val="1"/>
                <w:color w:val="FFFFFF"/>
              </w:rPr>
              <w:t>Target</w:t>
            </w:r>
          </w:p>
        </w:tc>
        <w:tc>
          <w:tcPr>
            <w:tcW w:w="1020" w:type="dxa"/>
            <w:vAlign w:val="bottom"/>
            <w:vMerge w:val="restart"/>
            <w:shd w:val="clear" w:color="auto" w:fill="465E66"/>
          </w:tcPr>
          <w:p>
            <w:pPr>
              <w:ind w:left="220"/>
              <w:spacing w:after="0"/>
              <w:rPr>
                <w:sz w:val="20"/>
                <w:szCs w:val="20"/>
                <w:color w:val="auto"/>
              </w:rPr>
            </w:pPr>
            <w:r>
              <w:rPr>
                <w:rFonts w:ascii="Arial" w:cs="Arial" w:eastAsia="Arial" w:hAnsi="Arial"/>
                <w:sz w:val="14"/>
                <w:szCs w:val="14"/>
                <w:b w:val="1"/>
                <w:bCs w:val="1"/>
                <w:color w:val="FFFFFF"/>
              </w:rPr>
              <w:t>Maximum</w:t>
            </w:r>
          </w:p>
        </w:tc>
        <w:tc>
          <w:tcPr>
            <w:tcW w:w="1280" w:type="dxa"/>
            <w:vAlign w:val="bottom"/>
            <w:vMerge w:val="restart"/>
            <w:shd w:val="clear" w:color="auto" w:fill="465E66"/>
          </w:tcPr>
          <w:p>
            <w:pPr>
              <w:ind w:left="500"/>
              <w:spacing w:after="0"/>
              <w:rPr>
                <w:sz w:val="20"/>
                <w:szCs w:val="20"/>
                <w:color w:val="auto"/>
              </w:rPr>
            </w:pPr>
            <w:r>
              <w:rPr>
                <w:rFonts w:ascii="Arial" w:cs="Arial" w:eastAsia="Arial" w:hAnsi="Arial"/>
                <w:sz w:val="14"/>
                <w:szCs w:val="14"/>
                <w:b w:val="1"/>
                <w:bCs w:val="1"/>
                <w:color w:val="FFFFFF"/>
              </w:rPr>
              <w:t>Target</w:t>
            </w:r>
          </w:p>
        </w:tc>
        <w:tc>
          <w:tcPr>
            <w:tcW w:w="1140" w:type="dxa"/>
            <w:vAlign w:val="bottom"/>
            <w:vMerge w:val="restart"/>
            <w:shd w:val="clear" w:color="auto" w:fill="465E66"/>
          </w:tcPr>
          <w:p>
            <w:pPr>
              <w:ind w:left="300"/>
              <w:spacing w:after="0"/>
              <w:rPr>
                <w:sz w:val="20"/>
                <w:szCs w:val="20"/>
                <w:color w:val="auto"/>
              </w:rPr>
            </w:pPr>
            <w:r>
              <w:rPr>
                <w:rFonts w:ascii="Arial" w:cs="Arial" w:eastAsia="Arial" w:hAnsi="Arial"/>
                <w:sz w:val="14"/>
                <w:szCs w:val="14"/>
                <w:b w:val="1"/>
                <w:bCs w:val="1"/>
                <w:color w:val="FFFFFF"/>
              </w:rPr>
              <w:t>Maximum</w:t>
            </w:r>
          </w:p>
        </w:tc>
        <w:tc>
          <w:tcPr>
            <w:tcW w:w="1260" w:type="dxa"/>
            <w:vAlign w:val="bottom"/>
            <w:vMerge w:val="continue"/>
            <w:shd w:val="clear" w:color="auto" w:fill="465E66"/>
          </w:tcPr>
          <w:p>
            <w:pPr>
              <w:spacing w:after="0"/>
              <w:rPr>
                <w:sz w:val="2"/>
                <w:szCs w:val="2"/>
                <w:color w:val="auto"/>
              </w:rPr>
            </w:pPr>
          </w:p>
        </w:tc>
        <w:tc>
          <w:tcPr>
            <w:tcW w:w="1160" w:type="dxa"/>
            <w:vAlign w:val="bottom"/>
            <w:vMerge w:val="continue"/>
            <w:shd w:val="clear" w:color="auto" w:fill="465E6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8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980" w:type="dxa"/>
            <w:vAlign w:val="bottom"/>
            <w:vMerge w:val="restart"/>
            <w:shd w:val="clear" w:color="auto" w:fill="465E66"/>
          </w:tcPr>
          <w:p>
            <w:pPr>
              <w:ind w:left="120"/>
              <w:spacing w:after="0"/>
              <w:rPr>
                <w:sz w:val="20"/>
                <w:szCs w:val="20"/>
                <w:color w:val="auto"/>
              </w:rPr>
            </w:pPr>
            <w:r>
              <w:rPr>
                <w:rFonts w:ascii="Arial" w:cs="Arial" w:eastAsia="Arial" w:hAnsi="Arial"/>
                <w:sz w:val="14"/>
                <w:szCs w:val="14"/>
                <w:b w:val="1"/>
                <w:bCs w:val="1"/>
                <w:color w:val="FFFFFF"/>
              </w:rPr>
              <w:t>Grant Date</w:t>
            </w:r>
          </w:p>
        </w:tc>
        <w:tc>
          <w:tcPr>
            <w:tcW w:w="1380" w:type="dxa"/>
            <w:vAlign w:val="bottom"/>
            <w:vMerge w:val="restart"/>
            <w:shd w:val="clear" w:color="auto" w:fill="465E66"/>
          </w:tcPr>
          <w:p>
            <w:pPr>
              <w:ind w:left="200"/>
              <w:spacing w:after="0"/>
              <w:rPr>
                <w:sz w:val="20"/>
                <w:szCs w:val="20"/>
                <w:color w:val="auto"/>
              </w:rPr>
            </w:pPr>
            <w:r>
              <w:rPr>
                <w:rFonts w:ascii="Arial" w:cs="Arial" w:eastAsia="Arial" w:hAnsi="Arial"/>
                <w:sz w:val="14"/>
                <w:szCs w:val="14"/>
                <w:b w:val="1"/>
                <w:bCs w:val="1"/>
                <w:color w:val="FFFFFF"/>
              </w:rPr>
              <w:t>Type of Award</w:t>
            </w:r>
          </w:p>
        </w:tc>
        <w:tc>
          <w:tcPr>
            <w:tcW w:w="1180" w:type="dxa"/>
            <w:vAlign w:val="bottom"/>
            <w:vMerge w:val="continue"/>
            <w:shd w:val="clear" w:color="auto" w:fill="465E66"/>
          </w:tcPr>
          <w:p>
            <w:pPr>
              <w:spacing w:after="0"/>
              <w:rPr>
                <w:sz w:val="12"/>
                <w:szCs w:val="12"/>
                <w:color w:val="auto"/>
              </w:rPr>
            </w:pPr>
          </w:p>
        </w:tc>
        <w:tc>
          <w:tcPr>
            <w:tcW w:w="1020" w:type="dxa"/>
            <w:vAlign w:val="bottom"/>
            <w:vMerge w:val="continue"/>
            <w:shd w:val="clear" w:color="auto" w:fill="465E66"/>
          </w:tcPr>
          <w:p>
            <w:pPr>
              <w:spacing w:after="0"/>
              <w:rPr>
                <w:sz w:val="12"/>
                <w:szCs w:val="12"/>
                <w:color w:val="auto"/>
              </w:rPr>
            </w:pPr>
          </w:p>
        </w:tc>
        <w:tc>
          <w:tcPr>
            <w:tcW w:w="1280" w:type="dxa"/>
            <w:vAlign w:val="bottom"/>
            <w:vMerge w:val="continue"/>
            <w:shd w:val="clear" w:color="auto" w:fill="465E66"/>
          </w:tcPr>
          <w:p>
            <w:pPr>
              <w:spacing w:after="0"/>
              <w:rPr>
                <w:sz w:val="12"/>
                <w:szCs w:val="12"/>
                <w:color w:val="auto"/>
              </w:rPr>
            </w:pPr>
          </w:p>
        </w:tc>
        <w:tc>
          <w:tcPr>
            <w:tcW w:w="1140" w:type="dxa"/>
            <w:vAlign w:val="bottom"/>
            <w:vMerge w:val="continue"/>
            <w:shd w:val="clear" w:color="auto" w:fill="465E66"/>
          </w:tcPr>
          <w:p>
            <w:pPr>
              <w:spacing w:after="0"/>
              <w:rPr>
                <w:sz w:val="12"/>
                <w:szCs w:val="12"/>
                <w:color w:val="auto"/>
              </w:rPr>
            </w:pPr>
          </w:p>
        </w:tc>
        <w:tc>
          <w:tcPr>
            <w:tcW w:w="1260" w:type="dxa"/>
            <w:vAlign w:val="bottom"/>
            <w:shd w:val="clear" w:color="auto" w:fill="465E66"/>
          </w:tcPr>
          <w:p>
            <w:pPr>
              <w:jc w:val="center"/>
              <w:spacing w:after="0" w:line="139" w:lineRule="exact"/>
              <w:rPr>
                <w:sz w:val="20"/>
                <w:szCs w:val="20"/>
                <w:color w:val="auto"/>
              </w:rPr>
            </w:pPr>
            <w:r>
              <w:rPr>
                <w:rFonts w:ascii="Arial" w:cs="Arial" w:eastAsia="Arial" w:hAnsi="Arial"/>
                <w:sz w:val="14"/>
                <w:szCs w:val="14"/>
                <w:b w:val="1"/>
                <w:bCs w:val="1"/>
                <w:color w:val="FFFFFF"/>
              </w:rPr>
              <w:t>(3)</w:t>
            </w:r>
          </w:p>
        </w:tc>
        <w:tc>
          <w:tcPr>
            <w:tcW w:w="1160" w:type="dxa"/>
            <w:vAlign w:val="bottom"/>
            <w:shd w:val="clear" w:color="auto" w:fill="465E66"/>
          </w:tcPr>
          <w:p>
            <w:pPr>
              <w:jc w:val="center"/>
              <w:spacing w:after="0" w:line="139" w:lineRule="exact"/>
              <w:rPr>
                <w:sz w:val="20"/>
                <w:szCs w:val="20"/>
                <w:color w:val="auto"/>
              </w:rPr>
            </w:pPr>
            <w:r>
              <w:rPr>
                <w:rFonts w:ascii="Arial" w:cs="Arial" w:eastAsia="Arial" w:hAnsi="Arial"/>
                <w:sz w:val="14"/>
                <w:szCs w:val="14"/>
                <w:b w:val="1"/>
                <w:bCs w:val="1"/>
                <w:color w:val="FFFFFF"/>
              </w:rPr>
              <w:t>Awards (4)</w:t>
            </w:r>
          </w:p>
        </w:tc>
        <w:tc>
          <w:tcPr>
            <w:tcW w:w="0" w:type="dxa"/>
            <w:vAlign w:val="bottom"/>
          </w:tcPr>
          <w:p>
            <w:pPr>
              <w:spacing w:after="0"/>
              <w:rPr>
                <w:sz w:val="1"/>
                <w:szCs w:val="1"/>
                <w:color w:val="auto"/>
              </w:rPr>
            </w:pPr>
          </w:p>
        </w:tc>
      </w:tr>
      <w:tr>
        <w:trPr>
          <w:trHeight w:val="185"/>
        </w:trPr>
        <w:tc>
          <w:tcPr>
            <w:tcW w:w="1840" w:type="dxa"/>
            <w:vAlign w:val="bottom"/>
            <w:vMerge w:val="continue"/>
            <w:shd w:val="clear" w:color="auto" w:fill="465E66"/>
          </w:tcPr>
          <w:p>
            <w:pPr>
              <w:spacing w:after="0"/>
              <w:rPr>
                <w:sz w:val="16"/>
                <w:szCs w:val="16"/>
                <w:color w:val="auto"/>
              </w:rPr>
            </w:pPr>
          </w:p>
        </w:tc>
        <w:tc>
          <w:tcPr>
            <w:tcW w:w="980" w:type="dxa"/>
            <w:vAlign w:val="bottom"/>
            <w:vMerge w:val="continue"/>
            <w:shd w:val="clear" w:color="auto" w:fill="465E66"/>
          </w:tcPr>
          <w:p>
            <w:pPr>
              <w:spacing w:after="0"/>
              <w:rPr>
                <w:sz w:val="16"/>
                <w:szCs w:val="16"/>
                <w:color w:val="auto"/>
              </w:rPr>
            </w:pPr>
          </w:p>
        </w:tc>
        <w:tc>
          <w:tcPr>
            <w:tcW w:w="1380" w:type="dxa"/>
            <w:vAlign w:val="bottom"/>
            <w:vMerge w:val="continue"/>
            <w:shd w:val="clear" w:color="auto" w:fill="465E66"/>
          </w:tcPr>
          <w:p>
            <w:pPr>
              <w:spacing w:after="0"/>
              <w:rPr>
                <w:sz w:val="16"/>
                <w:szCs w:val="16"/>
                <w:color w:val="auto"/>
              </w:rPr>
            </w:pPr>
          </w:p>
        </w:tc>
        <w:tc>
          <w:tcPr>
            <w:tcW w:w="11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465E66"/>
          </w:tcPr>
          <w:p>
            <w:pPr>
              <w:jc w:val="center"/>
              <w:ind w:left="28"/>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shd w:val="clear" w:color="auto" w:fill="465E66"/>
          </w:tcPr>
          <w:p>
            <w:pPr>
              <w:jc w:val="center"/>
              <w:ind w:left="6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8"/>
        </w:trPr>
        <w:tc>
          <w:tcPr>
            <w:tcW w:w="1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Hassane El-Khoury</w:t>
            </w: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2/21/2023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2,100,000</w:t>
            </w:r>
          </w:p>
        </w:tc>
        <w:tc>
          <w:tcPr>
            <w:tcW w:w="10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4,200,000</w:t>
            </w: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DBDBDB"/>
          </w:tcPr>
          <w:p>
            <w:pPr>
              <w:spacing w:after="0"/>
              <w:rPr>
                <w:sz w:val="18"/>
                <w:szCs w:val="18"/>
                <w:color w:val="auto"/>
              </w:rPr>
            </w:pP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2/21/2023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7"/>
              </w:rPr>
              <w:t>84,511</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6,700,032</w:t>
            </w:r>
          </w:p>
        </w:tc>
        <w:tc>
          <w:tcPr>
            <w:tcW w:w="0" w:type="dxa"/>
            <w:vAlign w:val="bottom"/>
          </w:tcPr>
          <w:p>
            <w:pPr>
              <w:spacing w:after="0"/>
              <w:rPr>
                <w:sz w:val="1"/>
                <w:szCs w:val="1"/>
                <w:color w:val="auto"/>
              </w:rPr>
            </w:pPr>
          </w:p>
        </w:tc>
      </w:tr>
      <w:tr>
        <w:trPr>
          <w:trHeight w:val="211"/>
        </w:trPr>
        <w:tc>
          <w:tcPr>
            <w:tcW w:w="1840" w:type="dxa"/>
            <w:vAlign w:val="bottom"/>
            <w:shd w:val="clear" w:color="auto" w:fill="DBDBDB"/>
          </w:tcPr>
          <w:p>
            <w:pPr>
              <w:spacing w:after="0"/>
              <w:rPr>
                <w:sz w:val="18"/>
                <w:szCs w:val="18"/>
                <w:color w:val="auto"/>
              </w:rPr>
            </w:pP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2/21/2023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8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126,766</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269,378</w:t>
            </w:r>
          </w:p>
        </w:tc>
        <w:tc>
          <w:tcPr>
            <w:tcW w:w="1260" w:type="dxa"/>
            <w:vAlign w:val="bottom"/>
            <w:shd w:val="clear" w:color="auto" w:fill="DBDBDB"/>
          </w:tcPr>
          <w:p>
            <w:pPr>
              <w:spacing w:after="0"/>
              <w:rPr>
                <w:sz w:val="18"/>
                <w:szCs w:val="18"/>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11,033,499</w:t>
            </w:r>
          </w:p>
        </w:tc>
        <w:tc>
          <w:tcPr>
            <w:tcW w:w="0" w:type="dxa"/>
            <w:vAlign w:val="bottom"/>
          </w:tcPr>
          <w:p>
            <w:pPr>
              <w:spacing w:after="0"/>
              <w:rPr>
                <w:sz w:val="1"/>
                <w:szCs w:val="1"/>
                <w:color w:val="auto"/>
              </w:rPr>
            </w:pPr>
          </w:p>
        </w:tc>
      </w:tr>
      <w:tr>
        <w:trPr>
          <w:trHeight w:val="208"/>
        </w:trPr>
        <w:tc>
          <w:tcPr>
            <w:tcW w:w="1840" w:type="dxa"/>
            <w:vAlign w:val="bottom"/>
          </w:tcPr>
          <w:p>
            <w:pPr>
              <w:ind w:left="20"/>
              <w:spacing w:after="0"/>
              <w:rPr>
                <w:sz w:val="20"/>
                <w:szCs w:val="20"/>
                <w:color w:val="auto"/>
              </w:rPr>
            </w:pPr>
            <w:r>
              <w:rPr>
                <w:rFonts w:ascii="Arial" w:cs="Arial" w:eastAsia="Arial" w:hAnsi="Arial"/>
                <w:sz w:val="14"/>
                <w:szCs w:val="14"/>
                <w:color w:val="auto"/>
              </w:rPr>
              <w:t>Thad Trent</w:t>
            </w: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Annual Incentive</w:t>
            </w:r>
          </w:p>
        </w:tc>
        <w:tc>
          <w:tcPr>
            <w:tcW w:w="1180" w:type="dxa"/>
            <w:vAlign w:val="bottom"/>
          </w:tcPr>
          <w:p>
            <w:pPr>
              <w:jc w:val="center"/>
              <w:spacing w:after="0"/>
              <w:rPr>
                <w:sz w:val="20"/>
                <w:szCs w:val="20"/>
                <w:color w:val="auto"/>
              </w:rPr>
            </w:pPr>
            <w:r>
              <w:rPr>
                <w:rFonts w:ascii="Arial" w:cs="Arial" w:eastAsia="Arial" w:hAnsi="Arial"/>
                <w:sz w:val="14"/>
                <w:szCs w:val="14"/>
                <w:color w:val="auto"/>
              </w:rPr>
              <w:t>843,750</w:t>
            </w:r>
          </w:p>
        </w:tc>
        <w:tc>
          <w:tcPr>
            <w:tcW w:w="1020" w:type="dxa"/>
            <w:vAlign w:val="bottom"/>
          </w:tcPr>
          <w:p>
            <w:pPr>
              <w:jc w:val="center"/>
              <w:ind w:left="28"/>
              <w:spacing w:after="0"/>
              <w:rPr>
                <w:sz w:val="20"/>
                <w:szCs w:val="20"/>
                <w:color w:val="auto"/>
              </w:rPr>
            </w:pPr>
            <w:r>
              <w:rPr>
                <w:rFonts w:ascii="Arial" w:cs="Arial" w:eastAsia="Arial" w:hAnsi="Arial"/>
                <w:sz w:val="14"/>
                <w:szCs w:val="14"/>
                <w:color w:val="auto"/>
              </w:rPr>
              <w:t>1,687,500</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RSUs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30,273</w:t>
            </w:r>
          </w:p>
        </w:tc>
        <w:tc>
          <w:tcPr>
            <w:tcW w:w="1160" w:type="dxa"/>
            <w:vAlign w:val="bottom"/>
          </w:tcPr>
          <w:p>
            <w:pPr>
              <w:jc w:val="center"/>
              <w:spacing w:after="0"/>
              <w:rPr>
                <w:sz w:val="20"/>
                <w:szCs w:val="20"/>
                <w:color w:val="auto"/>
              </w:rPr>
            </w:pPr>
            <w:r>
              <w:rPr>
                <w:rFonts w:ascii="Arial" w:cs="Arial" w:eastAsia="Arial" w:hAnsi="Arial"/>
                <w:sz w:val="14"/>
                <w:szCs w:val="14"/>
                <w:color w:val="auto"/>
              </w:rPr>
              <w:t>2,400,043</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17"/>
                <w:szCs w:val="17"/>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PBRSUs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color w:val="auto"/>
              </w:rPr>
              <w:t>45,409</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96,495</w:t>
            </w:r>
          </w:p>
        </w:tc>
        <w:tc>
          <w:tcPr>
            <w:tcW w:w="12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3,952,342</w:t>
            </w:r>
          </w:p>
        </w:tc>
        <w:tc>
          <w:tcPr>
            <w:tcW w:w="0" w:type="dxa"/>
            <w:vAlign w:val="bottom"/>
          </w:tcPr>
          <w:p>
            <w:pPr>
              <w:spacing w:after="0"/>
              <w:rPr>
                <w:sz w:val="1"/>
                <w:szCs w:val="1"/>
                <w:color w:val="auto"/>
              </w:rPr>
            </w:pPr>
          </w:p>
        </w:tc>
      </w:tr>
      <w:tr>
        <w:trPr>
          <w:trHeight w:val="212"/>
        </w:trPr>
        <w:tc>
          <w:tcPr>
            <w:tcW w:w="1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Simon Keeton</w:t>
            </w: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600,000</w:t>
            </w:r>
          </w:p>
        </w:tc>
        <w:tc>
          <w:tcPr>
            <w:tcW w:w="10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1,200,000</w:t>
            </w: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DBDBDB"/>
          </w:tcPr>
          <w:p>
            <w:pPr>
              <w:spacing w:after="0"/>
              <w:rPr>
                <w:sz w:val="18"/>
                <w:szCs w:val="18"/>
                <w:color w:val="auto"/>
              </w:rPr>
            </w:pP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22,705</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1,800,052</w:t>
            </w:r>
          </w:p>
        </w:tc>
        <w:tc>
          <w:tcPr>
            <w:tcW w:w="0" w:type="dxa"/>
            <w:vAlign w:val="bottom"/>
          </w:tcPr>
          <w:p>
            <w:pPr>
              <w:spacing w:after="0"/>
              <w:rPr>
                <w:sz w:val="1"/>
                <w:szCs w:val="1"/>
                <w:color w:val="auto"/>
              </w:rPr>
            </w:pPr>
          </w:p>
        </w:tc>
      </w:tr>
      <w:tr>
        <w:trPr>
          <w:trHeight w:val="211"/>
        </w:trPr>
        <w:tc>
          <w:tcPr>
            <w:tcW w:w="1840" w:type="dxa"/>
            <w:vAlign w:val="bottom"/>
            <w:shd w:val="clear" w:color="auto" w:fill="DBDBDB"/>
          </w:tcPr>
          <w:p>
            <w:pPr>
              <w:spacing w:after="0"/>
              <w:rPr>
                <w:sz w:val="18"/>
                <w:szCs w:val="18"/>
                <w:color w:val="auto"/>
              </w:rPr>
            </w:pP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80" w:type="dxa"/>
            <w:vAlign w:val="bottom"/>
            <w:shd w:val="clear" w:color="auto" w:fill="DBDBDB"/>
          </w:tcPr>
          <w:p>
            <w:pPr>
              <w:jc w:val="center"/>
              <w:ind w:left="88"/>
              <w:spacing w:after="0"/>
              <w:rPr>
                <w:sz w:val="20"/>
                <w:szCs w:val="20"/>
                <w:color w:val="auto"/>
              </w:rPr>
            </w:pPr>
            <w:r>
              <w:rPr>
                <w:rFonts w:ascii="Arial" w:cs="Arial" w:eastAsia="Arial" w:hAnsi="Arial"/>
                <w:sz w:val="14"/>
                <w:szCs w:val="14"/>
                <w:color w:val="auto"/>
              </w:rPr>
              <w:t>34,057</w:t>
            </w:r>
          </w:p>
        </w:tc>
        <w:tc>
          <w:tcPr>
            <w:tcW w:w="1140" w:type="dxa"/>
            <w:vAlign w:val="bottom"/>
            <w:shd w:val="clear" w:color="auto" w:fill="DBDBDB"/>
          </w:tcPr>
          <w:p>
            <w:pPr>
              <w:jc w:val="center"/>
              <w:ind w:left="68"/>
              <w:spacing w:after="0"/>
              <w:rPr>
                <w:sz w:val="20"/>
                <w:szCs w:val="20"/>
                <w:color w:val="auto"/>
              </w:rPr>
            </w:pPr>
            <w:r>
              <w:rPr>
                <w:rFonts w:ascii="Arial" w:cs="Arial" w:eastAsia="Arial" w:hAnsi="Arial"/>
                <w:sz w:val="14"/>
                <w:szCs w:val="14"/>
                <w:color w:val="auto"/>
              </w:rPr>
              <w:t>72,372</w:t>
            </w:r>
          </w:p>
        </w:tc>
        <w:tc>
          <w:tcPr>
            <w:tcW w:w="1260" w:type="dxa"/>
            <w:vAlign w:val="bottom"/>
            <w:shd w:val="clear" w:color="auto" w:fill="DBDBDB"/>
          </w:tcPr>
          <w:p>
            <w:pPr>
              <w:spacing w:after="0"/>
              <w:rPr>
                <w:sz w:val="18"/>
                <w:szCs w:val="18"/>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2,964,283</w:t>
            </w:r>
          </w:p>
        </w:tc>
        <w:tc>
          <w:tcPr>
            <w:tcW w:w="0" w:type="dxa"/>
            <w:vAlign w:val="bottom"/>
          </w:tcPr>
          <w:p>
            <w:pPr>
              <w:spacing w:after="0"/>
              <w:rPr>
                <w:sz w:val="1"/>
                <w:szCs w:val="1"/>
                <w:color w:val="auto"/>
              </w:rPr>
            </w:pPr>
          </w:p>
        </w:tc>
      </w:tr>
      <w:tr>
        <w:trPr>
          <w:trHeight w:val="208"/>
        </w:trPr>
        <w:tc>
          <w:tcPr>
            <w:tcW w:w="1840" w:type="dxa"/>
            <w:vAlign w:val="bottom"/>
          </w:tcPr>
          <w:p>
            <w:pPr>
              <w:ind w:left="20"/>
              <w:spacing w:after="0"/>
              <w:rPr>
                <w:sz w:val="20"/>
                <w:szCs w:val="20"/>
                <w:color w:val="auto"/>
              </w:rPr>
            </w:pPr>
            <w:r>
              <w:rPr>
                <w:rFonts w:ascii="Arial" w:cs="Arial" w:eastAsia="Arial" w:hAnsi="Arial"/>
                <w:sz w:val="14"/>
                <w:szCs w:val="14"/>
                <w:color w:val="auto"/>
              </w:rPr>
              <w:t>Sudhir Gopalswamy (5)</w:t>
            </w: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Annual Incentive</w:t>
            </w:r>
          </w:p>
        </w:tc>
        <w:tc>
          <w:tcPr>
            <w:tcW w:w="1180" w:type="dxa"/>
            <w:vAlign w:val="bottom"/>
          </w:tcPr>
          <w:p>
            <w:pPr>
              <w:jc w:val="center"/>
              <w:spacing w:after="0"/>
              <w:rPr>
                <w:sz w:val="20"/>
                <w:szCs w:val="20"/>
                <w:color w:val="auto"/>
              </w:rPr>
            </w:pPr>
            <w:r>
              <w:rPr>
                <w:rFonts w:ascii="Arial" w:cs="Arial" w:eastAsia="Arial" w:hAnsi="Arial"/>
                <w:sz w:val="14"/>
                <w:szCs w:val="14"/>
                <w:color w:val="auto"/>
              </w:rPr>
              <w:t>425,000</w:t>
            </w:r>
          </w:p>
        </w:tc>
        <w:tc>
          <w:tcPr>
            <w:tcW w:w="1020" w:type="dxa"/>
            <w:vAlign w:val="bottom"/>
          </w:tcPr>
          <w:p>
            <w:pPr>
              <w:jc w:val="center"/>
              <w:ind w:left="28"/>
              <w:spacing w:after="0"/>
              <w:rPr>
                <w:sz w:val="20"/>
                <w:szCs w:val="20"/>
                <w:color w:val="auto"/>
              </w:rPr>
            </w:pPr>
            <w:r>
              <w:rPr>
                <w:rFonts w:ascii="Arial" w:cs="Arial" w:eastAsia="Arial" w:hAnsi="Arial"/>
                <w:sz w:val="14"/>
                <w:szCs w:val="14"/>
                <w:color w:val="auto"/>
              </w:rPr>
              <w:t>850,000</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RSUs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8,578</w:t>
            </w:r>
          </w:p>
        </w:tc>
        <w:tc>
          <w:tcPr>
            <w:tcW w:w="1160" w:type="dxa"/>
            <w:vAlign w:val="bottom"/>
          </w:tcPr>
          <w:p>
            <w:pPr>
              <w:jc w:val="center"/>
              <w:spacing w:after="0"/>
              <w:rPr>
                <w:sz w:val="20"/>
                <w:szCs w:val="20"/>
                <w:color w:val="auto"/>
              </w:rPr>
            </w:pPr>
            <w:r>
              <w:rPr>
                <w:rFonts w:ascii="Arial" w:cs="Arial" w:eastAsia="Arial" w:hAnsi="Arial"/>
                <w:sz w:val="14"/>
                <w:szCs w:val="14"/>
                <w:color w:val="auto"/>
              </w:rPr>
              <w:t>680,064</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2/20/2023 PBRSUs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color w:val="auto"/>
              </w:rPr>
              <w:t>12,866</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27,341</w:t>
            </w:r>
          </w:p>
        </w:tc>
        <w:tc>
          <w:tcPr>
            <w:tcW w:w="12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1,119,846</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5/26/2023 RSUs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2,771</w:t>
            </w:r>
          </w:p>
        </w:tc>
        <w:tc>
          <w:tcPr>
            <w:tcW w:w="1160" w:type="dxa"/>
            <w:vAlign w:val="bottom"/>
          </w:tcPr>
          <w:p>
            <w:pPr>
              <w:jc w:val="center"/>
              <w:spacing w:after="0"/>
              <w:rPr>
                <w:sz w:val="20"/>
                <w:szCs w:val="20"/>
                <w:color w:val="auto"/>
              </w:rPr>
            </w:pPr>
            <w:r>
              <w:rPr>
                <w:rFonts w:ascii="Arial" w:cs="Arial" w:eastAsia="Arial" w:hAnsi="Arial"/>
                <w:sz w:val="14"/>
                <w:szCs w:val="14"/>
                <w:color w:val="auto"/>
              </w:rPr>
              <w:t>240,024</w:t>
            </w:r>
          </w:p>
        </w:tc>
        <w:tc>
          <w:tcPr>
            <w:tcW w:w="0" w:type="dxa"/>
            <w:vAlign w:val="bottom"/>
          </w:tcPr>
          <w:p>
            <w:pPr>
              <w:spacing w:after="0"/>
              <w:rPr>
                <w:sz w:val="1"/>
                <w:szCs w:val="1"/>
                <w:color w:val="auto"/>
              </w:rPr>
            </w:pPr>
          </w:p>
        </w:tc>
      </w:tr>
      <w:tr>
        <w:trPr>
          <w:trHeight w:val="207"/>
        </w:trPr>
        <w:tc>
          <w:tcPr>
            <w:tcW w:w="1840" w:type="dxa"/>
            <w:vAlign w:val="bottom"/>
          </w:tcPr>
          <w:p>
            <w:pPr>
              <w:spacing w:after="0"/>
              <w:rPr>
                <w:sz w:val="17"/>
                <w:szCs w:val="17"/>
                <w:color w:val="auto"/>
              </w:rPr>
            </w:pPr>
          </w:p>
        </w:tc>
        <w:tc>
          <w:tcPr>
            <w:tcW w:w="2360" w:type="dxa"/>
            <w:vAlign w:val="bottom"/>
            <w:gridSpan w:val="2"/>
          </w:tcPr>
          <w:p>
            <w:pPr>
              <w:ind w:left="340"/>
              <w:spacing w:after="0"/>
              <w:rPr>
                <w:sz w:val="20"/>
                <w:szCs w:val="20"/>
                <w:color w:val="auto"/>
              </w:rPr>
            </w:pPr>
            <w:r>
              <w:rPr>
                <w:rFonts w:ascii="Arial" w:cs="Arial" w:eastAsia="Arial" w:hAnsi="Arial"/>
                <w:sz w:val="14"/>
                <w:szCs w:val="14"/>
                <w:color w:val="auto"/>
              </w:rPr>
              <w:t>5/26/2023 PBRSUs</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color w:val="auto"/>
              </w:rPr>
              <w:t>4,157</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8,834</w:t>
            </w:r>
          </w:p>
        </w:tc>
        <w:tc>
          <w:tcPr>
            <w:tcW w:w="12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410,535</w:t>
            </w:r>
          </w:p>
        </w:tc>
        <w:tc>
          <w:tcPr>
            <w:tcW w:w="0" w:type="dxa"/>
            <w:vAlign w:val="bottom"/>
          </w:tcPr>
          <w:p>
            <w:pPr>
              <w:spacing w:after="0"/>
              <w:rPr>
                <w:sz w:val="1"/>
                <w:szCs w:val="1"/>
                <w:color w:val="auto"/>
              </w:rPr>
            </w:pPr>
          </w:p>
        </w:tc>
      </w:tr>
      <w:tr>
        <w:trPr>
          <w:trHeight w:val="212"/>
        </w:trPr>
        <w:tc>
          <w:tcPr>
            <w:tcW w:w="1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Ross F. Jatou (6)</w:t>
            </w: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Incentive</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403,750</w:t>
            </w:r>
          </w:p>
        </w:tc>
        <w:tc>
          <w:tcPr>
            <w:tcW w:w="10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auto"/>
              </w:rPr>
              <w:t>807,500</w:t>
            </w: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DBDBDB"/>
          </w:tcPr>
          <w:p>
            <w:pPr>
              <w:spacing w:after="0"/>
              <w:rPr>
                <w:sz w:val="18"/>
                <w:szCs w:val="18"/>
                <w:color w:val="auto"/>
              </w:rPr>
            </w:pPr>
          </w:p>
        </w:tc>
        <w:tc>
          <w:tcPr>
            <w:tcW w:w="980" w:type="dxa"/>
            <w:vAlign w:val="bottom"/>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RSUs</w:t>
            </w: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10,091</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800,014</w:t>
            </w:r>
          </w:p>
        </w:tc>
        <w:tc>
          <w:tcPr>
            <w:tcW w:w="0" w:type="dxa"/>
            <w:vAlign w:val="bottom"/>
          </w:tcPr>
          <w:p>
            <w:pPr>
              <w:spacing w:after="0"/>
              <w:rPr>
                <w:sz w:val="1"/>
                <w:szCs w:val="1"/>
                <w:color w:val="auto"/>
              </w:rPr>
            </w:pPr>
          </w:p>
        </w:tc>
      </w:tr>
      <w:tr>
        <w:trPr>
          <w:trHeight w:val="207"/>
        </w:trPr>
        <w:tc>
          <w:tcPr>
            <w:tcW w:w="184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4"/>
                <w:szCs w:val="14"/>
                <w:color w:val="auto"/>
                <w:w w:val="99"/>
              </w:rPr>
              <w:t>2/20/2023</w:t>
            </w:r>
          </w:p>
        </w:tc>
        <w:tc>
          <w:tcPr>
            <w:tcW w:w="1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PBRSUs</w:t>
            </w:r>
          </w:p>
        </w:tc>
        <w:tc>
          <w:tcPr>
            <w:tcW w:w="1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center"/>
              <w:ind w:left="88"/>
              <w:spacing w:after="0"/>
              <w:rPr>
                <w:sz w:val="20"/>
                <w:szCs w:val="20"/>
                <w:color w:val="auto"/>
              </w:rPr>
            </w:pPr>
            <w:r>
              <w:rPr>
                <w:rFonts w:ascii="Arial" w:cs="Arial" w:eastAsia="Arial" w:hAnsi="Arial"/>
                <w:sz w:val="14"/>
                <w:szCs w:val="14"/>
                <w:color w:val="auto"/>
              </w:rPr>
              <w:t>15,137</w:t>
            </w:r>
          </w:p>
        </w:tc>
        <w:tc>
          <w:tcPr>
            <w:tcW w:w="1140" w:type="dxa"/>
            <w:vAlign w:val="bottom"/>
            <w:tcBorders>
              <w:bottom w:val="single" w:sz="8" w:color="auto"/>
            </w:tcBorders>
            <w:shd w:val="clear" w:color="auto" w:fill="DBDBDB"/>
          </w:tcPr>
          <w:p>
            <w:pPr>
              <w:jc w:val="center"/>
              <w:ind w:left="68"/>
              <w:spacing w:after="0"/>
              <w:rPr>
                <w:sz w:val="20"/>
                <w:szCs w:val="20"/>
                <w:color w:val="auto"/>
              </w:rPr>
            </w:pPr>
            <w:r>
              <w:rPr>
                <w:rFonts w:ascii="Arial" w:cs="Arial" w:eastAsia="Arial" w:hAnsi="Arial"/>
                <w:sz w:val="14"/>
                <w:szCs w:val="14"/>
                <w:color w:val="auto"/>
              </w:rPr>
              <w:t>32,166</w:t>
            </w:r>
          </w:p>
        </w:tc>
        <w:tc>
          <w:tcPr>
            <w:tcW w:w="12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1,317,487</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260" w:right="20" w:hanging="234"/>
        <w:spacing w:after="0"/>
        <w:tabs>
          <w:tab w:leader="none" w:pos="246"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Amounts in these columns represent the range of possible payouts under our 2023 STI program. The 2023 STI program does not have a threshold payout and the maximum that may be earned is 200% of target. If we do not achieve minimum performance levels on the metrics in the Corporate Multiplier, no payouts would be earned. For more information on the 2023 STI program, please see “Elements of Our Compensation Program </w:t>
      </w:r>
      <w:r>
        <w:rPr>
          <w:rFonts w:ascii="Arial" w:cs="Arial" w:eastAsia="Arial" w:hAnsi="Arial"/>
          <w:sz w:val="17"/>
          <w:szCs w:val="17"/>
          <w:color w:val="auto"/>
        </w:rPr>
        <w:t>—</w:t>
      </w:r>
      <w:r>
        <w:rPr>
          <w:rFonts w:ascii="Arial" w:cs="Arial" w:eastAsia="Arial" w:hAnsi="Arial"/>
          <w:sz w:val="14"/>
          <w:szCs w:val="14"/>
          <w:color w:val="auto"/>
        </w:rPr>
        <w:t xml:space="preserve"> Short-Term Cash Incentive Program” in the CD&amp;A. For amounts actually paid under the 2023 STI program based on our performance during the year, please see the amounts reported in the “Non-Equity Incentive Plan Compensation” column in the SCT.</w:t>
      </w:r>
    </w:p>
    <w:p>
      <w:pPr>
        <w:spacing w:after="0" w:line="132" w:lineRule="exact"/>
        <w:rPr>
          <w:rFonts w:ascii="Arial" w:cs="Arial" w:eastAsia="Arial" w:hAnsi="Arial"/>
          <w:sz w:val="14"/>
          <w:szCs w:val="14"/>
          <w:color w:val="auto"/>
        </w:rPr>
      </w:pPr>
    </w:p>
    <w:p>
      <w:pPr>
        <w:ind w:left="260" w:right="20" w:hanging="234"/>
        <w:spacing w:after="0" w:line="228"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shown in these columns represent the number of shares that may be earned under the 2023 PBRSUs, which were granted to our NEOs under our 2023 LTI program and the SIP. The amounts in the “Target” column represent the total number of 2023 PBRSUs that could be earned, assuming that all performance goals are achieved at target but without taking into account any upside or TSR Adjustment. The amounts in the “Maximum” column represent the total number of PBRSUs that could be earned, assuming that all performance goals are achieved at stretch levels and, for each tranche of PBRSUs related to financial goals, that our relative TSR exceeds the stretch level for each of the three TSR performance periods (combined maximum of 212.5% of target). If our performance results for the 2023 LTI Performance Goals do not exceed minimum performance levels, all of the PBRSUs will be forfeited.</w:t>
      </w:r>
    </w:p>
    <w:p>
      <w:pPr>
        <w:ind w:left="240" w:hanging="214"/>
        <w:spacing w:after="0"/>
        <w:tabs>
          <w:tab w:leader="none" w:pos="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column represents time-based RSU awards made to our NEOs in 2023.</w:t>
      </w:r>
    </w:p>
    <w:p>
      <w:pPr>
        <w:spacing w:after="0" w:line="40" w:lineRule="exact"/>
        <w:rPr>
          <w:rFonts w:ascii="Arial" w:cs="Arial" w:eastAsia="Arial" w:hAnsi="Arial"/>
          <w:sz w:val="14"/>
          <w:szCs w:val="14"/>
          <w:color w:val="auto"/>
        </w:rPr>
      </w:pPr>
    </w:p>
    <w:p>
      <w:pPr>
        <w:ind w:left="260" w:right="120" w:hanging="234"/>
        <w:spacing w:after="0" w:line="228"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in this column represent the grant date fair value of each award calculated in accordance with FASB ASC Topic 718. The grant date fair value for RSUs and PBRSUs is based on the closing price on the date of grant except for the relative TSR component of the 2023 PBRSUs, which is determined by a third-party valuation firm based on probable outcome. The valuation for the PBRSUs is based upon a 100% attainment for the 2023 PBRSUs, which represents the probable outcome of the performance conditions for those awards, consistent with the estimate of aggregate compensation cost to be recognized over the service period determined as of the grant date under FASB ASC Topic 718, excluding the effect of estimated forfeitures. The amounts in this column do not necessarily represent the fair value for expensing purposes or the fair value of awards that were expected to vest as of December 31, 2023.</w:t>
      </w:r>
    </w:p>
    <w:p>
      <w:pPr>
        <w:spacing w:after="0" w:line="1" w:lineRule="exact"/>
        <w:rPr>
          <w:rFonts w:ascii="Arial" w:cs="Arial" w:eastAsia="Arial" w:hAnsi="Arial"/>
          <w:sz w:val="14"/>
          <w:szCs w:val="14"/>
          <w:color w:val="auto"/>
        </w:rPr>
      </w:pPr>
    </w:p>
    <w:p>
      <w:pPr>
        <w:ind w:left="260" w:right="460" w:hanging="234"/>
        <w:spacing w:after="0" w:line="251"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May 2023, in consideration of his April 2023 assumption of the role of the General Manager, ASG and related increase in his annual LTI target, the HCC Committee granted Mr. Gopalswamy an incremental LTI award of 2,771 RSUs and 4,157 PBRSUs.</w:t>
      </w:r>
    </w:p>
    <w:p>
      <w:pPr>
        <w:ind w:left="260" w:right="140" w:hanging="234"/>
        <w:spacing w:after="0" w:line="231" w:lineRule="auto"/>
        <w:tabs>
          <w:tab w:leader="none" w:pos="233"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The annual incentive opportunity shown for Mr. Jatou, a former executive officer, is based on his base salary and target STI opportunity as in effect in February 2023, when the HCC Committee approved his participation in the 2023 STI program. Following Mr. Jatou’s resignation from </w:t>
      </w:r>
      <w:r>
        <w:rPr>
          <w:rFonts w:ascii="Arial" w:cs="Arial" w:eastAsia="Arial" w:hAnsi="Arial"/>
          <w:sz w:val="14"/>
          <w:szCs w:val="14"/>
          <w:b w:val="1"/>
          <w:bCs w:val="1"/>
          <w:color w:val="auto"/>
        </w:rPr>
        <w:t>onsemi</w:t>
      </w:r>
      <w:r>
        <w:rPr>
          <w:rFonts w:ascii="Arial" w:cs="Arial" w:eastAsia="Arial" w:hAnsi="Arial"/>
          <w:sz w:val="14"/>
          <w:szCs w:val="14"/>
          <w:color w:val="auto"/>
        </w:rPr>
        <w:t xml:space="preserve"> effective February 22, 2024, he was no longer eligible to receive a payout under the 2023 STI program. In addition, the second and third tranches of the RSUs and PBRSUs granted to Mr. Jatou during 2023 were forfeited upon the end of his employment.</w:t>
      </w:r>
    </w:p>
    <w:p>
      <w:pPr>
        <w:spacing w:after="0" w:line="322" w:lineRule="exact"/>
        <w:rPr>
          <w:sz w:val="20"/>
          <w:szCs w:val="20"/>
          <w:color w:val="auto"/>
        </w:rPr>
      </w:pPr>
    </w:p>
    <w:p>
      <w:pPr>
        <w:ind w:right="80"/>
        <w:spacing w:after="0" w:line="295" w:lineRule="auto"/>
        <w:rPr>
          <w:sz w:val="20"/>
          <w:szCs w:val="20"/>
          <w:color w:val="auto"/>
        </w:rPr>
      </w:pPr>
      <w:r>
        <w:rPr>
          <w:rFonts w:ascii="Arial" w:cs="Arial" w:eastAsia="Arial" w:hAnsi="Arial"/>
          <w:sz w:val="25"/>
          <w:szCs w:val="25"/>
          <w:b w:val="1"/>
          <w:bCs w:val="1"/>
          <w:color w:val="465E66"/>
        </w:rPr>
        <w:t>Other Material Factors — Summary Compensation Table and Grants of Plan-Based Awards in 2023 Table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additional information regarding the material terms of each NEO’s employment agreement, see “Employment Agreements” in this proxy statement.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additional information regarding other material factors related to the SCT and Grants of Plan-Based Awards in 2023 Table, including, but not limited to, an explanation of the amount of salary and STI in proportion to total compensation, please refer to the “Elements of Our Compensation Program” section of the CD&amp;A.</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0" w:name="page51"/>
    <w:bookmarkEnd w:id="50"/>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further information regarding our 2023 LTI awards, please see “Elements of Our Compensation Program — Long-Term Incentive Program” above in the CD&amp;A.</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Outstanding Equity Awards at Fiscal Year-End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shd w:val="clear" w:color="auto" w:fill="465E66"/>
          </w:tcPr>
          <w:p>
            <w:pPr>
              <w:spacing w:after="0"/>
              <w:rPr>
                <w:sz w:val="17"/>
                <w:szCs w:val="17"/>
                <w:color w:val="auto"/>
              </w:rPr>
            </w:pPr>
          </w:p>
        </w:tc>
        <w:tc>
          <w:tcPr>
            <w:tcW w:w="1460" w:type="dxa"/>
            <w:vAlign w:val="bottom"/>
            <w:shd w:val="clear" w:color="auto" w:fill="465E66"/>
          </w:tcPr>
          <w:p>
            <w:pPr>
              <w:spacing w:after="0"/>
              <w:rPr>
                <w:sz w:val="17"/>
                <w:szCs w:val="17"/>
                <w:color w:val="auto"/>
              </w:rPr>
            </w:pPr>
          </w:p>
        </w:tc>
        <w:tc>
          <w:tcPr>
            <w:tcW w:w="1380" w:type="dxa"/>
            <w:vAlign w:val="bottom"/>
            <w:shd w:val="clear" w:color="auto" w:fill="465E66"/>
          </w:tcPr>
          <w:p>
            <w:pPr>
              <w:spacing w:after="0"/>
              <w:rPr>
                <w:sz w:val="17"/>
                <w:szCs w:val="17"/>
                <w:color w:val="auto"/>
              </w:rPr>
            </w:pPr>
          </w:p>
        </w:tc>
        <w:tc>
          <w:tcPr>
            <w:tcW w:w="1380" w:type="dxa"/>
            <w:vAlign w:val="bottom"/>
            <w:shd w:val="clear" w:color="auto" w:fill="465E66"/>
          </w:tcPr>
          <w:p>
            <w:pPr>
              <w:spacing w:after="0"/>
              <w:rPr>
                <w:sz w:val="17"/>
                <w:szCs w:val="17"/>
                <w:color w:val="auto"/>
              </w:rPr>
            </w:pPr>
          </w:p>
        </w:tc>
        <w:tc>
          <w:tcPr>
            <w:tcW w:w="3240" w:type="dxa"/>
            <w:vAlign w:val="bottom"/>
            <w:gridSpan w:val="2"/>
            <w:shd w:val="clear" w:color="auto" w:fill="465E66"/>
          </w:tcPr>
          <w:p>
            <w:pPr>
              <w:ind w:left="720"/>
              <w:spacing w:after="0"/>
              <w:rPr>
                <w:sz w:val="20"/>
                <w:szCs w:val="20"/>
                <w:color w:val="auto"/>
              </w:rPr>
            </w:pPr>
            <w:r>
              <w:rPr>
                <w:rFonts w:ascii="Arial" w:cs="Arial" w:eastAsia="Arial" w:hAnsi="Arial"/>
                <w:sz w:val="14"/>
                <w:szCs w:val="14"/>
                <w:b w:val="1"/>
                <w:bCs w:val="1"/>
                <w:color w:val="FFFFFF"/>
              </w:rPr>
              <w:t>All Other Stock Awards (1)</w:t>
            </w:r>
          </w:p>
        </w:tc>
        <w:tc>
          <w:tcPr>
            <w:tcW w:w="3420" w:type="dxa"/>
            <w:vAlign w:val="bottom"/>
            <w:gridSpan w:val="2"/>
            <w:shd w:val="clear" w:color="auto" w:fill="465E66"/>
          </w:tcPr>
          <w:p>
            <w:pPr>
              <w:ind w:left="600"/>
              <w:spacing w:after="0"/>
              <w:rPr>
                <w:sz w:val="20"/>
                <w:szCs w:val="20"/>
                <w:color w:val="auto"/>
              </w:rPr>
            </w:pPr>
            <w:r>
              <w:rPr>
                <w:rFonts w:ascii="Arial" w:cs="Arial" w:eastAsia="Arial" w:hAnsi="Arial"/>
                <w:sz w:val="14"/>
                <w:szCs w:val="14"/>
                <w:b w:val="1"/>
                <w:bCs w:val="1"/>
                <w:color w:val="FFFFFF"/>
              </w:rPr>
              <w:t>Equity Incentive Plan Awards (2)</w:t>
            </w:r>
          </w:p>
        </w:tc>
        <w:tc>
          <w:tcPr>
            <w:tcW w:w="0" w:type="dxa"/>
            <w:vAlign w:val="bottom"/>
          </w:tcPr>
          <w:p>
            <w:pPr>
              <w:spacing w:after="0"/>
              <w:rPr>
                <w:sz w:val="1"/>
                <w:szCs w:val="1"/>
                <w:color w:val="auto"/>
              </w:rPr>
            </w:pPr>
          </w:p>
        </w:tc>
      </w:tr>
      <w:tr>
        <w:trPr>
          <w:trHeight w:val="153"/>
        </w:trPr>
        <w:tc>
          <w:tcPr>
            <w:tcW w:w="360" w:type="dxa"/>
            <w:vAlign w:val="bottom"/>
            <w:shd w:val="clear" w:color="auto" w:fill="465E66"/>
          </w:tcPr>
          <w:p>
            <w:pPr>
              <w:spacing w:after="0"/>
              <w:rPr>
                <w:sz w:val="13"/>
                <w:szCs w:val="13"/>
                <w:color w:val="auto"/>
              </w:rPr>
            </w:pPr>
          </w:p>
        </w:tc>
        <w:tc>
          <w:tcPr>
            <w:tcW w:w="1460" w:type="dxa"/>
            <w:vAlign w:val="bottom"/>
            <w:shd w:val="clear" w:color="auto" w:fill="465E66"/>
          </w:tcPr>
          <w:p>
            <w:pPr>
              <w:spacing w:after="0"/>
              <w:rPr>
                <w:sz w:val="13"/>
                <w:szCs w:val="13"/>
                <w:color w:val="auto"/>
              </w:rPr>
            </w:pPr>
          </w:p>
        </w:tc>
        <w:tc>
          <w:tcPr>
            <w:tcW w:w="1380" w:type="dxa"/>
            <w:vAlign w:val="bottom"/>
            <w:shd w:val="clear" w:color="auto" w:fill="465E66"/>
          </w:tcPr>
          <w:p>
            <w:pPr>
              <w:spacing w:after="0"/>
              <w:rPr>
                <w:sz w:val="13"/>
                <w:szCs w:val="13"/>
                <w:color w:val="auto"/>
              </w:rPr>
            </w:pPr>
          </w:p>
        </w:tc>
        <w:tc>
          <w:tcPr>
            <w:tcW w:w="1380" w:type="dxa"/>
            <w:vAlign w:val="bottom"/>
            <w:shd w:val="clear" w:color="auto" w:fill="465E66"/>
          </w:tcPr>
          <w:p>
            <w:pPr>
              <w:spacing w:after="0"/>
              <w:rPr>
                <w:sz w:val="13"/>
                <w:szCs w:val="13"/>
                <w:color w:val="auto"/>
              </w:rPr>
            </w:pPr>
          </w:p>
        </w:tc>
        <w:tc>
          <w:tcPr>
            <w:tcW w:w="1660" w:type="dxa"/>
            <w:vAlign w:val="bottom"/>
            <w:shd w:val="clear" w:color="auto" w:fill="465E66"/>
          </w:tcPr>
          <w:p>
            <w:pPr>
              <w:spacing w:after="0"/>
              <w:rPr>
                <w:sz w:val="13"/>
                <w:szCs w:val="13"/>
                <w:color w:val="auto"/>
              </w:rPr>
            </w:pPr>
          </w:p>
        </w:tc>
        <w:tc>
          <w:tcPr>
            <w:tcW w:w="15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17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Number of Unearned</w:t>
            </w:r>
          </w:p>
        </w:tc>
        <w:tc>
          <w:tcPr>
            <w:tcW w:w="1720" w:type="dxa"/>
            <w:vAlign w:val="bottom"/>
            <w:shd w:val="clear" w:color="auto" w:fill="465E66"/>
          </w:tcPr>
          <w:p>
            <w:pPr>
              <w:jc w:val="center"/>
              <w:spacing w:after="0" w:line="153" w:lineRule="exact"/>
              <w:rPr>
                <w:sz w:val="20"/>
                <w:szCs w:val="20"/>
                <w:color w:val="auto"/>
              </w:rPr>
            </w:pPr>
            <w:r>
              <w:rPr>
                <w:rFonts w:ascii="Arial" w:cs="Arial" w:eastAsia="Arial" w:hAnsi="Arial"/>
                <w:sz w:val="14"/>
                <w:szCs w:val="14"/>
                <w:b w:val="1"/>
                <w:bCs w:val="1"/>
                <w:color w:val="FFFFFF"/>
              </w:rPr>
              <w:t>Market or Payout Value</w:t>
            </w:r>
          </w:p>
        </w:tc>
        <w:tc>
          <w:tcPr>
            <w:tcW w:w="0" w:type="dxa"/>
            <w:vAlign w:val="bottom"/>
          </w:tcPr>
          <w:p>
            <w:pPr>
              <w:spacing w:after="0"/>
              <w:rPr>
                <w:sz w:val="1"/>
                <w:szCs w:val="1"/>
                <w:color w:val="auto"/>
              </w:rPr>
            </w:pPr>
          </w:p>
        </w:tc>
      </w:tr>
      <w:tr>
        <w:trPr>
          <w:trHeight w:val="148"/>
        </w:trPr>
        <w:tc>
          <w:tcPr>
            <w:tcW w:w="360" w:type="dxa"/>
            <w:vAlign w:val="bottom"/>
            <w:shd w:val="clear" w:color="auto" w:fill="465E66"/>
          </w:tcPr>
          <w:p>
            <w:pPr>
              <w:spacing w:after="0"/>
              <w:rPr>
                <w:sz w:val="12"/>
                <w:szCs w:val="12"/>
                <w:color w:val="auto"/>
              </w:rPr>
            </w:pPr>
          </w:p>
        </w:tc>
        <w:tc>
          <w:tcPr>
            <w:tcW w:w="146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66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Number of Shares or</w:t>
            </w:r>
          </w:p>
        </w:tc>
        <w:tc>
          <w:tcPr>
            <w:tcW w:w="1580" w:type="dxa"/>
            <w:vAlign w:val="bottom"/>
            <w:vMerge w:val="continue"/>
            <w:shd w:val="clear" w:color="auto" w:fill="465E66"/>
          </w:tcPr>
          <w:p>
            <w:pPr>
              <w:spacing w:after="0"/>
              <w:rPr>
                <w:sz w:val="12"/>
                <w:szCs w:val="12"/>
                <w:color w:val="auto"/>
              </w:rPr>
            </w:pPr>
          </w:p>
        </w:tc>
        <w:tc>
          <w:tcPr>
            <w:tcW w:w="1700" w:type="dxa"/>
            <w:vAlign w:val="bottom"/>
            <w:vMerge w:val="continue"/>
            <w:shd w:val="clear" w:color="auto" w:fill="465E66"/>
          </w:tcPr>
          <w:p>
            <w:pPr>
              <w:spacing w:after="0"/>
              <w:rPr>
                <w:sz w:val="12"/>
                <w:szCs w:val="12"/>
                <w:color w:val="auto"/>
              </w:rPr>
            </w:pP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of Unearned Shares,</w:t>
            </w:r>
          </w:p>
        </w:tc>
        <w:tc>
          <w:tcPr>
            <w:tcW w:w="0" w:type="dxa"/>
            <w:vAlign w:val="bottom"/>
          </w:tcPr>
          <w:p>
            <w:pPr>
              <w:spacing w:after="0"/>
              <w:rPr>
                <w:sz w:val="1"/>
                <w:szCs w:val="1"/>
                <w:color w:val="auto"/>
              </w:rPr>
            </w:pPr>
          </w:p>
        </w:tc>
      </w:tr>
      <w:tr>
        <w:trPr>
          <w:trHeight w:val="144"/>
        </w:trPr>
        <w:tc>
          <w:tcPr>
            <w:tcW w:w="360" w:type="dxa"/>
            <w:vAlign w:val="bottom"/>
            <w:shd w:val="clear" w:color="auto" w:fill="465E66"/>
          </w:tcPr>
          <w:p>
            <w:pPr>
              <w:spacing w:after="0"/>
              <w:rPr>
                <w:sz w:val="12"/>
                <w:szCs w:val="12"/>
                <w:color w:val="auto"/>
              </w:rPr>
            </w:pPr>
          </w:p>
        </w:tc>
        <w:tc>
          <w:tcPr>
            <w:tcW w:w="146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660" w:type="dxa"/>
            <w:vAlign w:val="bottom"/>
            <w:vMerge w:val="continue"/>
            <w:shd w:val="clear" w:color="auto" w:fill="465E66"/>
          </w:tcPr>
          <w:p>
            <w:pPr>
              <w:spacing w:after="0"/>
              <w:rPr>
                <w:sz w:val="12"/>
                <w:szCs w:val="12"/>
                <w:color w:val="auto"/>
              </w:rPr>
            </w:pPr>
          </w:p>
        </w:tc>
        <w:tc>
          <w:tcPr>
            <w:tcW w:w="158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Shares or Units of</w:t>
            </w:r>
          </w:p>
        </w:tc>
        <w:tc>
          <w:tcPr>
            <w:tcW w:w="170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Shares, Units or Other</w:t>
            </w:r>
          </w:p>
        </w:tc>
        <w:tc>
          <w:tcPr>
            <w:tcW w:w="172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rPr>
              <w:t>Units or Other Rights</w:t>
            </w:r>
          </w:p>
        </w:tc>
        <w:tc>
          <w:tcPr>
            <w:tcW w:w="0" w:type="dxa"/>
            <w:vAlign w:val="bottom"/>
          </w:tcPr>
          <w:p>
            <w:pPr>
              <w:spacing w:after="0"/>
              <w:rPr>
                <w:sz w:val="1"/>
                <w:szCs w:val="1"/>
                <w:color w:val="auto"/>
              </w:rPr>
            </w:pPr>
          </w:p>
        </w:tc>
      </w:tr>
      <w:tr>
        <w:trPr>
          <w:trHeight w:val="148"/>
        </w:trPr>
        <w:tc>
          <w:tcPr>
            <w:tcW w:w="360" w:type="dxa"/>
            <w:vAlign w:val="bottom"/>
            <w:shd w:val="clear" w:color="auto" w:fill="465E66"/>
          </w:tcPr>
          <w:p>
            <w:pPr>
              <w:spacing w:after="0"/>
              <w:rPr>
                <w:sz w:val="12"/>
                <w:szCs w:val="12"/>
                <w:color w:val="auto"/>
              </w:rPr>
            </w:pPr>
          </w:p>
        </w:tc>
        <w:tc>
          <w:tcPr>
            <w:tcW w:w="146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380" w:type="dxa"/>
            <w:vAlign w:val="bottom"/>
            <w:shd w:val="clear" w:color="auto" w:fill="465E66"/>
          </w:tcPr>
          <w:p>
            <w:pPr>
              <w:spacing w:after="0"/>
              <w:rPr>
                <w:sz w:val="12"/>
                <w:szCs w:val="12"/>
                <w:color w:val="auto"/>
              </w:rPr>
            </w:pPr>
          </w:p>
        </w:tc>
        <w:tc>
          <w:tcPr>
            <w:tcW w:w="16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Units of Stock That</w:t>
            </w:r>
          </w:p>
        </w:tc>
        <w:tc>
          <w:tcPr>
            <w:tcW w:w="1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Stock That Have Not</w:t>
            </w:r>
          </w:p>
        </w:tc>
        <w:tc>
          <w:tcPr>
            <w:tcW w:w="170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Rights That Have Not</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That Have Not Vested</w:t>
            </w:r>
          </w:p>
        </w:tc>
        <w:tc>
          <w:tcPr>
            <w:tcW w:w="0" w:type="dxa"/>
            <w:vAlign w:val="bottom"/>
          </w:tcPr>
          <w:p>
            <w:pPr>
              <w:spacing w:after="0"/>
              <w:rPr>
                <w:sz w:val="1"/>
                <w:szCs w:val="1"/>
                <w:color w:val="auto"/>
              </w:rPr>
            </w:pPr>
          </w:p>
        </w:tc>
      </w:tr>
      <w:tr>
        <w:trPr>
          <w:trHeight w:val="135"/>
        </w:trPr>
        <w:tc>
          <w:tcPr>
            <w:tcW w:w="1820" w:type="dxa"/>
            <w:vAlign w:val="bottom"/>
            <w:gridSpan w:val="2"/>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Name</w:t>
            </w:r>
          </w:p>
        </w:tc>
        <w:tc>
          <w:tcPr>
            <w:tcW w:w="1380" w:type="dxa"/>
            <w:vAlign w:val="bottom"/>
            <w:vMerge w:val="restart"/>
            <w:shd w:val="clear" w:color="auto" w:fill="465E66"/>
          </w:tcPr>
          <w:p>
            <w:pPr>
              <w:ind w:left="320"/>
              <w:spacing w:after="0"/>
              <w:rPr>
                <w:sz w:val="20"/>
                <w:szCs w:val="20"/>
                <w:color w:val="auto"/>
              </w:rPr>
            </w:pPr>
            <w:r>
              <w:rPr>
                <w:rFonts w:ascii="Arial" w:cs="Arial" w:eastAsia="Arial" w:hAnsi="Arial"/>
                <w:sz w:val="14"/>
                <w:szCs w:val="14"/>
                <w:b w:val="1"/>
                <w:bCs w:val="1"/>
                <w:color w:val="FFFFFF"/>
              </w:rPr>
              <w:t>Grant Date</w:t>
            </w:r>
          </w:p>
        </w:tc>
        <w:tc>
          <w:tcPr>
            <w:tcW w:w="138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Type of Award</w:t>
            </w:r>
          </w:p>
        </w:tc>
        <w:tc>
          <w:tcPr>
            <w:tcW w:w="166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Have Not Vested</w:t>
            </w:r>
          </w:p>
        </w:tc>
        <w:tc>
          <w:tcPr>
            <w:tcW w:w="158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Vested (3)</w:t>
            </w:r>
          </w:p>
        </w:tc>
        <w:tc>
          <w:tcPr>
            <w:tcW w:w="170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Vested</w:t>
            </w:r>
          </w:p>
        </w:tc>
        <w:tc>
          <w:tcPr>
            <w:tcW w:w="172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89"/>
        </w:trPr>
        <w:tc>
          <w:tcPr>
            <w:tcW w:w="1820" w:type="dxa"/>
            <w:vAlign w:val="bottom"/>
            <w:gridSpan w:val="2"/>
            <w:vMerge w:val="continue"/>
            <w:shd w:val="clear" w:color="auto" w:fill="465E66"/>
          </w:tcPr>
          <w:p>
            <w:pPr>
              <w:spacing w:after="0"/>
              <w:rPr>
                <w:sz w:val="16"/>
                <w:szCs w:val="16"/>
                <w:color w:val="auto"/>
              </w:rPr>
            </w:pPr>
          </w:p>
        </w:tc>
        <w:tc>
          <w:tcPr>
            <w:tcW w:w="1380" w:type="dxa"/>
            <w:vAlign w:val="bottom"/>
            <w:vMerge w:val="continue"/>
            <w:shd w:val="clear" w:color="auto" w:fill="465E66"/>
          </w:tcPr>
          <w:p>
            <w:pPr>
              <w:spacing w:after="0"/>
              <w:rPr>
                <w:sz w:val="16"/>
                <w:szCs w:val="16"/>
                <w:color w:val="auto"/>
              </w:rPr>
            </w:pPr>
          </w:p>
        </w:tc>
        <w:tc>
          <w:tcPr>
            <w:tcW w:w="1380" w:type="dxa"/>
            <w:vAlign w:val="bottom"/>
            <w:vMerge w:val="continue"/>
            <w:shd w:val="clear" w:color="auto" w:fill="465E66"/>
          </w:tcPr>
          <w:p>
            <w:pPr>
              <w:spacing w:after="0"/>
              <w:rPr>
                <w:sz w:val="16"/>
                <w:szCs w:val="16"/>
                <w:color w:val="auto"/>
              </w:rPr>
            </w:pP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Hassane El-Khoury</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25,846</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2,158,916</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87,228</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7,286,155</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2/11/2022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52,004</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4,343,894</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2/11/2022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 (4)</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116,031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9,692,090</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43,877</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3,665,067</w:t>
            </w: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2/21/2023</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84,511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7,059,204</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2/21/2023</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127,316</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10,634,730</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73,313</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6,123,822</w:t>
            </w:r>
          </w:p>
        </w:tc>
        <w:tc>
          <w:tcPr>
            <w:tcW w:w="0" w:type="dxa"/>
            <w:vAlign w:val="bottom"/>
          </w:tcPr>
          <w:p>
            <w:pPr>
              <w:spacing w:after="0"/>
              <w:rPr>
                <w:sz w:val="1"/>
                <w:szCs w:val="1"/>
                <w:color w:val="auto"/>
              </w:rPr>
            </w:pPr>
          </w:p>
        </w:tc>
      </w:tr>
      <w:tr>
        <w:trPr>
          <w:trHeight w:val="215"/>
        </w:trPr>
        <w:tc>
          <w:tcPr>
            <w:tcW w:w="360" w:type="dxa"/>
            <w:vAlign w:val="bottom"/>
          </w:tcPr>
          <w:p>
            <w:pPr>
              <w:ind w:left="20"/>
              <w:spacing w:after="0"/>
              <w:rPr>
                <w:sz w:val="20"/>
                <w:szCs w:val="20"/>
                <w:color w:val="auto"/>
              </w:rPr>
            </w:pPr>
            <w:r>
              <w:rPr>
                <w:rFonts w:ascii="Arial" w:cs="Arial" w:eastAsia="Arial" w:hAnsi="Arial"/>
                <w:sz w:val="16"/>
                <w:szCs w:val="16"/>
                <w:color w:val="auto"/>
                <w:w w:val="87"/>
              </w:rPr>
              <w:t>Thad</w:t>
            </w:r>
          </w:p>
        </w:tc>
        <w:tc>
          <w:tcPr>
            <w:tcW w:w="1460" w:type="dxa"/>
            <w:vAlign w:val="bottom"/>
          </w:tcPr>
          <w:p>
            <w:pPr>
              <w:ind w:left="80"/>
              <w:spacing w:after="0"/>
              <w:rPr>
                <w:sz w:val="20"/>
                <w:szCs w:val="20"/>
                <w:color w:val="auto"/>
              </w:rPr>
            </w:pPr>
            <w:r>
              <w:rPr>
                <w:rFonts w:ascii="Arial" w:cs="Arial" w:eastAsia="Arial" w:hAnsi="Arial"/>
                <w:sz w:val="16"/>
                <w:szCs w:val="16"/>
                <w:color w:val="auto"/>
              </w:rPr>
              <w:t>Trent</w:t>
            </w:r>
          </w:p>
        </w:tc>
        <w:tc>
          <w:tcPr>
            <w:tcW w:w="1380" w:type="dxa"/>
            <w:vAlign w:val="bottom"/>
          </w:tcPr>
          <w:p>
            <w:pPr>
              <w:jc w:val="center"/>
              <w:spacing w:after="0"/>
              <w:rPr>
                <w:sz w:val="20"/>
                <w:szCs w:val="20"/>
                <w:color w:val="auto"/>
              </w:rPr>
            </w:pPr>
            <w:r>
              <w:rPr>
                <w:rFonts w:ascii="Arial" w:cs="Arial" w:eastAsia="Arial" w:hAnsi="Arial"/>
                <w:sz w:val="16"/>
                <w:szCs w:val="16"/>
                <w:color w:val="auto"/>
              </w:rPr>
              <w:t>2/16/2021</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25,886</w:t>
            </w:r>
          </w:p>
        </w:tc>
        <w:tc>
          <w:tcPr>
            <w:tcW w:w="1580" w:type="dxa"/>
            <w:vAlign w:val="bottom"/>
          </w:tcPr>
          <w:p>
            <w:pPr>
              <w:jc w:val="center"/>
              <w:spacing w:after="0"/>
              <w:rPr>
                <w:sz w:val="20"/>
                <w:szCs w:val="20"/>
                <w:color w:val="auto"/>
              </w:rPr>
            </w:pPr>
            <w:r>
              <w:rPr>
                <w:rFonts w:ascii="Arial" w:cs="Arial" w:eastAsia="Arial" w:hAnsi="Arial"/>
                <w:sz w:val="16"/>
                <w:szCs w:val="16"/>
                <w:color w:val="auto"/>
              </w:rPr>
              <w:t>2,162,258</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2/16/2021</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43,009</w:t>
            </w:r>
          </w:p>
        </w:tc>
        <w:tc>
          <w:tcPr>
            <w:tcW w:w="1580" w:type="dxa"/>
            <w:vAlign w:val="bottom"/>
          </w:tcPr>
          <w:p>
            <w:pPr>
              <w:jc w:val="center"/>
              <w:spacing w:after="0"/>
              <w:rPr>
                <w:sz w:val="20"/>
                <w:szCs w:val="20"/>
                <w:color w:val="auto"/>
              </w:rPr>
            </w:pPr>
            <w:r>
              <w:rPr>
                <w:rFonts w:ascii="Arial" w:cs="Arial" w:eastAsia="Arial" w:hAnsi="Arial"/>
                <w:sz w:val="16"/>
                <w:szCs w:val="16"/>
                <w:color w:val="auto"/>
              </w:rPr>
              <w:t>3,592,521</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17,870</w:t>
            </w:r>
          </w:p>
        </w:tc>
        <w:tc>
          <w:tcPr>
            <w:tcW w:w="1580" w:type="dxa"/>
            <w:vAlign w:val="bottom"/>
          </w:tcPr>
          <w:p>
            <w:pPr>
              <w:jc w:val="center"/>
              <w:spacing w:after="0"/>
              <w:rPr>
                <w:sz w:val="20"/>
                <w:szCs w:val="20"/>
                <w:color w:val="auto"/>
              </w:rPr>
            </w:pPr>
            <w:r>
              <w:rPr>
                <w:rFonts w:ascii="Arial" w:cs="Arial" w:eastAsia="Arial" w:hAnsi="Arial"/>
                <w:sz w:val="16"/>
                <w:szCs w:val="16"/>
                <w:color w:val="auto"/>
              </w:rPr>
              <w:t>1,492,681</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(4)</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39,873</w:t>
            </w:r>
          </w:p>
        </w:tc>
        <w:tc>
          <w:tcPr>
            <w:tcW w:w="1580" w:type="dxa"/>
            <w:vAlign w:val="bottom"/>
          </w:tcPr>
          <w:p>
            <w:pPr>
              <w:jc w:val="center"/>
              <w:spacing w:after="0"/>
              <w:rPr>
                <w:sz w:val="20"/>
                <w:szCs w:val="20"/>
                <w:color w:val="auto"/>
              </w:rPr>
            </w:pPr>
            <w:r>
              <w:rPr>
                <w:rFonts w:ascii="Arial" w:cs="Arial" w:eastAsia="Arial" w:hAnsi="Arial"/>
                <w:sz w:val="16"/>
                <w:szCs w:val="16"/>
                <w:color w:val="auto"/>
              </w:rPr>
              <w:t>3,330,592</w:t>
            </w:r>
          </w:p>
        </w:tc>
        <w:tc>
          <w:tcPr>
            <w:tcW w:w="1700" w:type="dxa"/>
            <w:vAlign w:val="bottom"/>
          </w:tcPr>
          <w:p>
            <w:pPr>
              <w:jc w:val="center"/>
              <w:spacing w:after="0"/>
              <w:rPr>
                <w:sz w:val="20"/>
                <w:szCs w:val="20"/>
                <w:color w:val="auto"/>
              </w:rPr>
            </w:pPr>
            <w:r>
              <w:rPr>
                <w:rFonts w:ascii="Arial" w:cs="Arial" w:eastAsia="Arial" w:hAnsi="Arial"/>
                <w:sz w:val="16"/>
                <w:szCs w:val="16"/>
                <w:color w:val="auto"/>
              </w:rPr>
              <w:t>15,075</w:t>
            </w:r>
          </w:p>
        </w:tc>
        <w:tc>
          <w:tcPr>
            <w:tcW w:w="1720" w:type="dxa"/>
            <w:vAlign w:val="bottom"/>
          </w:tcPr>
          <w:p>
            <w:pPr>
              <w:jc w:val="center"/>
              <w:spacing w:after="0"/>
              <w:rPr>
                <w:sz w:val="20"/>
                <w:szCs w:val="20"/>
                <w:color w:val="auto"/>
              </w:rPr>
            </w:pPr>
            <w:r>
              <w:rPr>
                <w:rFonts w:ascii="Arial" w:cs="Arial" w:eastAsia="Arial" w:hAnsi="Arial"/>
                <w:sz w:val="16"/>
                <w:szCs w:val="16"/>
                <w:color w:val="auto"/>
              </w:rPr>
              <w:t>1,259,215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30,273</w:t>
            </w:r>
          </w:p>
        </w:tc>
        <w:tc>
          <w:tcPr>
            <w:tcW w:w="1580" w:type="dxa"/>
            <w:vAlign w:val="bottom"/>
          </w:tcPr>
          <w:p>
            <w:pPr>
              <w:jc w:val="center"/>
              <w:spacing w:after="0"/>
              <w:rPr>
                <w:sz w:val="20"/>
                <w:szCs w:val="20"/>
                <w:color w:val="auto"/>
              </w:rPr>
            </w:pPr>
            <w:r>
              <w:rPr>
                <w:rFonts w:ascii="Arial" w:cs="Arial" w:eastAsia="Arial" w:hAnsi="Arial"/>
                <w:sz w:val="16"/>
                <w:szCs w:val="16"/>
                <w:color w:val="auto"/>
              </w:rPr>
              <w:t>2,528,704</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45,606</w:t>
            </w:r>
          </w:p>
        </w:tc>
        <w:tc>
          <w:tcPr>
            <w:tcW w:w="1580" w:type="dxa"/>
            <w:vAlign w:val="bottom"/>
          </w:tcPr>
          <w:p>
            <w:pPr>
              <w:jc w:val="center"/>
              <w:spacing w:after="0"/>
              <w:rPr>
                <w:sz w:val="20"/>
                <w:szCs w:val="20"/>
                <w:color w:val="auto"/>
              </w:rPr>
            </w:pPr>
            <w:r>
              <w:rPr>
                <w:rFonts w:ascii="Arial" w:cs="Arial" w:eastAsia="Arial" w:hAnsi="Arial"/>
                <w:sz w:val="16"/>
                <w:szCs w:val="16"/>
                <w:color w:val="auto"/>
              </w:rPr>
              <w:t>3,809,474</w:t>
            </w:r>
          </w:p>
        </w:tc>
        <w:tc>
          <w:tcPr>
            <w:tcW w:w="1700" w:type="dxa"/>
            <w:vAlign w:val="bottom"/>
          </w:tcPr>
          <w:p>
            <w:pPr>
              <w:jc w:val="center"/>
              <w:spacing w:after="0"/>
              <w:rPr>
                <w:sz w:val="20"/>
                <w:szCs w:val="20"/>
                <w:color w:val="auto"/>
              </w:rPr>
            </w:pPr>
            <w:r>
              <w:rPr>
                <w:rFonts w:ascii="Arial" w:cs="Arial" w:eastAsia="Arial" w:hAnsi="Arial"/>
                <w:sz w:val="16"/>
                <w:szCs w:val="16"/>
                <w:color w:val="auto"/>
              </w:rPr>
              <w:t>26,261</w:t>
            </w:r>
          </w:p>
        </w:tc>
        <w:tc>
          <w:tcPr>
            <w:tcW w:w="1720" w:type="dxa"/>
            <w:vAlign w:val="bottom"/>
          </w:tcPr>
          <w:p>
            <w:pPr>
              <w:jc w:val="center"/>
              <w:spacing w:after="0"/>
              <w:rPr>
                <w:sz w:val="20"/>
                <w:szCs w:val="20"/>
                <w:color w:val="auto"/>
              </w:rPr>
            </w:pPr>
            <w:r>
              <w:rPr>
                <w:rFonts w:ascii="Arial" w:cs="Arial" w:eastAsia="Arial" w:hAnsi="Arial"/>
                <w:sz w:val="16"/>
                <w:szCs w:val="16"/>
                <w:color w:val="auto"/>
              </w:rPr>
              <w:t>2,193,578</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Simon Keeton</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6,865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573,433</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23,168</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1,935,244</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7/1/2021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527</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44,020</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7/1/2021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1,185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98,983</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9,461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790,277</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 (4)</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21,109</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1,763,214</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7,981</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666,632</w:t>
            </w: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22,705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1,896,549</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34,205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2,857,120</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19,696</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1,645,183</w:t>
            </w:r>
          </w:p>
        </w:tc>
        <w:tc>
          <w:tcPr>
            <w:tcW w:w="0" w:type="dxa"/>
            <w:vAlign w:val="bottom"/>
          </w:tcPr>
          <w:p>
            <w:pPr>
              <w:spacing w:after="0"/>
              <w:rPr>
                <w:sz w:val="1"/>
                <w:szCs w:val="1"/>
                <w:color w:val="auto"/>
              </w:rPr>
            </w:pPr>
          </w:p>
        </w:tc>
      </w:tr>
      <w:tr>
        <w:trPr>
          <w:trHeight w:val="215"/>
        </w:trPr>
        <w:tc>
          <w:tcPr>
            <w:tcW w:w="1820" w:type="dxa"/>
            <w:vAlign w:val="bottom"/>
            <w:gridSpan w:val="2"/>
          </w:tcPr>
          <w:p>
            <w:pPr>
              <w:ind w:left="20"/>
              <w:spacing w:after="0"/>
              <w:rPr>
                <w:sz w:val="20"/>
                <w:szCs w:val="20"/>
                <w:color w:val="auto"/>
              </w:rPr>
            </w:pPr>
            <w:r>
              <w:rPr>
                <w:rFonts w:ascii="Arial" w:cs="Arial" w:eastAsia="Arial" w:hAnsi="Arial"/>
                <w:sz w:val="16"/>
                <w:szCs w:val="16"/>
                <w:color w:val="auto"/>
              </w:rPr>
              <w:t>Sudhir Gopalswamy</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3/7/2022</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(6)</w:t>
            </w: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22,889</w:t>
            </w:r>
          </w:p>
        </w:tc>
        <w:tc>
          <w:tcPr>
            <w:tcW w:w="1720" w:type="dxa"/>
            <w:vAlign w:val="bottom"/>
          </w:tcPr>
          <w:p>
            <w:pPr>
              <w:jc w:val="center"/>
              <w:spacing w:after="0"/>
              <w:rPr>
                <w:sz w:val="20"/>
                <w:szCs w:val="20"/>
                <w:color w:val="auto"/>
              </w:rPr>
            </w:pPr>
            <w:r>
              <w:rPr>
                <w:rFonts w:ascii="Arial" w:cs="Arial" w:eastAsia="Arial" w:hAnsi="Arial"/>
                <w:sz w:val="16"/>
                <w:szCs w:val="16"/>
                <w:color w:val="auto"/>
              </w:rPr>
              <w:t>1,911,918</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3/7/2022</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13,017</w:t>
            </w:r>
          </w:p>
        </w:tc>
        <w:tc>
          <w:tcPr>
            <w:tcW w:w="1580" w:type="dxa"/>
            <w:vAlign w:val="bottom"/>
          </w:tcPr>
          <w:p>
            <w:pPr>
              <w:jc w:val="center"/>
              <w:spacing w:after="0"/>
              <w:rPr>
                <w:sz w:val="20"/>
                <w:szCs w:val="20"/>
                <w:color w:val="auto"/>
              </w:rPr>
            </w:pPr>
            <w:r>
              <w:rPr>
                <w:rFonts w:ascii="Arial" w:cs="Arial" w:eastAsia="Arial" w:hAnsi="Arial"/>
                <w:sz w:val="16"/>
                <w:szCs w:val="16"/>
                <w:color w:val="auto"/>
              </w:rPr>
              <w:t>1,087,310</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3/7/2022</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(4)</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14,452</w:t>
            </w:r>
          </w:p>
        </w:tc>
        <w:tc>
          <w:tcPr>
            <w:tcW w:w="1580" w:type="dxa"/>
            <w:vAlign w:val="bottom"/>
          </w:tcPr>
          <w:p>
            <w:pPr>
              <w:jc w:val="center"/>
              <w:spacing w:after="0"/>
              <w:rPr>
                <w:sz w:val="20"/>
                <w:szCs w:val="20"/>
                <w:color w:val="auto"/>
              </w:rPr>
            </w:pPr>
            <w:r>
              <w:rPr>
                <w:rFonts w:ascii="Arial" w:cs="Arial" w:eastAsia="Arial" w:hAnsi="Arial"/>
                <w:sz w:val="16"/>
                <w:szCs w:val="16"/>
                <w:color w:val="auto"/>
              </w:rPr>
              <w:t>1,207,155</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5,461</w:t>
            </w:r>
          </w:p>
        </w:tc>
        <w:tc>
          <w:tcPr>
            <w:tcW w:w="1720" w:type="dxa"/>
            <w:vAlign w:val="bottom"/>
          </w:tcPr>
          <w:p>
            <w:pPr>
              <w:jc w:val="center"/>
              <w:spacing w:after="0"/>
              <w:rPr>
                <w:sz w:val="20"/>
                <w:szCs w:val="20"/>
                <w:color w:val="auto"/>
              </w:rPr>
            </w:pPr>
            <w:r>
              <w:rPr>
                <w:rFonts w:ascii="Arial" w:cs="Arial" w:eastAsia="Arial" w:hAnsi="Arial"/>
                <w:sz w:val="16"/>
                <w:szCs w:val="16"/>
                <w:color w:val="auto"/>
              </w:rPr>
              <w:t>456,136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8,578</w:t>
            </w:r>
          </w:p>
        </w:tc>
        <w:tc>
          <w:tcPr>
            <w:tcW w:w="1580" w:type="dxa"/>
            <w:vAlign w:val="bottom"/>
          </w:tcPr>
          <w:p>
            <w:pPr>
              <w:jc w:val="center"/>
              <w:spacing w:after="0"/>
              <w:rPr>
                <w:sz w:val="20"/>
                <w:szCs w:val="20"/>
                <w:color w:val="auto"/>
              </w:rPr>
            </w:pPr>
            <w:r>
              <w:rPr>
                <w:rFonts w:ascii="Arial" w:cs="Arial" w:eastAsia="Arial" w:hAnsi="Arial"/>
                <w:sz w:val="16"/>
                <w:szCs w:val="16"/>
                <w:color w:val="auto"/>
              </w:rPr>
              <w:t>716,520</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12,923</w:t>
            </w:r>
          </w:p>
        </w:tc>
        <w:tc>
          <w:tcPr>
            <w:tcW w:w="1580" w:type="dxa"/>
            <w:vAlign w:val="bottom"/>
          </w:tcPr>
          <w:p>
            <w:pPr>
              <w:jc w:val="center"/>
              <w:spacing w:after="0"/>
              <w:rPr>
                <w:sz w:val="20"/>
                <w:szCs w:val="20"/>
                <w:color w:val="auto"/>
              </w:rPr>
            </w:pPr>
            <w:r>
              <w:rPr>
                <w:rFonts w:ascii="Arial" w:cs="Arial" w:eastAsia="Arial" w:hAnsi="Arial"/>
                <w:sz w:val="16"/>
                <w:szCs w:val="16"/>
                <w:color w:val="auto"/>
              </w:rPr>
              <w:t>1,079,432</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7,440</w:t>
            </w:r>
          </w:p>
        </w:tc>
        <w:tc>
          <w:tcPr>
            <w:tcW w:w="1720" w:type="dxa"/>
            <w:vAlign w:val="bottom"/>
          </w:tcPr>
          <w:p>
            <w:pPr>
              <w:jc w:val="center"/>
              <w:spacing w:after="0"/>
              <w:rPr>
                <w:sz w:val="20"/>
                <w:szCs w:val="20"/>
                <w:color w:val="auto"/>
              </w:rPr>
            </w:pPr>
            <w:r>
              <w:rPr>
                <w:rFonts w:ascii="Arial" w:cs="Arial" w:eastAsia="Arial" w:hAnsi="Arial"/>
                <w:sz w:val="16"/>
                <w:szCs w:val="16"/>
                <w:color w:val="auto"/>
              </w:rPr>
              <w:t>621,436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5/26/2023</w:t>
            </w:r>
          </w:p>
        </w:tc>
        <w:tc>
          <w:tcPr>
            <w:tcW w:w="1380" w:type="dxa"/>
            <w:vAlign w:val="bottom"/>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2,771</w:t>
            </w:r>
          </w:p>
        </w:tc>
        <w:tc>
          <w:tcPr>
            <w:tcW w:w="1580" w:type="dxa"/>
            <w:vAlign w:val="bottom"/>
          </w:tcPr>
          <w:p>
            <w:pPr>
              <w:jc w:val="center"/>
              <w:spacing w:after="0"/>
              <w:rPr>
                <w:sz w:val="20"/>
                <w:szCs w:val="20"/>
                <w:color w:val="auto"/>
              </w:rPr>
            </w:pPr>
            <w:r>
              <w:rPr>
                <w:rFonts w:ascii="Arial" w:cs="Arial" w:eastAsia="Arial" w:hAnsi="Arial"/>
                <w:sz w:val="16"/>
                <w:szCs w:val="16"/>
                <w:color w:val="auto"/>
              </w:rPr>
              <w:t>231,462</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5/26/2023</w:t>
            </w:r>
          </w:p>
        </w:tc>
        <w:tc>
          <w:tcPr>
            <w:tcW w:w="1380" w:type="dxa"/>
            <w:vAlign w:val="bottom"/>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4,174</w:t>
            </w:r>
          </w:p>
        </w:tc>
        <w:tc>
          <w:tcPr>
            <w:tcW w:w="1580" w:type="dxa"/>
            <w:vAlign w:val="bottom"/>
          </w:tcPr>
          <w:p>
            <w:pPr>
              <w:jc w:val="center"/>
              <w:spacing w:after="0"/>
              <w:rPr>
                <w:sz w:val="20"/>
                <w:szCs w:val="20"/>
                <w:color w:val="auto"/>
              </w:rPr>
            </w:pPr>
            <w:r>
              <w:rPr>
                <w:rFonts w:ascii="Arial" w:cs="Arial" w:eastAsia="Arial" w:hAnsi="Arial"/>
                <w:sz w:val="16"/>
                <w:szCs w:val="16"/>
                <w:color w:val="auto"/>
              </w:rPr>
              <w:t>348,670</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2,405</w:t>
            </w:r>
          </w:p>
        </w:tc>
        <w:tc>
          <w:tcPr>
            <w:tcW w:w="1720" w:type="dxa"/>
            <w:vAlign w:val="bottom"/>
          </w:tcPr>
          <w:p>
            <w:pPr>
              <w:jc w:val="center"/>
              <w:spacing w:after="0"/>
              <w:rPr>
                <w:sz w:val="20"/>
                <w:szCs w:val="20"/>
                <w:color w:val="auto"/>
              </w:rPr>
            </w:pPr>
            <w:r>
              <w:rPr>
                <w:rFonts w:ascii="Arial" w:cs="Arial" w:eastAsia="Arial" w:hAnsi="Arial"/>
                <w:sz w:val="16"/>
                <w:szCs w:val="16"/>
                <w:color w:val="auto"/>
              </w:rPr>
              <w:t>200,865</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Ross F. Jatou (7)</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4,038</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337,294</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2/12/2021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13,628</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1,138,368</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7/1/2021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527</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44,020</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7/1/2021</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1,185</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98,983</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5,887</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491,741</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2/10/2022</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PBRSUs (4)</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13,136</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1,097,208</w:t>
            </w:r>
          </w:p>
        </w:tc>
        <w:tc>
          <w:tcPr>
            <w:tcW w:w="17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4,964</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414,601</w:t>
            </w:r>
          </w:p>
        </w:tc>
        <w:tc>
          <w:tcPr>
            <w:tcW w:w="0" w:type="dxa"/>
            <w:vAlign w:val="bottom"/>
          </w:tcPr>
          <w:p>
            <w:pPr>
              <w:spacing w:after="0"/>
              <w:rPr>
                <w:sz w:val="1"/>
                <w:szCs w:val="1"/>
                <w:color w:val="auto"/>
              </w:rPr>
            </w:pPr>
          </w:p>
        </w:tc>
      </w:tr>
      <w:tr>
        <w:trPr>
          <w:trHeight w:val="216"/>
        </w:trPr>
        <w:tc>
          <w:tcPr>
            <w:tcW w:w="3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RSUs</w:t>
            </w:r>
          </w:p>
        </w:tc>
        <w:tc>
          <w:tcPr>
            <w:tcW w:w="16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10,091</w:t>
            </w: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842,901</w:t>
            </w:r>
          </w:p>
        </w:tc>
        <w:tc>
          <w:tcPr>
            <w:tcW w:w="17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2/20/2023</w:t>
            </w:r>
          </w:p>
        </w:tc>
        <w:tc>
          <w:tcPr>
            <w:tcW w:w="13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PBRSUs (5)</w:t>
            </w:r>
          </w:p>
        </w:tc>
        <w:tc>
          <w:tcPr>
            <w:tcW w:w="16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8"/>
              </w:rPr>
              <w:t>15,205</w:t>
            </w:r>
          </w:p>
        </w:tc>
        <w:tc>
          <w:tcPr>
            <w:tcW w:w="1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1,270,086</w:t>
            </w:r>
          </w:p>
        </w:tc>
        <w:tc>
          <w:tcPr>
            <w:tcW w:w="1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8,751</w:t>
            </w:r>
          </w:p>
        </w:tc>
        <w:tc>
          <w:tcPr>
            <w:tcW w:w="1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730,999</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260" w:right="100" w:hanging="234"/>
        <w:spacing w:after="0" w:line="243" w:lineRule="auto"/>
        <w:tabs>
          <w:tab w:leader="none" w:pos="233"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unvested awards that remain subject to the NEO’s continued employment through the applicable vesting date and all other terms and conditions of the SIP and the award agreement. These include unvested time-based RSUs, which vest in three equal installments on the first three anniversaries of the grant date, and any unvested PBRSUs for which all performance criteria were complete on or before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1" w:name="page52"/>
    <w:bookmarkEnd w:id="51"/>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right="40" w:hanging="234"/>
        <w:spacing w:after="0" w:line="224" w:lineRule="auto"/>
        <w:tabs>
          <w:tab w:leader="none" w:pos="233"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outstanding PBRSUs that, as of December 31, 2023, remain subject to performance conditions, the NEO’s continued employment through the applicable vesting date, and all other terms and conditions of the SIP and the award agreement. The number of PBRSUs reported in this column assumes maximum performance on the remaining metric (relative TSR over a two- or three-year period), which would increase payouts, on a tranche-by-tranche basis, by 150% of the number of PBRSUs calculated as earned based on one-year financial metrics. However, the actual relative TSR Adjustment may range between a reduction of 50% to the maximum increase of 150%. The amounts in this column do not necessarily represent the number of shares used for expensing purposes or the number of awards that were expected to vest as of December 31, 2023. The estimated number of units that are expected to vest is evaluated and adjusted each reporting period, as necessary, in connection with the preparation of the Company’s quarterly and annual financial statements.</w:t>
      </w:r>
    </w:p>
    <w:p>
      <w:pPr>
        <w:spacing w:after="0" w:line="14" w:lineRule="exact"/>
        <w:rPr>
          <w:rFonts w:ascii="Arial" w:cs="Arial" w:eastAsia="Arial" w:hAnsi="Arial"/>
          <w:sz w:val="14"/>
          <w:szCs w:val="14"/>
          <w:color w:val="auto"/>
        </w:rPr>
      </w:pPr>
    </w:p>
    <w:p>
      <w:pPr>
        <w:ind w:left="260" w:right="240" w:hanging="234"/>
        <w:spacing w:after="0" w:line="235" w:lineRule="auto"/>
        <w:tabs>
          <w:tab w:leader="none" w:pos="233"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dollar values in this column are calculated by multiplying the closing market price of our common stock on December 31, 2023 ($83.53) by the number of RSUs or PBRSUs shown as held by the NEO. The amounts in this column do not necessarily represent the fair value for expensing purposes or the fair value of awards that were expected to vest as of December 31, 2023.</w:t>
      </w:r>
    </w:p>
    <w:p>
      <w:pPr>
        <w:spacing w:after="0" w:line="13" w:lineRule="exact"/>
        <w:rPr>
          <w:rFonts w:ascii="Arial" w:cs="Arial" w:eastAsia="Arial" w:hAnsi="Arial"/>
          <w:sz w:val="14"/>
          <w:szCs w:val="14"/>
          <w:color w:val="auto"/>
        </w:rPr>
      </w:pPr>
    </w:p>
    <w:p>
      <w:pPr>
        <w:ind w:left="260" w:right="80" w:hanging="234"/>
        <w:spacing w:after="0" w:line="225" w:lineRule="auto"/>
        <w:tabs>
          <w:tab w:leader="none" w:pos="233"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these 2022 PBRSUs, the number shown under “All Other Stock Awards” reflects the total number of PBRSUs earned in the second tranche, including the two-year TSR Adjustment. Our relative TSR performance exceeded the stretch level, which meant that the number of PBRSUs earned in the second tranche, as originally determined on the basis of 2022 financial metrics, was multiplied by 150% to determine the payout. This second tranche of PBRSUs vested on February 15, 2024. The number shown under “Equity Incentive Plan Awards” reflects the number of PBRSUs in the third tranche, as calculated based on our performance on 2022 financial metrics and assuming the maximum three-year TSR Adjustment. Following the end of the three-year performance period, the HCC Committee will certify the number of PBRSUs earned in that tranche based on our actual relative TSR performance, and those PBRSUs will vest on February 15, 2025 subject to the NEO’s continued employment through that date.</w:t>
      </w:r>
    </w:p>
    <w:p>
      <w:pPr>
        <w:spacing w:after="0" w:line="12" w:lineRule="exact"/>
        <w:rPr>
          <w:rFonts w:ascii="Arial" w:cs="Arial" w:eastAsia="Arial" w:hAnsi="Arial"/>
          <w:sz w:val="14"/>
          <w:szCs w:val="14"/>
          <w:color w:val="auto"/>
        </w:rPr>
      </w:pPr>
    </w:p>
    <w:p>
      <w:pPr>
        <w:ind w:left="260" w:right="60" w:hanging="234"/>
        <w:spacing w:after="0" w:line="221" w:lineRule="auto"/>
        <w:tabs>
          <w:tab w:leader="none" w:pos="233" w:val="left"/>
        </w:tabs>
        <w:numPr>
          <w:ilvl w:val="0"/>
          <w:numId w:val="79"/>
        </w:numPr>
        <w:rPr>
          <w:rFonts w:ascii="Arial" w:cs="Arial" w:eastAsia="Arial" w:hAnsi="Arial"/>
          <w:sz w:val="14"/>
          <w:szCs w:val="14"/>
          <w:color w:val="auto"/>
        </w:rPr>
      </w:pPr>
      <w:r>
        <w:rPr>
          <w:rFonts w:ascii="Arial" w:cs="Arial" w:eastAsia="Arial" w:hAnsi="Arial"/>
          <w:sz w:val="14"/>
          <w:szCs w:val="14"/>
          <w:color w:val="auto"/>
        </w:rPr>
        <w:t>For our 2023 PBRSUs, the number shown under “All Other Stock Awards” reflects one-third of the number of PBRSUs calculated as earned under the LTI Financial Goals (the first tranche), including the one-year TSR Adjustment, plus all PBRSUs calculated as earned under the LTI Strategic Goals (all three tranches), as the performance period ended on December 31, 2023 for each of those components. We achieved a combined 116% on the LTI Financial Goals and a combined 150% on the LTI Strategic Goals. In addition, our one-year relative TSR performance was at the 66th percentile, which meant that the number of PBRSUs in the first tranche calculated as earned under the LTI Financial Goals was multiplied by 132% to determine the payout on that portion of the award, for a combined first tranche payout on all LTI Performance Goals of 151%. The remainder of the 2023 PBRSUs (the second and third tranches of the PBRSUs tied to, and calculated as earned under, the LTI Financial Goals) is reported under “Equity Incentive Plan Awards,” assuming maximum TSR Adjustment for each. The first tranche of PBRSUs vested on February 6, 2024, following the HCC Committee’s certification of performance, while the second two tranches, with the PBRSUs tied to LTI Financial Goals to be further adjusted for our actual two- or three-year relative TSR performance, will vest in February of 2025 and 2026, respectively, in each case, subject to the NEO’s continued employment through the vesting date. For more information on these awards, please see the section entitled “Elements of our Compensation Program — Long-Term Incentive Program” in our CD&amp;A.</w:t>
      </w:r>
    </w:p>
    <w:p>
      <w:pPr>
        <w:spacing w:after="0" w:line="16" w:lineRule="exact"/>
        <w:rPr>
          <w:rFonts w:ascii="Arial" w:cs="Arial" w:eastAsia="Arial" w:hAnsi="Arial"/>
          <w:sz w:val="14"/>
          <w:szCs w:val="14"/>
          <w:color w:val="auto"/>
        </w:rPr>
      </w:pPr>
    </w:p>
    <w:p>
      <w:pPr>
        <w:ind w:left="260" w:right="220" w:hanging="234"/>
        <w:spacing w:after="0" w:line="252" w:lineRule="auto"/>
        <w:tabs>
          <w:tab w:leader="none" w:pos="233"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a new hire grant of PBRSUs awarded to Mr. Gopalswamy on March 7, 2022. Vesting of these PBRSUs could vary between 0-100% depending upon our TSR over the two-year period following grant (March 7, 2022 through March 7, 2024), relative to the TSR of our defined group of peer companies.</w:t>
      </w:r>
    </w:p>
    <w:p>
      <w:pPr>
        <w:ind w:left="240" w:hanging="214"/>
        <w:spacing w:after="0"/>
        <w:tabs>
          <w:tab w:leader="none" w:pos="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On February 22, 2024, Mr. Jatou’s last day of </w:t>
      </w:r>
      <w:r>
        <w:rPr>
          <w:rFonts w:ascii="Arial" w:cs="Arial" w:eastAsia="Arial" w:hAnsi="Arial"/>
          <w:sz w:val="14"/>
          <w:szCs w:val="14"/>
          <w:b w:val="1"/>
          <w:bCs w:val="1"/>
          <w:color w:val="auto"/>
        </w:rPr>
        <w:t>onsemi</w:t>
      </w:r>
      <w:r>
        <w:rPr>
          <w:rFonts w:ascii="Arial" w:cs="Arial" w:eastAsia="Arial" w:hAnsi="Arial"/>
          <w:sz w:val="14"/>
          <w:szCs w:val="14"/>
          <w:color w:val="auto"/>
        </w:rPr>
        <w:t xml:space="preserve"> employment, all of his unvested equity awards were forfeited.</w:t>
      </w: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2023 Stock Vested</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203"/>
        </w:trPr>
        <w:tc>
          <w:tcPr>
            <w:tcW w:w="1860" w:type="dxa"/>
            <w:vAlign w:val="bottom"/>
            <w:shd w:val="clear" w:color="auto" w:fill="465E66"/>
          </w:tcPr>
          <w:p>
            <w:pPr>
              <w:spacing w:after="0"/>
              <w:rPr>
                <w:sz w:val="17"/>
                <w:szCs w:val="17"/>
                <w:color w:val="auto"/>
              </w:rPr>
            </w:pPr>
          </w:p>
        </w:tc>
        <w:tc>
          <w:tcPr>
            <w:tcW w:w="3880" w:type="dxa"/>
            <w:vAlign w:val="bottom"/>
            <w:shd w:val="clear" w:color="auto" w:fill="465E66"/>
          </w:tcPr>
          <w:p>
            <w:pPr>
              <w:ind w:left="2880"/>
              <w:spacing w:after="0"/>
              <w:rPr>
                <w:sz w:val="20"/>
                <w:szCs w:val="20"/>
                <w:color w:val="auto"/>
              </w:rPr>
            </w:pPr>
            <w:r>
              <w:rPr>
                <w:rFonts w:ascii="Arial" w:cs="Arial" w:eastAsia="Arial" w:hAnsi="Arial"/>
                <w:sz w:val="14"/>
                <w:szCs w:val="14"/>
                <w:b w:val="1"/>
                <w:bCs w:val="1"/>
                <w:color w:val="FFFFFF"/>
              </w:rPr>
              <w:t>Stock Awards</w:t>
            </w:r>
          </w:p>
        </w:tc>
        <w:tc>
          <w:tcPr>
            <w:tcW w:w="284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60" w:type="dxa"/>
            <w:vAlign w:val="bottom"/>
            <w:vMerge w:val="restart"/>
            <w:shd w:val="clear" w:color="auto" w:fill="465E66"/>
          </w:tcPr>
          <w:p>
            <w:pPr>
              <w:spacing w:after="0"/>
              <w:rPr>
                <w:sz w:val="20"/>
                <w:szCs w:val="20"/>
                <w:color w:val="auto"/>
              </w:rPr>
            </w:pPr>
            <w:r>
              <w:rPr>
                <w:rFonts w:ascii="Arial" w:cs="Arial" w:eastAsia="Arial" w:hAnsi="Arial"/>
                <w:sz w:val="14"/>
                <w:szCs w:val="14"/>
                <w:b w:val="1"/>
                <w:bCs w:val="1"/>
                <w:color w:val="FFFFFF"/>
              </w:rPr>
              <w:t>Name</w:t>
            </w:r>
          </w:p>
        </w:tc>
        <w:tc>
          <w:tcPr>
            <w:tcW w:w="3880" w:type="dxa"/>
            <w:vAlign w:val="bottom"/>
            <w:shd w:val="clear" w:color="auto" w:fill="465E66"/>
          </w:tcPr>
          <w:p>
            <w:pPr>
              <w:ind w:left="120"/>
              <w:spacing w:after="0" w:line="153" w:lineRule="exact"/>
              <w:rPr>
                <w:sz w:val="20"/>
                <w:szCs w:val="20"/>
                <w:color w:val="auto"/>
              </w:rPr>
            </w:pPr>
            <w:r>
              <w:rPr>
                <w:rFonts w:ascii="Arial" w:cs="Arial" w:eastAsia="Arial" w:hAnsi="Arial"/>
                <w:sz w:val="14"/>
                <w:szCs w:val="14"/>
                <w:b w:val="1"/>
                <w:bCs w:val="1"/>
                <w:color w:val="FFFFFF"/>
              </w:rPr>
              <w:t>Number of Shares Acquired on Vesting (1)</w:t>
            </w:r>
          </w:p>
        </w:tc>
        <w:tc>
          <w:tcPr>
            <w:tcW w:w="2840" w:type="dxa"/>
            <w:vAlign w:val="bottom"/>
            <w:shd w:val="clear" w:color="auto" w:fill="465E66"/>
          </w:tcPr>
          <w:p>
            <w:pPr>
              <w:ind w:left="40"/>
              <w:spacing w:after="0" w:line="153" w:lineRule="exact"/>
              <w:rPr>
                <w:sz w:val="20"/>
                <w:szCs w:val="20"/>
                <w:color w:val="auto"/>
              </w:rPr>
            </w:pPr>
            <w:r>
              <w:rPr>
                <w:rFonts w:ascii="Arial" w:cs="Arial" w:eastAsia="Arial" w:hAnsi="Arial"/>
                <w:sz w:val="14"/>
                <w:szCs w:val="14"/>
                <w:b w:val="1"/>
                <w:bCs w:val="1"/>
                <w:color w:val="FFFFFF"/>
              </w:rPr>
              <w:t>Value Realized on Vesting (2)</w:t>
            </w:r>
          </w:p>
        </w:tc>
        <w:tc>
          <w:tcPr>
            <w:tcW w:w="0" w:type="dxa"/>
            <w:vAlign w:val="bottom"/>
          </w:tcPr>
          <w:p>
            <w:pPr>
              <w:spacing w:after="0"/>
              <w:rPr>
                <w:sz w:val="1"/>
                <w:szCs w:val="1"/>
                <w:color w:val="auto"/>
              </w:rPr>
            </w:pPr>
          </w:p>
        </w:tc>
      </w:tr>
      <w:tr>
        <w:trPr>
          <w:trHeight w:val="185"/>
        </w:trPr>
        <w:tc>
          <w:tcPr>
            <w:tcW w:w="1860" w:type="dxa"/>
            <w:vAlign w:val="bottom"/>
            <w:vMerge w:val="continue"/>
            <w:shd w:val="clear" w:color="auto" w:fill="465E66"/>
          </w:tcPr>
          <w:p>
            <w:pPr>
              <w:spacing w:after="0"/>
              <w:rPr>
                <w:sz w:val="16"/>
                <w:szCs w:val="16"/>
                <w:color w:val="auto"/>
              </w:rPr>
            </w:pPr>
          </w:p>
        </w:tc>
        <w:tc>
          <w:tcPr>
            <w:tcW w:w="3880" w:type="dxa"/>
            <w:vAlign w:val="bottom"/>
            <w:shd w:val="clear" w:color="auto" w:fill="465E66"/>
          </w:tcPr>
          <w:p>
            <w:pPr>
              <w:jc w:val="center"/>
              <w:ind w:right="702"/>
              <w:spacing w:after="0"/>
              <w:rPr>
                <w:sz w:val="20"/>
                <w:szCs w:val="20"/>
                <w:color w:val="auto"/>
              </w:rPr>
            </w:pPr>
            <w:r>
              <w:rPr>
                <w:rFonts w:ascii="Arial" w:cs="Arial" w:eastAsia="Arial" w:hAnsi="Arial"/>
                <w:sz w:val="14"/>
                <w:szCs w:val="14"/>
                <w:b w:val="1"/>
                <w:bCs w:val="1"/>
                <w:color w:val="FFFFFF"/>
              </w:rPr>
              <w:t>(#)</w:t>
            </w:r>
          </w:p>
        </w:tc>
        <w:tc>
          <w:tcPr>
            <w:tcW w:w="2840" w:type="dxa"/>
            <w:vAlign w:val="bottom"/>
            <w:shd w:val="clear" w:color="auto" w:fill="465E66"/>
          </w:tcPr>
          <w:p>
            <w:pPr>
              <w:jc w:val="center"/>
              <w:ind w:right="70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860" w:type="dxa"/>
            <w:vAlign w:val="bottom"/>
            <w:shd w:val="clear" w:color="auto" w:fill="DBDBDB"/>
          </w:tcPr>
          <w:p>
            <w:pPr>
              <w:spacing w:after="0"/>
              <w:rPr>
                <w:sz w:val="20"/>
                <w:szCs w:val="20"/>
                <w:color w:val="auto"/>
              </w:rPr>
            </w:pPr>
            <w:r>
              <w:rPr>
                <w:rFonts w:ascii="Arial" w:cs="Arial" w:eastAsia="Arial" w:hAnsi="Arial"/>
                <w:sz w:val="16"/>
                <w:szCs w:val="16"/>
                <w:color w:val="auto"/>
              </w:rPr>
              <w:t>Hassane El-Khoury</w:t>
            </w:r>
          </w:p>
        </w:tc>
        <w:tc>
          <w:tcPr>
            <w:tcW w:w="388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251,749</w:t>
            </w:r>
          </w:p>
        </w:tc>
        <w:tc>
          <w:tcPr>
            <w:tcW w:w="284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21,228,408</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Thad Trent</w:t>
            </w:r>
          </w:p>
        </w:tc>
        <w:tc>
          <w:tcPr>
            <w:tcW w:w="3880" w:type="dxa"/>
            <w:vAlign w:val="bottom"/>
          </w:tcPr>
          <w:p>
            <w:pPr>
              <w:jc w:val="center"/>
              <w:ind w:right="702"/>
              <w:spacing w:after="0"/>
              <w:rPr>
                <w:sz w:val="20"/>
                <w:szCs w:val="20"/>
                <w:color w:val="auto"/>
              </w:rPr>
            </w:pPr>
            <w:r>
              <w:rPr>
                <w:rFonts w:ascii="Arial" w:cs="Arial" w:eastAsia="Arial" w:hAnsi="Arial"/>
                <w:sz w:val="16"/>
                <w:szCs w:val="16"/>
                <w:color w:val="auto"/>
              </w:rPr>
              <w:t>197,312</w:t>
            </w:r>
          </w:p>
        </w:tc>
        <w:tc>
          <w:tcPr>
            <w:tcW w:w="2840" w:type="dxa"/>
            <w:vAlign w:val="bottom"/>
          </w:tcPr>
          <w:p>
            <w:pPr>
              <w:jc w:val="center"/>
              <w:ind w:right="702"/>
              <w:spacing w:after="0"/>
              <w:rPr>
                <w:sz w:val="20"/>
                <w:szCs w:val="20"/>
                <w:color w:val="auto"/>
              </w:rPr>
            </w:pPr>
            <w:r>
              <w:rPr>
                <w:rFonts w:ascii="Arial" w:cs="Arial" w:eastAsia="Arial" w:hAnsi="Arial"/>
                <w:sz w:val="16"/>
                <w:szCs w:val="16"/>
                <w:color w:val="auto"/>
              </w:rPr>
              <w:t>16,476,807</w:t>
            </w:r>
          </w:p>
        </w:tc>
        <w:tc>
          <w:tcPr>
            <w:tcW w:w="0" w:type="dxa"/>
            <w:vAlign w:val="bottom"/>
          </w:tcPr>
          <w:p>
            <w:pPr>
              <w:spacing w:after="0"/>
              <w:rPr>
                <w:sz w:val="1"/>
                <w:szCs w:val="1"/>
                <w:color w:val="auto"/>
              </w:rPr>
            </w:pPr>
          </w:p>
        </w:tc>
      </w:tr>
      <w:tr>
        <w:trPr>
          <w:trHeight w:val="217"/>
        </w:trPr>
        <w:tc>
          <w:tcPr>
            <w:tcW w:w="1860" w:type="dxa"/>
            <w:vAlign w:val="bottom"/>
            <w:shd w:val="clear" w:color="auto" w:fill="DBDBDB"/>
          </w:tcPr>
          <w:p>
            <w:pPr>
              <w:spacing w:after="0"/>
              <w:rPr>
                <w:sz w:val="20"/>
                <w:szCs w:val="20"/>
                <w:color w:val="auto"/>
              </w:rPr>
            </w:pPr>
            <w:r>
              <w:rPr>
                <w:rFonts w:ascii="Arial" w:cs="Arial" w:eastAsia="Arial" w:hAnsi="Arial"/>
                <w:sz w:val="16"/>
                <w:szCs w:val="16"/>
                <w:color w:val="auto"/>
              </w:rPr>
              <w:t>Simon Keeton</w:t>
            </w:r>
          </w:p>
        </w:tc>
        <w:tc>
          <w:tcPr>
            <w:tcW w:w="3880" w:type="dxa"/>
            <w:vAlign w:val="bottom"/>
            <w:shd w:val="clear" w:color="auto" w:fill="DBDBDB"/>
          </w:tcPr>
          <w:p>
            <w:pPr>
              <w:jc w:val="center"/>
              <w:ind w:right="702"/>
              <w:spacing w:after="0"/>
              <w:rPr>
                <w:sz w:val="20"/>
                <w:szCs w:val="20"/>
                <w:color w:val="auto"/>
              </w:rPr>
            </w:pPr>
            <w:r>
              <w:rPr>
                <w:rFonts w:ascii="Arial" w:cs="Arial" w:eastAsia="Arial" w:hAnsi="Arial"/>
                <w:sz w:val="16"/>
                <w:szCs w:val="16"/>
                <w:color w:val="auto"/>
              </w:rPr>
              <w:t>64,480</w:t>
            </w:r>
          </w:p>
        </w:tc>
        <w:tc>
          <w:tcPr>
            <w:tcW w:w="2840" w:type="dxa"/>
            <w:vAlign w:val="bottom"/>
            <w:shd w:val="clear" w:color="auto" w:fill="DBDBDB"/>
          </w:tcPr>
          <w:p>
            <w:pPr>
              <w:jc w:val="center"/>
              <w:ind w:right="722"/>
              <w:spacing w:after="0"/>
              <w:rPr>
                <w:sz w:val="20"/>
                <w:szCs w:val="20"/>
                <w:color w:val="auto"/>
              </w:rPr>
            </w:pPr>
            <w:r>
              <w:rPr>
                <w:rFonts w:ascii="Arial" w:cs="Arial" w:eastAsia="Arial" w:hAnsi="Arial"/>
                <w:sz w:val="16"/>
                <w:szCs w:val="16"/>
                <w:color w:val="auto"/>
              </w:rPr>
              <w:t>5,443,277</w:t>
            </w:r>
          </w:p>
        </w:tc>
        <w:tc>
          <w:tcPr>
            <w:tcW w:w="0" w:type="dxa"/>
            <w:vAlign w:val="bottom"/>
          </w:tcPr>
          <w:p>
            <w:pPr>
              <w:spacing w:after="0"/>
              <w:rPr>
                <w:sz w:val="1"/>
                <w:szCs w:val="1"/>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6"/>
                <w:szCs w:val="16"/>
                <w:color w:val="auto"/>
              </w:rPr>
              <w:t>Sudhir Gopalswamy</w:t>
            </w:r>
          </w:p>
        </w:tc>
        <w:tc>
          <w:tcPr>
            <w:tcW w:w="3880" w:type="dxa"/>
            <w:vAlign w:val="bottom"/>
          </w:tcPr>
          <w:p>
            <w:pPr>
              <w:jc w:val="center"/>
              <w:ind w:right="702"/>
              <w:spacing w:after="0"/>
              <w:rPr>
                <w:sz w:val="20"/>
                <w:szCs w:val="20"/>
                <w:color w:val="auto"/>
              </w:rPr>
            </w:pPr>
            <w:r>
              <w:rPr>
                <w:rFonts w:ascii="Arial" w:cs="Arial" w:eastAsia="Arial" w:hAnsi="Arial"/>
                <w:sz w:val="16"/>
                <w:szCs w:val="16"/>
                <w:color w:val="auto"/>
              </w:rPr>
              <w:t>16,474</w:t>
            </w:r>
          </w:p>
        </w:tc>
        <w:tc>
          <w:tcPr>
            <w:tcW w:w="2840" w:type="dxa"/>
            <w:vAlign w:val="bottom"/>
          </w:tcPr>
          <w:p>
            <w:pPr>
              <w:jc w:val="center"/>
              <w:ind w:right="722"/>
              <w:spacing w:after="0"/>
              <w:rPr>
                <w:sz w:val="20"/>
                <w:szCs w:val="20"/>
                <w:color w:val="auto"/>
              </w:rPr>
            </w:pPr>
            <w:r>
              <w:rPr>
                <w:rFonts w:ascii="Arial" w:cs="Arial" w:eastAsia="Arial" w:hAnsi="Arial"/>
                <w:sz w:val="16"/>
                <w:szCs w:val="16"/>
                <w:color w:val="auto"/>
              </w:rPr>
              <w:t>1,364,565</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Ross F. Jatou</w:t>
            </w:r>
          </w:p>
        </w:tc>
        <w:tc>
          <w:tcPr>
            <w:tcW w:w="3880" w:type="dxa"/>
            <w:vAlign w:val="bottom"/>
            <w:tcBorders>
              <w:bottom w:val="single" w:sz="8" w:color="auto"/>
            </w:tcBorders>
            <w:shd w:val="clear" w:color="auto" w:fill="DBDBDB"/>
          </w:tcPr>
          <w:p>
            <w:pPr>
              <w:jc w:val="center"/>
              <w:ind w:right="702"/>
              <w:spacing w:after="0"/>
              <w:rPr>
                <w:sz w:val="20"/>
                <w:szCs w:val="20"/>
                <w:color w:val="auto"/>
              </w:rPr>
            </w:pPr>
            <w:r>
              <w:rPr>
                <w:rFonts w:ascii="Arial" w:cs="Arial" w:eastAsia="Arial" w:hAnsi="Arial"/>
                <w:sz w:val="16"/>
                <w:szCs w:val="16"/>
                <w:color w:val="auto"/>
              </w:rPr>
              <w:t>41,887</w:t>
            </w:r>
          </w:p>
        </w:tc>
        <w:tc>
          <w:tcPr>
            <w:tcW w:w="2840" w:type="dxa"/>
            <w:vAlign w:val="bottom"/>
            <w:tcBorders>
              <w:bottom w:val="single" w:sz="8" w:color="auto"/>
            </w:tcBorders>
            <w:shd w:val="clear" w:color="auto" w:fill="DBDBDB"/>
          </w:tcPr>
          <w:p>
            <w:pPr>
              <w:jc w:val="center"/>
              <w:ind w:right="722"/>
              <w:spacing w:after="0"/>
              <w:rPr>
                <w:sz w:val="20"/>
                <w:szCs w:val="20"/>
                <w:color w:val="auto"/>
              </w:rPr>
            </w:pPr>
            <w:r>
              <w:rPr>
                <w:rFonts w:ascii="Arial" w:cs="Arial" w:eastAsia="Arial" w:hAnsi="Arial"/>
                <w:sz w:val="16"/>
                <w:szCs w:val="16"/>
                <w:color w:val="auto"/>
              </w:rPr>
              <w:t>3,634,182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600" w:right="1520" w:hanging="251"/>
        <w:spacing w:after="0" w:line="252" w:lineRule="auto"/>
        <w:tabs>
          <w:tab w:leader="none" w:pos="1573"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column represents the total number of shares underlying RSUs and PBRSUs that vested in 2023. RSUs and PBRSUs were the only types of LTI awards held by our NEOs during 2023.</w:t>
      </w:r>
    </w:p>
    <w:p>
      <w:pPr>
        <w:ind w:left="1600" w:right="1480" w:hanging="251"/>
        <w:spacing w:after="0" w:line="263" w:lineRule="auto"/>
        <w:tabs>
          <w:tab w:leader="none" w:pos="1573"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value realized equals the number of shares of stock vested multiplied by the market value of one share of our common stock on the date of vesting or, if the vesting date is not a trading date, the immediately preceding trading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Employment Agreements</w:t>
      </w:r>
    </w:p>
    <w:p>
      <w:pPr>
        <w:spacing w:after="0" w:line="1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chart summarizes the compensation and benefits to which each of our NEOs would be entitled to upon certain qualifying terminations under existing contractual agreements or our standard form of employment agreement as of December 31, 2023. However, in early 2024, each of Messrs. Keeton and Gopalswamy entered into our standard form of employment agreement for Executive Vice Presidents/Group Presidents, which provides for a higher level of post-termination benefits in certain circumstances. Therefore, this chart reflects the increased compensation and benefits to which Messrs. Keeton and Gopalswamy would be entitled under their newer agreements as if those agreements had been in place at the end of 2023, with a notation as to how those benefits have changed.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500" w:type="dxa"/>
            <w:vAlign w:val="bottom"/>
            <w:tcBorders>
              <w:top w:val="single" w:sz="8" w:color="auto"/>
              <w:left w:val="single" w:sz="8" w:color="auto"/>
              <w:right w:val="single" w:sz="8" w:color="auto"/>
            </w:tcBorders>
            <w:shd w:val="clear" w:color="auto" w:fill="465E66"/>
          </w:tcPr>
          <w:p>
            <w:pPr>
              <w:spacing w:after="0"/>
              <w:rPr>
                <w:sz w:val="15"/>
                <w:szCs w:val="15"/>
                <w:color w:val="auto"/>
              </w:rPr>
            </w:pPr>
          </w:p>
        </w:tc>
        <w:tc>
          <w:tcPr>
            <w:tcW w:w="1560" w:type="dxa"/>
            <w:vAlign w:val="bottom"/>
            <w:tcBorders>
              <w:top w:val="single" w:sz="8" w:color="auto"/>
              <w:right w:val="single" w:sz="8" w:color="auto"/>
            </w:tcBorders>
            <w:shd w:val="clear" w:color="auto" w:fill="465E66"/>
          </w:tcPr>
          <w:p>
            <w:pPr>
              <w:spacing w:after="0"/>
              <w:rPr>
                <w:sz w:val="15"/>
                <w:szCs w:val="15"/>
                <w:color w:val="auto"/>
              </w:rPr>
            </w:pPr>
          </w:p>
        </w:tc>
        <w:tc>
          <w:tcPr>
            <w:tcW w:w="2740" w:type="dxa"/>
            <w:vAlign w:val="bottom"/>
            <w:tcBorders>
              <w:top w:val="single" w:sz="8" w:color="auto"/>
              <w:right w:val="single" w:sz="8" w:color="auto"/>
            </w:tcBorders>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No Change in Control</w:t>
            </w:r>
          </w:p>
        </w:tc>
        <w:tc>
          <w:tcPr>
            <w:tcW w:w="2820" w:type="dxa"/>
            <w:vAlign w:val="bottom"/>
            <w:tcBorders>
              <w:top w:val="single" w:sz="8" w:color="auto"/>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In Connection with a</w:t>
            </w:r>
          </w:p>
        </w:tc>
        <w:tc>
          <w:tcPr>
            <w:tcW w:w="1380" w:type="dxa"/>
            <w:vAlign w:val="bottom"/>
            <w:tcBorders>
              <w:top w:val="single" w:sz="8" w:color="auto"/>
              <w:right w:val="single" w:sz="8" w:color="auto"/>
            </w:tcBorders>
            <w:shd w:val="clear" w:color="auto" w:fill="465E66"/>
          </w:tcPr>
          <w:p>
            <w:pPr>
              <w:spacing w:after="0"/>
              <w:rPr>
                <w:sz w:val="15"/>
                <w:szCs w:val="15"/>
                <w:color w:val="auto"/>
              </w:rPr>
            </w:pPr>
          </w:p>
        </w:tc>
        <w:tc>
          <w:tcPr>
            <w:tcW w:w="1240" w:type="dxa"/>
            <w:vAlign w:val="bottom"/>
            <w:tcBorders>
              <w:top w:val="single" w:sz="8" w:color="auto"/>
              <w:right w:val="single" w:sz="8" w:color="auto"/>
            </w:tcBorders>
            <w:shd w:val="clear" w:color="auto" w:fill="465E6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00" w:type="dxa"/>
            <w:vAlign w:val="bottom"/>
            <w:tcBorders>
              <w:left w:val="single" w:sz="8" w:color="auto"/>
              <w:right w:val="single" w:sz="8" w:color="auto"/>
            </w:tcBorders>
            <w:shd w:val="clear" w:color="auto" w:fill="465E66"/>
          </w:tcPr>
          <w:p>
            <w:pPr>
              <w:spacing w:after="0"/>
              <w:rPr>
                <w:sz w:val="16"/>
                <w:szCs w:val="16"/>
                <w:color w:val="auto"/>
              </w:rPr>
            </w:pPr>
          </w:p>
        </w:tc>
        <w:tc>
          <w:tcPr>
            <w:tcW w:w="1560" w:type="dxa"/>
            <w:vAlign w:val="bottom"/>
            <w:tcBorders>
              <w:right w:val="single" w:sz="8" w:color="auto"/>
            </w:tcBorders>
            <w:shd w:val="clear" w:color="auto" w:fill="465E66"/>
          </w:tcPr>
          <w:p>
            <w:pPr>
              <w:spacing w:after="0"/>
              <w:rPr>
                <w:sz w:val="16"/>
                <w:szCs w:val="16"/>
                <w:color w:val="auto"/>
              </w:rPr>
            </w:pPr>
          </w:p>
        </w:tc>
        <w:tc>
          <w:tcPr>
            <w:tcW w:w="2740" w:type="dxa"/>
            <w:vAlign w:val="bottom"/>
            <w:tcBorders>
              <w:right w:val="single" w:sz="8" w:color="auto"/>
            </w:tcBorders>
            <w:gridSpan w:val="2"/>
            <w:vMerge w:val="continue"/>
            <w:shd w:val="clear" w:color="auto" w:fill="465E66"/>
          </w:tcPr>
          <w:p>
            <w:pPr>
              <w:spacing w:after="0"/>
              <w:rPr>
                <w:sz w:val="16"/>
                <w:szCs w:val="16"/>
                <w:color w:val="auto"/>
              </w:rPr>
            </w:pPr>
          </w:p>
        </w:tc>
        <w:tc>
          <w:tcPr>
            <w:tcW w:w="2820" w:type="dxa"/>
            <w:vAlign w:val="bottom"/>
            <w:tcBorders>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Change in Control</w:t>
            </w:r>
          </w:p>
        </w:tc>
        <w:tc>
          <w:tcPr>
            <w:tcW w:w="1380" w:type="dxa"/>
            <w:vAlign w:val="bottom"/>
            <w:tcBorders>
              <w:right w:val="single" w:sz="8" w:color="auto"/>
            </w:tcBorders>
            <w:shd w:val="clear" w:color="auto" w:fill="465E66"/>
          </w:tcPr>
          <w:p>
            <w:pPr>
              <w:spacing w:after="0"/>
              <w:rPr>
                <w:sz w:val="16"/>
                <w:szCs w:val="16"/>
                <w:color w:val="auto"/>
              </w:rPr>
            </w:pPr>
          </w:p>
        </w:tc>
        <w:tc>
          <w:tcPr>
            <w:tcW w:w="1240" w:type="dxa"/>
            <w:vAlign w:val="bottom"/>
            <w:tcBorders>
              <w:right w:val="single" w:sz="8" w:color="auto"/>
            </w:tcBorders>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00" w:type="dxa"/>
            <w:vAlign w:val="bottom"/>
            <w:tcBorders>
              <w:left w:val="single" w:sz="8" w:color="auto"/>
              <w:right w:val="single" w:sz="8" w:color="auto"/>
            </w:tcBorders>
            <w:shd w:val="clear" w:color="auto" w:fill="465E66"/>
          </w:tcPr>
          <w:p>
            <w:pPr>
              <w:spacing w:after="0"/>
              <w:rPr>
                <w:sz w:val="14"/>
                <w:szCs w:val="14"/>
                <w:color w:val="auto"/>
              </w:rPr>
            </w:pPr>
          </w:p>
        </w:tc>
        <w:tc>
          <w:tcPr>
            <w:tcW w:w="1560" w:type="dxa"/>
            <w:vAlign w:val="bottom"/>
            <w:tcBorders>
              <w:right w:val="single" w:sz="8" w:color="auto"/>
            </w:tcBorders>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380" w:type="dxa"/>
            <w:vAlign w:val="bottom"/>
            <w:tcBorders>
              <w:right w:val="single" w:sz="8" w:color="auto"/>
            </w:tcBorders>
            <w:shd w:val="clear" w:color="auto" w:fill="465E66"/>
          </w:tcPr>
          <w:p>
            <w:pPr>
              <w:spacing w:after="0"/>
              <w:rPr>
                <w:sz w:val="14"/>
                <w:szCs w:val="14"/>
                <w:color w:val="auto"/>
              </w:rPr>
            </w:pPr>
          </w:p>
        </w:tc>
        <w:tc>
          <w:tcPr>
            <w:tcW w:w="1380" w:type="dxa"/>
            <w:vAlign w:val="bottom"/>
            <w:shd w:val="clear" w:color="auto" w:fill="465E66"/>
          </w:tcPr>
          <w:p>
            <w:pPr>
              <w:jc w:val="center"/>
              <w:spacing w:after="0"/>
              <w:rPr>
                <w:sz w:val="20"/>
                <w:szCs w:val="20"/>
                <w:color w:val="auto"/>
              </w:rPr>
            </w:pPr>
            <w:r>
              <w:rPr>
                <w:rFonts w:ascii="Arial" w:cs="Arial" w:eastAsia="Arial" w:hAnsi="Arial"/>
                <w:sz w:val="14"/>
                <w:szCs w:val="14"/>
                <w:i w:val="1"/>
                <w:iCs w:val="1"/>
                <w:color w:val="FFFFFF"/>
              </w:rPr>
              <w:t>Double Trigger</w:t>
            </w:r>
          </w:p>
        </w:tc>
        <w:tc>
          <w:tcPr>
            <w:tcW w:w="1440" w:type="dxa"/>
            <w:vAlign w:val="bottom"/>
            <w:tcBorders>
              <w:right w:val="single" w:sz="8" w:color="auto"/>
            </w:tcBorders>
            <w:shd w:val="clear" w:color="auto" w:fill="465E66"/>
          </w:tcPr>
          <w:p>
            <w:pPr>
              <w:spacing w:after="0"/>
              <w:rPr>
                <w:sz w:val="14"/>
                <w:szCs w:val="14"/>
                <w:color w:val="auto"/>
              </w:rPr>
            </w:pPr>
          </w:p>
        </w:tc>
        <w:tc>
          <w:tcPr>
            <w:tcW w:w="1380" w:type="dxa"/>
            <w:vAlign w:val="bottom"/>
            <w:tcBorders>
              <w:right w:val="single" w:sz="8" w:color="auto"/>
            </w:tcBorders>
            <w:shd w:val="clear" w:color="auto" w:fill="465E66"/>
          </w:tcPr>
          <w:p>
            <w:pPr>
              <w:spacing w:after="0"/>
              <w:rPr>
                <w:sz w:val="14"/>
                <w:szCs w:val="14"/>
                <w:color w:val="auto"/>
              </w:rPr>
            </w:pPr>
          </w:p>
        </w:tc>
        <w:tc>
          <w:tcPr>
            <w:tcW w:w="1240" w:type="dxa"/>
            <w:vAlign w:val="bottom"/>
            <w:tcBorders>
              <w:right w:val="single" w:sz="8" w:color="auto"/>
            </w:tcBorders>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left w:val="single" w:sz="8" w:color="auto"/>
              <w:right w:val="single" w:sz="8" w:color="auto"/>
            </w:tcBorders>
            <w:shd w:val="clear" w:color="auto" w:fill="465E66"/>
          </w:tcPr>
          <w:p>
            <w:pPr>
              <w:spacing w:after="0"/>
              <w:rPr>
                <w:sz w:val="12"/>
                <w:szCs w:val="12"/>
                <w:color w:val="auto"/>
              </w:rPr>
            </w:pPr>
          </w:p>
        </w:tc>
        <w:tc>
          <w:tcPr>
            <w:tcW w:w="1560" w:type="dxa"/>
            <w:vAlign w:val="bottom"/>
            <w:tcBorders>
              <w:right w:val="single" w:sz="8" w:color="auto"/>
            </w:tcBorders>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1380" w:type="dxa"/>
            <w:vAlign w:val="bottom"/>
            <w:tcBorders>
              <w:right w:val="single" w:sz="8" w:color="auto"/>
            </w:tcBorders>
            <w:shd w:val="clear" w:color="auto" w:fill="465E66"/>
          </w:tcPr>
          <w:p>
            <w:pPr>
              <w:spacing w:after="0"/>
              <w:rPr>
                <w:sz w:val="12"/>
                <w:szCs w:val="12"/>
                <w:color w:val="auto"/>
              </w:rPr>
            </w:pPr>
          </w:p>
        </w:tc>
        <w:tc>
          <w:tcPr>
            <w:tcW w:w="1380" w:type="dxa"/>
            <w:vAlign w:val="bottom"/>
            <w:shd w:val="clear" w:color="auto" w:fill="465E66"/>
          </w:tcPr>
          <w:p>
            <w:pPr>
              <w:jc w:val="center"/>
              <w:spacing w:after="0" w:line="143" w:lineRule="exact"/>
              <w:rPr>
                <w:sz w:val="20"/>
                <w:szCs w:val="20"/>
                <w:color w:val="auto"/>
              </w:rPr>
            </w:pPr>
            <w:r>
              <w:rPr>
                <w:rFonts w:ascii="Arial" w:cs="Arial" w:eastAsia="Arial" w:hAnsi="Arial"/>
                <w:sz w:val="14"/>
                <w:szCs w:val="14"/>
                <w:i w:val="1"/>
                <w:iCs w:val="1"/>
                <w:color w:val="FFFFFF"/>
              </w:rPr>
              <w:t>(Termination without</w:t>
            </w:r>
          </w:p>
        </w:tc>
        <w:tc>
          <w:tcPr>
            <w:tcW w:w="1440" w:type="dxa"/>
            <w:vAlign w:val="bottom"/>
            <w:tcBorders>
              <w:right w:val="single" w:sz="8" w:color="auto"/>
            </w:tcBorders>
            <w:shd w:val="clear" w:color="auto" w:fill="465E66"/>
          </w:tcPr>
          <w:p>
            <w:pPr>
              <w:spacing w:after="0"/>
              <w:rPr>
                <w:sz w:val="12"/>
                <w:szCs w:val="12"/>
                <w:color w:val="auto"/>
              </w:rPr>
            </w:pPr>
          </w:p>
        </w:tc>
        <w:tc>
          <w:tcPr>
            <w:tcW w:w="1380" w:type="dxa"/>
            <w:vAlign w:val="bottom"/>
            <w:tcBorders>
              <w:right w:val="single" w:sz="8" w:color="auto"/>
            </w:tcBorders>
            <w:shd w:val="clear" w:color="auto" w:fill="465E66"/>
          </w:tcPr>
          <w:p>
            <w:pPr>
              <w:spacing w:after="0"/>
              <w:rPr>
                <w:sz w:val="12"/>
                <w:szCs w:val="12"/>
                <w:color w:val="auto"/>
              </w:rPr>
            </w:pPr>
          </w:p>
        </w:tc>
        <w:tc>
          <w:tcPr>
            <w:tcW w:w="1240" w:type="dxa"/>
            <w:vAlign w:val="bottom"/>
            <w:tcBorders>
              <w:right w:val="single" w:sz="8" w:color="auto"/>
            </w:tcBorders>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00" w:type="dxa"/>
            <w:vAlign w:val="bottom"/>
            <w:tcBorders>
              <w:left w:val="single" w:sz="8" w:color="auto"/>
              <w:right w:val="single" w:sz="8" w:color="auto"/>
            </w:tcBorders>
            <w:shd w:val="clear" w:color="auto" w:fill="465E66"/>
          </w:tcPr>
          <w:p>
            <w:pPr>
              <w:spacing w:after="0"/>
              <w:rPr>
                <w:sz w:val="12"/>
                <w:szCs w:val="12"/>
                <w:color w:val="auto"/>
              </w:rPr>
            </w:pPr>
          </w:p>
        </w:tc>
        <w:tc>
          <w:tcPr>
            <w:tcW w:w="1560" w:type="dxa"/>
            <w:vAlign w:val="bottom"/>
            <w:tcBorders>
              <w:right w:val="single" w:sz="8" w:color="auto"/>
            </w:tcBorders>
            <w:vMerge w:val="restart"/>
            <w:shd w:val="clear" w:color="auto" w:fill="465E66"/>
          </w:tcPr>
          <w:p>
            <w:pPr>
              <w:ind w:left="20"/>
              <w:spacing w:after="0"/>
              <w:rPr>
                <w:sz w:val="20"/>
                <w:szCs w:val="20"/>
                <w:color w:val="auto"/>
              </w:rPr>
            </w:pPr>
            <w:r>
              <w:rPr>
                <w:rFonts w:ascii="Arial" w:cs="Arial" w:eastAsia="Arial" w:hAnsi="Arial"/>
                <w:sz w:val="14"/>
                <w:szCs w:val="14"/>
                <w:b w:val="1"/>
                <w:bCs w:val="1"/>
                <w:i w:val="1"/>
                <w:iCs w:val="1"/>
                <w:color w:val="FFFFFF"/>
              </w:rPr>
              <w:t>Type of</w:t>
            </w:r>
          </w:p>
        </w:tc>
        <w:tc>
          <w:tcPr>
            <w:tcW w:w="1360" w:type="dxa"/>
            <w:vAlign w:val="bottom"/>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Termination without</w:t>
            </w:r>
          </w:p>
        </w:tc>
        <w:tc>
          <w:tcPr>
            <w:tcW w:w="138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Resignation for</w:t>
            </w:r>
          </w:p>
        </w:tc>
        <w:tc>
          <w:tcPr>
            <w:tcW w:w="1380" w:type="dxa"/>
            <w:vAlign w:val="bottom"/>
            <w:shd w:val="clear" w:color="auto" w:fill="465E66"/>
          </w:tcPr>
          <w:p>
            <w:pPr>
              <w:jc w:val="center"/>
              <w:spacing w:after="0" w:line="141" w:lineRule="exact"/>
              <w:rPr>
                <w:sz w:val="20"/>
                <w:szCs w:val="20"/>
                <w:color w:val="auto"/>
              </w:rPr>
            </w:pPr>
            <w:r>
              <w:rPr>
                <w:rFonts w:ascii="Arial" w:cs="Arial" w:eastAsia="Arial" w:hAnsi="Arial"/>
                <w:sz w:val="14"/>
                <w:szCs w:val="14"/>
                <w:i w:val="1"/>
                <w:iCs w:val="1"/>
                <w:color w:val="FFFFFF"/>
              </w:rPr>
              <w:t>Cause or</w:t>
            </w:r>
          </w:p>
        </w:tc>
        <w:tc>
          <w:tcPr>
            <w:tcW w:w="144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Single Trigger</w:t>
            </w:r>
          </w:p>
        </w:tc>
        <w:tc>
          <w:tcPr>
            <w:tcW w:w="1380" w:type="dxa"/>
            <w:vAlign w:val="bottom"/>
            <w:tcBorders>
              <w:right w:val="single" w:sz="8" w:color="auto"/>
            </w:tcBorders>
            <w:shd w:val="clear" w:color="auto" w:fill="465E66"/>
          </w:tcPr>
          <w:p>
            <w:pPr>
              <w:spacing w:after="0"/>
              <w:rPr>
                <w:sz w:val="12"/>
                <w:szCs w:val="12"/>
                <w:color w:val="auto"/>
              </w:rPr>
            </w:pPr>
          </w:p>
        </w:tc>
        <w:tc>
          <w:tcPr>
            <w:tcW w:w="124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All Other</w:t>
            </w: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right w:val="single" w:sz="8" w:color="auto"/>
            </w:tcBorders>
            <w:vMerge w:val="restart"/>
            <w:shd w:val="clear" w:color="auto" w:fill="465E66"/>
          </w:tcPr>
          <w:p>
            <w:pPr>
              <w:ind w:left="40"/>
              <w:spacing w:after="0"/>
              <w:rPr>
                <w:sz w:val="20"/>
                <w:szCs w:val="20"/>
                <w:color w:val="auto"/>
              </w:rPr>
            </w:pPr>
            <w:r>
              <w:rPr>
                <w:rFonts w:ascii="Arial" w:cs="Arial" w:eastAsia="Arial" w:hAnsi="Arial"/>
                <w:sz w:val="14"/>
                <w:szCs w:val="14"/>
                <w:b w:val="1"/>
                <w:bCs w:val="1"/>
                <w:color w:val="FFFFFF"/>
              </w:rPr>
              <w:t>NEO</w:t>
            </w:r>
          </w:p>
        </w:tc>
        <w:tc>
          <w:tcPr>
            <w:tcW w:w="1560" w:type="dxa"/>
            <w:vAlign w:val="bottom"/>
            <w:tcBorders>
              <w:right w:val="single" w:sz="8" w:color="auto"/>
            </w:tcBorders>
            <w:vMerge w:val="continue"/>
            <w:shd w:val="clear" w:color="auto" w:fill="465E66"/>
          </w:tcPr>
          <w:p>
            <w:pPr>
              <w:spacing w:after="0"/>
              <w:rPr>
                <w:sz w:val="12"/>
                <w:szCs w:val="12"/>
                <w:color w:val="auto"/>
              </w:rPr>
            </w:pPr>
          </w:p>
        </w:tc>
        <w:tc>
          <w:tcPr>
            <w:tcW w:w="1360" w:type="dxa"/>
            <w:vAlign w:val="bottom"/>
            <w:vMerge w:val="continue"/>
            <w:shd w:val="clear" w:color="auto" w:fill="465E66"/>
          </w:tcPr>
          <w:p>
            <w:pPr>
              <w:spacing w:after="0"/>
              <w:rPr>
                <w:sz w:val="12"/>
                <w:szCs w:val="12"/>
                <w:color w:val="auto"/>
              </w:rPr>
            </w:pPr>
          </w:p>
        </w:tc>
        <w:tc>
          <w:tcPr>
            <w:tcW w:w="1380" w:type="dxa"/>
            <w:vAlign w:val="bottom"/>
            <w:tcBorders>
              <w:right w:val="single" w:sz="8" w:color="auto"/>
            </w:tcBorders>
            <w:vMerge w:val="continue"/>
            <w:shd w:val="clear" w:color="auto" w:fill="465E66"/>
          </w:tcPr>
          <w:p>
            <w:pPr>
              <w:spacing w:after="0"/>
              <w:rPr>
                <w:sz w:val="12"/>
                <w:szCs w:val="12"/>
                <w:color w:val="auto"/>
              </w:rPr>
            </w:pPr>
          </w:p>
        </w:tc>
        <w:tc>
          <w:tcPr>
            <w:tcW w:w="13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i w:val="1"/>
                <w:iCs w:val="1"/>
                <w:color w:val="FFFFFF"/>
              </w:rPr>
              <w:t>Resignation for</w:t>
            </w:r>
          </w:p>
        </w:tc>
        <w:tc>
          <w:tcPr>
            <w:tcW w:w="1440" w:type="dxa"/>
            <w:vAlign w:val="bottom"/>
            <w:tcBorders>
              <w:right w:val="single" w:sz="8" w:color="auto"/>
            </w:tcBorders>
            <w:vMerge w:val="continue"/>
            <w:shd w:val="clear" w:color="auto" w:fill="465E66"/>
          </w:tcPr>
          <w:p>
            <w:pPr>
              <w:spacing w:after="0"/>
              <w:rPr>
                <w:sz w:val="12"/>
                <w:szCs w:val="12"/>
                <w:color w:val="auto"/>
              </w:rPr>
            </w:pPr>
          </w:p>
        </w:tc>
        <w:tc>
          <w:tcPr>
            <w:tcW w:w="138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Death or Disability</w:t>
            </w:r>
          </w:p>
        </w:tc>
        <w:tc>
          <w:tcPr>
            <w:tcW w:w="1240" w:type="dxa"/>
            <w:vAlign w:val="bottom"/>
            <w:tcBorders>
              <w:right w:val="single" w:sz="8" w:color="auto"/>
            </w:tcBorders>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00" w:type="dxa"/>
            <w:vAlign w:val="bottom"/>
            <w:tcBorders>
              <w:left w:val="single" w:sz="8" w:color="auto"/>
              <w:bottom w:val="single" w:sz="8" w:color="auto"/>
              <w:right w:val="single" w:sz="8" w:color="auto"/>
            </w:tcBorders>
            <w:vMerge w:val="continue"/>
            <w:shd w:val="clear" w:color="auto" w:fill="465E66"/>
          </w:tcPr>
          <w:p>
            <w:pPr>
              <w:spacing w:after="0"/>
              <w:rPr>
                <w:sz w:val="15"/>
                <w:szCs w:val="15"/>
                <w:color w:val="auto"/>
              </w:rPr>
            </w:pPr>
          </w:p>
        </w:tc>
        <w:tc>
          <w:tcPr>
            <w:tcW w:w="1560" w:type="dxa"/>
            <w:vAlign w:val="bottom"/>
            <w:tcBorders>
              <w:bottom w:val="single" w:sz="8" w:color="auto"/>
              <w:right w:val="single" w:sz="8" w:color="auto"/>
            </w:tcBorders>
            <w:shd w:val="clear" w:color="auto" w:fill="465E66"/>
          </w:tcPr>
          <w:p>
            <w:pPr>
              <w:ind w:left="20"/>
              <w:spacing w:after="0"/>
              <w:rPr>
                <w:sz w:val="20"/>
                <w:szCs w:val="20"/>
                <w:color w:val="auto"/>
              </w:rPr>
            </w:pPr>
            <w:r>
              <w:rPr>
                <w:rFonts w:ascii="Arial" w:cs="Arial" w:eastAsia="Arial" w:hAnsi="Arial"/>
                <w:sz w:val="14"/>
                <w:szCs w:val="14"/>
                <w:b w:val="1"/>
                <w:bCs w:val="1"/>
                <w:i w:val="1"/>
                <w:iCs w:val="1"/>
                <w:color w:val="FFFFFF"/>
              </w:rPr>
              <w:t>Compensation</w:t>
            </w:r>
          </w:p>
        </w:tc>
        <w:tc>
          <w:tcPr>
            <w:tcW w:w="1360" w:type="dxa"/>
            <w:vAlign w:val="bottom"/>
            <w:tcBorders>
              <w:bottom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Cause</w:t>
            </w:r>
          </w:p>
        </w:tc>
        <w:tc>
          <w:tcPr>
            <w:tcW w:w="138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Good Reason</w:t>
            </w:r>
          </w:p>
        </w:tc>
        <w:tc>
          <w:tcPr>
            <w:tcW w:w="1380" w:type="dxa"/>
            <w:vAlign w:val="bottom"/>
            <w:tcBorders>
              <w:bottom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Good Reason)</w:t>
            </w:r>
          </w:p>
        </w:tc>
        <w:tc>
          <w:tcPr>
            <w:tcW w:w="144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(no Termination)</w:t>
            </w:r>
          </w:p>
        </w:tc>
        <w:tc>
          <w:tcPr>
            <w:tcW w:w="1380" w:type="dxa"/>
            <w:vAlign w:val="bottom"/>
            <w:tcBorders>
              <w:bottom w:val="single" w:sz="8" w:color="auto"/>
              <w:right w:val="single" w:sz="8" w:color="auto"/>
            </w:tcBorders>
            <w:vMerge w:val="continue"/>
            <w:shd w:val="clear" w:color="auto" w:fill="465E66"/>
          </w:tcPr>
          <w:p>
            <w:pPr>
              <w:spacing w:after="0"/>
              <w:rPr>
                <w:sz w:val="15"/>
                <w:szCs w:val="15"/>
                <w:color w:val="auto"/>
              </w:rPr>
            </w:pPr>
          </w:p>
        </w:tc>
        <w:tc>
          <w:tcPr>
            <w:tcW w:w="124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Terminations</w:t>
            </w:r>
          </w:p>
        </w:tc>
        <w:tc>
          <w:tcPr>
            <w:tcW w:w="0" w:type="dxa"/>
            <w:vAlign w:val="bottom"/>
          </w:tcPr>
          <w:p>
            <w:pPr>
              <w:spacing w:after="0"/>
              <w:rPr>
                <w:sz w:val="1"/>
                <w:szCs w:val="1"/>
                <w:color w:val="auto"/>
              </w:rPr>
            </w:pPr>
          </w:p>
        </w:tc>
      </w:tr>
      <w:tr>
        <w:trPr>
          <w:trHeight w:val="146"/>
        </w:trPr>
        <w:tc>
          <w:tcPr>
            <w:tcW w:w="1500" w:type="dxa"/>
            <w:vAlign w:val="bottom"/>
            <w:tcBorders>
              <w:left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14"/>
                <w:szCs w:val="14"/>
                <w:b w:val="1"/>
                <w:bCs w:val="1"/>
                <w:color w:val="auto"/>
              </w:rPr>
              <w:t>Mr. El-Khoury</w:t>
            </w: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Cash Severance</w:t>
            </w:r>
          </w:p>
        </w:tc>
        <w:tc>
          <w:tcPr>
            <w:tcW w:w="136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color w:val="auto"/>
              </w:rPr>
              <w:t>2x annual base</w:t>
            </w:r>
          </w:p>
        </w:tc>
        <w:tc>
          <w:tcPr>
            <w:tcW w:w="1380" w:type="dxa"/>
            <w:vAlign w:val="bottom"/>
            <w:tcBorders>
              <w:right w:val="single" w:sz="8" w:color="auto"/>
            </w:tcBorders>
            <w:shd w:val="clear" w:color="auto" w:fill="DBDBDB"/>
          </w:tcPr>
          <w:p>
            <w:pPr>
              <w:jc w:val="center"/>
              <w:spacing w:after="0" w:line="147" w:lineRule="exact"/>
              <w:rPr>
                <w:sz w:val="20"/>
                <w:szCs w:val="20"/>
                <w:color w:val="auto"/>
              </w:rPr>
            </w:pPr>
            <w:r>
              <w:rPr>
                <w:rFonts w:ascii="Arial" w:cs="Arial" w:eastAsia="Arial" w:hAnsi="Arial"/>
                <w:sz w:val="14"/>
                <w:szCs w:val="14"/>
                <w:color w:val="auto"/>
              </w:rPr>
              <w:t>2x annual base</w:t>
            </w:r>
          </w:p>
        </w:tc>
        <w:tc>
          <w:tcPr>
            <w:tcW w:w="138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color w:val="auto"/>
              </w:rPr>
              <w:t>2x annual base</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5"/>
        </w:trPr>
        <w:tc>
          <w:tcPr>
            <w:tcW w:w="1500" w:type="dxa"/>
            <w:vAlign w:val="bottom"/>
            <w:tcBorders>
              <w:left w:val="single" w:sz="8" w:color="auto"/>
              <w:right w:val="single" w:sz="8" w:color="auto"/>
            </w:tcBorders>
            <w:vMerge w:val="continue"/>
            <w:shd w:val="clear" w:color="auto" w:fill="DBDBDB"/>
          </w:tcPr>
          <w:p>
            <w:pPr>
              <w:spacing w:after="0"/>
              <w:rPr>
                <w:sz w:val="10"/>
                <w:szCs w:val="10"/>
                <w:color w:val="auto"/>
              </w:rPr>
            </w:pPr>
          </w:p>
        </w:tc>
        <w:tc>
          <w:tcPr>
            <w:tcW w:w="1560" w:type="dxa"/>
            <w:vAlign w:val="bottom"/>
            <w:tcBorders>
              <w:right w:val="single" w:sz="8" w:color="auto"/>
            </w:tcBorders>
            <w:vMerge w:val="continue"/>
            <w:shd w:val="clear" w:color="auto" w:fill="DBDBDB"/>
          </w:tcPr>
          <w:p>
            <w:pPr>
              <w:spacing w:after="0"/>
              <w:rPr>
                <w:sz w:val="10"/>
                <w:szCs w:val="10"/>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440" w:type="dxa"/>
            <w:vAlign w:val="bottom"/>
            <w:tcBorders>
              <w:right w:val="single" w:sz="8" w:color="auto"/>
            </w:tcBorders>
            <w:vMerge w:val="continue"/>
            <w:shd w:val="clear" w:color="auto" w:fill="DBDBDB"/>
          </w:tcPr>
          <w:p>
            <w:pPr>
              <w:spacing w:after="0"/>
              <w:rPr>
                <w:sz w:val="10"/>
                <w:szCs w:val="10"/>
                <w:color w:val="auto"/>
              </w:rPr>
            </w:pPr>
          </w:p>
        </w:tc>
        <w:tc>
          <w:tcPr>
            <w:tcW w:w="1380" w:type="dxa"/>
            <w:vAlign w:val="bottom"/>
            <w:tcBorders>
              <w:right w:val="single" w:sz="8" w:color="auto"/>
            </w:tcBorders>
            <w:vMerge w:val="continue"/>
            <w:shd w:val="clear" w:color="auto" w:fill="DBDBDB"/>
          </w:tcPr>
          <w:p>
            <w:pPr>
              <w:spacing w:after="0"/>
              <w:rPr>
                <w:sz w:val="10"/>
                <w:szCs w:val="10"/>
                <w:color w:val="auto"/>
              </w:rPr>
            </w:pPr>
          </w:p>
        </w:tc>
        <w:tc>
          <w:tcPr>
            <w:tcW w:w="124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STI Payment</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1x target STI</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1x target STI</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2x target STI</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pro rata (based on</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00" w:type="dxa"/>
            <w:vAlign w:val="bottom"/>
            <w:tcBorders>
              <w:left w:val="single" w:sz="8" w:color="auto"/>
              <w:right w:val="single" w:sz="8" w:color="auto"/>
            </w:tcBorders>
            <w:shd w:val="clear" w:color="auto" w:fill="DBDBDB"/>
          </w:tcPr>
          <w:p>
            <w:pPr>
              <w:spacing w:after="0"/>
              <w:rPr>
                <w:sz w:val="9"/>
                <w:szCs w:val="9"/>
                <w:color w:val="auto"/>
              </w:rPr>
            </w:pPr>
          </w:p>
        </w:tc>
        <w:tc>
          <w:tcPr>
            <w:tcW w:w="1560" w:type="dxa"/>
            <w:vAlign w:val="bottom"/>
            <w:tcBorders>
              <w:right w:val="single" w:sz="8" w:color="auto"/>
            </w:tcBorders>
            <w:vMerge w:val="continue"/>
            <w:shd w:val="clear" w:color="auto" w:fill="DBDBDB"/>
          </w:tcPr>
          <w:p>
            <w:pPr>
              <w:spacing w:after="0"/>
              <w:rPr>
                <w:sz w:val="9"/>
                <w:szCs w:val="9"/>
                <w:color w:val="auto"/>
              </w:rPr>
            </w:pPr>
          </w:p>
        </w:tc>
        <w:tc>
          <w:tcPr>
            <w:tcW w:w="1360" w:type="dxa"/>
            <w:vAlign w:val="bottom"/>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continue"/>
            <w:shd w:val="clear" w:color="auto" w:fill="DBDBDB"/>
          </w:tcPr>
          <w:p>
            <w:pPr>
              <w:spacing w:after="0"/>
              <w:rPr>
                <w:sz w:val="9"/>
                <w:szCs w:val="9"/>
                <w:color w:val="auto"/>
              </w:rPr>
            </w:pPr>
          </w:p>
        </w:tc>
        <w:tc>
          <w:tcPr>
            <w:tcW w:w="144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prior year actual)</w:t>
            </w:r>
          </w:p>
        </w:tc>
        <w:tc>
          <w:tcPr>
            <w:tcW w:w="1240" w:type="dxa"/>
            <w:vAlign w:val="bottom"/>
            <w:tcBorders>
              <w:right w:val="single" w:sz="8" w:color="auto"/>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380" w:type="dxa"/>
            <w:vAlign w:val="bottom"/>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500" w:type="dxa"/>
            <w:vAlign w:val="bottom"/>
            <w:tcBorders>
              <w:left w:val="single" w:sz="8" w:color="auto"/>
              <w:right w:val="single" w:sz="8" w:color="auto"/>
            </w:tcBorders>
            <w:shd w:val="clear" w:color="auto" w:fill="DBDBDB"/>
          </w:tcPr>
          <w:p>
            <w:pPr>
              <w:spacing w:after="0"/>
              <w:rPr>
                <w:sz w:val="18"/>
                <w:szCs w:val="18"/>
                <w:color w:val="auto"/>
              </w:rPr>
            </w:pPr>
          </w:p>
        </w:tc>
        <w:tc>
          <w:tcPr>
            <w:tcW w:w="156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Unvested RSUs</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pro rata vesting</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pro rata vesting</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full vesting</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1500" w:type="dxa"/>
            <w:vAlign w:val="bottom"/>
            <w:tcBorders>
              <w:left w:val="single" w:sz="8" w:color="auto"/>
              <w:right w:val="single" w:sz="8" w:color="auto"/>
            </w:tcBorders>
            <w:shd w:val="clear" w:color="auto" w:fill="DBDBDB"/>
          </w:tcPr>
          <w:p>
            <w:pPr>
              <w:spacing w:after="0"/>
              <w:rPr>
                <w:sz w:val="15"/>
                <w:szCs w:val="15"/>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Unvested PBRSUs</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pro rata vesting</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pro rata vesting</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full vesting (at target)</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shd w:val="clear" w:color="auto" w:fill="DBDBDB"/>
          </w:tcPr>
          <w:p>
            <w:pPr>
              <w:spacing w:after="0"/>
              <w:rPr>
                <w:sz w:val="12"/>
                <w:szCs w:val="12"/>
                <w:color w:val="auto"/>
              </w:rPr>
            </w:pPr>
          </w:p>
        </w:tc>
        <w:tc>
          <w:tcPr>
            <w:tcW w:w="1560" w:type="dxa"/>
            <w:vAlign w:val="bottom"/>
            <w:tcBorders>
              <w:right w:val="single" w:sz="8" w:color="auto"/>
            </w:tcBorders>
            <w:vMerge w:val="continue"/>
            <w:shd w:val="clear" w:color="auto" w:fill="DBDBDB"/>
          </w:tcPr>
          <w:p>
            <w:pPr>
              <w:spacing w:after="0"/>
              <w:rPr>
                <w:sz w:val="12"/>
                <w:szCs w:val="12"/>
                <w:color w:val="auto"/>
              </w:rPr>
            </w:pPr>
          </w:p>
        </w:tc>
        <w:tc>
          <w:tcPr>
            <w:tcW w:w="136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(based on actual</w:t>
            </w:r>
          </w:p>
        </w:tc>
        <w:tc>
          <w:tcPr>
            <w:tcW w:w="1380" w:type="dxa"/>
            <w:vAlign w:val="bottom"/>
            <w:tcBorders>
              <w:right w:val="single" w:sz="8" w:color="auto"/>
            </w:tcBorders>
            <w:shd w:val="clear" w:color="auto" w:fill="DBDBDB"/>
          </w:tcPr>
          <w:p>
            <w:pPr>
              <w:jc w:val="center"/>
              <w:spacing w:after="0" w:line="145" w:lineRule="exact"/>
              <w:rPr>
                <w:sz w:val="20"/>
                <w:szCs w:val="20"/>
                <w:color w:val="auto"/>
              </w:rPr>
            </w:pPr>
            <w:r>
              <w:rPr>
                <w:rFonts w:ascii="Arial" w:cs="Arial" w:eastAsia="Arial" w:hAnsi="Arial"/>
                <w:sz w:val="14"/>
                <w:szCs w:val="14"/>
                <w:color w:val="auto"/>
              </w:rPr>
              <w:t>(based on actual</w:t>
            </w:r>
          </w:p>
        </w:tc>
        <w:tc>
          <w:tcPr>
            <w:tcW w:w="1380" w:type="dxa"/>
            <w:vAlign w:val="bottom"/>
            <w:vMerge w:val="continue"/>
            <w:shd w:val="clear" w:color="auto" w:fill="DBDBDB"/>
          </w:tcPr>
          <w:p>
            <w:pPr>
              <w:spacing w:after="0"/>
              <w:rPr>
                <w:sz w:val="12"/>
                <w:szCs w:val="12"/>
                <w:color w:val="auto"/>
              </w:rPr>
            </w:pPr>
          </w:p>
        </w:tc>
        <w:tc>
          <w:tcPr>
            <w:tcW w:w="1440" w:type="dxa"/>
            <w:vAlign w:val="bottom"/>
            <w:tcBorders>
              <w:right w:val="single" w:sz="8" w:color="auto"/>
            </w:tcBorders>
            <w:vMerge w:val="continue"/>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240" w:type="dxa"/>
            <w:vAlign w:val="bottom"/>
            <w:tcBorders>
              <w:right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auto"/>
              <w:right w:val="single" w:sz="8" w:color="auto"/>
            </w:tcBorders>
            <w:shd w:val="clear" w:color="auto" w:fill="DBDBDB"/>
          </w:tcPr>
          <w:p>
            <w:pPr>
              <w:spacing w:after="0"/>
              <w:rPr>
                <w:sz w:val="16"/>
                <w:szCs w:val="16"/>
                <w:color w:val="auto"/>
              </w:rPr>
            </w:pPr>
          </w:p>
        </w:tc>
        <w:tc>
          <w:tcPr>
            <w:tcW w:w="1560" w:type="dxa"/>
            <w:vAlign w:val="bottom"/>
            <w:tcBorders>
              <w:right w:val="single" w:sz="8" w:color="auto"/>
            </w:tcBorders>
            <w:shd w:val="clear" w:color="auto" w:fill="DBDBDB"/>
          </w:tcPr>
          <w:p>
            <w:pPr>
              <w:spacing w:after="0"/>
              <w:rPr>
                <w:sz w:val="16"/>
                <w:szCs w:val="16"/>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performance)</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performance)</w:t>
            </w:r>
          </w:p>
        </w:tc>
        <w:tc>
          <w:tcPr>
            <w:tcW w:w="1380" w:type="dxa"/>
            <w:vAlign w:val="bottom"/>
            <w:shd w:val="clear" w:color="auto" w:fill="DBDBDB"/>
          </w:tcPr>
          <w:p>
            <w:pPr>
              <w:spacing w:after="0"/>
              <w:rPr>
                <w:sz w:val="16"/>
                <w:szCs w:val="16"/>
                <w:color w:val="auto"/>
              </w:rPr>
            </w:pPr>
          </w:p>
        </w:tc>
        <w:tc>
          <w:tcPr>
            <w:tcW w:w="1440" w:type="dxa"/>
            <w:vAlign w:val="bottom"/>
            <w:tcBorders>
              <w:right w:val="single" w:sz="8" w:color="auto"/>
            </w:tcBorders>
            <w:shd w:val="clear" w:color="auto" w:fill="DBDBDB"/>
          </w:tcPr>
          <w:p>
            <w:pPr>
              <w:spacing w:after="0"/>
              <w:rPr>
                <w:sz w:val="16"/>
                <w:szCs w:val="16"/>
                <w:color w:val="auto"/>
              </w:rPr>
            </w:pPr>
          </w:p>
        </w:tc>
        <w:tc>
          <w:tcPr>
            <w:tcW w:w="1380" w:type="dxa"/>
            <w:vAlign w:val="bottom"/>
            <w:tcBorders>
              <w:right w:val="single" w:sz="8" w:color="auto"/>
            </w:tcBorders>
            <w:shd w:val="clear" w:color="auto" w:fill="DBDBDB"/>
          </w:tcPr>
          <w:p>
            <w:pPr>
              <w:spacing w:after="0"/>
              <w:rPr>
                <w:sz w:val="16"/>
                <w:szCs w:val="16"/>
                <w:color w:val="auto"/>
              </w:rPr>
            </w:pPr>
          </w:p>
        </w:tc>
        <w:tc>
          <w:tcPr>
            <w:tcW w:w="1240" w:type="dxa"/>
            <w:vAlign w:val="bottom"/>
            <w:tcBorders>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tcBorders>
              <w:left w:val="single" w:sz="8" w:color="auto"/>
              <w:right w:val="single" w:sz="8" w:color="auto"/>
            </w:tcBorders>
            <w:shd w:val="clear" w:color="auto" w:fill="DBDBDB"/>
          </w:tcPr>
          <w:p>
            <w:pPr>
              <w:spacing w:after="0"/>
              <w:rPr>
                <w:sz w:val="18"/>
                <w:szCs w:val="18"/>
                <w:color w:val="auto"/>
              </w:rPr>
            </w:pPr>
          </w:p>
        </w:tc>
        <w:tc>
          <w:tcPr>
            <w:tcW w:w="156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Benefits Continuation</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 years</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1500" w:type="dxa"/>
            <w:vAlign w:val="bottom"/>
            <w:tcBorders>
              <w:left w:val="single" w:sz="8" w:color="auto"/>
              <w:right w:val="single" w:sz="8" w:color="auto"/>
            </w:tcBorders>
            <w:shd w:val="clear" w:color="auto" w:fill="DBDBDB"/>
          </w:tcPr>
          <w:p>
            <w:pPr>
              <w:spacing w:after="0"/>
              <w:rPr>
                <w:sz w:val="15"/>
                <w:szCs w:val="15"/>
                <w:color w:val="auto"/>
              </w:rPr>
            </w:pPr>
          </w:p>
        </w:tc>
        <w:tc>
          <w:tcPr>
            <w:tcW w:w="156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Outplacement</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up to $25,000</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up to $25,000</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up to $25,000</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00" w:type="dxa"/>
            <w:vAlign w:val="bottom"/>
            <w:tcBorders>
              <w:left w:val="single" w:sz="8" w:color="auto"/>
              <w:right w:val="single" w:sz="8" w:color="auto"/>
            </w:tcBorders>
            <w:shd w:val="clear" w:color="auto" w:fill="DBDBDB"/>
          </w:tcPr>
          <w:p>
            <w:pPr>
              <w:spacing w:after="0"/>
              <w:rPr>
                <w:sz w:val="9"/>
                <w:szCs w:val="9"/>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Assistance</w:t>
            </w:r>
          </w:p>
        </w:tc>
        <w:tc>
          <w:tcPr>
            <w:tcW w:w="1360" w:type="dxa"/>
            <w:vAlign w:val="bottom"/>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continue"/>
            <w:shd w:val="clear" w:color="auto" w:fill="DBDBDB"/>
          </w:tcPr>
          <w:p>
            <w:pPr>
              <w:spacing w:after="0"/>
              <w:rPr>
                <w:sz w:val="9"/>
                <w:szCs w:val="9"/>
                <w:color w:val="auto"/>
              </w:rPr>
            </w:pPr>
          </w:p>
        </w:tc>
        <w:tc>
          <w:tcPr>
            <w:tcW w:w="144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240" w:type="dxa"/>
            <w:vAlign w:val="bottom"/>
            <w:tcBorders>
              <w:right w:val="single" w:sz="8" w:color="auto"/>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auto"/>
              <w:bottom w:val="single" w:sz="8" w:color="auto"/>
              <w:right w:val="single" w:sz="8" w:color="auto"/>
            </w:tcBorders>
            <w:shd w:val="clear" w:color="auto" w:fill="DBDBDB"/>
          </w:tcPr>
          <w:p>
            <w:pPr>
              <w:spacing w:after="0"/>
              <w:rPr>
                <w:sz w:val="6"/>
                <w:szCs w:val="6"/>
                <w:color w:val="auto"/>
              </w:rPr>
            </w:pPr>
          </w:p>
        </w:tc>
        <w:tc>
          <w:tcPr>
            <w:tcW w:w="1560" w:type="dxa"/>
            <w:vAlign w:val="bottom"/>
            <w:tcBorders>
              <w:bottom w:val="single" w:sz="8" w:color="auto"/>
              <w:right w:val="single" w:sz="8" w:color="auto"/>
            </w:tcBorders>
            <w:vMerge w:val="continue"/>
            <w:shd w:val="clear" w:color="auto" w:fill="DBDBDB"/>
          </w:tcPr>
          <w:p>
            <w:pPr>
              <w:spacing w:after="0"/>
              <w:rPr>
                <w:sz w:val="6"/>
                <w:szCs w:val="6"/>
                <w:color w:val="auto"/>
              </w:rPr>
            </w:pPr>
          </w:p>
        </w:tc>
        <w:tc>
          <w:tcPr>
            <w:tcW w:w="1360" w:type="dxa"/>
            <w:vAlign w:val="bottom"/>
            <w:tcBorders>
              <w:bottom w:val="single" w:sz="8" w:color="auto"/>
            </w:tcBorders>
            <w:shd w:val="clear" w:color="auto" w:fill="DBDBDB"/>
          </w:tcPr>
          <w:p>
            <w:pPr>
              <w:spacing w:after="0"/>
              <w:rPr>
                <w:sz w:val="6"/>
                <w:szCs w:val="6"/>
                <w:color w:val="auto"/>
              </w:rPr>
            </w:pPr>
          </w:p>
        </w:tc>
        <w:tc>
          <w:tcPr>
            <w:tcW w:w="1380" w:type="dxa"/>
            <w:vAlign w:val="bottom"/>
            <w:tcBorders>
              <w:bottom w:val="single" w:sz="8" w:color="auto"/>
              <w:right w:val="single" w:sz="8" w:color="auto"/>
            </w:tcBorders>
            <w:shd w:val="clear" w:color="auto" w:fill="DBDBDB"/>
          </w:tcPr>
          <w:p>
            <w:pPr>
              <w:spacing w:after="0"/>
              <w:rPr>
                <w:sz w:val="6"/>
                <w:szCs w:val="6"/>
                <w:color w:val="auto"/>
              </w:rPr>
            </w:pPr>
          </w:p>
        </w:tc>
        <w:tc>
          <w:tcPr>
            <w:tcW w:w="1380" w:type="dxa"/>
            <w:vAlign w:val="bottom"/>
            <w:tcBorders>
              <w:bottom w:val="single" w:sz="8" w:color="auto"/>
            </w:tcBorders>
            <w:shd w:val="clear" w:color="auto" w:fill="DBDBDB"/>
          </w:tcPr>
          <w:p>
            <w:pPr>
              <w:spacing w:after="0"/>
              <w:rPr>
                <w:sz w:val="6"/>
                <w:szCs w:val="6"/>
                <w:color w:val="auto"/>
              </w:rPr>
            </w:pPr>
          </w:p>
        </w:tc>
        <w:tc>
          <w:tcPr>
            <w:tcW w:w="1440" w:type="dxa"/>
            <w:vAlign w:val="bottom"/>
            <w:tcBorders>
              <w:bottom w:val="single" w:sz="8" w:color="auto"/>
              <w:right w:val="single" w:sz="8" w:color="auto"/>
            </w:tcBorders>
            <w:shd w:val="clear" w:color="auto" w:fill="DBDBDB"/>
          </w:tcPr>
          <w:p>
            <w:pPr>
              <w:spacing w:after="0"/>
              <w:rPr>
                <w:sz w:val="6"/>
                <w:szCs w:val="6"/>
                <w:color w:val="auto"/>
              </w:rPr>
            </w:pPr>
          </w:p>
        </w:tc>
        <w:tc>
          <w:tcPr>
            <w:tcW w:w="1380" w:type="dxa"/>
            <w:vAlign w:val="bottom"/>
            <w:tcBorders>
              <w:bottom w:val="single" w:sz="8" w:color="auto"/>
              <w:right w:val="single" w:sz="8" w:color="auto"/>
            </w:tcBorders>
            <w:shd w:val="clear" w:color="auto" w:fill="DBDBDB"/>
          </w:tcPr>
          <w:p>
            <w:pPr>
              <w:spacing w:after="0"/>
              <w:rPr>
                <w:sz w:val="6"/>
                <w:szCs w:val="6"/>
                <w:color w:val="auto"/>
              </w:rPr>
            </w:pPr>
          </w:p>
        </w:tc>
        <w:tc>
          <w:tcPr>
            <w:tcW w:w="124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Mr. Trent</w:t>
            </w:r>
          </w:p>
        </w:tc>
        <w:tc>
          <w:tcPr>
            <w:tcW w:w="1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Cash Severance</w:t>
            </w:r>
          </w:p>
        </w:tc>
        <w:tc>
          <w:tcPr>
            <w:tcW w:w="1360" w:type="dxa"/>
            <w:vAlign w:val="bottom"/>
          </w:tcPr>
          <w:p>
            <w:pPr>
              <w:jc w:val="center"/>
              <w:spacing w:after="0" w:line="147" w:lineRule="exact"/>
              <w:rPr>
                <w:sz w:val="20"/>
                <w:szCs w:val="20"/>
                <w:color w:val="auto"/>
              </w:rPr>
            </w:pPr>
            <w:r>
              <w:rPr>
                <w:rFonts w:ascii="Arial" w:cs="Arial" w:eastAsia="Arial" w:hAnsi="Arial"/>
                <w:sz w:val="14"/>
                <w:szCs w:val="14"/>
                <w:color w:val="auto"/>
              </w:rPr>
              <w:t>78 weeks' base</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78 weeks' base</w:t>
            </w:r>
          </w:p>
        </w:tc>
        <w:tc>
          <w:tcPr>
            <w:tcW w:w="1380" w:type="dxa"/>
            <w:vAlign w:val="bottom"/>
          </w:tcPr>
          <w:p>
            <w:pPr>
              <w:jc w:val="center"/>
              <w:spacing w:after="0" w:line="147" w:lineRule="exact"/>
              <w:rPr>
                <w:sz w:val="20"/>
                <w:szCs w:val="20"/>
                <w:color w:val="auto"/>
              </w:rPr>
            </w:pPr>
            <w:r>
              <w:rPr>
                <w:rFonts w:ascii="Arial" w:cs="Arial" w:eastAsia="Arial" w:hAnsi="Arial"/>
                <w:sz w:val="14"/>
                <w:szCs w:val="14"/>
                <w:color w:val="auto"/>
              </w:rPr>
              <w:t>78 weeks' base</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5"/>
        </w:trPr>
        <w:tc>
          <w:tcPr>
            <w:tcW w:w="1500" w:type="dxa"/>
            <w:vAlign w:val="bottom"/>
            <w:tcBorders>
              <w:left w:val="single" w:sz="8" w:color="auto"/>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salary</w:t>
            </w:r>
          </w:p>
        </w:tc>
        <w:tc>
          <w:tcPr>
            <w:tcW w:w="144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1360" w:type="dxa"/>
            <w:vAlign w:val="bottom"/>
            <w:tcBorders>
              <w:bottom w:val="single" w:sz="8" w:color="DBDBDB"/>
            </w:tcBorders>
            <w:vMerge w:val="continue"/>
          </w:tcPr>
          <w:p>
            <w:pPr>
              <w:spacing w:after="0"/>
              <w:rPr>
                <w:sz w:val="6"/>
                <w:szCs w:val="6"/>
                <w:color w:val="auto"/>
              </w:rPr>
            </w:pPr>
          </w:p>
        </w:tc>
        <w:tc>
          <w:tcPr>
            <w:tcW w:w="1380" w:type="dxa"/>
            <w:vAlign w:val="bottom"/>
            <w:tcBorders>
              <w:bottom w:val="single" w:sz="8" w:color="DBDBDB"/>
              <w:right w:val="single" w:sz="8" w:color="auto"/>
            </w:tcBorders>
            <w:vMerge w:val="continue"/>
          </w:tcPr>
          <w:p>
            <w:pPr>
              <w:spacing w:after="0"/>
              <w:rPr>
                <w:sz w:val="6"/>
                <w:szCs w:val="6"/>
                <w:color w:val="auto"/>
              </w:rPr>
            </w:pPr>
          </w:p>
        </w:tc>
        <w:tc>
          <w:tcPr>
            <w:tcW w:w="1380" w:type="dxa"/>
            <w:vAlign w:val="bottom"/>
            <w:tcBorders>
              <w:bottom w:val="single" w:sz="8" w:color="DBDBDB"/>
            </w:tcBorders>
            <w:vMerge w:val="continue"/>
          </w:tcPr>
          <w:p>
            <w:pPr>
              <w:spacing w:after="0"/>
              <w:rPr>
                <w:sz w:val="6"/>
                <w:szCs w:val="6"/>
                <w:color w:val="auto"/>
              </w:rPr>
            </w:pPr>
          </w:p>
        </w:tc>
        <w:tc>
          <w:tcPr>
            <w:tcW w:w="144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right w:val="single" w:sz="8" w:color="auto"/>
            </w:tcBorders>
          </w:tcPr>
          <w:p>
            <w:pPr>
              <w:spacing w:after="0"/>
              <w:rPr>
                <w:sz w:val="6"/>
                <w:szCs w:val="6"/>
                <w:color w:val="auto"/>
              </w:rPr>
            </w:pPr>
          </w:p>
        </w:tc>
        <w:tc>
          <w:tcPr>
            <w:tcW w:w="1240" w:type="dxa"/>
            <w:vAlign w:val="bottom"/>
            <w:tcBorders>
              <w:bottom w:val="single" w:sz="8" w:color="DBDBDB"/>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00" w:type="dxa"/>
            <w:vAlign w:val="bottom"/>
            <w:tcBorders>
              <w:left w:val="single" w:sz="8" w:color="auto"/>
              <w:right w:val="single" w:sz="8" w:color="auto"/>
            </w:tcBorders>
          </w:tcPr>
          <w:p>
            <w:pPr>
              <w:spacing w:after="0"/>
              <w:rPr>
                <w:sz w:val="12"/>
                <w:szCs w:val="12"/>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STI Payment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1x target STI</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1x target STI</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1.5x target STI</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pro rata (based on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0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prior year actual)</w:t>
            </w: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auto"/>
              <w:right w:val="single" w:sz="8" w:color="auto"/>
            </w:tcBorders>
          </w:tcPr>
          <w:p>
            <w:pPr>
              <w:spacing w:after="0"/>
              <w:rPr>
                <w:sz w:val="6"/>
                <w:szCs w:val="6"/>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Unvested RSUs</w:t>
            </w:r>
          </w:p>
        </w:tc>
        <w:tc>
          <w:tcPr>
            <w:tcW w:w="1360" w:type="dxa"/>
            <w:vAlign w:val="bottom"/>
            <w:tcBorders>
              <w:bottom w:val="single" w:sz="8" w:color="DBDBDB"/>
            </w:tcBorders>
          </w:tcPr>
          <w:p>
            <w:pPr>
              <w:spacing w:after="0"/>
              <w:rPr>
                <w:sz w:val="6"/>
                <w:szCs w:val="6"/>
                <w:color w:val="auto"/>
              </w:rPr>
            </w:pPr>
          </w:p>
        </w:tc>
        <w:tc>
          <w:tcPr>
            <w:tcW w:w="138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tcBorders>
          </w:tcPr>
          <w:p>
            <w:pPr>
              <w:spacing w:after="0"/>
              <w:rPr>
                <w:sz w:val="6"/>
                <w:szCs w:val="6"/>
                <w:color w:val="auto"/>
              </w:rPr>
            </w:pPr>
          </w:p>
        </w:tc>
        <w:tc>
          <w:tcPr>
            <w:tcW w:w="144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right w:val="single" w:sz="8" w:color="auto"/>
            </w:tcBorders>
            <w:vMerge w:val="continue"/>
          </w:tcPr>
          <w:p>
            <w:pPr>
              <w:spacing w:after="0"/>
              <w:rPr>
                <w:sz w:val="6"/>
                <w:szCs w:val="6"/>
                <w:color w:val="auto"/>
              </w:rPr>
            </w:pPr>
          </w:p>
        </w:tc>
        <w:tc>
          <w:tcPr>
            <w:tcW w:w="1240" w:type="dxa"/>
            <w:vAlign w:val="bottom"/>
            <w:tcBorders>
              <w:bottom w:val="single" w:sz="8" w:color="DBDBDB"/>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5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vMerge w:val="continue"/>
          </w:tcPr>
          <w:p>
            <w:pPr>
              <w:spacing w:after="0"/>
              <w:rPr>
                <w:sz w:val="16"/>
                <w:szCs w:val="16"/>
                <w:color w:val="auto"/>
              </w:rPr>
            </w:pP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full vesting</w:t>
            </w:r>
          </w:p>
        </w:tc>
        <w:tc>
          <w:tcPr>
            <w:tcW w:w="144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0"/>
        </w:trPr>
        <w:tc>
          <w:tcPr>
            <w:tcW w:w="150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Unvested PBRSUs</w:t>
            </w:r>
          </w:p>
        </w:tc>
        <w:tc>
          <w:tcPr>
            <w:tcW w:w="1360" w:type="dxa"/>
            <w:vAlign w:val="bottom"/>
          </w:tcPr>
          <w:p>
            <w:pPr>
              <w:jc w:val="center"/>
              <w:spacing w:after="0" w:line="151" w:lineRule="exact"/>
              <w:rPr>
                <w:sz w:val="20"/>
                <w:szCs w:val="20"/>
                <w:color w:val="auto"/>
              </w:rPr>
            </w:pPr>
            <w:r>
              <w:rPr>
                <w:rFonts w:ascii="Arial" w:cs="Arial" w:eastAsia="Arial" w:hAnsi="Arial"/>
                <w:sz w:val="14"/>
                <w:szCs w:val="14"/>
                <w:color w:val="auto"/>
              </w:rPr>
              <w:t>pro rata vesting</w:t>
            </w:r>
          </w:p>
        </w:tc>
        <w:tc>
          <w:tcPr>
            <w:tcW w:w="13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pro rata vesting</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full vesting (at target)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color w:val="auto"/>
              </w:rPr>
              <w:t>(based on actual</w:t>
            </w:r>
          </w:p>
        </w:tc>
        <w:tc>
          <w:tcPr>
            <w:tcW w:w="13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(based on actual</w:t>
            </w:r>
          </w:p>
        </w:tc>
        <w:tc>
          <w:tcPr>
            <w:tcW w:w="1380" w:type="dxa"/>
            <w:vAlign w:val="bottom"/>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performance)</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performance)</w:t>
            </w:r>
          </w:p>
        </w:tc>
        <w:tc>
          <w:tcPr>
            <w:tcW w:w="1380" w:type="dxa"/>
            <w:vAlign w:val="bottom"/>
            <w:tcBorders>
              <w:bottom w:val="single" w:sz="8" w:color="DBDBDB"/>
            </w:tcBorders>
          </w:tcPr>
          <w:p>
            <w:pPr>
              <w:spacing w:after="0"/>
              <w:rPr>
                <w:sz w:val="16"/>
                <w:szCs w:val="16"/>
                <w:color w:val="auto"/>
              </w:rPr>
            </w:pPr>
          </w:p>
        </w:tc>
        <w:tc>
          <w:tcPr>
            <w:tcW w:w="1440" w:type="dxa"/>
            <w:vAlign w:val="bottom"/>
            <w:tcBorders>
              <w:bottom w:val="single" w:sz="8" w:color="DBDBDB"/>
              <w:right w:val="single" w:sz="8" w:color="auto"/>
            </w:tcBorders>
          </w:tcPr>
          <w:p>
            <w:pPr>
              <w:spacing w:after="0"/>
              <w:rPr>
                <w:sz w:val="16"/>
                <w:szCs w:val="16"/>
                <w:color w:val="auto"/>
              </w:rPr>
            </w:pPr>
          </w:p>
        </w:tc>
        <w:tc>
          <w:tcPr>
            <w:tcW w:w="1380" w:type="dxa"/>
            <w:vAlign w:val="bottom"/>
            <w:tcBorders>
              <w:bottom w:val="single" w:sz="8" w:color="DBDBDB"/>
              <w:right w:val="single" w:sz="8" w:color="auto"/>
            </w:tcBorders>
          </w:tcPr>
          <w:p>
            <w:pPr>
              <w:spacing w:after="0"/>
              <w:rPr>
                <w:sz w:val="16"/>
                <w:szCs w:val="16"/>
                <w:color w:val="auto"/>
              </w:rPr>
            </w:pPr>
          </w:p>
        </w:tc>
        <w:tc>
          <w:tcPr>
            <w:tcW w:w="1240" w:type="dxa"/>
            <w:vAlign w:val="bottom"/>
            <w:tcBorders>
              <w:bottom w:val="single" w:sz="8" w:color="DBDBDB"/>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Benefits Continuation</w:t>
            </w: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 years</w:t>
            </w:r>
          </w:p>
        </w:tc>
        <w:tc>
          <w:tcPr>
            <w:tcW w:w="144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9"/>
        </w:trPr>
        <w:tc>
          <w:tcPr>
            <w:tcW w:w="1500" w:type="dxa"/>
            <w:vAlign w:val="bottom"/>
            <w:tcBorders>
              <w:left w:val="single" w:sz="8" w:color="auto"/>
              <w:right w:val="single" w:sz="8" w:color="auto"/>
            </w:tcBorders>
          </w:tcPr>
          <w:p>
            <w:pPr>
              <w:spacing w:after="0"/>
              <w:rPr>
                <w:sz w:val="12"/>
                <w:szCs w:val="12"/>
                <w:color w:val="auto"/>
              </w:rPr>
            </w:pPr>
          </w:p>
        </w:tc>
        <w:tc>
          <w:tcPr>
            <w:tcW w:w="1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Outplacement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up to $25,000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up to $25,000</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up to $25,000</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0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Assistance</w:t>
            </w:r>
          </w:p>
        </w:tc>
        <w:tc>
          <w:tcPr>
            <w:tcW w:w="1360" w:type="dxa"/>
            <w:vAlign w:val="bottom"/>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00" w:type="dxa"/>
            <w:vAlign w:val="bottom"/>
            <w:tcBorders>
              <w:left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14"/>
                <w:szCs w:val="14"/>
                <w:b w:val="1"/>
                <w:bCs w:val="1"/>
                <w:color w:val="auto"/>
              </w:rPr>
              <w:t>Mr. Keeton</w:t>
            </w: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Cash Severance</w:t>
            </w:r>
          </w:p>
        </w:tc>
        <w:tc>
          <w:tcPr>
            <w:tcW w:w="136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380" w:type="dxa"/>
            <w:vAlign w:val="bottom"/>
            <w:tcBorders>
              <w:right w:val="single" w:sz="8" w:color="auto"/>
            </w:tcBorders>
            <w:shd w:val="clear" w:color="auto" w:fill="DBDBDB"/>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38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vMerge w:val="continue"/>
            <w:shd w:val="clear" w:color="auto" w:fill="DBDBDB"/>
          </w:tcPr>
          <w:p>
            <w:pPr>
              <w:spacing w:after="0"/>
              <w:rPr>
                <w:sz w:val="12"/>
                <w:szCs w:val="12"/>
                <w:color w:val="auto"/>
              </w:rPr>
            </w:pPr>
          </w:p>
        </w:tc>
        <w:tc>
          <w:tcPr>
            <w:tcW w:w="1560" w:type="dxa"/>
            <w:vAlign w:val="bottom"/>
            <w:tcBorders>
              <w:right w:val="single" w:sz="8" w:color="auto"/>
            </w:tcBorders>
            <w:vMerge w:val="continue"/>
            <w:shd w:val="clear" w:color="auto" w:fill="DBDBDB"/>
          </w:tcPr>
          <w:p>
            <w:pPr>
              <w:spacing w:after="0"/>
              <w:rPr>
                <w:sz w:val="12"/>
                <w:szCs w:val="12"/>
                <w:color w:val="auto"/>
              </w:rPr>
            </w:pPr>
          </w:p>
        </w:tc>
        <w:tc>
          <w:tcPr>
            <w:tcW w:w="136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1x annual base</w:t>
            </w:r>
          </w:p>
        </w:tc>
        <w:tc>
          <w:tcPr>
            <w:tcW w:w="1380" w:type="dxa"/>
            <w:vAlign w:val="bottom"/>
            <w:tcBorders>
              <w:right w:val="single" w:sz="8" w:color="auto"/>
            </w:tcBorders>
            <w:shd w:val="clear" w:color="auto" w:fill="DBDBDB"/>
          </w:tcPr>
          <w:p>
            <w:pPr>
              <w:jc w:val="center"/>
              <w:spacing w:after="0" w:line="145" w:lineRule="exact"/>
              <w:rPr>
                <w:sz w:val="20"/>
                <w:szCs w:val="20"/>
                <w:color w:val="auto"/>
              </w:rPr>
            </w:pPr>
            <w:r>
              <w:rPr>
                <w:rFonts w:ascii="Arial" w:cs="Arial" w:eastAsia="Arial" w:hAnsi="Arial"/>
                <w:sz w:val="14"/>
                <w:szCs w:val="14"/>
                <w:color w:val="auto"/>
              </w:rPr>
              <w:t>1x annual base</w:t>
            </w:r>
          </w:p>
        </w:tc>
        <w:tc>
          <w:tcPr>
            <w:tcW w:w="138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1x to 1.2x base</w:t>
            </w:r>
          </w:p>
        </w:tc>
        <w:tc>
          <w:tcPr>
            <w:tcW w:w="1440" w:type="dxa"/>
            <w:vAlign w:val="bottom"/>
            <w:tcBorders>
              <w:right w:val="single" w:sz="8" w:color="auto"/>
            </w:tcBorders>
            <w:vMerge w:val="continue"/>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240" w:type="dxa"/>
            <w:vAlign w:val="bottom"/>
            <w:tcBorders>
              <w:right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auto"/>
              <w:right w:val="single" w:sz="8" w:color="auto"/>
            </w:tcBorders>
            <w:shd w:val="clear" w:color="auto" w:fill="DBDBDB"/>
          </w:tcPr>
          <w:p>
            <w:pPr>
              <w:spacing w:after="0"/>
              <w:rPr>
                <w:sz w:val="16"/>
                <w:szCs w:val="16"/>
                <w:color w:val="auto"/>
              </w:rPr>
            </w:pPr>
          </w:p>
        </w:tc>
        <w:tc>
          <w:tcPr>
            <w:tcW w:w="1560" w:type="dxa"/>
            <w:vAlign w:val="bottom"/>
            <w:tcBorders>
              <w:right w:val="single" w:sz="8" w:color="auto"/>
            </w:tcBorders>
            <w:shd w:val="clear" w:color="auto" w:fill="DBDBDB"/>
          </w:tcPr>
          <w:p>
            <w:pPr>
              <w:spacing w:after="0"/>
              <w:rPr>
                <w:sz w:val="16"/>
                <w:szCs w:val="16"/>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440" w:type="dxa"/>
            <w:vAlign w:val="bottom"/>
            <w:tcBorders>
              <w:right w:val="single" w:sz="8" w:color="auto"/>
            </w:tcBorders>
            <w:shd w:val="clear" w:color="auto" w:fill="DBDBDB"/>
          </w:tcPr>
          <w:p>
            <w:pPr>
              <w:spacing w:after="0"/>
              <w:rPr>
                <w:sz w:val="16"/>
                <w:szCs w:val="16"/>
                <w:color w:val="auto"/>
              </w:rPr>
            </w:pPr>
          </w:p>
        </w:tc>
        <w:tc>
          <w:tcPr>
            <w:tcW w:w="1380" w:type="dxa"/>
            <w:vAlign w:val="bottom"/>
            <w:tcBorders>
              <w:right w:val="single" w:sz="8" w:color="auto"/>
            </w:tcBorders>
            <w:shd w:val="clear" w:color="auto" w:fill="DBDBDB"/>
          </w:tcPr>
          <w:p>
            <w:pPr>
              <w:spacing w:after="0"/>
              <w:rPr>
                <w:sz w:val="16"/>
                <w:szCs w:val="16"/>
                <w:color w:val="auto"/>
              </w:rPr>
            </w:pPr>
          </w:p>
        </w:tc>
        <w:tc>
          <w:tcPr>
            <w:tcW w:w="1240" w:type="dxa"/>
            <w:vAlign w:val="bottom"/>
            <w:tcBorders>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1560" w:type="dxa"/>
            <w:vAlign w:val="bottom"/>
            <w:tcBorders>
              <w:right w:val="single" w:sz="8" w:color="auto"/>
            </w:tcBorders>
            <w:shd w:val="clear" w:color="auto" w:fill="DBDBDB"/>
          </w:tcPr>
          <w:p>
            <w:pPr>
              <w:spacing w:after="0"/>
              <w:rPr>
                <w:sz w:val="14"/>
                <w:szCs w:val="14"/>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change</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change</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change</w:t>
            </w:r>
          </w:p>
        </w:tc>
        <w:tc>
          <w:tcPr>
            <w:tcW w:w="1440" w:type="dxa"/>
            <w:vAlign w:val="bottom"/>
            <w:tcBorders>
              <w:right w:val="single" w:sz="8" w:color="auto"/>
            </w:tcBorders>
            <w:shd w:val="clear" w:color="auto" w:fill="DBDBDB"/>
          </w:tcPr>
          <w:p>
            <w:pPr>
              <w:spacing w:after="0"/>
              <w:rPr>
                <w:sz w:val="14"/>
                <w:szCs w:val="14"/>
                <w:color w:val="auto"/>
              </w:rPr>
            </w:pPr>
          </w:p>
        </w:tc>
        <w:tc>
          <w:tcPr>
            <w:tcW w:w="1380" w:type="dxa"/>
            <w:vAlign w:val="bottom"/>
            <w:tcBorders>
              <w:right w:val="single" w:sz="8" w:color="auto"/>
            </w:tcBorders>
            <w:shd w:val="clear" w:color="auto" w:fill="DBDBDB"/>
          </w:tcPr>
          <w:p>
            <w:pPr>
              <w:spacing w:after="0"/>
              <w:rPr>
                <w:sz w:val="14"/>
                <w:szCs w:val="14"/>
                <w:color w:val="auto"/>
              </w:rPr>
            </w:pPr>
          </w:p>
        </w:tc>
        <w:tc>
          <w:tcPr>
            <w:tcW w:w="124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right w:val="single" w:sz="8" w:color="auto"/>
            </w:tcBorders>
            <w:shd w:val="clear" w:color="auto" w:fill="DBDBDB"/>
          </w:tcPr>
          <w:p>
            <w:pPr>
              <w:spacing w:after="0"/>
              <w:rPr>
                <w:sz w:val="5"/>
                <w:szCs w:val="5"/>
                <w:color w:val="auto"/>
              </w:rPr>
            </w:pPr>
          </w:p>
        </w:tc>
        <w:tc>
          <w:tcPr>
            <w:tcW w:w="1560" w:type="dxa"/>
            <w:vAlign w:val="bottom"/>
            <w:tcBorders>
              <w:right w:val="single" w:sz="8" w:color="auto"/>
            </w:tcBorders>
            <w:shd w:val="clear" w:color="auto" w:fill="DBDBDB"/>
          </w:tcPr>
          <w:p>
            <w:pPr>
              <w:spacing w:after="0"/>
              <w:rPr>
                <w:sz w:val="5"/>
                <w:szCs w:val="5"/>
                <w:color w:val="auto"/>
              </w:rPr>
            </w:pPr>
          </w:p>
        </w:tc>
        <w:tc>
          <w:tcPr>
            <w:tcW w:w="1360" w:type="dxa"/>
            <w:vAlign w:val="bottom"/>
            <w:vMerge w:val="continue"/>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from pro rata (based</w:t>
            </w:r>
          </w:p>
        </w:tc>
        <w:tc>
          <w:tcPr>
            <w:tcW w:w="1440" w:type="dxa"/>
            <w:vAlign w:val="bottom"/>
            <w:tcBorders>
              <w:right w:val="single" w:sz="8" w:color="auto"/>
            </w:tcBorders>
            <w:shd w:val="clear" w:color="auto" w:fill="DBDBDB"/>
          </w:tcPr>
          <w:p>
            <w:pPr>
              <w:spacing w:after="0"/>
              <w:rPr>
                <w:sz w:val="5"/>
                <w:szCs w:val="5"/>
                <w:color w:val="auto"/>
              </w:rPr>
            </w:pP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new benefit</w:t>
            </w:r>
          </w:p>
        </w:tc>
        <w:tc>
          <w:tcPr>
            <w:tcW w:w="124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shd w:val="clear" w:color="auto" w:fill="DBDBDB"/>
          </w:tcPr>
          <w:p>
            <w:pPr>
              <w:spacing w:after="0"/>
              <w:rPr>
                <w:sz w:val="12"/>
                <w:szCs w:val="12"/>
                <w:color w:val="auto"/>
              </w:rPr>
            </w:pPr>
          </w:p>
        </w:tc>
        <w:tc>
          <w:tcPr>
            <w:tcW w:w="1560" w:type="dxa"/>
            <w:vAlign w:val="bottom"/>
            <w:tcBorders>
              <w:right w:val="single" w:sz="8" w:color="auto"/>
            </w:tcBorders>
            <w:shd w:val="clear" w:color="auto" w:fill="DBDBDB"/>
          </w:tcPr>
          <w:p>
            <w:pPr>
              <w:spacing w:after="0"/>
              <w:rPr>
                <w:sz w:val="12"/>
                <w:szCs w:val="12"/>
                <w:color w:val="auto"/>
              </w:rPr>
            </w:pPr>
          </w:p>
        </w:tc>
        <w:tc>
          <w:tcPr>
            <w:tcW w:w="2740" w:type="dxa"/>
            <w:vAlign w:val="bottom"/>
            <w:tcBorders>
              <w:right w:val="single" w:sz="8" w:color="auto"/>
            </w:tcBorders>
            <w:gridSpan w:val="2"/>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pro rata (based from pro rata (based</w:t>
            </w:r>
          </w:p>
        </w:tc>
        <w:tc>
          <w:tcPr>
            <w:tcW w:w="1380" w:type="dxa"/>
            <w:vAlign w:val="bottom"/>
            <w:vMerge w:val="continue"/>
            <w:shd w:val="clear" w:color="auto" w:fill="DBDBDB"/>
          </w:tcPr>
          <w:p>
            <w:pPr>
              <w:spacing w:after="0"/>
              <w:rPr>
                <w:sz w:val="12"/>
                <w:szCs w:val="12"/>
                <w:color w:val="auto"/>
              </w:rPr>
            </w:pPr>
          </w:p>
        </w:tc>
        <w:tc>
          <w:tcPr>
            <w:tcW w:w="1440" w:type="dxa"/>
            <w:vAlign w:val="bottom"/>
            <w:tcBorders>
              <w:right w:val="single" w:sz="8" w:color="auto"/>
            </w:tcBorders>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240" w:type="dxa"/>
            <w:vAlign w:val="bottom"/>
            <w:tcBorders>
              <w:right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vMerge w:val="restart"/>
            <w:shd w:val="clear" w:color="auto" w:fill="DBDBDB"/>
          </w:tcPr>
          <w:p>
            <w:pPr>
              <w:ind w:left="20"/>
              <w:spacing w:after="0" w:line="149" w:lineRule="exact"/>
              <w:rPr>
                <w:sz w:val="20"/>
                <w:szCs w:val="20"/>
                <w:color w:val="auto"/>
              </w:rPr>
            </w:pPr>
            <w:r>
              <w:rPr>
                <w:rFonts w:ascii="Arial" w:cs="Arial" w:eastAsia="Arial" w:hAnsi="Arial"/>
                <w:sz w:val="14"/>
                <w:szCs w:val="14"/>
                <w:color w:val="auto"/>
              </w:rPr>
              <w:t>STI Payment</w:t>
            </w:r>
          </w:p>
        </w:tc>
        <w:tc>
          <w:tcPr>
            <w:tcW w:w="1360" w:type="dxa"/>
            <w:vAlign w:val="bottom"/>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in actual</w:t>
            </w:r>
          </w:p>
        </w:tc>
        <w:tc>
          <w:tcPr>
            <w:tcW w:w="1380" w:type="dxa"/>
            <w:vAlign w:val="bottom"/>
            <w:tcBorders>
              <w:right w:val="single" w:sz="8" w:color="auto"/>
            </w:tcBorders>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in actual</w:t>
            </w:r>
          </w:p>
        </w:tc>
        <w:tc>
          <w:tcPr>
            <w:tcW w:w="1380" w:type="dxa"/>
            <w:vAlign w:val="bottom"/>
            <w:shd w:val="clear" w:color="auto" w:fill="DBDBDB"/>
          </w:tcPr>
          <w:p>
            <w:pPr>
              <w:jc w:val="center"/>
              <w:spacing w:after="0" w:line="72" w:lineRule="exact"/>
              <w:rPr>
                <w:sz w:val="20"/>
                <w:szCs w:val="20"/>
                <w:color w:val="auto"/>
              </w:rPr>
            </w:pPr>
            <w:r>
              <w:rPr>
                <w:rFonts w:ascii="Arial" w:cs="Arial" w:eastAsia="Arial" w:hAnsi="Arial"/>
                <w:sz w:val="8"/>
                <w:szCs w:val="8"/>
                <w:color w:val="auto"/>
              </w:rPr>
              <w:t>on actual</w:t>
            </w:r>
          </w:p>
        </w:tc>
        <w:tc>
          <w:tcPr>
            <w:tcW w:w="1440" w:type="dxa"/>
            <w:vAlign w:val="bottom"/>
            <w:tcBorders>
              <w:right w:val="single" w:sz="8" w:color="auto"/>
            </w:tcBorders>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pro rata (based on</w:t>
            </w:r>
          </w:p>
        </w:tc>
        <w:tc>
          <w:tcPr>
            <w:tcW w:w="1240" w:type="dxa"/>
            <w:vAlign w:val="bottom"/>
            <w:tcBorders>
              <w:right w:val="single" w:sz="8" w:color="auto"/>
            </w:tcBorders>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7"/>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vMerge w:val="continue"/>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vMerge w:val="restart"/>
            <w:shd w:val="clear" w:color="auto" w:fill="DBDBDB"/>
          </w:tcPr>
          <w:p>
            <w:pPr>
              <w:jc w:val="center"/>
              <w:spacing w:after="0" w:line="149" w:lineRule="exact"/>
              <w:rPr>
                <w:sz w:val="20"/>
                <w:szCs w:val="20"/>
                <w:color w:val="auto"/>
              </w:rPr>
            </w:pPr>
            <w:r>
              <w:rPr>
                <w:rFonts w:ascii="Arial" w:cs="Arial" w:eastAsia="Arial" w:hAnsi="Arial"/>
                <w:sz w:val="14"/>
                <w:szCs w:val="14"/>
                <w:color w:val="auto"/>
              </w:rPr>
              <w:t>performance) + 1x</w:t>
            </w:r>
          </w:p>
        </w:tc>
        <w:tc>
          <w:tcPr>
            <w:tcW w:w="144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240" w:type="dxa"/>
            <w:vAlign w:val="bottom"/>
            <w:tcBorders>
              <w:right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vMerge w:val="restart"/>
            <w:shd w:val="clear" w:color="auto" w:fill="DBDBDB"/>
          </w:tcPr>
          <w:p>
            <w:pPr>
              <w:jc w:val="center"/>
              <w:spacing w:after="0" w:line="139" w:lineRule="exact"/>
              <w:rPr>
                <w:sz w:val="20"/>
                <w:szCs w:val="20"/>
                <w:color w:val="auto"/>
              </w:rPr>
            </w:pPr>
            <w:r>
              <w:rPr>
                <w:rFonts w:ascii="Arial" w:cs="Arial" w:eastAsia="Arial" w:hAnsi="Arial"/>
                <w:sz w:val="14"/>
                <w:szCs w:val="14"/>
                <w:color w:val="auto"/>
              </w:rPr>
              <w:t>performance) to 1x</w:t>
            </w:r>
          </w:p>
        </w:tc>
        <w:tc>
          <w:tcPr>
            <w:tcW w:w="1380" w:type="dxa"/>
            <w:vAlign w:val="bottom"/>
            <w:tcBorders>
              <w:right w:val="single" w:sz="8" w:color="auto"/>
            </w:tcBorders>
            <w:vMerge w:val="restart"/>
            <w:shd w:val="clear" w:color="auto" w:fill="DBDBDB"/>
          </w:tcPr>
          <w:p>
            <w:pPr>
              <w:jc w:val="center"/>
              <w:spacing w:after="0" w:line="139" w:lineRule="exact"/>
              <w:rPr>
                <w:sz w:val="20"/>
                <w:szCs w:val="20"/>
                <w:color w:val="auto"/>
              </w:rPr>
            </w:pPr>
            <w:r>
              <w:rPr>
                <w:rFonts w:ascii="Arial" w:cs="Arial" w:eastAsia="Arial" w:hAnsi="Arial"/>
                <w:sz w:val="14"/>
                <w:szCs w:val="14"/>
                <w:color w:val="auto"/>
              </w:rPr>
              <w:t>performance) to 1x</w:t>
            </w: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vMerge w:val="restart"/>
            <w:shd w:val="clear" w:color="auto" w:fill="DBDBDB"/>
          </w:tcPr>
          <w:p>
            <w:pPr>
              <w:jc w:val="center"/>
              <w:spacing w:after="0" w:line="139" w:lineRule="exact"/>
              <w:rPr>
                <w:sz w:val="20"/>
                <w:szCs w:val="20"/>
                <w:color w:val="auto"/>
              </w:rPr>
            </w:pPr>
            <w:r>
              <w:rPr>
                <w:rFonts w:ascii="Arial" w:cs="Arial" w:eastAsia="Arial" w:hAnsi="Arial"/>
                <w:sz w:val="14"/>
                <w:szCs w:val="14"/>
                <w:color w:val="auto"/>
              </w:rPr>
              <w:t>prior year actual)</w:t>
            </w: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right w:val="single" w:sz="8" w:color="auto"/>
            </w:tcBorders>
            <w:shd w:val="clear" w:color="auto" w:fill="DBDBDB"/>
          </w:tcPr>
          <w:p>
            <w:pPr>
              <w:spacing w:after="0"/>
              <w:rPr>
                <w:sz w:val="5"/>
                <w:szCs w:val="5"/>
                <w:color w:val="auto"/>
              </w:rPr>
            </w:pPr>
          </w:p>
        </w:tc>
        <w:tc>
          <w:tcPr>
            <w:tcW w:w="1560" w:type="dxa"/>
            <w:vAlign w:val="bottom"/>
            <w:tcBorders>
              <w:right w:val="single" w:sz="8" w:color="auto"/>
            </w:tcBorders>
            <w:shd w:val="clear" w:color="auto" w:fill="DBDBDB"/>
          </w:tcPr>
          <w:p>
            <w:pPr>
              <w:spacing w:after="0"/>
              <w:rPr>
                <w:sz w:val="5"/>
                <w:szCs w:val="5"/>
                <w:color w:val="auto"/>
              </w:rPr>
            </w:pPr>
          </w:p>
        </w:tc>
        <w:tc>
          <w:tcPr>
            <w:tcW w:w="1360" w:type="dxa"/>
            <w:vAlign w:val="bottom"/>
            <w:vMerge w:val="continue"/>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380" w:type="dxa"/>
            <w:vAlign w:val="bottom"/>
            <w:vMerge w:val="restart"/>
            <w:shd w:val="clear" w:color="auto" w:fill="DBDBDB"/>
          </w:tcPr>
          <w:p>
            <w:pPr>
              <w:jc w:val="center"/>
              <w:spacing w:after="0" w:line="145" w:lineRule="exact"/>
              <w:rPr>
                <w:sz w:val="20"/>
                <w:szCs w:val="20"/>
                <w:color w:val="auto"/>
              </w:rPr>
            </w:pPr>
            <w:r>
              <w:rPr>
                <w:rFonts w:ascii="Arial" w:cs="Arial" w:eastAsia="Arial" w:hAnsi="Arial"/>
                <w:sz w:val="14"/>
                <w:szCs w:val="14"/>
                <w:color w:val="auto"/>
              </w:rPr>
              <w:t>target STI to 1.2x</w:t>
            </w:r>
          </w:p>
        </w:tc>
        <w:tc>
          <w:tcPr>
            <w:tcW w:w="1440" w:type="dxa"/>
            <w:vAlign w:val="bottom"/>
            <w:tcBorders>
              <w:right w:val="single" w:sz="8" w:color="auto"/>
            </w:tcBorders>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24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target STI</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target STI</w:t>
            </w: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00" w:type="dxa"/>
            <w:vAlign w:val="bottom"/>
            <w:tcBorders>
              <w:left w:val="single" w:sz="8" w:color="auto"/>
              <w:right w:val="single" w:sz="8" w:color="auto"/>
            </w:tcBorders>
            <w:shd w:val="clear" w:color="auto" w:fill="DBDBDB"/>
          </w:tcPr>
          <w:p>
            <w:pPr>
              <w:spacing w:after="0"/>
              <w:rPr>
                <w:sz w:val="9"/>
                <w:szCs w:val="9"/>
                <w:color w:val="auto"/>
              </w:rPr>
            </w:pPr>
          </w:p>
        </w:tc>
        <w:tc>
          <w:tcPr>
            <w:tcW w:w="1560" w:type="dxa"/>
            <w:vAlign w:val="bottom"/>
            <w:tcBorders>
              <w:right w:val="single" w:sz="8" w:color="auto"/>
            </w:tcBorders>
            <w:shd w:val="clear" w:color="auto" w:fill="DBDBDB"/>
          </w:tcPr>
          <w:p>
            <w:pPr>
              <w:spacing w:after="0"/>
              <w:rPr>
                <w:sz w:val="9"/>
                <w:szCs w:val="9"/>
                <w:color w:val="auto"/>
              </w:rPr>
            </w:pPr>
          </w:p>
        </w:tc>
        <w:tc>
          <w:tcPr>
            <w:tcW w:w="1360" w:type="dxa"/>
            <w:vAlign w:val="bottom"/>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target STI</w:t>
            </w:r>
          </w:p>
        </w:tc>
        <w:tc>
          <w:tcPr>
            <w:tcW w:w="1440" w:type="dxa"/>
            <w:vAlign w:val="bottom"/>
            <w:tcBorders>
              <w:right w:val="single" w:sz="8" w:color="auto"/>
            </w:tcBorders>
            <w:shd w:val="clear" w:color="auto" w:fill="DBDBDB"/>
          </w:tcPr>
          <w:p>
            <w:pPr>
              <w:spacing w:after="0"/>
              <w:rPr>
                <w:sz w:val="9"/>
                <w:szCs w:val="9"/>
                <w:color w:val="auto"/>
              </w:rPr>
            </w:pPr>
          </w:p>
        </w:tc>
        <w:tc>
          <w:tcPr>
            <w:tcW w:w="1380" w:type="dxa"/>
            <w:vAlign w:val="bottom"/>
            <w:tcBorders>
              <w:right w:val="single" w:sz="8" w:color="auto"/>
            </w:tcBorders>
            <w:shd w:val="clear" w:color="auto" w:fill="DBDBDB"/>
          </w:tcPr>
          <w:p>
            <w:pPr>
              <w:spacing w:after="0"/>
              <w:rPr>
                <w:sz w:val="9"/>
                <w:szCs w:val="9"/>
                <w:color w:val="auto"/>
              </w:rPr>
            </w:pPr>
          </w:p>
        </w:tc>
        <w:tc>
          <w:tcPr>
            <w:tcW w:w="1240" w:type="dxa"/>
            <w:vAlign w:val="bottom"/>
            <w:tcBorders>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Unvested RSUs</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no change</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no change</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new benefit</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1500" w:type="dxa"/>
            <w:vAlign w:val="bottom"/>
            <w:tcBorders>
              <w:left w:val="single" w:sz="8" w:color="auto"/>
              <w:right w:val="single" w:sz="8" w:color="auto"/>
            </w:tcBorders>
            <w:shd w:val="clear" w:color="auto" w:fill="DBDBDB"/>
          </w:tcPr>
          <w:p>
            <w:pPr>
              <w:spacing w:after="0"/>
              <w:rPr>
                <w:sz w:val="5"/>
                <w:szCs w:val="5"/>
                <w:color w:val="auto"/>
              </w:rPr>
            </w:pPr>
          </w:p>
        </w:tc>
        <w:tc>
          <w:tcPr>
            <w:tcW w:w="1560" w:type="dxa"/>
            <w:vAlign w:val="bottom"/>
            <w:tcBorders>
              <w:right w:val="single" w:sz="8" w:color="auto"/>
            </w:tcBorders>
            <w:vMerge w:val="continue"/>
            <w:shd w:val="clear" w:color="auto" w:fill="DBDBDB"/>
          </w:tcPr>
          <w:p>
            <w:pPr>
              <w:spacing w:after="0"/>
              <w:rPr>
                <w:sz w:val="5"/>
                <w:szCs w:val="5"/>
                <w:color w:val="auto"/>
              </w:rPr>
            </w:pPr>
          </w:p>
        </w:tc>
        <w:tc>
          <w:tcPr>
            <w:tcW w:w="1360" w:type="dxa"/>
            <w:vAlign w:val="bottom"/>
            <w:vMerge w:val="continue"/>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380" w:type="dxa"/>
            <w:vAlign w:val="bottom"/>
            <w:vMerge w:val="restart"/>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forfeited to full</w:t>
            </w:r>
          </w:p>
        </w:tc>
        <w:tc>
          <w:tcPr>
            <w:tcW w:w="1440" w:type="dxa"/>
            <w:vAlign w:val="bottom"/>
            <w:tcBorders>
              <w:right w:val="single" w:sz="8" w:color="auto"/>
            </w:tcBorders>
            <w:vMerge w:val="continue"/>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240" w:type="dxa"/>
            <w:vAlign w:val="bottom"/>
            <w:tcBorders>
              <w:right w:val="single" w:sz="8" w:color="auto"/>
            </w:tcBorders>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vMerge w:val="continue"/>
            <w:shd w:val="clear" w:color="auto" w:fill="DBDBDB"/>
          </w:tcPr>
          <w:p>
            <w:pPr>
              <w:spacing w:after="0"/>
              <w:rPr>
                <w:sz w:val="6"/>
                <w:szCs w:val="6"/>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240" w:type="dxa"/>
            <w:vAlign w:val="bottom"/>
            <w:tcBorders>
              <w:right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00" w:type="dxa"/>
            <w:vAlign w:val="bottom"/>
            <w:tcBorders>
              <w:left w:val="single" w:sz="8" w:color="auto"/>
              <w:right w:val="single" w:sz="8" w:color="auto"/>
            </w:tcBorders>
            <w:shd w:val="clear" w:color="auto" w:fill="DBDBDB"/>
          </w:tcPr>
          <w:p>
            <w:pPr>
              <w:spacing w:after="0"/>
              <w:rPr>
                <w:sz w:val="9"/>
                <w:szCs w:val="9"/>
                <w:color w:val="auto"/>
              </w:rPr>
            </w:pPr>
          </w:p>
        </w:tc>
        <w:tc>
          <w:tcPr>
            <w:tcW w:w="1560" w:type="dxa"/>
            <w:vAlign w:val="bottom"/>
            <w:tcBorders>
              <w:right w:val="single" w:sz="8" w:color="auto"/>
            </w:tcBorders>
            <w:shd w:val="clear" w:color="auto" w:fill="DBDBDB"/>
          </w:tcPr>
          <w:p>
            <w:pPr>
              <w:spacing w:after="0"/>
              <w:rPr>
                <w:sz w:val="9"/>
                <w:szCs w:val="9"/>
                <w:color w:val="auto"/>
              </w:rPr>
            </w:pPr>
          </w:p>
        </w:tc>
        <w:tc>
          <w:tcPr>
            <w:tcW w:w="1360" w:type="dxa"/>
            <w:vAlign w:val="bottom"/>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vesting</w:t>
            </w:r>
          </w:p>
        </w:tc>
        <w:tc>
          <w:tcPr>
            <w:tcW w:w="1440" w:type="dxa"/>
            <w:vAlign w:val="bottom"/>
            <w:tcBorders>
              <w:right w:val="single" w:sz="8" w:color="auto"/>
            </w:tcBorders>
            <w:shd w:val="clear" w:color="auto" w:fill="DBDBDB"/>
          </w:tcPr>
          <w:p>
            <w:pPr>
              <w:spacing w:after="0"/>
              <w:rPr>
                <w:sz w:val="9"/>
                <w:szCs w:val="9"/>
                <w:color w:val="auto"/>
              </w:rPr>
            </w:pPr>
          </w:p>
        </w:tc>
        <w:tc>
          <w:tcPr>
            <w:tcW w:w="1380" w:type="dxa"/>
            <w:vAlign w:val="bottom"/>
            <w:tcBorders>
              <w:right w:val="single" w:sz="8" w:color="auto"/>
            </w:tcBorders>
            <w:shd w:val="clear" w:color="auto" w:fill="DBDBDB"/>
          </w:tcPr>
          <w:p>
            <w:pPr>
              <w:spacing w:after="0"/>
              <w:rPr>
                <w:sz w:val="9"/>
                <w:szCs w:val="9"/>
                <w:color w:val="auto"/>
              </w:rPr>
            </w:pPr>
          </w:p>
        </w:tc>
        <w:tc>
          <w:tcPr>
            <w:tcW w:w="1240" w:type="dxa"/>
            <w:vAlign w:val="bottom"/>
            <w:tcBorders>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1560" w:type="dxa"/>
            <w:vAlign w:val="bottom"/>
            <w:tcBorders>
              <w:right w:val="single" w:sz="8" w:color="auto"/>
            </w:tcBorders>
            <w:shd w:val="clear" w:color="auto" w:fill="DBDBDB"/>
          </w:tcPr>
          <w:p>
            <w:pPr>
              <w:spacing w:after="0"/>
              <w:rPr>
                <w:sz w:val="14"/>
                <w:szCs w:val="14"/>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new benefit</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i w:val="1"/>
                <w:iCs w:val="1"/>
                <w:color w:val="auto"/>
              </w:rPr>
              <w:t>new benefit</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i w:val="1"/>
                <w:iCs w:val="1"/>
                <w:color w:val="auto"/>
              </w:rPr>
              <w:t>new benefit</w:t>
            </w:r>
          </w:p>
        </w:tc>
        <w:tc>
          <w:tcPr>
            <w:tcW w:w="1440" w:type="dxa"/>
            <w:vAlign w:val="bottom"/>
            <w:tcBorders>
              <w:right w:val="single" w:sz="8" w:color="auto"/>
            </w:tcBorders>
            <w:shd w:val="clear" w:color="auto" w:fill="DBDBDB"/>
          </w:tcPr>
          <w:p>
            <w:pPr>
              <w:spacing w:after="0"/>
              <w:rPr>
                <w:sz w:val="14"/>
                <w:szCs w:val="14"/>
                <w:color w:val="auto"/>
              </w:rPr>
            </w:pPr>
          </w:p>
        </w:tc>
        <w:tc>
          <w:tcPr>
            <w:tcW w:w="1380" w:type="dxa"/>
            <w:vAlign w:val="bottom"/>
            <w:tcBorders>
              <w:right w:val="single" w:sz="8" w:color="auto"/>
            </w:tcBorders>
            <w:shd w:val="clear" w:color="auto" w:fill="DBDBDB"/>
          </w:tcPr>
          <w:p>
            <w:pPr>
              <w:spacing w:after="0"/>
              <w:rPr>
                <w:sz w:val="14"/>
                <w:szCs w:val="14"/>
                <w:color w:val="auto"/>
              </w:rPr>
            </w:pPr>
          </w:p>
        </w:tc>
        <w:tc>
          <w:tcPr>
            <w:tcW w:w="1240" w:type="dxa"/>
            <w:vAlign w:val="bottom"/>
            <w:tcBorders>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right w:val="single" w:sz="8" w:color="auto"/>
            </w:tcBorders>
            <w:shd w:val="clear" w:color="auto" w:fill="DBDBDB"/>
          </w:tcPr>
          <w:p>
            <w:pPr>
              <w:spacing w:after="0"/>
              <w:rPr>
                <w:sz w:val="5"/>
                <w:szCs w:val="5"/>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Unvested PBRSUs</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from forfeited to pro</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from forfeited to pro</w:t>
            </w:r>
          </w:p>
        </w:tc>
        <w:tc>
          <w:tcPr>
            <w:tcW w:w="1380" w:type="dxa"/>
            <w:vAlign w:val="bottom"/>
            <w:vMerge w:val="continue"/>
            <w:shd w:val="clear" w:color="auto" w:fill="DBDBDB"/>
          </w:tcPr>
          <w:p>
            <w:pPr>
              <w:spacing w:after="0"/>
              <w:rPr>
                <w:sz w:val="5"/>
                <w:szCs w:val="5"/>
                <w:color w:val="auto"/>
              </w:rPr>
            </w:pP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shd w:val="clear" w:color="auto" w:fill="DBDBDB"/>
          </w:tcPr>
          <w:p>
            <w:pPr>
              <w:spacing w:after="0"/>
              <w:rPr>
                <w:sz w:val="12"/>
                <w:szCs w:val="12"/>
                <w:color w:val="auto"/>
              </w:rPr>
            </w:pPr>
          </w:p>
        </w:tc>
        <w:tc>
          <w:tcPr>
            <w:tcW w:w="1560" w:type="dxa"/>
            <w:vAlign w:val="bottom"/>
            <w:tcBorders>
              <w:right w:val="single" w:sz="8" w:color="auto"/>
            </w:tcBorders>
            <w:vMerge w:val="continue"/>
            <w:shd w:val="clear" w:color="auto" w:fill="DBDBDB"/>
          </w:tcPr>
          <w:p>
            <w:pPr>
              <w:spacing w:after="0"/>
              <w:rPr>
                <w:sz w:val="12"/>
                <w:szCs w:val="12"/>
                <w:color w:val="auto"/>
              </w:rPr>
            </w:pPr>
          </w:p>
        </w:tc>
        <w:tc>
          <w:tcPr>
            <w:tcW w:w="1360" w:type="dxa"/>
            <w:vAlign w:val="bottom"/>
            <w:vMerge w:val="continue"/>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38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forfeited to full</w:t>
            </w:r>
          </w:p>
        </w:tc>
        <w:tc>
          <w:tcPr>
            <w:tcW w:w="1440" w:type="dxa"/>
            <w:vAlign w:val="bottom"/>
            <w:tcBorders>
              <w:right w:val="single" w:sz="8" w:color="auto"/>
            </w:tcBorders>
            <w:vMerge w:val="continue"/>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240" w:type="dxa"/>
            <w:vAlign w:val="bottom"/>
            <w:tcBorders>
              <w:right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shd w:val="clear" w:color="auto" w:fill="DBDBDB"/>
          </w:tcPr>
          <w:p>
            <w:pPr>
              <w:jc w:val="center"/>
              <w:spacing w:after="0" w:line="72" w:lineRule="exact"/>
              <w:rPr>
                <w:sz w:val="20"/>
                <w:szCs w:val="20"/>
                <w:color w:val="auto"/>
              </w:rPr>
            </w:pPr>
            <w:r>
              <w:rPr>
                <w:rFonts w:ascii="Arial" w:cs="Arial" w:eastAsia="Arial" w:hAnsi="Arial"/>
                <w:sz w:val="8"/>
                <w:szCs w:val="8"/>
                <w:color w:val="auto"/>
              </w:rPr>
              <w:t>rata (based on</w:t>
            </w:r>
          </w:p>
        </w:tc>
        <w:tc>
          <w:tcPr>
            <w:tcW w:w="1380" w:type="dxa"/>
            <w:vAlign w:val="bottom"/>
            <w:tcBorders>
              <w:right w:val="single" w:sz="8" w:color="auto"/>
            </w:tcBorders>
            <w:shd w:val="clear" w:color="auto" w:fill="DBDBDB"/>
          </w:tcPr>
          <w:p>
            <w:pPr>
              <w:jc w:val="center"/>
              <w:spacing w:after="0" w:line="72" w:lineRule="exact"/>
              <w:rPr>
                <w:sz w:val="20"/>
                <w:szCs w:val="20"/>
                <w:color w:val="auto"/>
              </w:rPr>
            </w:pPr>
            <w:r>
              <w:rPr>
                <w:rFonts w:ascii="Arial" w:cs="Arial" w:eastAsia="Arial" w:hAnsi="Arial"/>
                <w:sz w:val="8"/>
                <w:szCs w:val="8"/>
                <w:color w:val="auto"/>
              </w:rPr>
              <w:t>rata (based on</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vesting (at target)</w:t>
            </w: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500" w:type="dxa"/>
            <w:vAlign w:val="bottom"/>
            <w:tcBorders>
              <w:left w:val="single" w:sz="8" w:color="auto"/>
              <w:right w:val="single" w:sz="8" w:color="auto"/>
            </w:tcBorders>
            <w:shd w:val="clear" w:color="auto" w:fill="DBDBDB"/>
          </w:tcPr>
          <w:p>
            <w:pPr>
              <w:spacing w:after="0"/>
              <w:rPr>
                <w:sz w:val="10"/>
                <w:szCs w:val="10"/>
                <w:color w:val="auto"/>
              </w:rPr>
            </w:pPr>
          </w:p>
        </w:tc>
        <w:tc>
          <w:tcPr>
            <w:tcW w:w="1560" w:type="dxa"/>
            <w:vAlign w:val="bottom"/>
            <w:tcBorders>
              <w:right w:val="single" w:sz="8" w:color="auto"/>
            </w:tcBorders>
            <w:shd w:val="clear" w:color="auto" w:fill="DBDBDB"/>
          </w:tcPr>
          <w:p>
            <w:pPr>
              <w:spacing w:after="0"/>
              <w:rPr>
                <w:sz w:val="10"/>
                <w:szCs w:val="10"/>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actual performance)</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actual performance)</w:t>
            </w:r>
          </w:p>
        </w:tc>
        <w:tc>
          <w:tcPr>
            <w:tcW w:w="1380" w:type="dxa"/>
            <w:vAlign w:val="bottom"/>
            <w:vMerge w:val="continue"/>
            <w:shd w:val="clear" w:color="auto" w:fill="DBDBDB"/>
          </w:tcPr>
          <w:p>
            <w:pPr>
              <w:spacing w:after="0"/>
              <w:rPr>
                <w:sz w:val="10"/>
                <w:szCs w:val="10"/>
                <w:color w:val="auto"/>
              </w:rPr>
            </w:pPr>
          </w:p>
        </w:tc>
        <w:tc>
          <w:tcPr>
            <w:tcW w:w="1440" w:type="dxa"/>
            <w:vAlign w:val="bottom"/>
            <w:tcBorders>
              <w:right w:val="single" w:sz="8" w:color="auto"/>
            </w:tcBorders>
            <w:shd w:val="clear" w:color="auto" w:fill="DBDBDB"/>
          </w:tcPr>
          <w:p>
            <w:pPr>
              <w:spacing w:after="0"/>
              <w:rPr>
                <w:sz w:val="10"/>
                <w:szCs w:val="10"/>
                <w:color w:val="auto"/>
              </w:rPr>
            </w:pPr>
          </w:p>
        </w:tc>
        <w:tc>
          <w:tcPr>
            <w:tcW w:w="1380" w:type="dxa"/>
            <w:vAlign w:val="bottom"/>
            <w:tcBorders>
              <w:right w:val="single" w:sz="8" w:color="auto"/>
            </w:tcBorders>
            <w:shd w:val="clear" w:color="auto" w:fill="DBDBDB"/>
          </w:tcPr>
          <w:p>
            <w:pPr>
              <w:spacing w:after="0"/>
              <w:rPr>
                <w:sz w:val="10"/>
                <w:szCs w:val="10"/>
                <w:color w:val="auto"/>
              </w:rPr>
            </w:pPr>
          </w:p>
        </w:tc>
        <w:tc>
          <w:tcPr>
            <w:tcW w:w="1240" w:type="dxa"/>
            <w:vAlign w:val="bottom"/>
            <w:tcBorders>
              <w:right w:val="single" w:sz="8" w:color="auto"/>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500" w:type="dxa"/>
            <w:vAlign w:val="bottom"/>
            <w:tcBorders>
              <w:left w:val="single" w:sz="8" w:color="auto"/>
              <w:right w:val="single" w:sz="8" w:color="auto"/>
            </w:tcBorders>
            <w:shd w:val="clear" w:color="auto" w:fill="DBDBDB"/>
          </w:tcPr>
          <w:p>
            <w:pPr>
              <w:spacing w:after="0"/>
              <w:rPr>
                <w:sz w:val="15"/>
                <w:szCs w:val="15"/>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Benefits Continuation</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00" w:type="dxa"/>
            <w:vAlign w:val="bottom"/>
            <w:tcBorders>
              <w:left w:val="single" w:sz="8" w:color="auto"/>
              <w:right w:val="single" w:sz="8" w:color="auto"/>
            </w:tcBorders>
            <w:shd w:val="clear" w:color="auto" w:fill="DBDBDB"/>
          </w:tcPr>
          <w:p>
            <w:pPr>
              <w:spacing w:after="0"/>
              <w:rPr>
                <w:sz w:val="12"/>
                <w:szCs w:val="12"/>
                <w:color w:val="auto"/>
              </w:rPr>
            </w:pPr>
          </w:p>
        </w:tc>
        <w:tc>
          <w:tcPr>
            <w:tcW w:w="1560" w:type="dxa"/>
            <w:vAlign w:val="bottom"/>
            <w:tcBorders>
              <w:right w:val="single" w:sz="8" w:color="auto"/>
            </w:tcBorders>
            <w:vMerge w:val="continue"/>
            <w:shd w:val="clear" w:color="auto" w:fill="DBDBDB"/>
          </w:tcPr>
          <w:p>
            <w:pPr>
              <w:spacing w:after="0"/>
              <w:rPr>
                <w:sz w:val="12"/>
                <w:szCs w:val="12"/>
                <w:color w:val="auto"/>
              </w:rPr>
            </w:pPr>
          </w:p>
        </w:tc>
        <w:tc>
          <w:tcPr>
            <w:tcW w:w="136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max 1 year to 2</w:t>
            </w:r>
          </w:p>
        </w:tc>
        <w:tc>
          <w:tcPr>
            <w:tcW w:w="1380" w:type="dxa"/>
            <w:vAlign w:val="bottom"/>
            <w:tcBorders>
              <w:right w:val="single" w:sz="8" w:color="auto"/>
            </w:tcBorders>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max 1 year to</w:t>
            </w:r>
          </w:p>
        </w:tc>
        <w:tc>
          <w:tcPr>
            <w:tcW w:w="138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max 1 year to 2</w:t>
            </w:r>
          </w:p>
        </w:tc>
        <w:tc>
          <w:tcPr>
            <w:tcW w:w="1440" w:type="dxa"/>
            <w:vAlign w:val="bottom"/>
            <w:tcBorders>
              <w:right w:val="single" w:sz="8" w:color="auto"/>
            </w:tcBorders>
            <w:vMerge w:val="continue"/>
            <w:shd w:val="clear" w:color="auto" w:fill="DBDBDB"/>
          </w:tcPr>
          <w:p>
            <w:pPr>
              <w:spacing w:after="0"/>
              <w:rPr>
                <w:sz w:val="12"/>
                <w:szCs w:val="12"/>
                <w:color w:val="auto"/>
              </w:rPr>
            </w:pPr>
          </w:p>
        </w:tc>
        <w:tc>
          <w:tcPr>
            <w:tcW w:w="1380" w:type="dxa"/>
            <w:vAlign w:val="bottom"/>
            <w:tcBorders>
              <w:right w:val="single" w:sz="8" w:color="auto"/>
            </w:tcBorders>
            <w:vMerge w:val="continue"/>
            <w:shd w:val="clear" w:color="auto" w:fill="DBDBDB"/>
          </w:tcPr>
          <w:p>
            <w:pPr>
              <w:spacing w:after="0"/>
              <w:rPr>
                <w:sz w:val="12"/>
                <w:szCs w:val="12"/>
                <w:color w:val="auto"/>
              </w:rPr>
            </w:pPr>
          </w:p>
        </w:tc>
        <w:tc>
          <w:tcPr>
            <w:tcW w:w="1240" w:type="dxa"/>
            <w:vAlign w:val="bottom"/>
            <w:tcBorders>
              <w:right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auto"/>
              <w:right w:val="single" w:sz="8" w:color="auto"/>
            </w:tcBorders>
            <w:shd w:val="clear" w:color="auto" w:fill="DBDBDB"/>
          </w:tcPr>
          <w:p>
            <w:pPr>
              <w:spacing w:after="0"/>
              <w:rPr>
                <w:sz w:val="16"/>
                <w:szCs w:val="16"/>
                <w:color w:val="auto"/>
              </w:rPr>
            </w:pPr>
          </w:p>
        </w:tc>
        <w:tc>
          <w:tcPr>
            <w:tcW w:w="1560" w:type="dxa"/>
            <w:vAlign w:val="bottom"/>
            <w:tcBorders>
              <w:right w:val="single" w:sz="8" w:color="auto"/>
            </w:tcBorders>
            <w:shd w:val="clear" w:color="auto" w:fill="DBDBDB"/>
          </w:tcPr>
          <w:p>
            <w:pPr>
              <w:spacing w:after="0"/>
              <w:rPr>
                <w:sz w:val="16"/>
                <w:szCs w:val="16"/>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years</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years</w:t>
            </w:r>
          </w:p>
        </w:tc>
        <w:tc>
          <w:tcPr>
            <w:tcW w:w="1440" w:type="dxa"/>
            <w:vAlign w:val="bottom"/>
            <w:tcBorders>
              <w:right w:val="single" w:sz="8" w:color="auto"/>
            </w:tcBorders>
            <w:shd w:val="clear" w:color="auto" w:fill="DBDBDB"/>
          </w:tcPr>
          <w:p>
            <w:pPr>
              <w:spacing w:after="0"/>
              <w:rPr>
                <w:sz w:val="16"/>
                <w:szCs w:val="16"/>
                <w:color w:val="auto"/>
              </w:rPr>
            </w:pPr>
          </w:p>
        </w:tc>
        <w:tc>
          <w:tcPr>
            <w:tcW w:w="1380" w:type="dxa"/>
            <w:vAlign w:val="bottom"/>
            <w:tcBorders>
              <w:right w:val="single" w:sz="8" w:color="auto"/>
            </w:tcBorders>
            <w:shd w:val="clear" w:color="auto" w:fill="DBDBDB"/>
          </w:tcPr>
          <w:p>
            <w:pPr>
              <w:spacing w:after="0"/>
              <w:rPr>
                <w:sz w:val="16"/>
                <w:szCs w:val="16"/>
                <w:color w:val="auto"/>
              </w:rPr>
            </w:pPr>
          </w:p>
        </w:tc>
        <w:tc>
          <w:tcPr>
            <w:tcW w:w="1240" w:type="dxa"/>
            <w:vAlign w:val="bottom"/>
            <w:tcBorders>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BDBDB"/>
          </w:tcPr>
          <w:p>
            <w:pPr>
              <w:spacing w:after="0"/>
              <w:rPr>
                <w:sz w:val="14"/>
                <w:szCs w:val="14"/>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Outplacement</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1500" w:type="dxa"/>
            <w:vAlign w:val="bottom"/>
            <w:tcBorders>
              <w:left w:val="single" w:sz="8" w:color="auto"/>
              <w:right w:val="single" w:sz="8" w:color="auto"/>
            </w:tcBorders>
            <w:shd w:val="clear" w:color="auto" w:fill="DBDBDB"/>
          </w:tcPr>
          <w:p>
            <w:pPr>
              <w:spacing w:after="0"/>
              <w:rPr>
                <w:sz w:val="5"/>
                <w:szCs w:val="5"/>
                <w:color w:val="auto"/>
              </w:rPr>
            </w:pPr>
          </w:p>
        </w:tc>
        <w:tc>
          <w:tcPr>
            <w:tcW w:w="1560" w:type="dxa"/>
            <w:vAlign w:val="bottom"/>
            <w:tcBorders>
              <w:right w:val="single" w:sz="8" w:color="auto"/>
            </w:tcBorders>
            <w:vMerge w:val="continue"/>
            <w:shd w:val="clear" w:color="auto" w:fill="DBDBDB"/>
          </w:tcPr>
          <w:p>
            <w:pPr>
              <w:spacing w:after="0"/>
              <w:rPr>
                <w:sz w:val="5"/>
                <w:szCs w:val="5"/>
                <w:color w:val="auto"/>
              </w:rPr>
            </w:pPr>
          </w:p>
        </w:tc>
        <w:tc>
          <w:tcPr>
            <w:tcW w:w="1360" w:type="dxa"/>
            <w:vAlign w:val="bottom"/>
            <w:vMerge w:val="restart"/>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$5,000 to</w:t>
            </w:r>
          </w:p>
        </w:tc>
        <w:tc>
          <w:tcPr>
            <w:tcW w:w="1380" w:type="dxa"/>
            <w:vAlign w:val="bottom"/>
            <w:tcBorders>
              <w:right w:val="single" w:sz="8" w:color="auto"/>
            </w:tcBorders>
            <w:vMerge w:val="restart"/>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$5,000 to</w:t>
            </w:r>
          </w:p>
        </w:tc>
        <w:tc>
          <w:tcPr>
            <w:tcW w:w="1380" w:type="dxa"/>
            <w:vAlign w:val="bottom"/>
            <w:vMerge w:val="restart"/>
            <w:shd w:val="clear" w:color="auto" w:fill="DBDBDB"/>
          </w:tcPr>
          <w:p>
            <w:pPr>
              <w:jc w:val="center"/>
              <w:spacing w:after="0" w:line="145" w:lineRule="exact"/>
              <w:rPr>
                <w:sz w:val="20"/>
                <w:szCs w:val="20"/>
                <w:color w:val="auto"/>
              </w:rPr>
            </w:pPr>
            <w:r>
              <w:rPr>
                <w:rFonts w:ascii="Arial" w:cs="Arial" w:eastAsia="Arial" w:hAnsi="Arial"/>
                <w:sz w:val="14"/>
                <w:szCs w:val="14"/>
                <w:color w:val="auto"/>
              </w:rPr>
              <w:t>from $5,000 to</w:t>
            </w:r>
          </w:p>
        </w:tc>
        <w:tc>
          <w:tcPr>
            <w:tcW w:w="1440" w:type="dxa"/>
            <w:vAlign w:val="bottom"/>
            <w:tcBorders>
              <w:right w:val="single" w:sz="8" w:color="auto"/>
            </w:tcBorders>
            <w:vMerge w:val="continue"/>
            <w:shd w:val="clear" w:color="auto" w:fill="DBDBDB"/>
          </w:tcPr>
          <w:p>
            <w:pPr>
              <w:spacing w:after="0"/>
              <w:rPr>
                <w:sz w:val="5"/>
                <w:szCs w:val="5"/>
                <w:color w:val="auto"/>
              </w:rPr>
            </w:pPr>
          </w:p>
        </w:tc>
        <w:tc>
          <w:tcPr>
            <w:tcW w:w="1380" w:type="dxa"/>
            <w:vAlign w:val="bottom"/>
            <w:tcBorders>
              <w:right w:val="single" w:sz="8" w:color="auto"/>
            </w:tcBorders>
            <w:vMerge w:val="continue"/>
            <w:shd w:val="clear" w:color="auto" w:fill="DBDBDB"/>
          </w:tcPr>
          <w:p>
            <w:pPr>
              <w:spacing w:after="0"/>
              <w:rPr>
                <w:sz w:val="5"/>
                <w:szCs w:val="5"/>
                <w:color w:val="auto"/>
              </w:rPr>
            </w:pPr>
          </w:p>
        </w:tc>
        <w:tc>
          <w:tcPr>
            <w:tcW w:w="1240" w:type="dxa"/>
            <w:vAlign w:val="bottom"/>
            <w:tcBorders>
              <w:right w:val="single" w:sz="8" w:color="auto"/>
            </w:tcBorders>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00" w:type="dxa"/>
            <w:vAlign w:val="bottom"/>
            <w:tcBorders>
              <w:left w:val="single" w:sz="8" w:color="auto"/>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4"/>
                <w:szCs w:val="14"/>
                <w:color w:val="auto"/>
              </w:rPr>
              <w:t>Assistance</w:t>
            </w: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vMerge w:val="continue"/>
            <w:shd w:val="clear" w:color="auto" w:fill="DBDBDB"/>
          </w:tcPr>
          <w:p>
            <w:pPr>
              <w:spacing w:after="0"/>
              <w:rPr>
                <w:sz w:val="6"/>
                <w:szCs w:val="6"/>
                <w:color w:val="auto"/>
              </w:rPr>
            </w:pPr>
          </w:p>
        </w:tc>
        <w:tc>
          <w:tcPr>
            <w:tcW w:w="1380" w:type="dxa"/>
            <w:vAlign w:val="bottom"/>
            <w:tcBorders>
              <w:right w:val="single" w:sz="8" w:color="auto"/>
            </w:tcBorders>
            <w:vMerge w:val="continue"/>
            <w:shd w:val="clear" w:color="auto" w:fill="DBDBDB"/>
          </w:tcPr>
          <w:p>
            <w:pPr>
              <w:spacing w:after="0"/>
              <w:rPr>
                <w:sz w:val="6"/>
                <w:szCs w:val="6"/>
                <w:color w:val="auto"/>
              </w:rPr>
            </w:pPr>
          </w:p>
        </w:tc>
        <w:tc>
          <w:tcPr>
            <w:tcW w:w="1240" w:type="dxa"/>
            <w:vAlign w:val="bottom"/>
            <w:tcBorders>
              <w:right w:val="single" w:sz="8" w:color="auto"/>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00" w:type="dxa"/>
            <w:vAlign w:val="bottom"/>
            <w:tcBorders>
              <w:left w:val="single" w:sz="8" w:color="auto"/>
              <w:right w:val="single" w:sz="8" w:color="auto"/>
            </w:tcBorders>
            <w:shd w:val="clear" w:color="auto" w:fill="DBDBDB"/>
          </w:tcPr>
          <w:p>
            <w:pPr>
              <w:spacing w:after="0"/>
              <w:rPr>
                <w:sz w:val="9"/>
                <w:szCs w:val="9"/>
                <w:color w:val="auto"/>
              </w:rPr>
            </w:pPr>
          </w:p>
        </w:tc>
        <w:tc>
          <w:tcPr>
            <w:tcW w:w="1560" w:type="dxa"/>
            <w:vAlign w:val="bottom"/>
            <w:tcBorders>
              <w:right w:val="single" w:sz="8" w:color="auto"/>
            </w:tcBorders>
            <w:vMerge w:val="continue"/>
            <w:shd w:val="clear" w:color="auto" w:fill="DBDBDB"/>
          </w:tcPr>
          <w:p>
            <w:pPr>
              <w:spacing w:after="0"/>
              <w:rPr>
                <w:sz w:val="9"/>
                <w:szCs w:val="9"/>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$25,000 max</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$25,000 max</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$25,000 max</w:t>
            </w:r>
          </w:p>
        </w:tc>
        <w:tc>
          <w:tcPr>
            <w:tcW w:w="1440" w:type="dxa"/>
            <w:vAlign w:val="bottom"/>
            <w:tcBorders>
              <w:right w:val="single" w:sz="8" w:color="auto"/>
            </w:tcBorders>
            <w:shd w:val="clear" w:color="auto" w:fill="DBDBDB"/>
          </w:tcPr>
          <w:p>
            <w:pPr>
              <w:spacing w:after="0"/>
              <w:rPr>
                <w:sz w:val="9"/>
                <w:szCs w:val="9"/>
                <w:color w:val="auto"/>
              </w:rPr>
            </w:pPr>
          </w:p>
        </w:tc>
        <w:tc>
          <w:tcPr>
            <w:tcW w:w="1380" w:type="dxa"/>
            <w:vAlign w:val="bottom"/>
            <w:tcBorders>
              <w:right w:val="single" w:sz="8" w:color="auto"/>
            </w:tcBorders>
            <w:shd w:val="clear" w:color="auto" w:fill="DBDBDB"/>
          </w:tcPr>
          <w:p>
            <w:pPr>
              <w:spacing w:after="0"/>
              <w:rPr>
                <w:sz w:val="9"/>
                <w:szCs w:val="9"/>
                <w:color w:val="auto"/>
              </w:rPr>
            </w:pPr>
          </w:p>
        </w:tc>
        <w:tc>
          <w:tcPr>
            <w:tcW w:w="1240" w:type="dxa"/>
            <w:vAlign w:val="bottom"/>
            <w:tcBorders>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bottom w:val="single" w:sz="8" w:color="auto"/>
              <w:right w:val="single" w:sz="8" w:color="auto"/>
            </w:tcBorders>
            <w:shd w:val="clear" w:color="auto" w:fill="DBDBDB"/>
          </w:tcPr>
          <w:p>
            <w:pPr>
              <w:spacing w:after="0"/>
              <w:rPr>
                <w:sz w:val="6"/>
                <w:szCs w:val="6"/>
                <w:color w:val="auto"/>
              </w:rPr>
            </w:pPr>
          </w:p>
        </w:tc>
        <w:tc>
          <w:tcPr>
            <w:tcW w:w="1560" w:type="dxa"/>
            <w:vAlign w:val="bottom"/>
            <w:tcBorders>
              <w:bottom w:val="single" w:sz="8" w:color="auto"/>
              <w:right w:val="single" w:sz="8" w:color="auto"/>
            </w:tcBorders>
            <w:shd w:val="clear" w:color="auto" w:fill="DBDBDB"/>
          </w:tcPr>
          <w:p>
            <w:pPr>
              <w:spacing w:after="0"/>
              <w:rPr>
                <w:sz w:val="6"/>
                <w:szCs w:val="6"/>
                <w:color w:val="auto"/>
              </w:rPr>
            </w:pPr>
          </w:p>
        </w:tc>
        <w:tc>
          <w:tcPr>
            <w:tcW w:w="1360" w:type="dxa"/>
            <w:vAlign w:val="bottom"/>
            <w:tcBorders>
              <w:bottom w:val="single" w:sz="8" w:color="auto"/>
            </w:tcBorders>
            <w:vMerge w:val="continue"/>
            <w:shd w:val="clear" w:color="auto" w:fill="DBDBDB"/>
          </w:tcPr>
          <w:p>
            <w:pPr>
              <w:spacing w:after="0"/>
              <w:rPr>
                <w:sz w:val="6"/>
                <w:szCs w:val="6"/>
                <w:color w:val="auto"/>
              </w:rPr>
            </w:pPr>
          </w:p>
        </w:tc>
        <w:tc>
          <w:tcPr>
            <w:tcW w:w="1380" w:type="dxa"/>
            <w:vAlign w:val="bottom"/>
            <w:tcBorders>
              <w:bottom w:val="single" w:sz="8" w:color="auto"/>
              <w:right w:val="single" w:sz="8" w:color="auto"/>
            </w:tcBorders>
            <w:vMerge w:val="continue"/>
            <w:shd w:val="clear" w:color="auto" w:fill="DBDBDB"/>
          </w:tcPr>
          <w:p>
            <w:pPr>
              <w:spacing w:after="0"/>
              <w:rPr>
                <w:sz w:val="6"/>
                <w:szCs w:val="6"/>
                <w:color w:val="auto"/>
              </w:rPr>
            </w:pPr>
          </w:p>
        </w:tc>
        <w:tc>
          <w:tcPr>
            <w:tcW w:w="1380" w:type="dxa"/>
            <w:vAlign w:val="bottom"/>
            <w:tcBorders>
              <w:bottom w:val="single" w:sz="8" w:color="auto"/>
            </w:tcBorders>
            <w:vMerge w:val="continue"/>
            <w:shd w:val="clear" w:color="auto" w:fill="DBDBDB"/>
          </w:tcPr>
          <w:p>
            <w:pPr>
              <w:spacing w:after="0"/>
              <w:rPr>
                <w:sz w:val="6"/>
                <w:szCs w:val="6"/>
                <w:color w:val="auto"/>
              </w:rPr>
            </w:pPr>
          </w:p>
        </w:tc>
        <w:tc>
          <w:tcPr>
            <w:tcW w:w="1440" w:type="dxa"/>
            <w:vAlign w:val="bottom"/>
            <w:tcBorders>
              <w:bottom w:val="single" w:sz="8" w:color="auto"/>
              <w:right w:val="single" w:sz="8" w:color="auto"/>
            </w:tcBorders>
            <w:shd w:val="clear" w:color="auto" w:fill="DBDBDB"/>
          </w:tcPr>
          <w:p>
            <w:pPr>
              <w:spacing w:after="0"/>
              <w:rPr>
                <w:sz w:val="6"/>
                <w:szCs w:val="6"/>
                <w:color w:val="auto"/>
              </w:rPr>
            </w:pPr>
          </w:p>
        </w:tc>
        <w:tc>
          <w:tcPr>
            <w:tcW w:w="1380" w:type="dxa"/>
            <w:vAlign w:val="bottom"/>
            <w:tcBorders>
              <w:bottom w:val="single" w:sz="8" w:color="auto"/>
              <w:right w:val="single" w:sz="8" w:color="auto"/>
            </w:tcBorders>
            <w:shd w:val="clear" w:color="auto" w:fill="DBDBDB"/>
          </w:tcPr>
          <w:p>
            <w:pPr>
              <w:spacing w:after="0"/>
              <w:rPr>
                <w:sz w:val="6"/>
                <w:szCs w:val="6"/>
                <w:color w:val="auto"/>
              </w:rPr>
            </w:pPr>
          </w:p>
        </w:tc>
        <w:tc>
          <w:tcPr>
            <w:tcW w:w="124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-2279650</wp:posOffset>
            </wp:positionV>
            <wp:extent cx="6189345" cy="2280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89345" cy="228028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-4791075</wp:posOffset>
            </wp:positionV>
            <wp:extent cx="6189345" cy="12687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8934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48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3" w:name="page54"/>
    <w:bookmarkEnd w:id="53"/>
    <w:p>
      <w:pPr>
        <w:ind w:left="8360"/>
        <w:spacing w:after="0"/>
        <w:rPr>
          <w:sz w:val="20"/>
          <w:szCs w:val="20"/>
          <w:color w:val="auto"/>
        </w:rPr>
      </w:pPr>
      <w:r>
        <w:rPr>
          <w:rFonts w:ascii="Arial" w:cs="Arial" w:eastAsia="Arial" w:hAnsi="Arial"/>
          <w:sz w:val="17"/>
          <w:szCs w:val="17"/>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520" w:type="dxa"/>
            <w:vAlign w:val="bottom"/>
            <w:tcBorders>
              <w:top w:val="single" w:sz="8" w:color="auto"/>
              <w:left w:val="single" w:sz="8" w:color="auto"/>
              <w:right w:val="single" w:sz="8" w:color="auto"/>
            </w:tcBorders>
            <w:shd w:val="clear" w:color="auto" w:fill="465E66"/>
          </w:tcPr>
          <w:p>
            <w:pPr>
              <w:spacing w:after="0"/>
              <w:rPr>
                <w:sz w:val="15"/>
                <w:szCs w:val="15"/>
                <w:color w:val="auto"/>
              </w:rPr>
            </w:pPr>
          </w:p>
        </w:tc>
        <w:tc>
          <w:tcPr>
            <w:tcW w:w="1540" w:type="dxa"/>
            <w:vAlign w:val="bottom"/>
            <w:tcBorders>
              <w:top w:val="single" w:sz="8" w:color="auto"/>
              <w:right w:val="single" w:sz="8" w:color="auto"/>
            </w:tcBorders>
            <w:shd w:val="clear" w:color="auto" w:fill="465E66"/>
          </w:tcPr>
          <w:p>
            <w:pPr>
              <w:spacing w:after="0"/>
              <w:rPr>
                <w:sz w:val="15"/>
                <w:szCs w:val="15"/>
                <w:color w:val="auto"/>
              </w:rPr>
            </w:pPr>
          </w:p>
        </w:tc>
        <w:tc>
          <w:tcPr>
            <w:tcW w:w="2740" w:type="dxa"/>
            <w:vAlign w:val="bottom"/>
            <w:tcBorders>
              <w:top w:val="single" w:sz="8" w:color="auto"/>
              <w:right w:val="single" w:sz="8" w:color="auto"/>
            </w:tcBorders>
            <w:gridSpan w:val="2"/>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No Change in Control</w:t>
            </w:r>
          </w:p>
        </w:tc>
        <w:tc>
          <w:tcPr>
            <w:tcW w:w="2820" w:type="dxa"/>
            <w:vAlign w:val="bottom"/>
            <w:tcBorders>
              <w:top w:val="single" w:sz="8" w:color="auto"/>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In Connection with a</w:t>
            </w:r>
          </w:p>
        </w:tc>
        <w:tc>
          <w:tcPr>
            <w:tcW w:w="1380" w:type="dxa"/>
            <w:vAlign w:val="bottom"/>
            <w:tcBorders>
              <w:top w:val="single" w:sz="8" w:color="auto"/>
              <w:right w:val="single" w:sz="8" w:color="auto"/>
            </w:tcBorders>
            <w:shd w:val="clear" w:color="auto" w:fill="465E66"/>
          </w:tcPr>
          <w:p>
            <w:pPr>
              <w:spacing w:after="0"/>
              <w:rPr>
                <w:sz w:val="15"/>
                <w:szCs w:val="15"/>
                <w:color w:val="auto"/>
              </w:rPr>
            </w:pPr>
          </w:p>
        </w:tc>
        <w:tc>
          <w:tcPr>
            <w:tcW w:w="1240" w:type="dxa"/>
            <w:vAlign w:val="bottom"/>
            <w:tcBorders>
              <w:top w:val="single" w:sz="8" w:color="auto"/>
              <w:right w:val="single" w:sz="8" w:color="auto"/>
            </w:tcBorders>
            <w:shd w:val="clear" w:color="auto" w:fill="465E6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right w:val="single" w:sz="8" w:color="auto"/>
            </w:tcBorders>
            <w:shd w:val="clear" w:color="auto" w:fill="465E66"/>
          </w:tcPr>
          <w:p>
            <w:pPr>
              <w:spacing w:after="0"/>
              <w:rPr>
                <w:sz w:val="16"/>
                <w:szCs w:val="16"/>
                <w:color w:val="auto"/>
              </w:rPr>
            </w:pPr>
          </w:p>
        </w:tc>
        <w:tc>
          <w:tcPr>
            <w:tcW w:w="1540" w:type="dxa"/>
            <w:vAlign w:val="bottom"/>
            <w:tcBorders>
              <w:right w:val="single" w:sz="8" w:color="auto"/>
            </w:tcBorders>
            <w:shd w:val="clear" w:color="auto" w:fill="465E66"/>
          </w:tcPr>
          <w:p>
            <w:pPr>
              <w:spacing w:after="0"/>
              <w:rPr>
                <w:sz w:val="16"/>
                <w:szCs w:val="16"/>
                <w:color w:val="auto"/>
              </w:rPr>
            </w:pPr>
          </w:p>
        </w:tc>
        <w:tc>
          <w:tcPr>
            <w:tcW w:w="2740" w:type="dxa"/>
            <w:vAlign w:val="bottom"/>
            <w:tcBorders>
              <w:right w:val="single" w:sz="8" w:color="auto"/>
            </w:tcBorders>
            <w:gridSpan w:val="2"/>
            <w:vMerge w:val="continue"/>
            <w:shd w:val="clear" w:color="auto" w:fill="465E66"/>
          </w:tcPr>
          <w:p>
            <w:pPr>
              <w:spacing w:after="0"/>
              <w:rPr>
                <w:sz w:val="16"/>
                <w:szCs w:val="16"/>
                <w:color w:val="auto"/>
              </w:rPr>
            </w:pPr>
          </w:p>
        </w:tc>
        <w:tc>
          <w:tcPr>
            <w:tcW w:w="2820" w:type="dxa"/>
            <w:vAlign w:val="bottom"/>
            <w:tcBorders>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Change in Control</w:t>
            </w:r>
          </w:p>
        </w:tc>
        <w:tc>
          <w:tcPr>
            <w:tcW w:w="1380" w:type="dxa"/>
            <w:vAlign w:val="bottom"/>
            <w:tcBorders>
              <w:right w:val="single" w:sz="8" w:color="auto"/>
            </w:tcBorders>
            <w:shd w:val="clear" w:color="auto" w:fill="465E66"/>
          </w:tcPr>
          <w:p>
            <w:pPr>
              <w:spacing w:after="0"/>
              <w:rPr>
                <w:sz w:val="16"/>
                <w:szCs w:val="16"/>
                <w:color w:val="auto"/>
              </w:rPr>
            </w:pPr>
          </w:p>
        </w:tc>
        <w:tc>
          <w:tcPr>
            <w:tcW w:w="1240" w:type="dxa"/>
            <w:vAlign w:val="bottom"/>
            <w:tcBorders>
              <w:right w:val="single" w:sz="8" w:color="auto"/>
            </w:tcBorders>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20" w:type="dxa"/>
            <w:vAlign w:val="bottom"/>
            <w:tcBorders>
              <w:left w:val="single" w:sz="8" w:color="auto"/>
              <w:right w:val="single" w:sz="8" w:color="auto"/>
            </w:tcBorders>
            <w:shd w:val="clear" w:color="auto" w:fill="465E66"/>
          </w:tcPr>
          <w:p>
            <w:pPr>
              <w:spacing w:after="0"/>
              <w:rPr>
                <w:sz w:val="14"/>
                <w:szCs w:val="14"/>
                <w:color w:val="auto"/>
              </w:rPr>
            </w:pPr>
          </w:p>
        </w:tc>
        <w:tc>
          <w:tcPr>
            <w:tcW w:w="1540" w:type="dxa"/>
            <w:vAlign w:val="bottom"/>
            <w:tcBorders>
              <w:right w:val="single" w:sz="8" w:color="auto"/>
            </w:tcBorders>
            <w:shd w:val="clear" w:color="auto" w:fill="465E66"/>
          </w:tcPr>
          <w:p>
            <w:pPr>
              <w:spacing w:after="0"/>
              <w:rPr>
                <w:sz w:val="14"/>
                <w:szCs w:val="14"/>
                <w:color w:val="auto"/>
              </w:rPr>
            </w:pPr>
          </w:p>
        </w:tc>
        <w:tc>
          <w:tcPr>
            <w:tcW w:w="1360" w:type="dxa"/>
            <w:vAlign w:val="bottom"/>
            <w:shd w:val="clear" w:color="auto" w:fill="465E66"/>
          </w:tcPr>
          <w:p>
            <w:pPr>
              <w:spacing w:after="0"/>
              <w:rPr>
                <w:sz w:val="14"/>
                <w:szCs w:val="14"/>
                <w:color w:val="auto"/>
              </w:rPr>
            </w:pPr>
          </w:p>
        </w:tc>
        <w:tc>
          <w:tcPr>
            <w:tcW w:w="1380" w:type="dxa"/>
            <w:vAlign w:val="bottom"/>
            <w:tcBorders>
              <w:right w:val="single" w:sz="8" w:color="auto"/>
            </w:tcBorders>
            <w:shd w:val="clear" w:color="auto" w:fill="465E66"/>
          </w:tcPr>
          <w:p>
            <w:pPr>
              <w:spacing w:after="0"/>
              <w:rPr>
                <w:sz w:val="14"/>
                <w:szCs w:val="14"/>
                <w:color w:val="auto"/>
              </w:rPr>
            </w:pPr>
          </w:p>
        </w:tc>
        <w:tc>
          <w:tcPr>
            <w:tcW w:w="1380" w:type="dxa"/>
            <w:vAlign w:val="bottom"/>
            <w:shd w:val="clear" w:color="auto" w:fill="465E66"/>
          </w:tcPr>
          <w:p>
            <w:pPr>
              <w:jc w:val="center"/>
              <w:spacing w:after="0"/>
              <w:rPr>
                <w:sz w:val="20"/>
                <w:szCs w:val="20"/>
                <w:color w:val="auto"/>
              </w:rPr>
            </w:pPr>
            <w:r>
              <w:rPr>
                <w:rFonts w:ascii="Arial" w:cs="Arial" w:eastAsia="Arial" w:hAnsi="Arial"/>
                <w:sz w:val="14"/>
                <w:szCs w:val="14"/>
                <w:i w:val="1"/>
                <w:iCs w:val="1"/>
                <w:color w:val="FFFFFF"/>
              </w:rPr>
              <w:t>Double Trigger</w:t>
            </w:r>
          </w:p>
        </w:tc>
        <w:tc>
          <w:tcPr>
            <w:tcW w:w="1440" w:type="dxa"/>
            <w:vAlign w:val="bottom"/>
            <w:tcBorders>
              <w:right w:val="single" w:sz="8" w:color="auto"/>
            </w:tcBorders>
            <w:shd w:val="clear" w:color="auto" w:fill="465E66"/>
          </w:tcPr>
          <w:p>
            <w:pPr>
              <w:spacing w:after="0"/>
              <w:rPr>
                <w:sz w:val="14"/>
                <w:szCs w:val="14"/>
                <w:color w:val="auto"/>
              </w:rPr>
            </w:pPr>
          </w:p>
        </w:tc>
        <w:tc>
          <w:tcPr>
            <w:tcW w:w="1380" w:type="dxa"/>
            <w:vAlign w:val="bottom"/>
            <w:tcBorders>
              <w:right w:val="single" w:sz="8" w:color="auto"/>
            </w:tcBorders>
            <w:shd w:val="clear" w:color="auto" w:fill="465E66"/>
          </w:tcPr>
          <w:p>
            <w:pPr>
              <w:spacing w:after="0"/>
              <w:rPr>
                <w:sz w:val="14"/>
                <w:szCs w:val="14"/>
                <w:color w:val="auto"/>
              </w:rPr>
            </w:pPr>
          </w:p>
        </w:tc>
        <w:tc>
          <w:tcPr>
            <w:tcW w:w="1240" w:type="dxa"/>
            <w:vAlign w:val="bottom"/>
            <w:tcBorders>
              <w:right w:val="single" w:sz="8" w:color="auto"/>
            </w:tcBorders>
            <w:shd w:val="clear" w:color="auto" w:fill="465E66"/>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20" w:type="dxa"/>
            <w:vAlign w:val="bottom"/>
            <w:tcBorders>
              <w:left w:val="single" w:sz="8" w:color="auto"/>
              <w:right w:val="single" w:sz="8" w:color="auto"/>
            </w:tcBorders>
            <w:shd w:val="clear" w:color="auto" w:fill="465E66"/>
          </w:tcPr>
          <w:p>
            <w:pPr>
              <w:spacing w:after="0"/>
              <w:rPr>
                <w:sz w:val="12"/>
                <w:szCs w:val="12"/>
                <w:color w:val="auto"/>
              </w:rPr>
            </w:pPr>
          </w:p>
        </w:tc>
        <w:tc>
          <w:tcPr>
            <w:tcW w:w="1540" w:type="dxa"/>
            <w:vAlign w:val="bottom"/>
            <w:tcBorders>
              <w:right w:val="single" w:sz="8" w:color="auto"/>
            </w:tcBorders>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1380" w:type="dxa"/>
            <w:vAlign w:val="bottom"/>
            <w:tcBorders>
              <w:right w:val="single" w:sz="8" w:color="auto"/>
            </w:tcBorders>
            <w:shd w:val="clear" w:color="auto" w:fill="465E66"/>
          </w:tcPr>
          <w:p>
            <w:pPr>
              <w:spacing w:after="0"/>
              <w:rPr>
                <w:sz w:val="12"/>
                <w:szCs w:val="12"/>
                <w:color w:val="auto"/>
              </w:rPr>
            </w:pPr>
          </w:p>
        </w:tc>
        <w:tc>
          <w:tcPr>
            <w:tcW w:w="1380" w:type="dxa"/>
            <w:vAlign w:val="bottom"/>
            <w:shd w:val="clear" w:color="auto" w:fill="465E66"/>
          </w:tcPr>
          <w:p>
            <w:pPr>
              <w:jc w:val="center"/>
              <w:spacing w:after="0" w:line="143" w:lineRule="exact"/>
              <w:rPr>
                <w:sz w:val="20"/>
                <w:szCs w:val="20"/>
                <w:color w:val="auto"/>
              </w:rPr>
            </w:pPr>
            <w:r>
              <w:rPr>
                <w:rFonts w:ascii="Arial" w:cs="Arial" w:eastAsia="Arial" w:hAnsi="Arial"/>
                <w:sz w:val="14"/>
                <w:szCs w:val="14"/>
                <w:i w:val="1"/>
                <w:iCs w:val="1"/>
                <w:color w:val="FFFFFF"/>
              </w:rPr>
              <w:t>(Termination without</w:t>
            </w:r>
          </w:p>
        </w:tc>
        <w:tc>
          <w:tcPr>
            <w:tcW w:w="1440" w:type="dxa"/>
            <w:vAlign w:val="bottom"/>
            <w:tcBorders>
              <w:right w:val="single" w:sz="8" w:color="auto"/>
            </w:tcBorders>
            <w:shd w:val="clear" w:color="auto" w:fill="465E66"/>
          </w:tcPr>
          <w:p>
            <w:pPr>
              <w:spacing w:after="0"/>
              <w:rPr>
                <w:sz w:val="12"/>
                <w:szCs w:val="12"/>
                <w:color w:val="auto"/>
              </w:rPr>
            </w:pPr>
          </w:p>
        </w:tc>
        <w:tc>
          <w:tcPr>
            <w:tcW w:w="1380" w:type="dxa"/>
            <w:vAlign w:val="bottom"/>
            <w:tcBorders>
              <w:right w:val="single" w:sz="8" w:color="auto"/>
            </w:tcBorders>
            <w:shd w:val="clear" w:color="auto" w:fill="465E66"/>
          </w:tcPr>
          <w:p>
            <w:pPr>
              <w:spacing w:after="0"/>
              <w:rPr>
                <w:sz w:val="12"/>
                <w:szCs w:val="12"/>
                <w:color w:val="auto"/>
              </w:rPr>
            </w:pPr>
          </w:p>
        </w:tc>
        <w:tc>
          <w:tcPr>
            <w:tcW w:w="1240" w:type="dxa"/>
            <w:vAlign w:val="bottom"/>
            <w:tcBorders>
              <w:right w:val="single" w:sz="8" w:color="auto"/>
            </w:tcBorders>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20" w:type="dxa"/>
            <w:vAlign w:val="bottom"/>
            <w:tcBorders>
              <w:left w:val="single" w:sz="8" w:color="auto"/>
              <w:right w:val="single" w:sz="8" w:color="auto"/>
            </w:tcBorders>
            <w:shd w:val="clear" w:color="auto" w:fill="465E66"/>
          </w:tcPr>
          <w:p>
            <w:pPr>
              <w:spacing w:after="0"/>
              <w:rPr>
                <w:sz w:val="12"/>
                <w:szCs w:val="12"/>
                <w:color w:val="auto"/>
              </w:rPr>
            </w:pPr>
          </w:p>
        </w:tc>
        <w:tc>
          <w:tcPr>
            <w:tcW w:w="1540" w:type="dxa"/>
            <w:vAlign w:val="bottom"/>
            <w:tcBorders>
              <w:right w:val="single" w:sz="8" w:color="auto"/>
            </w:tcBorders>
            <w:vMerge w:val="restart"/>
            <w:shd w:val="clear" w:color="auto" w:fill="465E66"/>
          </w:tcPr>
          <w:p>
            <w:pPr>
              <w:spacing w:after="0"/>
              <w:rPr>
                <w:sz w:val="20"/>
                <w:szCs w:val="20"/>
                <w:color w:val="auto"/>
              </w:rPr>
            </w:pPr>
            <w:r>
              <w:rPr>
                <w:rFonts w:ascii="Arial" w:cs="Arial" w:eastAsia="Arial" w:hAnsi="Arial"/>
                <w:sz w:val="14"/>
                <w:szCs w:val="14"/>
                <w:b w:val="1"/>
                <w:bCs w:val="1"/>
                <w:i w:val="1"/>
                <w:iCs w:val="1"/>
                <w:color w:val="FFFFFF"/>
              </w:rPr>
              <w:t>Type of</w:t>
            </w:r>
          </w:p>
        </w:tc>
        <w:tc>
          <w:tcPr>
            <w:tcW w:w="1360" w:type="dxa"/>
            <w:vAlign w:val="bottom"/>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Termination without</w:t>
            </w:r>
          </w:p>
        </w:tc>
        <w:tc>
          <w:tcPr>
            <w:tcW w:w="138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Resignation for</w:t>
            </w:r>
          </w:p>
        </w:tc>
        <w:tc>
          <w:tcPr>
            <w:tcW w:w="1380" w:type="dxa"/>
            <w:vAlign w:val="bottom"/>
            <w:shd w:val="clear" w:color="auto" w:fill="465E66"/>
          </w:tcPr>
          <w:p>
            <w:pPr>
              <w:jc w:val="center"/>
              <w:spacing w:after="0" w:line="141" w:lineRule="exact"/>
              <w:rPr>
                <w:sz w:val="20"/>
                <w:szCs w:val="20"/>
                <w:color w:val="auto"/>
              </w:rPr>
            </w:pPr>
            <w:r>
              <w:rPr>
                <w:rFonts w:ascii="Arial" w:cs="Arial" w:eastAsia="Arial" w:hAnsi="Arial"/>
                <w:sz w:val="14"/>
                <w:szCs w:val="14"/>
                <w:i w:val="1"/>
                <w:iCs w:val="1"/>
                <w:color w:val="FFFFFF"/>
              </w:rPr>
              <w:t>Cause or</w:t>
            </w:r>
          </w:p>
        </w:tc>
        <w:tc>
          <w:tcPr>
            <w:tcW w:w="144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i w:val="1"/>
                <w:iCs w:val="1"/>
                <w:color w:val="FFFFFF"/>
              </w:rPr>
              <w:t>Single Trigger</w:t>
            </w:r>
          </w:p>
        </w:tc>
        <w:tc>
          <w:tcPr>
            <w:tcW w:w="1380" w:type="dxa"/>
            <w:vAlign w:val="bottom"/>
            <w:tcBorders>
              <w:right w:val="single" w:sz="8" w:color="auto"/>
            </w:tcBorders>
            <w:shd w:val="clear" w:color="auto" w:fill="465E66"/>
          </w:tcPr>
          <w:p>
            <w:pPr>
              <w:spacing w:after="0"/>
              <w:rPr>
                <w:sz w:val="12"/>
                <w:szCs w:val="12"/>
                <w:color w:val="auto"/>
              </w:rPr>
            </w:pPr>
          </w:p>
        </w:tc>
        <w:tc>
          <w:tcPr>
            <w:tcW w:w="124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All Other</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vMerge w:val="restart"/>
            <w:shd w:val="clear" w:color="auto" w:fill="465E66"/>
          </w:tcPr>
          <w:p>
            <w:pPr>
              <w:ind w:left="40"/>
              <w:spacing w:after="0"/>
              <w:rPr>
                <w:sz w:val="20"/>
                <w:szCs w:val="20"/>
                <w:color w:val="auto"/>
              </w:rPr>
            </w:pPr>
            <w:r>
              <w:rPr>
                <w:rFonts w:ascii="Arial" w:cs="Arial" w:eastAsia="Arial" w:hAnsi="Arial"/>
                <w:sz w:val="14"/>
                <w:szCs w:val="14"/>
                <w:b w:val="1"/>
                <w:bCs w:val="1"/>
                <w:color w:val="FFFFFF"/>
              </w:rPr>
              <w:t>NEO</w:t>
            </w:r>
          </w:p>
        </w:tc>
        <w:tc>
          <w:tcPr>
            <w:tcW w:w="1540" w:type="dxa"/>
            <w:vAlign w:val="bottom"/>
            <w:tcBorders>
              <w:right w:val="single" w:sz="8" w:color="auto"/>
            </w:tcBorders>
            <w:vMerge w:val="continue"/>
            <w:shd w:val="clear" w:color="auto" w:fill="465E66"/>
          </w:tcPr>
          <w:p>
            <w:pPr>
              <w:spacing w:after="0"/>
              <w:rPr>
                <w:sz w:val="12"/>
                <w:szCs w:val="12"/>
                <w:color w:val="auto"/>
              </w:rPr>
            </w:pPr>
          </w:p>
        </w:tc>
        <w:tc>
          <w:tcPr>
            <w:tcW w:w="1360" w:type="dxa"/>
            <w:vAlign w:val="bottom"/>
            <w:vMerge w:val="continue"/>
            <w:shd w:val="clear" w:color="auto" w:fill="465E66"/>
          </w:tcPr>
          <w:p>
            <w:pPr>
              <w:spacing w:after="0"/>
              <w:rPr>
                <w:sz w:val="12"/>
                <w:szCs w:val="12"/>
                <w:color w:val="auto"/>
              </w:rPr>
            </w:pPr>
          </w:p>
        </w:tc>
        <w:tc>
          <w:tcPr>
            <w:tcW w:w="1380" w:type="dxa"/>
            <w:vAlign w:val="bottom"/>
            <w:tcBorders>
              <w:right w:val="single" w:sz="8" w:color="auto"/>
            </w:tcBorders>
            <w:vMerge w:val="continue"/>
            <w:shd w:val="clear" w:color="auto" w:fill="465E66"/>
          </w:tcPr>
          <w:p>
            <w:pPr>
              <w:spacing w:after="0"/>
              <w:rPr>
                <w:sz w:val="12"/>
                <w:szCs w:val="12"/>
                <w:color w:val="auto"/>
              </w:rPr>
            </w:pPr>
          </w:p>
        </w:tc>
        <w:tc>
          <w:tcPr>
            <w:tcW w:w="13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i w:val="1"/>
                <w:iCs w:val="1"/>
                <w:color w:val="FFFFFF"/>
              </w:rPr>
              <w:t>Resignation for</w:t>
            </w:r>
          </w:p>
        </w:tc>
        <w:tc>
          <w:tcPr>
            <w:tcW w:w="1440" w:type="dxa"/>
            <w:vAlign w:val="bottom"/>
            <w:tcBorders>
              <w:right w:val="single" w:sz="8" w:color="auto"/>
            </w:tcBorders>
            <w:vMerge w:val="continue"/>
            <w:shd w:val="clear" w:color="auto" w:fill="465E66"/>
          </w:tcPr>
          <w:p>
            <w:pPr>
              <w:spacing w:after="0"/>
              <w:rPr>
                <w:sz w:val="12"/>
                <w:szCs w:val="12"/>
                <w:color w:val="auto"/>
              </w:rPr>
            </w:pPr>
          </w:p>
        </w:tc>
        <w:tc>
          <w:tcPr>
            <w:tcW w:w="1380" w:type="dxa"/>
            <w:vAlign w:val="bottom"/>
            <w:tcBorders>
              <w:right w:val="single" w:sz="8" w:color="auto"/>
            </w:tcBorders>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Death or Disability</w:t>
            </w:r>
          </w:p>
        </w:tc>
        <w:tc>
          <w:tcPr>
            <w:tcW w:w="1240" w:type="dxa"/>
            <w:vAlign w:val="bottom"/>
            <w:tcBorders>
              <w:right w:val="single" w:sz="8" w:color="auto"/>
            </w:tcBorders>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bottom w:val="single" w:sz="8" w:color="auto"/>
              <w:right w:val="single" w:sz="8" w:color="auto"/>
            </w:tcBorders>
            <w:vMerge w:val="continue"/>
            <w:shd w:val="clear" w:color="auto" w:fill="465E66"/>
          </w:tcPr>
          <w:p>
            <w:pPr>
              <w:spacing w:after="0"/>
              <w:rPr>
                <w:sz w:val="15"/>
                <w:szCs w:val="15"/>
                <w:color w:val="auto"/>
              </w:rPr>
            </w:pPr>
          </w:p>
        </w:tc>
        <w:tc>
          <w:tcPr>
            <w:tcW w:w="1540" w:type="dxa"/>
            <w:vAlign w:val="bottom"/>
            <w:tcBorders>
              <w:bottom w:val="single" w:sz="8" w:color="auto"/>
              <w:right w:val="single" w:sz="8" w:color="auto"/>
            </w:tcBorders>
            <w:shd w:val="clear" w:color="auto" w:fill="465E66"/>
          </w:tcPr>
          <w:p>
            <w:pPr>
              <w:spacing w:after="0"/>
              <w:rPr>
                <w:sz w:val="20"/>
                <w:szCs w:val="20"/>
                <w:color w:val="auto"/>
              </w:rPr>
            </w:pPr>
            <w:r>
              <w:rPr>
                <w:rFonts w:ascii="Arial" w:cs="Arial" w:eastAsia="Arial" w:hAnsi="Arial"/>
                <w:sz w:val="14"/>
                <w:szCs w:val="14"/>
                <w:b w:val="1"/>
                <w:bCs w:val="1"/>
                <w:i w:val="1"/>
                <w:iCs w:val="1"/>
                <w:color w:val="FFFFFF"/>
              </w:rPr>
              <w:t>Compensation</w:t>
            </w:r>
          </w:p>
        </w:tc>
        <w:tc>
          <w:tcPr>
            <w:tcW w:w="1360" w:type="dxa"/>
            <w:vAlign w:val="bottom"/>
            <w:tcBorders>
              <w:bottom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Cause</w:t>
            </w:r>
          </w:p>
        </w:tc>
        <w:tc>
          <w:tcPr>
            <w:tcW w:w="138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Good Reason</w:t>
            </w:r>
          </w:p>
        </w:tc>
        <w:tc>
          <w:tcPr>
            <w:tcW w:w="1380" w:type="dxa"/>
            <w:vAlign w:val="bottom"/>
            <w:tcBorders>
              <w:bottom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Good Reason)</w:t>
            </w:r>
          </w:p>
        </w:tc>
        <w:tc>
          <w:tcPr>
            <w:tcW w:w="144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(no Termination)</w:t>
            </w:r>
          </w:p>
        </w:tc>
        <w:tc>
          <w:tcPr>
            <w:tcW w:w="1380" w:type="dxa"/>
            <w:vAlign w:val="bottom"/>
            <w:tcBorders>
              <w:bottom w:val="single" w:sz="8" w:color="auto"/>
              <w:right w:val="single" w:sz="8" w:color="auto"/>
            </w:tcBorders>
            <w:vMerge w:val="continue"/>
            <w:shd w:val="clear" w:color="auto" w:fill="465E66"/>
          </w:tcPr>
          <w:p>
            <w:pPr>
              <w:spacing w:after="0"/>
              <w:rPr>
                <w:sz w:val="15"/>
                <w:szCs w:val="15"/>
                <w:color w:val="auto"/>
              </w:rPr>
            </w:pPr>
          </w:p>
        </w:tc>
        <w:tc>
          <w:tcPr>
            <w:tcW w:w="1240" w:type="dxa"/>
            <w:vAlign w:val="bottom"/>
            <w:tcBorders>
              <w:bottom w:val="single" w:sz="8" w:color="auto"/>
              <w:right w:val="single" w:sz="8" w:color="auto"/>
            </w:tcBorders>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Terminations</w:t>
            </w: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Mr. Gopalswamy</w:t>
            </w: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Cash Severance</w:t>
            </w:r>
          </w:p>
        </w:tc>
        <w:tc>
          <w:tcPr>
            <w:tcW w:w="136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i w:val="1"/>
                <w:iCs w:val="1"/>
                <w:color w:val="auto"/>
              </w:rPr>
              <w:t>new benefit</w:t>
            </w:r>
          </w:p>
        </w:tc>
        <w:tc>
          <w:tcPr>
            <w:tcW w:w="138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color w:val="auto"/>
              </w:rPr>
              <w:t>1x annual base</w:t>
            </w:r>
          </w:p>
        </w:tc>
        <w:tc>
          <w:tcPr>
            <w:tcW w:w="13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1x annual base</w:t>
            </w:r>
          </w:p>
        </w:tc>
        <w:tc>
          <w:tcPr>
            <w:tcW w:w="1380" w:type="dxa"/>
            <w:vAlign w:val="bottom"/>
          </w:tcPr>
          <w:p>
            <w:pPr>
              <w:jc w:val="center"/>
              <w:spacing w:after="0" w:line="145" w:lineRule="exact"/>
              <w:rPr>
                <w:sz w:val="20"/>
                <w:szCs w:val="20"/>
                <w:color w:val="auto"/>
              </w:rPr>
            </w:pPr>
            <w:r>
              <w:rPr>
                <w:rFonts w:ascii="Arial" w:cs="Arial" w:eastAsia="Arial" w:hAnsi="Arial"/>
                <w:sz w:val="14"/>
                <w:szCs w:val="14"/>
                <w:color w:val="auto"/>
              </w:rPr>
              <w:t>from 1x to 1.2x base</w:t>
            </w:r>
          </w:p>
        </w:tc>
        <w:tc>
          <w:tcPr>
            <w:tcW w:w="14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1540" w:type="dxa"/>
            <w:vAlign w:val="bottom"/>
            <w:tcBorders>
              <w:bottom w:val="single" w:sz="8" w:color="DBDBDB"/>
              <w:right w:val="single" w:sz="8" w:color="auto"/>
            </w:tcBorders>
          </w:tcPr>
          <w:p>
            <w:pPr>
              <w:spacing w:after="0"/>
              <w:rPr>
                <w:sz w:val="16"/>
                <w:szCs w:val="16"/>
                <w:color w:val="auto"/>
              </w:rPr>
            </w:pP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salary</w:t>
            </w:r>
          </w:p>
        </w:tc>
        <w:tc>
          <w:tcPr>
            <w:tcW w:w="1440" w:type="dxa"/>
            <w:vAlign w:val="bottom"/>
            <w:tcBorders>
              <w:bottom w:val="single" w:sz="8" w:color="DBDBDB"/>
              <w:right w:val="single" w:sz="8" w:color="auto"/>
            </w:tcBorders>
          </w:tcPr>
          <w:p>
            <w:pPr>
              <w:spacing w:after="0"/>
              <w:rPr>
                <w:sz w:val="16"/>
                <w:szCs w:val="16"/>
                <w:color w:val="auto"/>
              </w:rPr>
            </w:pPr>
          </w:p>
        </w:tc>
        <w:tc>
          <w:tcPr>
            <w:tcW w:w="1380" w:type="dxa"/>
            <w:vAlign w:val="bottom"/>
            <w:tcBorders>
              <w:bottom w:val="single" w:sz="8" w:color="DBDBDB"/>
              <w:right w:val="single" w:sz="8" w:color="auto"/>
            </w:tcBorders>
          </w:tcPr>
          <w:p>
            <w:pPr>
              <w:spacing w:after="0"/>
              <w:rPr>
                <w:sz w:val="16"/>
                <w:szCs w:val="16"/>
                <w:color w:val="auto"/>
              </w:rPr>
            </w:pPr>
          </w:p>
        </w:tc>
        <w:tc>
          <w:tcPr>
            <w:tcW w:w="1240" w:type="dxa"/>
            <w:vAlign w:val="bottom"/>
            <w:tcBorders>
              <w:bottom w:val="single" w:sz="8" w:color="DBDBDB"/>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change</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i w:val="1"/>
                <w:iCs w:val="1"/>
                <w:color w:val="auto"/>
              </w:rPr>
              <w:t>new benefit</w:t>
            </w:r>
          </w:p>
        </w:tc>
        <w:tc>
          <w:tcPr>
            <w:tcW w:w="138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new benefit</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STI Payment</w:t>
            </w:r>
          </w:p>
        </w:tc>
        <w:tc>
          <w:tcPr>
            <w:tcW w:w="2740" w:type="dxa"/>
            <w:vAlign w:val="bottom"/>
            <w:tcBorders>
              <w:right w:val="single" w:sz="8" w:color="auto"/>
            </w:tcBorders>
            <w:gridSpan w:val="2"/>
          </w:tcPr>
          <w:p>
            <w:pPr>
              <w:jc w:val="center"/>
              <w:spacing w:after="0" w:line="145" w:lineRule="exact"/>
              <w:rPr>
                <w:sz w:val="20"/>
                <w:szCs w:val="20"/>
                <w:color w:val="auto"/>
              </w:rPr>
            </w:pPr>
            <w:r>
              <w:rPr>
                <w:rFonts w:ascii="Arial" w:cs="Arial" w:eastAsia="Arial" w:hAnsi="Arial"/>
                <w:sz w:val="14"/>
                <w:szCs w:val="14"/>
                <w:color w:val="auto"/>
              </w:rPr>
              <w:t>from pro rata (based from pro rata (based</w:t>
            </w:r>
          </w:p>
        </w:tc>
        <w:tc>
          <w:tcPr>
            <w:tcW w:w="1380" w:type="dxa"/>
            <w:vAlign w:val="bottom"/>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color w:val="auto"/>
              </w:rPr>
              <w:t>in actual</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in actual</w:t>
            </w:r>
          </w:p>
        </w:tc>
        <w:tc>
          <w:tcPr>
            <w:tcW w:w="1380" w:type="dxa"/>
            <w:vAlign w:val="bottom"/>
          </w:tcPr>
          <w:p>
            <w:pPr>
              <w:jc w:val="center"/>
              <w:spacing w:after="0" w:line="135" w:lineRule="exact"/>
              <w:rPr>
                <w:sz w:val="20"/>
                <w:szCs w:val="20"/>
                <w:color w:val="auto"/>
              </w:rPr>
            </w:pPr>
            <w:r>
              <w:rPr>
                <w:rFonts w:ascii="Arial" w:cs="Arial" w:eastAsia="Arial" w:hAnsi="Arial"/>
                <w:sz w:val="14"/>
                <w:szCs w:val="14"/>
                <w:color w:val="auto"/>
              </w:rPr>
              <w:t>from 1x to 1.2x</w:t>
            </w:r>
          </w:p>
        </w:tc>
        <w:tc>
          <w:tcPr>
            <w:tcW w:w="144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pro rata (based on</w:t>
            </w: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color w:val="auto"/>
              </w:rPr>
              <w:t>performance) to 1x</w:t>
            </w:r>
          </w:p>
        </w:tc>
        <w:tc>
          <w:tcPr>
            <w:tcW w:w="13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performance) to 1x</w:t>
            </w:r>
          </w:p>
        </w:tc>
        <w:tc>
          <w:tcPr>
            <w:tcW w:w="1380" w:type="dxa"/>
            <w:vAlign w:val="bottom"/>
          </w:tcPr>
          <w:p>
            <w:pPr>
              <w:jc w:val="center"/>
              <w:spacing w:after="0" w:line="153" w:lineRule="exact"/>
              <w:rPr>
                <w:sz w:val="20"/>
                <w:szCs w:val="20"/>
                <w:color w:val="auto"/>
              </w:rPr>
            </w:pPr>
            <w:r>
              <w:rPr>
                <w:rFonts w:ascii="Arial" w:cs="Arial" w:eastAsia="Arial" w:hAnsi="Arial"/>
                <w:sz w:val="14"/>
                <w:szCs w:val="14"/>
                <w:color w:val="auto"/>
              </w:rPr>
              <w:t>target STI</w:t>
            </w:r>
          </w:p>
        </w:tc>
        <w:tc>
          <w:tcPr>
            <w:tcW w:w="14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prior year actual)</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520" w:type="dxa"/>
            <w:vAlign w:val="bottom"/>
            <w:tcBorders>
              <w:left w:val="single" w:sz="8" w:color="auto"/>
              <w:right w:val="single" w:sz="8" w:color="auto"/>
            </w:tcBorders>
          </w:tcPr>
          <w:p>
            <w:pPr>
              <w:spacing w:after="0"/>
              <w:rPr>
                <w:sz w:val="16"/>
                <w:szCs w:val="16"/>
                <w:color w:val="auto"/>
              </w:rPr>
            </w:pPr>
          </w:p>
        </w:tc>
        <w:tc>
          <w:tcPr>
            <w:tcW w:w="1540" w:type="dxa"/>
            <w:vAlign w:val="bottom"/>
            <w:tcBorders>
              <w:bottom w:val="single" w:sz="8" w:color="DBDBDB"/>
              <w:right w:val="single" w:sz="8" w:color="auto"/>
            </w:tcBorders>
          </w:tcPr>
          <w:p>
            <w:pPr>
              <w:spacing w:after="0"/>
              <w:rPr>
                <w:sz w:val="16"/>
                <w:szCs w:val="16"/>
                <w:color w:val="auto"/>
              </w:rPr>
            </w:pP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target STI</w:t>
            </w:r>
          </w:p>
        </w:tc>
        <w:tc>
          <w:tcPr>
            <w:tcW w:w="1380" w:type="dxa"/>
            <w:vAlign w:val="bottom"/>
            <w:tcBorders>
              <w:bottom w:val="single" w:sz="8" w:color="DBDBDB"/>
              <w:right w:val="single" w:sz="8" w:color="auto"/>
            </w:tcBorders>
          </w:tcPr>
          <w:p>
            <w:pPr>
              <w:jc w:val="center"/>
              <w:spacing w:after="0"/>
              <w:rPr>
                <w:sz w:val="20"/>
                <w:szCs w:val="20"/>
                <w:color w:val="auto"/>
              </w:rPr>
            </w:pPr>
            <w:r>
              <w:rPr>
                <w:rFonts w:ascii="Arial" w:cs="Arial" w:eastAsia="Arial" w:hAnsi="Arial"/>
                <w:sz w:val="14"/>
                <w:szCs w:val="14"/>
                <w:color w:val="auto"/>
              </w:rPr>
              <w:t>target STI</w:t>
            </w:r>
          </w:p>
        </w:tc>
        <w:tc>
          <w:tcPr>
            <w:tcW w:w="1380" w:type="dxa"/>
            <w:vAlign w:val="bottom"/>
            <w:tcBorders>
              <w:bottom w:val="single" w:sz="8" w:color="DBDBDB"/>
            </w:tcBorders>
          </w:tcPr>
          <w:p>
            <w:pPr>
              <w:spacing w:after="0"/>
              <w:rPr>
                <w:sz w:val="16"/>
                <w:szCs w:val="16"/>
                <w:color w:val="auto"/>
              </w:rPr>
            </w:pPr>
          </w:p>
        </w:tc>
        <w:tc>
          <w:tcPr>
            <w:tcW w:w="1440" w:type="dxa"/>
            <w:vAlign w:val="bottom"/>
            <w:tcBorders>
              <w:bottom w:val="single" w:sz="8" w:color="DBDBDB"/>
              <w:right w:val="single" w:sz="8" w:color="auto"/>
            </w:tcBorders>
          </w:tcPr>
          <w:p>
            <w:pPr>
              <w:spacing w:after="0"/>
              <w:rPr>
                <w:sz w:val="16"/>
                <w:szCs w:val="16"/>
                <w:color w:val="auto"/>
              </w:rPr>
            </w:pPr>
          </w:p>
        </w:tc>
        <w:tc>
          <w:tcPr>
            <w:tcW w:w="1380" w:type="dxa"/>
            <w:vAlign w:val="bottom"/>
            <w:tcBorders>
              <w:bottom w:val="single" w:sz="8" w:color="DBDBDB"/>
              <w:right w:val="single" w:sz="8" w:color="auto"/>
            </w:tcBorders>
          </w:tcPr>
          <w:p>
            <w:pPr>
              <w:spacing w:after="0"/>
              <w:rPr>
                <w:sz w:val="16"/>
                <w:szCs w:val="16"/>
                <w:color w:val="auto"/>
              </w:rPr>
            </w:pPr>
          </w:p>
        </w:tc>
        <w:tc>
          <w:tcPr>
            <w:tcW w:w="1240" w:type="dxa"/>
            <w:vAlign w:val="bottom"/>
            <w:tcBorders>
              <w:bottom w:val="single" w:sz="8" w:color="DBDBDB"/>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Unvested RSUs</w:t>
            </w:r>
          </w:p>
        </w:tc>
        <w:tc>
          <w:tcPr>
            <w:tcW w:w="136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38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no change</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full vesting</w:t>
            </w:r>
          </w:p>
        </w:tc>
        <w:tc>
          <w:tcPr>
            <w:tcW w:w="14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bottom w:val="single" w:sz="8" w:color="DBDBDB"/>
              <w:right w:val="single" w:sz="8" w:color="auto"/>
            </w:tcBorders>
          </w:tcPr>
          <w:p>
            <w:pPr>
              <w:spacing w:after="0"/>
              <w:rPr>
                <w:sz w:val="6"/>
                <w:szCs w:val="6"/>
                <w:color w:val="auto"/>
              </w:rPr>
            </w:pPr>
          </w:p>
        </w:tc>
        <w:tc>
          <w:tcPr>
            <w:tcW w:w="1360" w:type="dxa"/>
            <w:vAlign w:val="bottom"/>
            <w:tcBorders>
              <w:bottom w:val="single" w:sz="8" w:color="DBDBDB"/>
            </w:tcBorders>
            <w:vMerge w:val="continue"/>
          </w:tcPr>
          <w:p>
            <w:pPr>
              <w:spacing w:after="0"/>
              <w:rPr>
                <w:sz w:val="6"/>
                <w:szCs w:val="6"/>
                <w:color w:val="auto"/>
              </w:rPr>
            </w:pPr>
          </w:p>
        </w:tc>
        <w:tc>
          <w:tcPr>
            <w:tcW w:w="1380" w:type="dxa"/>
            <w:vAlign w:val="bottom"/>
            <w:tcBorders>
              <w:bottom w:val="single" w:sz="8" w:color="DBDBDB"/>
              <w:right w:val="single" w:sz="8" w:color="auto"/>
            </w:tcBorders>
            <w:vMerge w:val="continue"/>
          </w:tcPr>
          <w:p>
            <w:pPr>
              <w:spacing w:after="0"/>
              <w:rPr>
                <w:sz w:val="6"/>
                <w:szCs w:val="6"/>
                <w:color w:val="auto"/>
              </w:rPr>
            </w:pPr>
          </w:p>
        </w:tc>
        <w:tc>
          <w:tcPr>
            <w:tcW w:w="1380" w:type="dxa"/>
            <w:vAlign w:val="bottom"/>
            <w:tcBorders>
              <w:bottom w:val="single" w:sz="8" w:color="DBDBDB"/>
            </w:tcBorders>
            <w:vMerge w:val="continue"/>
          </w:tcPr>
          <w:p>
            <w:pPr>
              <w:spacing w:after="0"/>
              <w:rPr>
                <w:sz w:val="6"/>
                <w:szCs w:val="6"/>
                <w:color w:val="auto"/>
              </w:rPr>
            </w:pPr>
          </w:p>
        </w:tc>
        <w:tc>
          <w:tcPr>
            <w:tcW w:w="144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right w:val="single" w:sz="8" w:color="auto"/>
            </w:tcBorders>
          </w:tcPr>
          <w:p>
            <w:pPr>
              <w:spacing w:after="0"/>
              <w:rPr>
                <w:sz w:val="6"/>
                <w:szCs w:val="6"/>
                <w:color w:val="auto"/>
              </w:rPr>
            </w:pPr>
          </w:p>
        </w:tc>
        <w:tc>
          <w:tcPr>
            <w:tcW w:w="1240" w:type="dxa"/>
            <w:vAlign w:val="bottom"/>
            <w:tcBorders>
              <w:bottom w:val="single" w:sz="8" w:color="DBDBDB"/>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new benefit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new benefit</w:t>
            </w:r>
          </w:p>
        </w:tc>
        <w:tc>
          <w:tcPr>
            <w:tcW w:w="1380" w:type="dxa"/>
            <w:vAlign w:val="bottom"/>
          </w:tcPr>
          <w:p>
            <w:pPr>
              <w:jc w:val="center"/>
              <w:spacing w:after="0" w:line="145" w:lineRule="exact"/>
              <w:rPr>
                <w:sz w:val="20"/>
                <w:szCs w:val="20"/>
                <w:color w:val="auto"/>
              </w:rPr>
            </w:pPr>
            <w:r>
              <w:rPr>
                <w:rFonts w:ascii="Arial" w:cs="Arial" w:eastAsia="Arial" w:hAnsi="Arial"/>
                <w:sz w:val="14"/>
                <w:szCs w:val="14"/>
                <w:color w:val="auto"/>
              </w:rPr>
              <w:t>from pro rata (based</w:t>
            </w:r>
          </w:p>
        </w:tc>
        <w:tc>
          <w:tcPr>
            <w:tcW w:w="14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360" w:type="dxa"/>
            <w:vAlign w:val="bottom"/>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8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rPr>
              <w:t>on actual</w:t>
            </w:r>
          </w:p>
        </w:tc>
        <w:tc>
          <w:tcPr>
            <w:tcW w:w="14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36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from forfeited to pro</w:t>
            </w:r>
          </w:p>
        </w:tc>
        <w:tc>
          <w:tcPr>
            <w:tcW w:w="138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color w:val="auto"/>
              </w:rPr>
              <w:t>from forfeited to pro</w:t>
            </w:r>
          </w:p>
        </w:tc>
        <w:tc>
          <w:tcPr>
            <w:tcW w:w="138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Unvested PBRSUs</w:t>
            </w:r>
          </w:p>
        </w:tc>
        <w:tc>
          <w:tcPr>
            <w:tcW w:w="1360" w:type="dxa"/>
            <w:vAlign w:val="bottom"/>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rPr>
              <w:t>performance),</w:t>
            </w: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2"/>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rPr>
              <w:t>rata (based on</w:t>
            </w:r>
          </w:p>
        </w:tc>
        <w:tc>
          <w:tcPr>
            <w:tcW w:w="1380" w:type="dxa"/>
            <w:vAlign w:val="bottom"/>
            <w:tcBorders>
              <w:right w:val="single" w:sz="8" w:color="auto"/>
            </w:tcBorders>
            <w:vMerge w:val="restart"/>
          </w:tcPr>
          <w:p>
            <w:pPr>
              <w:jc w:val="center"/>
              <w:spacing w:after="0" w:line="139" w:lineRule="exact"/>
              <w:rPr>
                <w:sz w:val="20"/>
                <w:szCs w:val="20"/>
                <w:color w:val="auto"/>
              </w:rPr>
            </w:pPr>
            <w:r>
              <w:rPr>
                <w:rFonts w:ascii="Arial" w:cs="Arial" w:eastAsia="Arial" w:hAnsi="Arial"/>
                <w:sz w:val="14"/>
                <w:szCs w:val="14"/>
                <w:color w:val="auto"/>
              </w:rPr>
              <w:t>rata (based on</w:t>
            </w:r>
          </w:p>
        </w:tc>
        <w:tc>
          <w:tcPr>
            <w:tcW w:w="1380" w:type="dxa"/>
            <w:vAlign w:val="bottom"/>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360" w:type="dxa"/>
            <w:vAlign w:val="bottom"/>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38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except new hire at</w:t>
            </w:r>
          </w:p>
        </w:tc>
        <w:tc>
          <w:tcPr>
            <w:tcW w:w="144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actual performance)</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actual performance)</w:t>
            </w:r>
          </w:p>
        </w:tc>
        <w:tc>
          <w:tcPr>
            <w:tcW w:w="138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Pr>
          <w:p>
            <w:pPr>
              <w:jc w:val="center"/>
              <w:spacing w:after="0" w:line="139" w:lineRule="exact"/>
              <w:rPr>
                <w:sz w:val="20"/>
                <w:szCs w:val="20"/>
                <w:color w:val="auto"/>
              </w:rPr>
            </w:pPr>
            <w:r>
              <w:rPr>
                <w:rFonts w:ascii="Arial" w:cs="Arial" w:eastAsia="Arial" w:hAnsi="Arial"/>
                <w:sz w:val="14"/>
                <w:szCs w:val="14"/>
                <w:color w:val="auto"/>
              </w:rPr>
              <w:t>100% to full vesting</w:t>
            </w:r>
          </w:p>
        </w:tc>
        <w:tc>
          <w:tcPr>
            <w:tcW w:w="14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tcBorders>
              <w:left w:val="single" w:sz="8" w:color="auto"/>
              <w:right w:val="single" w:sz="8" w:color="auto"/>
            </w:tcBorders>
          </w:tcPr>
          <w:p>
            <w:pPr>
              <w:spacing w:after="0"/>
              <w:rPr>
                <w:sz w:val="16"/>
                <w:szCs w:val="16"/>
                <w:color w:val="auto"/>
              </w:rPr>
            </w:pPr>
          </w:p>
        </w:tc>
        <w:tc>
          <w:tcPr>
            <w:tcW w:w="1540" w:type="dxa"/>
            <w:vAlign w:val="bottom"/>
            <w:tcBorders>
              <w:bottom w:val="single" w:sz="8" w:color="DBDBDB"/>
              <w:right w:val="single" w:sz="8" w:color="auto"/>
            </w:tcBorders>
          </w:tcPr>
          <w:p>
            <w:pPr>
              <w:spacing w:after="0"/>
              <w:rPr>
                <w:sz w:val="16"/>
                <w:szCs w:val="16"/>
                <w:color w:val="auto"/>
              </w:rPr>
            </w:pPr>
          </w:p>
        </w:tc>
        <w:tc>
          <w:tcPr>
            <w:tcW w:w="1360" w:type="dxa"/>
            <w:vAlign w:val="bottom"/>
            <w:tcBorders>
              <w:bottom w:val="single" w:sz="8" w:color="DBDBDB"/>
            </w:tcBorders>
          </w:tcPr>
          <w:p>
            <w:pPr>
              <w:spacing w:after="0"/>
              <w:rPr>
                <w:sz w:val="16"/>
                <w:szCs w:val="16"/>
                <w:color w:val="auto"/>
              </w:rPr>
            </w:pPr>
          </w:p>
        </w:tc>
        <w:tc>
          <w:tcPr>
            <w:tcW w:w="1380" w:type="dxa"/>
            <w:vAlign w:val="bottom"/>
            <w:tcBorders>
              <w:bottom w:val="single" w:sz="8" w:color="DBDBDB"/>
              <w:right w:val="single" w:sz="8" w:color="auto"/>
            </w:tcBorders>
          </w:tcPr>
          <w:p>
            <w:pPr>
              <w:spacing w:after="0"/>
              <w:rPr>
                <w:sz w:val="16"/>
                <w:szCs w:val="16"/>
                <w:color w:val="auto"/>
              </w:rPr>
            </w:pPr>
          </w:p>
        </w:tc>
        <w:tc>
          <w:tcPr>
            <w:tcW w:w="13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(at target)</w:t>
            </w:r>
          </w:p>
        </w:tc>
        <w:tc>
          <w:tcPr>
            <w:tcW w:w="1440" w:type="dxa"/>
            <w:vAlign w:val="bottom"/>
            <w:tcBorders>
              <w:bottom w:val="single" w:sz="8" w:color="DBDBDB"/>
              <w:right w:val="single" w:sz="8" w:color="auto"/>
            </w:tcBorders>
          </w:tcPr>
          <w:p>
            <w:pPr>
              <w:spacing w:after="0"/>
              <w:rPr>
                <w:sz w:val="16"/>
                <w:szCs w:val="16"/>
                <w:color w:val="auto"/>
              </w:rPr>
            </w:pPr>
          </w:p>
        </w:tc>
        <w:tc>
          <w:tcPr>
            <w:tcW w:w="1380" w:type="dxa"/>
            <w:vAlign w:val="bottom"/>
            <w:tcBorders>
              <w:bottom w:val="single" w:sz="8" w:color="DBDBDB"/>
              <w:right w:val="single" w:sz="8" w:color="auto"/>
            </w:tcBorders>
          </w:tcPr>
          <w:p>
            <w:pPr>
              <w:spacing w:after="0"/>
              <w:rPr>
                <w:sz w:val="16"/>
                <w:szCs w:val="16"/>
                <w:color w:val="auto"/>
              </w:rPr>
            </w:pPr>
          </w:p>
        </w:tc>
        <w:tc>
          <w:tcPr>
            <w:tcW w:w="1240" w:type="dxa"/>
            <w:vAlign w:val="bottom"/>
            <w:tcBorders>
              <w:bottom w:val="single" w:sz="8" w:color="DBDBDB"/>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52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Benefits Continuation</w:t>
            </w:r>
          </w:p>
        </w:tc>
        <w:tc>
          <w:tcPr>
            <w:tcW w:w="1360" w:type="dxa"/>
            <w:vAlign w:val="bottom"/>
          </w:tcPr>
          <w:p>
            <w:pPr>
              <w:jc w:val="center"/>
              <w:spacing w:after="0" w:line="151" w:lineRule="exact"/>
              <w:rPr>
                <w:sz w:val="20"/>
                <w:szCs w:val="20"/>
                <w:color w:val="auto"/>
              </w:rPr>
            </w:pPr>
            <w:r>
              <w:rPr>
                <w:rFonts w:ascii="Arial" w:cs="Arial" w:eastAsia="Arial" w:hAnsi="Arial"/>
                <w:sz w:val="14"/>
                <w:szCs w:val="14"/>
                <w:i w:val="1"/>
                <w:iCs w:val="1"/>
                <w:color w:val="auto"/>
              </w:rPr>
              <w:t>increase</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new benefit</w:t>
            </w:r>
          </w:p>
        </w:tc>
        <w:tc>
          <w:tcPr>
            <w:tcW w:w="1380" w:type="dxa"/>
            <w:vAlign w:val="bottom"/>
          </w:tcPr>
          <w:p>
            <w:pPr>
              <w:jc w:val="center"/>
              <w:spacing w:after="0" w:line="151" w:lineRule="exact"/>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36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from max 1 year to 2</w:t>
            </w:r>
          </w:p>
        </w:tc>
        <w:tc>
          <w:tcPr>
            <w:tcW w:w="1380" w:type="dxa"/>
            <w:vAlign w:val="bottom"/>
            <w:tcBorders>
              <w:right w:val="single" w:sz="8" w:color="auto"/>
            </w:tcBorders>
            <w:vMerge w:val="continue"/>
          </w:tcPr>
          <w:p>
            <w:pPr>
              <w:spacing w:after="0"/>
              <w:rPr>
                <w:sz w:val="5"/>
                <w:szCs w:val="5"/>
                <w:color w:val="auto"/>
              </w:rPr>
            </w:pPr>
          </w:p>
        </w:tc>
        <w:tc>
          <w:tcPr>
            <w:tcW w:w="138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from max 1 year to 2</w:t>
            </w:r>
          </w:p>
        </w:tc>
        <w:tc>
          <w:tcPr>
            <w:tcW w:w="144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 years</w:t>
            </w:r>
          </w:p>
        </w:tc>
        <w:tc>
          <w:tcPr>
            <w:tcW w:w="1380" w:type="dxa"/>
            <w:vAlign w:val="bottom"/>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9"/>
              </w:rPr>
              <w:t>years</w:t>
            </w:r>
          </w:p>
        </w:tc>
        <w:tc>
          <w:tcPr>
            <w:tcW w:w="1380" w:type="dxa"/>
            <w:vAlign w:val="bottom"/>
            <w:tcBorders>
              <w:right w:val="single" w:sz="8" w:color="auto"/>
            </w:tcBorders>
            <w:vMerge w:val="continue"/>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years</w:t>
            </w:r>
          </w:p>
        </w:tc>
        <w:tc>
          <w:tcPr>
            <w:tcW w:w="14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bottom w:val="single" w:sz="8" w:color="DBDBDB"/>
              <w:right w:val="single" w:sz="8" w:color="auto"/>
            </w:tcBorders>
          </w:tcPr>
          <w:p>
            <w:pPr>
              <w:spacing w:after="0"/>
              <w:rPr>
                <w:sz w:val="6"/>
                <w:szCs w:val="6"/>
                <w:color w:val="auto"/>
              </w:rPr>
            </w:pPr>
          </w:p>
        </w:tc>
        <w:tc>
          <w:tcPr>
            <w:tcW w:w="1360" w:type="dxa"/>
            <w:vAlign w:val="bottom"/>
            <w:tcBorders>
              <w:bottom w:val="single" w:sz="8" w:color="DBDBDB"/>
            </w:tcBorders>
            <w:vMerge w:val="continue"/>
          </w:tcPr>
          <w:p>
            <w:pPr>
              <w:spacing w:after="0"/>
              <w:rPr>
                <w:sz w:val="6"/>
                <w:szCs w:val="6"/>
                <w:color w:val="auto"/>
              </w:rPr>
            </w:pPr>
          </w:p>
        </w:tc>
        <w:tc>
          <w:tcPr>
            <w:tcW w:w="138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tcBorders>
            <w:vMerge w:val="continue"/>
          </w:tcPr>
          <w:p>
            <w:pPr>
              <w:spacing w:after="0"/>
              <w:rPr>
                <w:sz w:val="6"/>
                <w:szCs w:val="6"/>
                <w:color w:val="auto"/>
              </w:rPr>
            </w:pPr>
          </w:p>
        </w:tc>
        <w:tc>
          <w:tcPr>
            <w:tcW w:w="1440" w:type="dxa"/>
            <w:vAlign w:val="bottom"/>
            <w:tcBorders>
              <w:bottom w:val="single" w:sz="8" w:color="DBDBDB"/>
              <w:right w:val="single" w:sz="8" w:color="auto"/>
            </w:tcBorders>
          </w:tcPr>
          <w:p>
            <w:pPr>
              <w:spacing w:after="0"/>
              <w:rPr>
                <w:sz w:val="6"/>
                <w:szCs w:val="6"/>
                <w:color w:val="auto"/>
              </w:rPr>
            </w:pPr>
          </w:p>
        </w:tc>
        <w:tc>
          <w:tcPr>
            <w:tcW w:w="1380" w:type="dxa"/>
            <w:vAlign w:val="bottom"/>
            <w:tcBorders>
              <w:bottom w:val="single" w:sz="8" w:color="DBDBDB"/>
              <w:right w:val="single" w:sz="8" w:color="auto"/>
            </w:tcBorders>
          </w:tcPr>
          <w:p>
            <w:pPr>
              <w:spacing w:after="0"/>
              <w:rPr>
                <w:sz w:val="6"/>
                <w:szCs w:val="6"/>
                <w:color w:val="auto"/>
              </w:rPr>
            </w:pPr>
          </w:p>
        </w:tc>
        <w:tc>
          <w:tcPr>
            <w:tcW w:w="1240" w:type="dxa"/>
            <w:vAlign w:val="bottom"/>
            <w:tcBorders>
              <w:bottom w:val="single" w:sz="8" w:color="DBDBDB"/>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Outplacement</w:t>
            </w:r>
          </w:p>
        </w:tc>
        <w:tc>
          <w:tcPr>
            <w:tcW w:w="136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increase</w:t>
            </w:r>
          </w:p>
        </w:tc>
        <w:tc>
          <w:tcPr>
            <w:tcW w:w="13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i w:val="1"/>
                <w:iCs w:val="1"/>
                <w:color w:val="auto"/>
              </w:rPr>
              <w:t>new benefit</w:t>
            </w:r>
          </w:p>
        </w:tc>
        <w:tc>
          <w:tcPr>
            <w:tcW w:w="1380" w:type="dxa"/>
            <w:vAlign w:val="bottom"/>
          </w:tcPr>
          <w:p>
            <w:pPr>
              <w:jc w:val="center"/>
              <w:spacing w:after="0" w:line="147" w:lineRule="exact"/>
              <w:rPr>
                <w:sz w:val="20"/>
                <w:szCs w:val="20"/>
                <w:color w:val="auto"/>
              </w:rPr>
            </w:pPr>
            <w:r>
              <w:rPr>
                <w:rFonts w:ascii="Arial" w:cs="Arial" w:eastAsia="Arial" w:hAnsi="Arial"/>
                <w:sz w:val="14"/>
                <w:szCs w:val="14"/>
                <w:i w:val="1"/>
                <w:iCs w:val="1"/>
                <w:color w:val="auto"/>
              </w:rPr>
              <w:t>increase</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36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from $10,000 to</w:t>
            </w:r>
          </w:p>
        </w:tc>
        <w:tc>
          <w:tcPr>
            <w:tcW w:w="1380" w:type="dxa"/>
            <w:vAlign w:val="bottom"/>
            <w:tcBorders>
              <w:right w:val="single" w:sz="8" w:color="auto"/>
            </w:tcBorders>
            <w:vMerge w:val="restart"/>
          </w:tcPr>
          <w:p>
            <w:pPr>
              <w:jc w:val="center"/>
              <w:spacing w:after="0" w:line="145" w:lineRule="exact"/>
              <w:rPr>
                <w:sz w:val="20"/>
                <w:szCs w:val="20"/>
                <w:color w:val="auto"/>
              </w:rPr>
            </w:pPr>
            <w:r>
              <w:rPr>
                <w:rFonts w:ascii="Arial" w:cs="Arial" w:eastAsia="Arial" w:hAnsi="Arial"/>
                <w:sz w:val="14"/>
                <w:szCs w:val="14"/>
                <w:color w:val="auto"/>
              </w:rPr>
              <w:t>from $10,000 to</w:t>
            </w:r>
          </w:p>
        </w:tc>
        <w:tc>
          <w:tcPr>
            <w:tcW w:w="1380" w:type="dxa"/>
            <w:vAlign w:val="bottom"/>
            <w:vMerge w:val="restart"/>
          </w:tcPr>
          <w:p>
            <w:pPr>
              <w:jc w:val="center"/>
              <w:spacing w:after="0" w:line="145" w:lineRule="exact"/>
              <w:rPr>
                <w:sz w:val="20"/>
                <w:szCs w:val="20"/>
                <w:color w:val="auto"/>
              </w:rPr>
            </w:pPr>
            <w:r>
              <w:rPr>
                <w:rFonts w:ascii="Arial" w:cs="Arial" w:eastAsia="Arial" w:hAnsi="Arial"/>
                <w:sz w:val="14"/>
                <w:szCs w:val="14"/>
                <w:color w:val="auto"/>
              </w:rPr>
              <w:t>from $10,000 to</w:t>
            </w:r>
          </w:p>
        </w:tc>
        <w:tc>
          <w:tcPr>
            <w:tcW w:w="144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520" w:type="dxa"/>
            <w:vAlign w:val="bottom"/>
            <w:tcBorders>
              <w:left w:val="single" w:sz="8" w:color="auto"/>
              <w:right w:val="single" w:sz="8" w:color="auto"/>
            </w:tcBorders>
          </w:tcPr>
          <w:p>
            <w:pPr>
              <w:spacing w:after="0"/>
              <w:rPr>
                <w:sz w:val="6"/>
                <w:szCs w:val="6"/>
                <w:color w:val="auto"/>
              </w:rPr>
            </w:pP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Assistance</w:t>
            </w:r>
          </w:p>
        </w:tc>
        <w:tc>
          <w:tcPr>
            <w:tcW w:w="1360" w:type="dxa"/>
            <w:vAlign w:val="bottom"/>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520" w:type="dxa"/>
            <w:vAlign w:val="bottom"/>
            <w:tcBorders>
              <w:left w:val="single" w:sz="8" w:color="auto"/>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$25,000 max</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$25,000 max</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$25,000 max</w:t>
            </w:r>
          </w:p>
        </w:tc>
        <w:tc>
          <w:tcPr>
            <w:tcW w:w="14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520" w:type="dxa"/>
            <w:vAlign w:val="bottom"/>
            <w:tcBorders>
              <w:left w:val="single" w:sz="8" w:color="auto"/>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right w:val="single" w:sz="8" w:color="auto"/>
            </w:tcBorders>
            <w:vMerge w:val="continue"/>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vMerge w:val="restart"/>
            <w:shd w:val="clear" w:color="auto" w:fill="DBDBDB"/>
          </w:tcPr>
          <w:p>
            <w:pPr>
              <w:ind w:left="40"/>
              <w:spacing w:after="0"/>
              <w:rPr>
                <w:sz w:val="20"/>
                <w:szCs w:val="20"/>
                <w:color w:val="auto"/>
              </w:rPr>
            </w:pPr>
            <w:r>
              <w:rPr>
                <w:rFonts w:ascii="Arial" w:cs="Arial" w:eastAsia="Arial" w:hAnsi="Arial"/>
                <w:sz w:val="14"/>
                <w:szCs w:val="14"/>
                <w:b w:val="1"/>
                <w:bCs w:val="1"/>
                <w:color w:val="auto"/>
              </w:rPr>
              <w:t>Mr. Jatou</w:t>
            </w:r>
          </w:p>
        </w:tc>
        <w:tc>
          <w:tcPr>
            <w:tcW w:w="1540" w:type="dxa"/>
            <w:vAlign w:val="bottom"/>
            <w:tcBorders>
              <w:right w:val="single" w:sz="8" w:color="auto"/>
            </w:tcBorders>
            <w:vMerge w:val="restart"/>
            <w:shd w:val="clear" w:color="auto" w:fill="DBDBDB"/>
          </w:tcPr>
          <w:p>
            <w:pPr>
              <w:spacing w:after="0"/>
              <w:rPr>
                <w:sz w:val="20"/>
                <w:szCs w:val="20"/>
                <w:color w:val="auto"/>
              </w:rPr>
            </w:pPr>
            <w:r>
              <w:rPr>
                <w:rFonts w:ascii="Arial" w:cs="Arial" w:eastAsia="Arial" w:hAnsi="Arial"/>
                <w:sz w:val="14"/>
                <w:szCs w:val="14"/>
                <w:color w:val="auto"/>
              </w:rPr>
              <w:t>Cash Severance</w:t>
            </w:r>
          </w:p>
        </w:tc>
        <w:tc>
          <w:tcPr>
            <w:tcW w:w="136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color w:val="auto"/>
              </w:rPr>
              <w:t>12 months' base</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shd w:val="clear" w:color="auto" w:fill="DBDBDB"/>
          </w:tcPr>
          <w:p>
            <w:pPr>
              <w:jc w:val="center"/>
              <w:spacing w:after="0" w:line="147" w:lineRule="exact"/>
              <w:rPr>
                <w:sz w:val="20"/>
                <w:szCs w:val="20"/>
                <w:color w:val="auto"/>
              </w:rPr>
            </w:pPr>
            <w:r>
              <w:rPr>
                <w:rFonts w:ascii="Arial" w:cs="Arial" w:eastAsia="Arial" w:hAnsi="Arial"/>
                <w:sz w:val="14"/>
                <w:szCs w:val="14"/>
                <w:color w:val="auto"/>
              </w:rPr>
              <w:t>12 months' base</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right w:val="single" w:sz="8" w:color="auto"/>
            </w:tcBorders>
            <w:vMerge w:val="continue"/>
            <w:shd w:val="clear" w:color="auto" w:fill="DBDBDB"/>
          </w:tcPr>
          <w:p>
            <w:pPr>
              <w:spacing w:after="0"/>
              <w:rPr>
                <w:sz w:val="10"/>
                <w:szCs w:val="10"/>
                <w:color w:val="auto"/>
              </w:rPr>
            </w:pPr>
          </w:p>
        </w:tc>
        <w:tc>
          <w:tcPr>
            <w:tcW w:w="1540" w:type="dxa"/>
            <w:vAlign w:val="bottom"/>
            <w:tcBorders>
              <w:right w:val="single" w:sz="8" w:color="auto"/>
            </w:tcBorders>
            <w:vMerge w:val="continue"/>
            <w:shd w:val="clear" w:color="auto" w:fill="DBDBDB"/>
          </w:tcPr>
          <w:p>
            <w:pPr>
              <w:spacing w:after="0"/>
              <w:rPr>
                <w:sz w:val="10"/>
                <w:szCs w:val="10"/>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380" w:type="dxa"/>
            <w:vAlign w:val="bottom"/>
            <w:tcBorders>
              <w:right w:val="single" w:sz="8" w:color="auto"/>
            </w:tcBorders>
            <w:vMerge w:val="continue"/>
            <w:shd w:val="clear" w:color="auto" w:fill="DBDBDB"/>
          </w:tcPr>
          <w:p>
            <w:pPr>
              <w:spacing w:after="0"/>
              <w:rPr>
                <w:sz w:val="10"/>
                <w:szCs w:val="10"/>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salary</w:t>
            </w:r>
          </w:p>
        </w:tc>
        <w:tc>
          <w:tcPr>
            <w:tcW w:w="1440" w:type="dxa"/>
            <w:vAlign w:val="bottom"/>
            <w:tcBorders>
              <w:right w:val="single" w:sz="8" w:color="auto"/>
            </w:tcBorders>
            <w:vMerge w:val="continue"/>
            <w:shd w:val="clear" w:color="auto" w:fill="DBDBDB"/>
          </w:tcPr>
          <w:p>
            <w:pPr>
              <w:spacing w:after="0"/>
              <w:rPr>
                <w:sz w:val="10"/>
                <w:szCs w:val="10"/>
                <w:color w:val="auto"/>
              </w:rPr>
            </w:pPr>
          </w:p>
        </w:tc>
        <w:tc>
          <w:tcPr>
            <w:tcW w:w="1380" w:type="dxa"/>
            <w:vAlign w:val="bottom"/>
            <w:tcBorders>
              <w:right w:val="single" w:sz="8" w:color="auto"/>
            </w:tcBorders>
            <w:vMerge w:val="continue"/>
            <w:shd w:val="clear" w:color="auto" w:fill="DBDBDB"/>
          </w:tcPr>
          <w:p>
            <w:pPr>
              <w:spacing w:after="0"/>
              <w:rPr>
                <w:sz w:val="10"/>
                <w:szCs w:val="10"/>
                <w:color w:val="auto"/>
              </w:rPr>
            </w:pPr>
          </w:p>
        </w:tc>
        <w:tc>
          <w:tcPr>
            <w:tcW w:w="124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shd w:val="clear" w:color="auto" w:fill="DBDBDB"/>
          </w:tcPr>
          <w:p>
            <w:pPr>
              <w:spacing w:after="0"/>
              <w:rPr>
                <w:sz w:val="6"/>
                <w:szCs w:val="6"/>
                <w:color w:val="auto"/>
              </w:rPr>
            </w:pPr>
          </w:p>
        </w:tc>
        <w:tc>
          <w:tcPr>
            <w:tcW w:w="1540" w:type="dxa"/>
            <w:vAlign w:val="bottom"/>
            <w:tcBorders>
              <w:right w:val="single" w:sz="8" w:color="auto"/>
            </w:tcBorders>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380" w:type="dxa"/>
            <w:vAlign w:val="bottom"/>
            <w:vMerge w:val="continue"/>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520" w:type="dxa"/>
            <w:vAlign w:val="bottom"/>
            <w:tcBorders>
              <w:left w:val="single" w:sz="8" w:color="auto"/>
              <w:right w:val="single" w:sz="8" w:color="auto"/>
            </w:tcBorders>
            <w:shd w:val="clear" w:color="auto" w:fill="DBDBDB"/>
          </w:tcPr>
          <w:p>
            <w:pPr>
              <w:spacing w:after="0"/>
              <w:rPr>
                <w:sz w:val="14"/>
                <w:szCs w:val="14"/>
                <w:color w:val="auto"/>
              </w:rPr>
            </w:pPr>
          </w:p>
        </w:tc>
        <w:tc>
          <w:tcPr>
            <w:tcW w:w="1540" w:type="dxa"/>
            <w:vAlign w:val="bottom"/>
            <w:tcBorders>
              <w:right w:val="single" w:sz="8" w:color="auto"/>
            </w:tcBorders>
            <w:vMerge w:val="restart"/>
            <w:shd w:val="clear" w:color="auto" w:fill="DBDBDB"/>
          </w:tcPr>
          <w:p>
            <w:pPr>
              <w:spacing w:after="0"/>
              <w:rPr>
                <w:sz w:val="20"/>
                <w:szCs w:val="20"/>
                <w:color w:val="auto"/>
              </w:rPr>
            </w:pPr>
            <w:r>
              <w:rPr>
                <w:rFonts w:ascii="Arial" w:cs="Arial" w:eastAsia="Arial" w:hAnsi="Arial"/>
                <w:sz w:val="14"/>
                <w:szCs w:val="14"/>
                <w:color w:val="auto"/>
              </w:rPr>
              <w:t>STI Payment</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pro rata (based in</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1x target STI</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shd w:val="clear" w:color="auto" w:fill="DBDBDB"/>
          </w:tcPr>
          <w:p>
            <w:pPr>
              <w:spacing w:after="0"/>
              <w:rPr>
                <w:sz w:val="9"/>
                <w:szCs w:val="9"/>
                <w:color w:val="auto"/>
              </w:rPr>
            </w:pPr>
          </w:p>
        </w:tc>
        <w:tc>
          <w:tcPr>
            <w:tcW w:w="1540" w:type="dxa"/>
            <w:vAlign w:val="bottom"/>
            <w:tcBorders>
              <w:right w:val="single" w:sz="8" w:color="auto"/>
            </w:tcBorders>
            <w:vMerge w:val="continue"/>
            <w:shd w:val="clear" w:color="auto" w:fill="DBDBDB"/>
          </w:tcPr>
          <w:p>
            <w:pPr>
              <w:spacing w:after="0"/>
              <w:rPr>
                <w:sz w:val="9"/>
                <w:szCs w:val="9"/>
                <w:color w:val="auto"/>
              </w:rPr>
            </w:pP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actual performance)</w:t>
            </w: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continue"/>
            <w:shd w:val="clear" w:color="auto" w:fill="DBDBDB"/>
          </w:tcPr>
          <w:p>
            <w:pPr>
              <w:spacing w:after="0"/>
              <w:rPr>
                <w:sz w:val="9"/>
                <w:szCs w:val="9"/>
                <w:color w:val="auto"/>
              </w:rPr>
            </w:pPr>
          </w:p>
        </w:tc>
        <w:tc>
          <w:tcPr>
            <w:tcW w:w="144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240" w:type="dxa"/>
            <w:vAlign w:val="bottom"/>
            <w:tcBorders>
              <w:right w:val="single" w:sz="8" w:color="auto"/>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520" w:type="dxa"/>
            <w:vAlign w:val="bottom"/>
            <w:tcBorders>
              <w:left w:val="single" w:sz="8" w:color="auto"/>
              <w:right w:val="single" w:sz="8" w:color="auto"/>
            </w:tcBorders>
            <w:shd w:val="clear" w:color="auto" w:fill="DBDBDB"/>
          </w:tcPr>
          <w:p>
            <w:pPr>
              <w:spacing w:after="0"/>
              <w:rPr>
                <w:sz w:val="6"/>
                <w:szCs w:val="6"/>
                <w:color w:val="auto"/>
              </w:rPr>
            </w:pPr>
          </w:p>
        </w:tc>
        <w:tc>
          <w:tcPr>
            <w:tcW w:w="1540" w:type="dxa"/>
            <w:vAlign w:val="bottom"/>
            <w:tcBorders>
              <w:right w:val="single" w:sz="8" w:color="auto"/>
            </w:tcBorders>
            <w:shd w:val="clear" w:color="auto" w:fill="DBDBDB"/>
          </w:tcPr>
          <w:p>
            <w:pPr>
              <w:spacing w:after="0"/>
              <w:rPr>
                <w:sz w:val="6"/>
                <w:szCs w:val="6"/>
                <w:color w:val="auto"/>
              </w:rPr>
            </w:pPr>
          </w:p>
        </w:tc>
        <w:tc>
          <w:tcPr>
            <w:tcW w:w="1360" w:type="dxa"/>
            <w:vAlign w:val="bottom"/>
            <w:vMerge w:val="continue"/>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380" w:type="dxa"/>
            <w:vAlign w:val="bottom"/>
            <w:shd w:val="clear" w:color="auto" w:fill="DBDBDB"/>
          </w:tcPr>
          <w:p>
            <w:pPr>
              <w:spacing w:after="0"/>
              <w:rPr>
                <w:sz w:val="6"/>
                <w:szCs w:val="6"/>
                <w:color w:val="auto"/>
              </w:rPr>
            </w:pPr>
          </w:p>
        </w:tc>
        <w:tc>
          <w:tcPr>
            <w:tcW w:w="1440" w:type="dxa"/>
            <w:vAlign w:val="bottom"/>
            <w:tcBorders>
              <w:right w:val="single" w:sz="8" w:color="auto"/>
            </w:tcBorders>
            <w:shd w:val="clear" w:color="auto" w:fill="DBDBDB"/>
          </w:tcPr>
          <w:p>
            <w:pPr>
              <w:spacing w:after="0"/>
              <w:rPr>
                <w:sz w:val="6"/>
                <w:szCs w:val="6"/>
                <w:color w:val="auto"/>
              </w:rPr>
            </w:pPr>
          </w:p>
        </w:tc>
        <w:tc>
          <w:tcPr>
            <w:tcW w:w="1380" w:type="dxa"/>
            <w:vAlign w:val="bottom"/>
            <w:tcBorders>
              <w:right w:val="single" w:sz="8" w:color="auto"/>
            </w:tcBorders>
            <w:shd w:val="clear" w:color="auto" w:fill="DBDBDB"/>
          </w:tcPr>
          <w:p>
            <w:pPr>
              <w:spacing w:after="0"/>
              <w:rPr>
                <w:sz w:val="6"/>
                <w:szCs w:val="6"/>
                <w:color w:val="auto"/>
              </w:rPr>
            </w:pPr>
          </w:p>
        </w:tc>
        <w:tc>
          <w:tcPr>
            <w:tcW w:w="124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520" w:type="dxa"/>
            <w:vAlign w:val="bottom"/>
            <w:tcBorders>
              <w:left w:val="single" w:sz="8" w:color="auto"/>
              <w:right w:val="single" w:sz="8" w:color="auto"/>
            </w:tcBorders>
            <w:shd w:val="clear" w:color="auto" w:fill="DBDBDB"/>
          </w:tcPr>
          <w:p>
            <w:pPr>
              <w:spacing w:after="0"/>
              <w:rPr>
                <w:sz w:val="18"/>
                <w:szCs w:val="18"/>
                <w:color w:val="auto"/>
              </w:rPr>
            </w:pPr>
          </w:p>
        </w:tc>
        <w:tc>
          <w:tcPr>
            <w:tcW w:w="154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Unvested RSUs</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shd w:val="clear" w:color="auto" w:fill="DBDBDB"/>
          </w:tcPr>
          <w:p>
            <w:pPr>
              <w:spacing w:after="0"/>
              <w:rPr>
                <w:sz w:val="18"/>
                <w:szCs w:val="18"/>
                <w:color w:val="auto"/>
              </w:rPr>
            </w:pPr>
          </w:p>
        </w:tc>
        <w:tc>
          <w:tcPr>
            <w:tcW w:w="154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Unvested PBRSUs</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forfeited</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shd w:val="clear" w:color="auto" w:fill="DBDBDB"/>
          </w:tcPr>
          <w:p>
            <w:pPr>
              <w:spacing w:after="0"/>
              <w:rPr>
                <w:sz w:val="18"/>
                <w:szCs w:val="18"/>
                <w:color w:val="auto"/>
              </w:rPr>
            </w:pPr>
          </w:p>
        </w:tc>
        <w:tc>
          <w:tcPr>
            <w:tcW w:w="154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Benefits Continuation</w:t>
            </w:r>
          </w:p>
        </w:tc>
        <w:tc>
          <w:tcPr>
            <w:tcW w:w="13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up to 1 year</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up to 1 year</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1520" w:type="dxa"/>
            <w:vAlign w:val="bottom"/>
            <w:tcBorders>
              <w:left w:val="single" w:sz="8" w:color="auto"/>
              <w:right w:val="single" w:sz="8" w:color="auto"/>
            </w:tcBorders>
            <w:shd w:val="clear" w:color="auto" w:fill="DBDBDB"/>
          </w:tcPr>
          <w:p>
            <w:pPr>
              <w:spacing w:after="0"/>
              <w:rPr>
                <w:sz w:val="15"/>
                <w:szCs w:val="15"/>
                <w:color w:val="auto"/>
              </w:rPr>
            </w:pPr>
          </w:p>
        </w:tc>
        <w:tc>
          <w:tcPr>
            <w:tcW w:w="154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Outplacement</w:t>
            </w:r>
          </w:p>
        </w:tc>
        <w:tc>
          <w:tcPr>
            <w:tcW w:w="13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up to $5,000</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up to $5,000</w:t>
            </w:r>
          </w:p>
        </w:tc>
        <w:tc>
          <w:tcPr>
            <w:tcW w:w="14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38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shd w:val="clear" w:color="auto" w:fill="DBDBDB"/>
          </w:tcPr>
          <w:p>
            <w:pPr>
              <w:spacing w:after="0"/>
              <w:rPr>
                <w:sz w:val="9"/>
                <w:szCs w:val="9"/>
                <w:color w:val="auto"/>
              </w:rPr>
            </w:pPr>
          </w:p>
        </w:tc>
        <w:tc>
          <w:tcPr>
            <w:tcW w:w="1540" w:type="dxa"/>
            <w:vAlign w:val="bottom"/>
            <w:tcBorders>
              <w:right w:val="single" w:sz="8" w:color="auto"/>
            </w:tcBorders>
            <w:vMerge w:val="restart"/>
            <w:shd w:val="clear" w:color="auto" w:fill="DBDBDB"/>
          </w:tcPr>
          <w:p>
            <w:pPr>
              <w:spacing w:after="0"/>
              <w:rPr>
                <w:sz w:val="20"/>
                <w:szCs w:val="20"/>
                <w:color w:val="auto"/>
              </w:rPr>
            </w:pPr>
            <w:r>
              <w:rPr>
                <w:rFonts w:ascii="Arial" w:cs="Arial" w:eastAsia="Arial" w:hAnsi="Arial"/>
                <w:sz w:val="14"/>
                <w:szCs w:val="14"/>
                <w:color w:val="auto"/>
              </w:rPr>
              <w:t>Assistance</w:t>
            </w:r>
          </w:p>
        </w:tc>
        <w:tc>
          <w:tcPr>
            <w:tcW w:w="1360" w:type="dxa"/>
            <w:vAlign w:val="bottom"/>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vMerge w:val="continue"/>
            <w:shd w:val="clear" w:color="auto" w:fill="DBDBDB"/>
          </w:tcPr>
          <w:p>
            <w:pPr>
              <w:spacing w:after="0"/>
              <w:rPr>
                <w:sz w:val="9"/>
                <w:szCs w:val="9"/>
                <w:color w:val="auto"/>
              </w:rPr>
            </w:pPr>
          </w:p>
        </w:tc>
        <w:tc>
          <w:tcPr>
            <w:tcW w:w="1440" w:type="dxa"/>
            <w:vAlign w:val="bottom"/>
            <w:tcBorders>
              <w:right w:val="single" w:sz="8" w:color="auto"/>
            </w:tcBorders>
            <w:vMerge w:val="continue"/>
            <w:shd w:val="clear" w:color="auto" w:fill="DBDBDB"/>
          </w:tcPr>
          <w:p>
            <w:pPr>
              <w:spacing w:after="0"/>
              <w:rPr>
                <w:sz w:val="9"/>
                <w:szCs w:val="9"/>
                <w:color w:val="auto"/>
              </w:rPr>
            </w:pPr>
          </w:p>
        </w:tc>
        <w:tc>
          <w:tcPr>
            <w:tcW w:w="1380" w:type="dxa"/>
            <w:vAlign w:val="bottom"/>
            <w:tcBorders>
              <w:right w:val="single" w:sz="8" w:color="auto"/>
            </w:tcBorders>
            <w:vMerge w:val="continue"/>
            <w:shd w:val="clear" w:color="auto" w:fill="DBDBDB"/>
          </w:tcPr>
          <w:p>
            <w:pPr>
              <w:spacing w:after="0"/>
              <w:rPr>
                <w:sz w:val="9"/>
                <w:szCs w:val="9"/>
                <w:color w:val="auto"/>
              </w:rPr>
            </w:pPr>
          </w:p>
        </w:tc>
        <w:tc>
          <w:tcPr>
            <w:tcW w:w="1240" w:type="dxa"/>
            <w:vAlign w:val="bottom"/>
            <w:tcBorders>
              <w:right w:val="single" w:sz="8" w:color="auto"/>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520" w:type="dxa"/>
            <w:vAlign w:val="bottom"/>
            <w:tcBorders>
              <w:left w:val="single" w:sz="8" w:color="auto"/>
              <w:bottom w:val="single" w:sz="8" w:color="auto"/>
              <w:right w:val="single" w:sz="8" w:color="auto"/>
            </w:tcBorders>
            <w:shd w:val="clear" w:color="auto" w:fill="DBDBDB"/>
          </w:tcPr>
          <w:p>
            <w:pPr>
              <w:spacing w:after="0"/>
              <w:rPr>
                <w:sz w:val="6"/>
                <w:szCs w:val="6"/>
                <w:color w:val="auto"/>
              </w:rPr>
            </w:pPr>
          </w:p>
        </w:tc>
        <w:tc>
          <w:tcPr>
            <w:tcW w:w="1540" w:type="dxa"/>
            <w:vAlign w:val="bottom"/>
            <w:tcBorders>
              <w:bottom w:val="single" w:sz="8" w:color="auto"/>
              <w:right w:val="single" w:sz="8" w:color="auto"/>
            </w:tcBorders>
            <w:vMerge w:val="continue"/>
            <w:shd w:val="clear" w:color="auto" w:fill="DBDBDB"/>
          </w:tcPr>
          <w:p>
            <w:pPr>
              <w:spacing w:after="0"/>
              <w:rPr>
                <w:sz w:val="6"/>
                <w:szCs w:val="6"/>
                <w:color w:val="auto"/>
              </w:rPr>
            </w:pPr>
          </w:p>
        </w:tc>
        <w:tc>
          <w:tcPr>
            <w:tcW w:w="1360" w:type="dxa"/>
            <w:vAlign w:val="bottom"/>
            <w:tcBorders>
              <w:bottom w:val="single" w:sz="8" w:color="auto"/>
            </w:tcBorders>
            <w:shd w:val="clear" w:color="auto" w:fill="DBDBDB"/>
          </w:tcPr>
          <w:p>
            <w:pPr>
              <w:spacing w:after="0"/>
              <w:rPr>
                <w:sz w:val="6"/>
                <w:szCs w:val="6"/>
                <w:color w:val="auto"/>
              </w:rPr>
            </w:pPr>
          </w:p>
        </w:tc>
        <w:tc>
          <w:tcPr>
            <w:tcW w:w="1380" w:type="dxa"/>
            <w:vAlign w:val="bottom"/>
            <w:tcBorders>
              <w:bottom w:val="single" w:sz="8" w:color="auto"/>
              <w:right w:val="single" w:sz="8" w:color="auto"/>
            </w:tcBorders>
            <w:shd w:val="clear" w:color="auto" w:fill="DBDBDB"/>
          </w:tcPr>
          <w:p>
            <w:pPr>
              <w:spacing w:after="0"/>
              <w:rPr>
                <w:sz w:val="6"/>
                <w:szCs w:val="6"/>
                <w:color w:val="auto"/>
              </w:rPr>
            </w:pPr>
          </w:p>
        </w:tc>
        <w:tc>
          <w:tcPr>
            <w:tcW w:w="1380" w:type="dxa"/>
            <w:vAlign w:val="bottom"/>
            <w:tcBorders>
              <w:bottom w:val="single" w:sz="8" w:color="auto"/>
            </w:tcBorders>
            <w:shd w:val="clear" w:color="auto" w:fill="DBDBDB"/>
          </w:tcPr>
          <w:p>
            <w:pPr>
              <w:spacing w:after="0"/>
              <w:rPr>
                <w:sz w:val="6"/>
                <w:szCs w:val="6"/>
                <w:color w:val="auto"/>
              </w:rPr>
            </w:pPr>
          </w:p>
        </w:tc>
        <w:tc>
          <w:tcPr>
            <w:tcW w:w="1440" w:type="dxa"/>
            <w:vAlign w:val="bottom"/>
            <w:tcBorders>
              <w:bottom w:val="single" w:sz="8" w:color="auto"/>
              <w:right w:val="single" w:sz="8" w:color="auto"/>
            </w:tcBorders>
            <w:shd w:val="clear" w:color="auto" w:fill="DBDBDB"/>
          </w:tcPr>
          <w:p>
            <w:pPr>
              <w:spacing w:after="0"/>
              <w:rPr>
                <w:sz w:val="6"/>
                <w:szCs w:val="6"/>
                <w:color w:val="auto"/>
              </w:rPr>
            </w:pPr>
          </w:p>
        </w:tc>
        <w:tc>
          <w:tcPr>
            <w:tcW w:w="1380" w:type="dxa"/>
            <w:vAlign w:val="bottom"/>
            <w:tcBorders>
              <w:bottom w:val="single" w:sz="8" w:color="auto"/>
              <w:right w:val="single" w:sz="8" w:color="auto"/>
            </w:tcBorders>
            <w:shd w:val="clear" w:color="auto" w:fill="DBDBDB"/>
          </w:tcPr>
          <w:p>
            <w:pPr>
              <w:spacing w:after="0"/>
              <w:rPr>
                <w:sz w:val="6"/>
                <w:szCs w:val="6"/>
                <w:color w:val="auto"/>
              </w:rPr>
            </w:pPr>
          </w:p>
        </w:tc>
        <w:tc>
          <w:tcPr>
            <w:tcW w:w="124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-1088390</wp:posOffset>
            </wp:positionV>
            <wp:extent cx="6180455" cy="10890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80455" cy="1089025"/>
                    </a:xfrm>
                    <a:prstGeom prst="rect">
                      <a:avLst/>
                    </a:prstGeom>
                    <a:noFill/>
                  </pic:spPr>
                </pic:pic>
              </a:graphicData>
            </a:graphic>
          </wp:anchor>
        </w:drawing>
      </w:r>
    </w:p>
    <w:p>
      <w:pPr>
        <w:spacing w:after="0" w:line="299"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General Release and Restrictive Covenants</w:t>
      </w:r>
      <w:r>
        <w:rPr>
          <w:rFonts w:ascii="Arial" w:cs="Arial" w:eastAsia="Arial" w:hAnsi="Arial"/>
          <w:sz w:val="18"/>
          <w:szCs w:val="18"/>
          <w:color w:val="auto"/>
        </w:rPr>
        <w:t>. The payment of all severance benefits to any NEO is subject to him signing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revoking) a general release and waiver and his compliance with the following covenants: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shd w:val="clear" w:color="auto" w:fill="465E66"/>
          </w:tcPr>
          <w:p>
            <w:pPr>
              <w:spacing w:after="0"/>
              <w:rPr>
                <w:sz w:val="14"/>
                <w:szCs w:val="14"/>
                <w:color w:val="auto"/>
              </w:rPr>
            </w:pPr>
          </w:p>
        </w:tc>
        <w:tc>
          <w:tcPr>
            <w:tcW w:w="3380" w:type="dxa"/>
            <w:vAlign w:val="bottom"/>
            <w:vMerge w:val="restart"/>
            <w:shd w:val="clear" w:color="auto" w:fill="465E66"/>
          </w:tcPr>
          <w:p>
            <w:pPr>
              <w:ind w:left="940"/>
              <w:spacing w:after="0"/>
              <w:rPr>
                <w:sz w:val="20"/>
                <w:szCs w:val="20"/>
                <w:color w:val="auto"/>
              </w:rPr>
            </w:pPr>
            <w:r>
              <w:rPr>
                <w:rFonts w:ascii="Arial" w:cs="Arial" w:eastAsia="Arial" w:hAnsi="Arial"/>
                <w:sz w:val="14"/>
                <w:szCs w:val="14"/>
                <w:b w:val="1"/>
                <w:bCs w:val="1"/>
                <w:color w:val="FFFFFF"/>
              </w:rPr>
              <w:t>Non-Solicitation Covenant</w:t>
            </w:r>
          </w:p>
        </w:tc>
        <w:tc>
          <w:tcPr>
            <w:tcW w:w="3020" w:type="dxa"/>
            <w:vAlign w:val="bottom"/>
            <w:vMerge w:val="restart"/>
            <w:shd w:val="clear" w:color="auto" w:fill="465E66"/>
          </w:tcPr>
          <w:p>
            <w:pPr>
              <w:ind w:left="740"/>
              <w:spacing w:after="0"/>
              <w:rPr>
                <w:sz w:val="20"/>
                <w:szCs w:val="20"/>
                <w:color w:val="auto"/>
              </w:rPr>
            </w:pPr>
            <w:r>
              <w:rPr>
                <w:rFonts w:ascii="Arial" w:cs="Arial" w:eastAsia="Arial" w:hAnsi="Arial"/>
                <w:sz w:val="14"/>
                <w:szCs w:val="14"/>
                <w:b w:val="1"/>
                <w:bCs w:val="1"/>
                <w:color w:val="FFFFFF"/>
              </w:rPr>
              <w:t>Non-Compete Covenant</w:t>
            </w:r>
          </w:p>
        </w:tc>
        <w:tc>
          <w:tcPr>
            <w:tcW w:w="29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Confidentiality and Non-Disparagement</w:t>
            </w:r>
          </w:p>
        </w:tc>
        <w:tc>
          <w:tcPr>
            <w:tcW w:w="0" w:type="dxa"/>
            <w:vAlign w:val="bottom"/>
          </w:tcPr>
          <w:p>
            <w:pPr>
              <w:spacing w:after="0"/>
              <w:rPr>
                <w:sz w:val="1"/>
                <w:szCs w:val="1"/>
                <w:color w:val="auto"/>
              </w:rPr>
            </w:pPr>
          </w:p>
        </w:tc>
      </w:tr>
      <w:tr>
        <w:trPr>
          <w:trHeight w:val="185"/>
        </w:trPr>
        <w:tc>
          <w:tcPr>
            <w:tcW w:w="1860" w:type="dxa"/>
            <w:vAlign w:val="bottom"/>
            <w:shd w:val="clear" w:color="auto" w:fill="465E66"/>
          </w:tcPr>
          <w:p>
            <w:pPr>
              <w:spacing w:after="0"/>
              <w:rPr>
                <w:sz w:val="16"/>
                <w:szCs w:val="16"/>
                <w:color w:val="auto"/>
              </w:rPr>
            </w:pPr>
          </w:p>
        </w:tc>
        <w:tc>
          <w:tcPr>
            <w:tcW w:w="3380" w:type="dxa"/>
            <w:vAlign w:val="bottom"/>
            <w:vMerge w:val="continue"/>
            <w:shd w:val="clear" w:color="auto" w:fill="465E66"/>
          </w:tcPr>
          <w:p>
            <w:pPr>
              <w:spacing w:after="0"/>
              <w:rPr>
                <w:sz w:val="16"/>
                <w:szCs w:val="16"/>
                <w:color w:val="auto"/>
              </w:rPr>
            </w:pPr>
          </w:p>
        </w:tc>
        <w:tc>
          <w:tcPr>
            <w:tcW w:w="3020" w:type="dxa"/>
            <w:vAlign w:val="bottom"/>
            <w:vMerge w:val="continue"/>
            <w:shd w:val="clear" w:color="auto" w:fill="465E66"/>
          </w:tcPr>
          <w:p>
            <w:pPr>
              <w:spacing w:after="0"/>
              <w:rPr>
                <w:sz w:val="16"/>
                <w:szCs w:val="16"/>
                <w:color w:val="auto"/>
              </w:rPr>
            </w:pPr>
          </w:p>
        </w:tc>
        <w:tc>
          <w:tcPr>
            <w:tcW w:w="29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Covenants</w:t>
            </w:r>
          </w:p>
        </w:tc>
        <w:tc>
          <w:tcPr>
            <w:tcW w:w="0" w:type="dxa"/>
            <w:vAlign w:val="bottom"/>
          </w:tcPr>
          <w:p>
            <w:pPr>
              <w:spacing w:after="0"/>
              <w:rPr>
                <w:sz w:val="1"/>
                <w:szCs w:val="1"/>
                <w:color w:val="auto"/>
              </w:rPr>
            </w:pPr>
          </w:p>
        </w:tc>
      </w:tr>
      <w:tr>
        <w:trPr>
          <w:trHeight w:val="162"/>
        </w:trPr>
        <w:tc>
          <w:tcPr>
            <w:tcW w:w="1860" w:type="dxa"/>
            <w:vAlign w:val="bottom"/>
            <w:shd w:val="clear" w:color="auto" w:fill="DBDBDB"/>
          </w:tcPr>
          <w:p>
            <w:pPr>
              <w:spacing w:after="0"/>
              <w:rPr>
                <w:sz w:val="14"/>
                <w:szCs w:val="14"/>
                <w:color w:val="auto"/>
              </w:rPr>
            </w:pPr>
          </w:p>
        </w:tc>
        <w:tc>
          <w:tcPr>
            <w:tcW w:w="3380" w:type="dxa"/>
            <w:vAlign w:val="bottom"/>
            <w:shd w:val="clear" w:color="auto" w:fill="DBDBDB"/>
          </w:tcPr>
          <w:p>
            <w:pPr>
              <w:ind w:left="280"/>
              <w:spacing w:after="0" w:line="162" w:lineRule="exact"/>
              <w:rPr>
                <w:sz w:val="20"/>
                <w:szCs w:val="20"/>
                <w:color w:val="auto"/>
              </w:rPr>
            </w:pPr>
            <w:r>
              <w:rPr>
                <w:rFonts w:ascii="Arial" w:cs="Arial" w:eastAsia="Arial" w:hAnsi="Arial"/>
                <w:sz w:val="16"/>
                <w:szCs w:val="16"/>
                <w:color w:val="auto"/>
              </w:rPr>
              <w:t>During term of employment and for two</w:t>
            </w:r>
          </w:p>
        </w:tc>
        <w:tc>
          <w:tcPr>
            <w:tcW w:w="3020" w:type="dxa"/>
            <w:vAlign w:val="bottom"/>
            <w:vMerge w:val="restart"/>
            <w:shd w:val="clear" w:color="auto" w:fill="DBDBDB"/>
          </w:tcPr>
          <w:p>
            <w:pPr>
              <w:ind w:left="80"/>
              <w:spacing w:after="0"/>
              <w:rPr>
                <w:sz w:val="20"/>
                <w:szCs w:val="20"/>
                <w:color w:val="auto"/>
              </w:rPr>
            </w:pPr>
            <w:r>
              <w:rPr>
                <w:rFonts w:ascii="Arial" w:cs="Arial" w:eastAsia="Arial" w:hAnsi="Arial"/>
                <w:sz w:val="16"/>
                <w:szCs w:val="16"/>
                <w:color w:val="auto"/>
              </w:rPr>
              <w:t>During term of employment and for one</w:t>
            </w:r>
          </w:p>
        </w:tc>
        <w:tc>
          <w:tcPr>
            <w:tcW w:w="29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6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Hassane El-Khoury</w:t>
            </w:r>
          </w:p>
        </w:tc>
        <w:tc>
          <w:tcPr>
            <w:tcW w:w="3380" w:type="dxa"/>
            <w:vAlign w:val="bottom"/>
            <w:vMerge w:val="restart"/>
            <w:shd w:val="clear" w:color="auto" w:fill="DBDBDB"/>
          </w:tcPr>
          <w:p>
            <w:pPr>
              <w:ind w:left="280"/>
              <w:spacing w:after="0"/>
              <w:rPr>
                <w:sz w:val="20"/>
                <w:szCs w:val="20"/>
                <w:color w:val="auto"/>
              </w:rPr>
            </w:pPr>
            <w:r>
              <w:rPr>
                <w:rFonts w:ascii="Arial" w:cs="Arial" w:eastAsia="Arial" w:hAnsi="Arial"/>
                <w:sz w:val="16"/>
                <w:szCs w:val="16"/>
                <w:color w:val="auto"/>
              </w:rPr>
              <w:t>years after termination of employment, the</w:t>
            </w:r>
          </w:p>
        </w:tc>
        <w:tc>
          <w:tcPr>
            <w:tcW w:w="3020" w:type="dxa"/>
            <w:vAlign w:val="bottom"/>
            <w:vMerge w:val="continue"/>
            <w:shd w:val="clear" w:color="auto" w:fill="DBDBDB"/>
          </w:tcPr>
          <w:p>
            <w:pPr>
              <w:spacing w:after="0"/>
              <w:rPr>
                <w:sz w:val="7"/>
                <w:szCs w:val="7"/>
                <w:color w:val="auto"/>
              </w:rPr>
            </w:pPr>
          </w:p>
        </w:tc>
        <w:tc>
          <w:tcPr>
            <w:tcW w:w="292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860" w:type="dxa"/>
            <w:vAlign w:val="bottom"/>
            <w:vMerge w:val="continue"/>
            <w:shd w:val="clear" w:color="auto" w:fill="DBDBDB"/>
          </w:tcPr>
          <w:p>
            <w:pPr>
              <w:spacing w:after="0"/>
              <w:rPr>
                <w:sz w:val="14"/>
                <w:szCs w:val="14"/>
                <w:color w:val="auto"/>
              </w:rPr>
            </w:pPr>
          </w:p>
        </w:tc>
        <w:tc>
          <w:tcPr>
            <w:tcW w:w="3380" w:type="dxa"/>
            <w:vAlign w:val="bottom"/>
            <w:vMerge w:val="continue"/>
            <w:shd w:val="clear" w:color="auto" w:fill="DBDBDB"/>
          </w:tcPr>
          <w:p>
            <w:pPr>
              <w:spacing w:after="0"/>
              <w:rPr>
                <w:sz w:val="14"/>
                <w:szCs w:val="14"/>
                <w:color w:val="auto"/>
              </w:rPr>
            </w:pPr>
          </w:p>
        </w:tc>
        <w:tc>
          <w:tcPr>
            <w:tcW w:w="5940" w:type="dxa"/>
            <w:vAlign w:val="bottom"/>
            <w:gridSpan w:val="2"/>
            <w:shd w:val="clear" w:color="auto" w:fill="DBDBDB"/>
          </w:tcPr>
          <w:p>
            <w:pPr>
              <w:ind w:left="80"/>
              <w:spacing w:after="0" w:line="162" w:lineRule="exact"/>
              <w:rPr>
                <w:sz w:val="20"/>
                <w:szCs w:val="20"/>
                <w:color w:val="auto"/>
              </w:rPr>
            </w:pPr>
            <w:r>
              <w:rPr>
                <w:rFonts w:ascii="Arial" w:cs="Arial" w:eastAsia="Arial" w:hAnsi="Arial"/>
                <w:sz w:val="16"/>
                <w:szCs w:val="16"/>
                <w:color w:val="auto"/>
              </w:rPr>
              <w:t>year after termination of employment, the For an indefinite period, the NEO may</w:t>
            </w:r>
          </w:p>
        </w:tc>
        <w:tc>
          <w:tcPr>
            <w:tcW w:w="0" w:type="dxa"/>
            <w:vAlign w:val="bottom"/>
          </w:tcPr>
          <w:p>
            <w:pPr>
              <w:spacing w:after="0"/>
              <w:rPr>
                <w:sz w:val="1"/>
                <w:szCs w:val="1"/>
                <w:color w:val="auto"/>
              </w:rPr>
            </w:pPr>
          </w:p>
        </w:tc>
      </w:tr>
      <w:tr>
        <w:trPr>
          <w:trHeight w:val="81"/>
        </w:trPr>
        <w:tc>
          <w:tcPr>
            <w:tcW w:w="1860" w:type="dxa"/>
            <w:vAlign w:val="bottom"/>
            <w:shd w:val="clear" w:color="auto" w:fill="DBDBDB"/>
          </w:tcPr>
          <w:p>
            <w:pPr>
              <w:ind w:left="20"/>
              <w:spacing w:after="0" w:line="81" w:lineRule="exact"/>
              <w:rPr>
                <w:sz w:val="20"/>
                <w:szCs w:val="20"/>
                <w:color w:val="auto"/>
              </w:rPr>
            </w:pPr>
            <w:r>
              <w:rPr>
                <w:rFonts w:ascii="Arial" w:cs="Arial" w:eastAsia="Arial" w:hAnsi="Arial"/>
                <w:sz w:val="9"/>
                <w:szCs w:val="9"/>
                <w:b w:val="1"/>
                <w:bCs w:val="1"/>
                <w:color w:val="auto"/>
              </w:rPr>
              <w:t>Thad Trent</w:t>
            </w:r>
          </w:p>
        </w:tc>
        <w:tc>
          <w:tcPr>
            <w:tcW w:w="3380" w:type="dxa"/>
            <w:vAlign w:val="bottom"/>
            <w:shd w:val="clear" w:color="auto" w:fill="DBDBDB"/>
          </w:tcPr>
          <w:p>
            <w:pPr>
              <w:ind w:left="280"/>
              <w:spacing w:after="0" w:line="81" w:lineRule="exact"/>
              <w:rPr>
                <w:sz w:val="20"/>
                <w:szCs w:val="20"/>
                <w:color w:val="auto"/>
              </w:rPr>
            </w:pPr>
            <w:r>
              <w:rPr>
                <w:rFonts w:ascii="Arial" w:cs="Arial" w:eastAsia="Arial" w:hAnsi="Arial"/>
                <w:sz w:val="9"/>
                <w:szCs w:val="9"/>
                <w:color w:val="auto"/>
              </w:rPr>
              <w:t>NEO may not solicit any employee of the</w:t>
            </w:r>
          </w:p>
        </w:tc>
        <w:tc>
          <w:tcPr>
            <w:tcW w:w="3020" w:type="dxa"/>
            <w:vAlign w:val="bottom"/>
            <w:vMerge w:val="restart"/>
            <w:shd w:val="clear" w:color="auto" w:fill="DBDBDB"/>
          </w:tcPr>
          <w:p>
            <w:pPr>
              <w:ind w:left="80"/>
              <w:spacing w:after="0" w:line="162" w:lineRule="exact"/>
              <w:rPr>
                <w:sz w:val="20"/>
                <w:szCs w:val="20"/>
                <w:color w:val="auto"/>
              </w:rPr>
            </w:pPr>
            <w:r>
              <w:rPr>
                <w:rFonts w:ascii="Arial" w:cs="Arial" w:eastAsia="Arial" w:hAnsi="Arial"/>
                <w:sz w:val="16"/>
                <w:szCs w:val="16"/>
                <w:color w:val="auto"/>
              </w:rPr>
              <w:t>NEO may not compete with the</w:t>
            </w:r>
          </w:p>
        </w:tc>
        <w:tc>
          <w:tcPr>
            <w:tcW w:w="292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not breach certain confidentiality and</w:t>
            </w:r>
          </w:p>
        </w:tc>
        <w:tc>
          <w:tcPr>
            <w:tcW w:w="0" w:type="dxa"/>
            <w:vAlign w:val="bottom"/>
          </w:tcPr>
          <w:p>
            <w:pPr>
              <w:spacing w:after="0"/>
              <w:rPr>
                <w:sz w:val="1"/>
                <w:szCs w:val="1"/>
                <w:color w:val="auto"/>
              </w:rPr>
            </w:pPr>
          </w:p>
        </w:tc>
      </w:tr>
      <w:tr>
        <w:trPr>
          <w:trHeight w:val="81"/>
        </w:trPr>
        <w:tc>
          <w:tcPr>
            <w:tcW w:w="1860" w:type="dxa"/>
            <w:vAlign w:val="bottom"/>
            <w:vMerge w:val="restart"/>
            <w:shd w:val="clear" w:color="auto" w:fill="DBDBDB"/>
          </w:tcPr>
          <w:p>
            <w:pPr>
              <w:ind w:left="20"/>
              <w:spacing w:after="0" w:line="162" w:lineRule="exact"/>
              <w:rPr>
                <w:sz w:val="20"/>
                <w:szCs w:val="20"/>
                <w:color w:val="auto"/>
              </w:rPr>
            </w:pPr>
            <w:r>
              <w:rPr>
                <w:rFonts w:ascii="Arial" w:cs="Arial" w:eastAsia="Arial" w:hAnsi="Arial"/>
                <w:sz w:val="16"/>
                <w:szCs w:val="16"/>
                <w:b w:val="1"/>
                <w:bCs w:val="1"/>
                <w:color w:val="auto"/>
              </w:rPr>
              <w:t>Simon Keeton</w:t>
            </w:r>
          </w:p>
        </w:tc>
        <w:tc>
          <w:tcPr>
            <w:tcW w:w="3380" w:type="dxa"/>
            <w:vAlign w:val="bottom"/>
            <w:vMerge w:val="restart"/>
            <w:shd w:val="clear" w:color="auto" w:fill="DBDBDB"/>
          </w:tcPr>
          <w:p>
            <w:pPr>
              <w:ind w:left="280"/>
              <w:spacing w:after="0" w:line="162" w:lineRule="exact"/>
              <w:rPr>
                <w:sz w:val="20"/>
                <w:szCs w:val="20"/>
                <w:color w:val="auto"/>
              </w:rPr>
            </w:pPr>
            <w:r>
              <w:rPr>
                <w:rFonts w:ascii="Arial" w:cs="Arial" w:eastAsia="Arial" w:hAnsi="Arial"/>
                <w:sz w:val="16"/>
                <w:szCs w:val="16"/>
                <w:color w:val="auto"/>
              </w:rPr>
              <w:t>Company or attempt to induce any</w:t>
            </w:r>
          </w:p>
        </w:tc>
        <w:tc>
          <w:tcPr>
            <w:tcW w:w="3020" w:type="dxa"/>
            <w:vAlign w:val="bottom"/>
            <w:vMerge w:val="continue"/>
            <w:shd w:val="clear" w:color="auto" w:fill="DBDBDB"/>
          </w:tcPr>
          <w:p>
            <w:pPr>
              <w:spacing w:after="0"/>
              <w:rPr>
                <w:sz w:val="7"/>
                <w:szCs w:val="7"/>
                <w:color w:val="auto"/>
              </w:rPr>
            </w:pPr>
          </w:p>
        </w:tc>
        <w:tc>
          <w:tcPr>
            <w:tcW w:w="29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vMerge w:val="continue"/>
            <w:shd w:val="clear" w:color="auto" w:fill="DBDBDB"/>
          </w:tcPr>
          <w:p>
            <w:pPr>
              <w:spacing w:after="0"/>
              <w:rPr>
                <w:sz w:val="7"/>
                <w:szCs w:val="7"/>
                <w:color w:val="auto"/>
              </w:rPr>
            </w:pPr>
          </w:p>
        </w:tc>
        <w:tc>
          <w:tcPr>
            <w:tcW w:w="3380" w:type="dxa"/>
            <w:vAlign w:val="bottom"/>
            <w:vMerge w:val="continue"/>
            <w:shd w:val="clear" w:color="auto" w:fill="DBDBDB"/>
          </w:tcPr>
          <w:p>
            <w:pPr>
              <w:spacing w:after="0"/>
              <w:rPr>
                <w:sz w:val="7"/>
                <w:szCs w:val="7"/>
                <w:color w:val="auto"/>
              </w:rPr>
            </w:pPr>
          </w:p>
        </w:tc>
        <w:tc>
          <w:tcPr>
            <w:tcW w:w="5940" w:type="dxa"/>
            <w:vAlign w:val="bottom"/>
            <w:gridSpan w:val="2"/>
            <w:vMerge w:val="restart"/>
            <w:shd w:val="clear" w:color="auto" w:fill="DBDBDB"/>
          </w:tcPr>
          <w:p>
            <w:pPr>
              <w:ind w:left="80"/>
              <w:spacing w:after="0" w:line="162" w:lineRule="exact"/>
              <w:rPr>
                <w:sz w:val="20"/>
                <w:szCs w:val="20"/>
                <w:color w:val="auto"/>
              </w:rPr>
            </w:pPr>
            <w:r>
              <w:rPr>
                <w:rFonts w:ascii="Arial" w:cs="Arial" w:eastAsia="Arial" w:hAnsi="Arial"/>
                <w:sz w:val="16"/>
                <w:szCs w:val="16"/>
                <w:color w:val="auto"/>
              </w:rPr>
              <w:t>Company by providing services to certain non-disparagement covenants</w:t>
            </w:r>
          </w:p>
        </w:tc>
        <w:tc>
          <w:tcPr>
            <w:tcW w:w="0" w:type="dxa"/>
            <w:vAlign w:val="bottom"/>
          </w:tcPr>
          <w:p>
            <w:pPr>
              <w:spacing w:after="0"/>
              <w:rPr>
                <w:sz w:val="1"/>
                <w:szCs w:val="1"/>
                <w:color w:val="auto"/>
              </w:rPr>
            </w:pPr>
          </w:p>
        </w:tc>
      </w:tr>
      <w:tr>
        <w:trPr>
          <w:trHeight w:val="81"/>
        </w:trPr>
        <w:tc>
          <w:tcPr>
            <w:tcW w:w="1860" w:type="dxa"/>
            <w:vAlign w:val="bottom"/>
            <w:vMerge w:val="restart"/>
            <w:shd w:val="clear" w:color="auto" w:fill="DBDBDB"/>
          </w:tcPr>
          <w:p>
            <w:pPr>
              <w:ind w:left="20"/>
              <w:spacing w:after="0" w:line="162" w:lineRule="exact"/>
              <w:rPr>
                <w:sz w:val="20"/>
                <w:szCs w:val="20"/>
                <w:color w:val="auto"/>
              </w:rPr>
            </w:pPr>
            <w:r>
              <w:rPr>
                <w:rFonts w:ascii="Arial" w:cs="Arial" w:eastAsia="Arial" w:hAnsi="Arial"/>
                <w:sz w:val="16"/>
                <w:szCs w:val="16"/>
                <w:b w:val="1"/>
                <w:bCs w:val="1"/>
                <w:color w:val="auto"/>
              </w:rPr>
              <w:t>Sudhir Gopalswamy</w:t>
            </w:r>
          </w:p>
        </w:tc>
        <w:tc>
          <w:tcPr>
            <w:tcW w:w="3380" w:type="dxa"/>
            <w:vAlign w:val="bottom"/>
            <w:vMerge w:val="restart"/>
            <w:shd w:val="clear" w:color="auto" w:fill="DBDBDB"/>
          </w:tcPr>
          <w:p>
            <w:pPr>
              <w:ind w:left="280"/>
              <w:spacing w:after="0" w:line="162" w:lineRule="exact"/>
              <w:rPr>
                <w:sz w:val="20"/>
                <w:szCs w:val="20"/>
                <w:color w:val="auto"/>
              </w:rPr>
            </w:pPr>
            <w:r>
              <w:rPr>
                <w:rFonts w:ascii="Arial" w:cs="Arial" w:eastAsia="Arial" w:hAnsi="Arial"/>
                <w:sz w:val="16"/>
                <w:szCs w:val="16"/>
                <w:color w:val="auto"/>
              </w:rPr>
              <w:t>employee of the Company to leave the</w:t>
            </w:r>
          </w:p>
        </w:tc>
        <w:tc>
          <w:tcPr>
            <w:tcW w:w="5940" w:type="dxa"/>
            <w:vAlign w:val="bottom"/>
            <w:gridSpan w:val="2"/>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vMerge w:val="continue"/>
            <w:shd w:val="clear" w:color="auto" w:fill="DBDBDB"/>
          </w:tcPr>
          <w:p>
            <w:pPr>
              <w:spacing w:after="0"/>
              <w:rPr>
                <w:sz w:val="7"/>
                <w:szCs w:val="7"/>
                <w:color w:val="auto"/>
              </w:rPr>
            </w:pPr>
          </w:p>
        </w:tc>
        <w:tc>
          <w:tcPr>
            <w:tcW w:w="3380" w:type="dxa"/>
            <w:vAlign w:val="bottom"/>
            <w:vMerge w:val="continue"/>
            <w:shd w:val="clear" w:color="auto" w:fill="DBDBDB"/>
          </w:tcPr>
          <w:p>
            <w:pPr>
              <w:spacing w:after="0"/>
              <w:rPr>
                <w:sz w:val="7"/>
                <w:szCs w:val="7"/>
                <w:color w:val="auto"/>
              </w:rPr>
            </w:pPr>
          </w:p>
        </w:tc>
        <w:tc>
          <w:tcPr>
            <w:tcW w:w="3020" w:type="dxa"/>
            <w:vAlign w:val="bottom"/>
            <w:vMerge w:val="restart"/>
            <w:shd w:val="clear" w:color="auto" w:fill="DBDBDB"/>
          </w:tcPr>
          <w:p>
            <w:pPr>
              <w:ind w:left="80"/>
              <w:spacing w:after="0"/>
              <w:rPr>
                <w:sz w:val="20"/>
                <w:szCs w:val="20"/>
                <w:color w:val="auto"/>
              </w:rPr>
            </w:pPr>
            <w:r>
              <w:rPr>
                <w:rFonts w:ascii="Arial" w:cs="Arial" w:eastAsia="Arial" w:hAnsi="Arial"/>
                <w:sz w:val="16"/>
                <w:szCs w:val="16"/>
                <w:color w:val="auto"/>
              </w:rPr>
              <w:t>companies on a specified competitor list</w:t>
            </w:r>
          </w:p>
        </w:tc>
        <w:tc>
          <w:tcPr>
            <w:tcW w:w="292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60" w:type="dxa"/>
            <w:vAlign w:val="bottom"/>
            <w:shd w:val="clear" w:color="auto" w:fill="DBDBDB"/>
          </w:tcPr>
          <w:p>
            <w:pPr>
              <w:spacing w:after="0"/>
              <w:rPr>
                <w:sz w:val="11"/>
                <w:szCs w:val="11"/>
                <w:color w:val="auto"/>
              </w:rPr>
            </w:pPr>
          </w:p>
        </w:tc>
        <w:tc>
          <w:tcPr>
            <w:tcW w:w="3380" w:type="dxa"/>
            <w:vAlign w:val="bottom"/>
            <w:vMerge w:val="restart"/>
            <w:shd w:val="clear" w:color="auto" w:fill="DBDBDB"/>
          </w:tcPr>
          <w:p>
            <w:pPr>
              <w:ind w:left="280"/>
              <w:spacing w:after="0"/>
              <w:rPr>
                <w:sz w:val="20"/>
                <w:szCs w:val="20"/>
                <w:color w:val="auto"/>
              </w:rPr>
            </w:pPr>
            <w:r>
              <w:rPr>
                <w:rFonts w:ascii="Arial" w:cs="Arial" w:eastAsia="Arial" w:hAnsi="Arial"/>
                <w:sz w:val="16"/>
                <w:szCs w:val="16"/>
                <w:color w:val="auto"/>
              </w:rPr>
              <w:t>Company</w:t>
            </w:r>
          </w:p>
        </w:tc>
        <w:tc>
          <w:tcPr>
            <w:tcW w:w="3020" w:type="dxa"/>
            <w:vAlign w:val="bottom"/>
            <w:vMerge w:val="continue"/>
            <w:shd w:val="clear" w:color="auto" w:fill="DBDBDB"/>
          </w:tcPr>
          <w:p>
            <w:pPr>
              <w:spacing w:after="0"/>
              <w:rPr>
                <w:sz w:val="11"/>
                <w:szCs w:val="11"/>
                <w:color w:val="auto"/>
              </w:rPr>
            </w:pPr>
          </w:p>
        </w:tc>
        <w:tc>
          <w:tcPr>
            <w:tcW w:w="29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860" w:type="dxa"/>
            <w:vAlign w:val="bottom"/>
            <w:tcBorders>
              <w:bottom w:val="single" w:sz="8" w:color="auto"/>
            </w:tcBorders>
            <w:shd w:val="clear" w:color="auto" w:fill="DBDBDB"/>
          </w:tcPr>
          <w:p>
            <w:pPr>
              <w:spacing w:after="0"/>
              <w:rPr>
                <w:sz w:val="7"/>
                <w:szCs w:val="7"/>
                <w:color w:val="auto"/>
              </w:rPr>
            </w:pPr>
          </w:p>
        </w:tc>
        <w:tc>
          <w:tcPr>
            <w:tcW w:w="3380" w:type="dxa"/>
            <w:vAlign w:val="bottom"/>
            <w:tcBorders>
              <w:bottom w:val="single" w:sz="8" w:color="auto"/>
            </w:tcBorders>
            <w:vMerge w:val="continue"/>
            <w:shd w:val="clear" w:color="auto" w:fill="DBDBDB"/>
          </w:tcPr>
          <w:p>
            <w:pPr>
              <w:spacing w:after="0"/>
              <w:rPr>
                <w:sz w:val="7"/>
                <w:szCs w:val="7"/>
                <w:color w:val="auto"/>
              </w:rPr>
            </w:pPr>
          </w:p>
        </w:tc>
        <w:tc>
          <w:tcPr>
            <w:tcW w:w="3020" w:type="dxa"/>
            <w:vAlign w:val="bottom"/>
            <w:tcBorders>
              <w:bottom w:val="single" w:sz="8" w:color="auto"/>
            </w:tcBorders>
            <w:shd w:val="clear" w:color="auto" w:fill="DBDBDB"/>
          </w:tcPr>
          <w:p>
            <w:pPr>
              <w:spacing w:after="0"/>
              <w:rPr>
                <w:sz w:val="7"/>
                <w:szCs w:val="7"/>
                <w:color w:val="auto"/>
              </w:rPr>
            </w:pPr>
          </w:p>
        </w:tc>
        <w:tc>
          <w:tcPr>
            <w:tcW w:w="292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p>
      <w:pPr>
        <w:spacing w:after="0" w:line="160" w:lineRule="exact"/>
        <w:rPr>
          <w:sz w:val="20"/>
          <w:szCs w:val="20"/>
          <w:color w:val="auto"/>
        </w:rPr>
      </w:pPr>
    </w:p>
    <w:p>
      <w:pPr>
        <w:ind w:left="2180"/>
        <w:spacing w:after="0" w:line="221" w:lineRule="auto"/>
        <w:rPr>
          <w:sz w:val="20"/>
          <w:szCs w:val="20"/>
          <w:color w:val="auto"/>
        </w:rPr>
      </w:pPr>
      <w:r>
        <w:rPr>
          <w:rFonts w:ascii="Arial" w:cs="Arial" w:eastAsia="Arial" w:hAnsi="Arial"/>
          <w:sz w:val="16"/>
          <w:szCs w:val="16"/>
          <w:color w:val="auto"/>
        </w:rPr>
        <w:t>During term of employment and for one year after termination of employment, the</w:t>
      </w:r>
    </w:p>
    <w:p>
      <w:pPr>
        <w:spacing w:after="0" w:line="1" w:lineRule="exact"/>
        <w:rPr>
          <w:sz w:val="20"/>
          <w:szCs w:val="20"/>
          <w:color w:val="auto"/>
        </w:rPr>
      </w:pPr>
    </w:p>
    <w:p>
      <w:pPr>
        <w:ind w:left="2180" w:right="40" w:hanging="2119"/>
        <w:spacing w:after="0" w:line="211" w:lineRule="auto"/>
        <w:tabs>
          <w:tab w:leader="none" w:pos="2160" w:val="left"/>
        </w:tabs>
        <w:rPr>
          <w:sz w:val="20"/>
          <w:szCs w:val="20"/>
          <w:color w:val="auto"/>
        </w:rPr>
      </w:pPr>
      <w:r>
        <w:rPr>
          <w:rFonts w:ascii="Arial" w:cs="Arial" w:eastAsia="Arial" w:hAnsi="Arial"/>
          <w:sz w:val="32"/>
          <w:szCs w:val="32"/>
          <w:b w:val="1"/>
          <w:bCs w:val="1"/>
          <w:color w:val="auto"/>
          <w:vertAlign w:val="subscript"/>
        </w:rPr>
        <w:t>Ross F. Jatou</w:t>
      </w:r>
      <w:r>
        <w:rPr>
          <w:sz w:val="20"/>
          <w:szCs w:val="20"/>
          <w:color w:val="auto"/>
        </w:rPr>
        <w:tab/>
      </w:r>
      <w:r>
        <w:rPr>
          <w:rFonts w:ascii="Arial" w:cs="Arial" w:eastAsia="Arial" w:hAnsi="Arial"/>
          <w:sz w:val="16"/>
          <w:szCs w:val="16"/>
          <w:color w:val="auto"/>
        </w:rPr>
        <w:t>NEO may not solicit any employee of the Company or attempt to induce any</w:t>
      </w:r>
    </w:p>
    <w:p>
      <w:pPr>
        <w:ind w:left="2180" w:right="180"/>
        <w:spacing w:after="0" w:line="235" w:lineRule="auto"/>
        <w:rPr>
          <w:sz w:val="20"/>
          <w:szCs w:val="20"/>
          <w:color w:val="auto"/>
        </w:rPr>
      </w:pPr>
      <w:r>
        <w:rPr>
          <w:rFonts w:ascii="Arial" w:cs="Arial" w:eastAsia="Arial" w:hAnsi="Arial"/>
          <w:sz w:val="16"/>
          <w:szCs w:val="16"/>
          <w:color w:val="auto"/>
        </w:rPr>
        <w:t>employee of the Company to leave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term of employment and for one year after termination of employment, the NEO may not compete with the Company by providing services to a “Competitive Business” (as such term is defined in the applicable NEO’s respective agreement) in or from the U.S.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39370</wp:posOffset>
            </wp:positionV>
            <wp:extent cx="7089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both"/>
        <w:ind w:right="160"/>
        <w:spacing w:after="0" w:line="234" w:lineRule="auto"/>
        <w:rPr>
          <w:sz w:val="20"/>
          <w:szCs w:val="20"/>
          <w:color w:val="auto"/>
        </w:rPr>
      </w:pPr>
      <w:r>
        <w:rPr>
          <w:rFonts w:ascii="Arial" w:cs="Arial" w:eastAsia="Arial" w:hAnsi="Arial"/>
          <w:sz w:val="16"/>
          <w:szCs w:val="16"/>
          <w:color w:val="auto"/>
        </w:rPr>
        <w:t>For an indefinite period, the NEO may not breach certain confidentiality and non-disparagement covenants</w:t>
      </w:r>
    </w:p>
    <w:p>
      <w:pPr>
        <w:spacing w:after="0" w:line="545" w:lineRule="exact"/>
        <w:rPr>
          <w:sz w:val="20"/>
          <w:szCs w:val="20"/>
          <w:color w:val="auto"/>
        </w:rPr>
      </w:pPr>
    </w:p>
    <w:p>
      <w:pPr>
        <w:sectPr>
          <w:pgSz w:w="11900" w:h="16838" w:orient="portrait"/>
          <w:cols w:equalWidth="0" w:num="3">
            <w:col w:w="5140" w:space="220"/>
            <w:col w:w="2960" w:space="40"/>
            <w:col w:w="288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Potential Payments upon Termination of Employment or Change in Control</w:t>
      </w:r>
    </w:p>
    <w:p>
      <w:pPr>
        <w:spacing w:after="0" w:line="1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table below, we provide estimates of the payments that will be made to each of our NEOs upon a termination of employment or change in control of the Company. The table should be read together with the chart above and the following material assumptions.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Assumptions</w:t>
      </w: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The table assumes that any triggering event (e.g., termination, resignation, Change in Control, death or disability) took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on December 31, 2023, with base salaries in effect at the end of the 2023 fiscal year being used for purposes of any severance payout calculations. However, as noted under “Employment Agreements,” this table reflects the higher compensation and benefits to which Messrs. Keeton and Gopalswamy would be entitled under their current employment agreements, which were executed prior to the filing of this proxy statement, had those been in place as of December 31, 2023.</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Valuation of Common Stock</w:t>
      </w:r>
      <w:r>
        <w:rPr>
          <w:rFonts w:ascii="Arial" w:cs="Arial" w:eastAsia="Arial" w:hAnsi="Arial"/>
          <w:sz w:val="18"/>
          <w:szCs w:val="18"/>
          <w:color w:val="auto"/>
        </w:rPr>
        <w:t>. Calculations requiring a per share stock price are based on the closing price of $83.53 per share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Nasdaq on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Single-Trigger Cash Payments or Automatic Equity Acceleration upon a Change in Control</w:t>
      </w:r>
      <w:r>
        <w:rPr>
          <w:rFonts w:ascii="Arial" w:cs="Arial" w:eastAsia="Arial" w:hAnsi="Arial"/>
          <w:sz w:val="18"/>
          <w:szCs w:val="18"/>
          <w:color w:val="auto"/>
        </w:rPr>
        <w:t>. No cash payments will be made solely</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a Change in Control. In addition, none of an NEO’s outstanding equity awards would accelerate solely upon the occurrence of Change in Control, although our HCC Committee retains discretion under the SIP to accelerate those awards.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Double-Trigger Change in Control Benefits</w:t>
      </w:r>
      <w:r>
        <w:rPr>
          <w:rFonts w:ascii="Arial" w:cs="Arial" w:eastAsia="Arial" w:hAnsi="Arial"/>
          <w:sz w:val="18"/>
          <w:szCs w:val="18"/>
          <w:color w:val="auto"/>
        </w:rPr>
        <w:t>. For each NEO, the cash payments and any acceleration of equity awards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heading “Potential Payments upon Termination of Employment or Change in Control” would be triggered only upon a termination without “Cause” or resignation for “Good Reason” (as those terms are defined in the applicable employment agreement) within two years following a Change in Control.</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STI Incentive Program</w:t>
      </w:r>
      <w:r>
        <w:rPr>
          <w:rFonts w:ascii="Arial" w:cs="Arial" w:eastAsia="Arial" w:hAnsi="Arial"/>
          <w:sz w:val="18"/>
          <w:szCs w:val="18"/>
          <w:color w:val="auto"/>
        </w:rPr>
        <w:t>. Under the terms of our STI program, employees must remain employed through the payment date (typically in 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of the following year) in order to receive a payout, which means that an NEO whose employment terminates on December 31, 2023 would not be entitled to a 2023 STI program payment except as otherwise provided in the applicable employment agreement.</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Exclusion of Benefits Generally Available to All Employees</w:t>
      </w:r>
      <w:r>
        <w:rPr>
          <w:rFonts w:ascii="Arial" w:cs="Arial" w:eastAsia="Arial" w:hAnsi="Arial"/>
          <w:sz w:val="18"/>
          <w:szCs w:val="18"/>
          <w:color w:val="auto"/>
        </w:rPr>
        <w:t>. The amounts below do not include any amounts payable on termination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generally available to all employees on a non-discriminatory basis.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Continuation of Medical Benefits and Other Benefits</w:t>
      </w:r>
      <w:r>
        <w:rPr>
          <w:rFonts w:ascii="Arial" w:cs="Arial" w:eastAsia="Arial" w:hAnsi="Arial"/>
          <w:sz w:val="18"/>
          <w:szCs w:val="18"/>
          <w:color w:val="auto"/>
        </w:rPr>
        <w:t>. The table includes certain medical, disability or outplacement services benefits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be payable on certain terminations (“Additional Benefits”) as provided in the applicable employment agreement and detailed in the above chart.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Exclusion of Life Insurance Proceeds</w:t>
      </w:r>
      <w:r>
        <w:rPr>
          <w:rFonts w:ascii="Arial" w:cs="Arial" w:eastAsia="Arial" w:hAnsi="Arial"/>
          <w:sz w:val="18"/>
          <w:szCs w:val="18"/>
          <w:color w:val="auto"/>
        </w:rPr>
        <w:t>. The tables do not include amounts (see footnote (3) to the SCT) payable by us on behalf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NEO to cover the cost of an additional $500,000 of life insurance, which is a benefit not generally available to all employees on a non-discriminatory basis that would be triggered in the event of the death of the NEO.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Retirement is treated as an “All Other Termination” in the tables.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No Off-setting Employment</w:t>
      </w:r>
      <w:r>
        <w:rPr>
          <w:rFonts w:ascii="Arial" w:cs="Arial" w:eastAsia="Arial" w:hAnsi="Arial"/>
          <w:sz w:val="18"/>
          <w:szCs w:val="18"/>
          <w:color w:val="auto"/>
        </w:rPr>
        <w:t>. For purposes of the table, we have assumed that each NEO was not able to obtain comparable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applicable period, which might offset our obligations if provided in the applicable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5" w:name="page56"/>
    <w:bookmarkEnd w:id="55"/>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720" w:type="dxa"/>
            <w:vAlign w:val="bottom"/>
            <w:tcBorders>
              <w:top w:val="single" w:sz="8" w:color="auto"/>
              <w:left w:val="single" w:sz="8" w:color="auto"/>
              <w:right w:val="single" w:sz="8" w:color="auto"/>
            </w:tcBorders>
            <w:shd w:val="clear" w:color="auto" w:fill="465E66"/>
          </w:tcPr>
          <w:p>
            <w:pPr>
              <w:spacing w:after="0"/>
              <w:rPr>
                <w:sz w:val="15"/>
                <w:szCs w:val="15"/>
                <w:color w:val="auto"/>
              </w:rPr>
            </w:pPr>
          </w:p>
        </w:tc>
        <w:tc>
          <w:tcPr>
            <w:tcW w:w="2160" w:type="dxa"/>
            <w:vAlign w:val="bottom"/>
            <w:tcBorders>
              <w:top w:val="single" w:sz="8" w:color="auto"/>
              <w:right w:val="single" w:sz="8" w:color="auto"/>
            </w:tcBorders>
            <w:shd w:val="clear" w:color="auto" w:fill="465E66"/>
          </w:tcPr>
          <w:p>
            <w:pPr>
              <w:spacing w:after="0"/>
              <w:rPr>
                <w:sz w:val="15"/>
                <w:szCs w:val="15"/>
                <w:color w:val="auto"/>
              </w:rPr>
            </w:pPr>
          </w:p>
        </w:tc>
        <w:tc>
          <w:tcPr>
            <w:tcW w:w="2640" w:type="dxa"/>
            <w:vAlign w:val="bottom"/>
            <w:tcBorders>
              <w:top w:val="single" w:sz="8" w:color="auto"/>
              <w:right w:val="single" w:sz="8" w:color="auto"/>
            </w:tcBorders>
            <w:gridSpan w:val="2"/>
            <w:vMerge w:val="restart"/>
            <w:shd w:val="clear" w:color="auto" w:fill="465E66"/>
          </w:tcPr>
          <w:p>
            <w:pPr>
              <w:jc w:val="right"/>
              <w:ind w:right="508"/>
              <w:spacing w:after="0"/>
              <w:rPr>
                <w:sz w:val="20"/>
                <w:szCs w:val="20"/>
                <w:color w:val="auto"/>
              </w:rPr>
            </w:pPr>
            <w:r>
              <w:rPr>
                <w:rFonts w:ascii="Arial" w:cs="Arial" w:eastAsia="Arial" w:hAnsi="Arial"/>
                <w:sz w:val="14"/>
                <w:szCs w:val="14"/>
                <w:b w:val="1"/>
                <w:bCs w:val="1"/>
                <w:i w:val="1"/>
                <w:iCs w:val="1"/>
                <w:color w:val="FFFFFF"/>
              </w:rPr>
              <w:t>No Change in Control</w:t>
            </w:r>
          </w:p>
        </w:tc>
        <w:tc>
          <w:tcPr>
            <w:tcW w:w="2600" w:type="dxa"/>
            <w:vAlign w:val="bottom"/>
            <w:tcBorders>
              <w:top w:val="single" w:sz="8" w:color="auto"/>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In Connection with a Change in</w:t>
            </w:r>
          </w:p>
        </w:tc>
        <w:tc>
          <w:tcPr>
            <w:tcW w:w="1140" w:type="dxa"/>
            <w:vAlign w:val="bottom"/>
            <w:tcBorders>
              <w:top w:val="single" w:sz="8" w:color="auto"/>
              <w:right w:val="single" w:sz="8" w:color="auto"/>
            </w:tcBorders>
            <w:shd w:val="clear" w:color="auto" w:fill="465E66"/>
          </w:tcPr>
          <w:p>
            <w:pPr>
              <w:spacing w:after="0"/>
              <w:rPr>
                <w:sz w:val="15"/>
                <w:szCs w:val="15"/>
                <w:color w:val="auto"/>
              </w:rPr>
            </w:pPr>
          </w:p>
        </w:tc>
        <w:tc>
          <w:tcPr>
            <w:tcW w:w="1000" w:type="dxa"/>
            <w:vAlign w:val="bottom"/>
            <w:tcBorders>
              <w:top w:val="single" w:sz="8" w:color="auto"/>
              <w:right w:val="single" w:sz="8" w:color="auto"/>
            </w:tcBorders>
            <w:shd w:val="clear" w:color="auto" w:fill="465E6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right w:val="single" w:sz="8" w:color="auto"/>
            </w:tcBorders>
            <w:shd w:val="clear" w:color="auto" w:fill="465E66"/>
          </w:tcPr>
          <w:p>
            <w:pPr>
              <w:spacing w:after="0"/>
              <w:rPr>
                <w:sz w:val="16"/>
                <w:szCs w:val="16"/>
                <w:color w:val="auto"/>
              </w:rPr>
            </w:pPr>
          </w:p>
        </w:tc>
        <w:tc>
          <w:tcPr>
            <w:tcW w:w="2160" w:type="dxa"/>
            <w:vAlign w:val="bottom"/>
            <w:tcBorders>
              <w:right w:val="single" w:sz="8" w:color="auto"/>
            </w:tcBorders>
            <w:shd w:val="clear" w:color="auto" w:fill="465E66"/>
          </w:tcPr>
          <w:p>
            <w:pPr>
              <w:spacing w:after="0"/>
              <w:rPr>
                <w:sz w:val="16"/>
                <w:szCs w:val="16"/>
                <w:color w:val="auto"/>
              </w:rPr>
            </w:pPr>
          </w:p>
        </w:tc>
        <w:tc>
          <w:tcPr>
            <w:tcW w:w="2640" w:type="dxa"/>
            <w:vAlign w:val="bottom"/>
            <w:tcBorders>
              <w:right w:val="single" w:sz="8" w:color="auto"/>
            </w:tcBorders>
            <w:gridSpan w:val="2"/>
            <w:vMerge w:val="continue"/>
            <w:shd w:val="clear" w:color="auto" w:fill="465E66"/>
          </w:tcPr>
          <w:p>
            <w:pPr>
              <w:spacing w:after="0"/>
              <w:rPr>
                <w:sz w:val="16"/>
                <w:szCs w:val="16"/>
                <w:color w:val="auto"/>
              </w:rPr>
            </w:pPr>
          </w:p>
        </w:tc>
        <w:tc>
          <w:tcPr>
            <w:tcW w:w="2600" w:type="dxa"/>
            <w:vAlign w:val="bottom"/>
            <w:tcBorders>
              <w:right w:val="single" w:sz="8" w:color="auto"/>
            </w:tcBorders>
            <w:gridSpan w:val="2"/>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Control</w:t>
            </w:r>
          </w:p>
        </w:tc>
        <w:tc>
          <w:tcPr>
            <w:tcW w:w="1140" w:type="dxa"/>
            <w:vAlign w:val="bottom"/>
            <w:tcBorders>
              <w:right w:val="single" w:sz="8" w:color="auto"/>
            </w:tcBorders>
            <w:shd w:val="clear" w:color="auto" w:fill="465E66"/>
          </w:tcPr>
          <w:p>
            <w:pPr>
              <w:spacing w:after="0"/>
              <w:rPr>
                <w:sz w:val="16"/>
                <w:szCs w:val="16"/>
                <w:color w:val="auto"/>
              </w:rPr>
            </w:pPr>
          </w:p>
        </w:tc>
        <w:tc>
          <w:tcPr>
            <w:tcW w:w="1000" w:type="dxa"/>
            <w:vAlign w:val="bottom"/>
            <w:tcBorders>
              <w:right w:val="single" w:sz="8" w:color="auto"/>
            </w:tcBorders>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720" w:type="dxa"/>
            <w:vAlign w:val="bottom"/>
            <w:tcBorders>
              <w:left w:val="single" w:sz="8" w:color="auto"/>
              <w:right w:val="single" w:sz="8" w:color="auto"/>
            </w:tcBorders>
            <w:shd w:val="clear" w:color="auto" w:fill="465E66"/>
          </w:tcPr>
          <w:p>
            <w:pPr>
              <w:spacing w:after="0"/>
              <w:rPr>
                <w:sz w:val="24"/>
                <w:szCs w:val="24"/>
                <w:color w:val="auto"/>
              </w:rPr>
            </w:pPr>
          </w:p>
        </w:tc>
        <w:tc>
          <w:tcPr>
            <w:tcW w:w="2160" w:type="dxa"/>
            <w:vAlign w:val="bottom"/>
            <w:tcBorders>
              <w:right w:val="single" w:sz="8" w:color="auto"/>
            </w:tcBorders>
            <w:shd w:val="clear" w:color="auto" w:fill="465E66"/>
          </w:tcPr>
          <w:p>
            <w:pPr>
              <w:spacing w:after="0"/>
              <w:rPr>
                <w:sz w:val="24"/>
                <w:szCs w:val="24"/>
                <w:color w:val="auto"/>
              </w:rPr>
            </w:pPr>
          </w:p>
        </w:tc>
        <w:tc>
          <w:tcPr>
            <w:tcW w:w="1280" w:type="dxa"/>
            <w:vAlign w:val="bottom"/>
            <w:shd w:val="clear" w:color="auto" w:fill="465E66"/>
          </w:tcPr>
          <w:p>
            <w:pPr>
              <w:spacing w:after="0"/>
              <w:rPr>
                <w:sz w:val="24"/>
                <w:szCs w:val="24"/>
                <w:color w:val="auto"/>
              </w:rPr>
            </w:pPr>
          </w:p>
        </w:tc>
        <w:tc>
          <w:tcPr>
            <w:tcW w:w="1360" w:type="dxa"/>
            <w:vAlign w:val="bottom"/>
            <w:tcBorders>
              <w:right w:val="single" w:sz="8" w:color="auto"/>
            </w:tcBorders>
            <w:shd w:val="clear" w:color="auto" w:fill="465E66"/>
          </w:tcPr>
          <w:p>
            <w:pPr>
              <w:spacing w:after="0"/>
              <w:rPr>
                <w:sz w:val="24"/>
                <w:szCs w:val="24"/>
                <w:color w:val="auto"/>
              </w:rPr>
            </w:pPr>
          </w:p>
        </w:tc>
        <w:tc>
          <w:tcPr>
            <w:tcW w:w="1260" w:type="dxa"/>
            <w:vAlign w:val="bottom"/>
            <w:shd w:val="clear" w:color="auto" w:fill="465E66"/>
          </w:tcPr>
          <w:p>
            <w:pPr>
              <w:jc w:val="center"/>
              <w:spacing w:after="0"/>
              <w:rPr>
                <w:sz w:val="20"/>
                <w:szCs w:val="20"/>
                <w:color w:val="auto"/>
              </w:rPr>
            </w:pPr>
            <w:r>
              <w:rPr>
                <w:rFonts w:ascii="Arial" w:cs="Arial" w:eastAsia="Arial" w:hAnsi="Arial"/>
                <w:sz w:val="14"/>
                <w:szCs w:val="14"/>
                <w:i w:val="1"/>
                <w:iCs w:val="1"/>
                <w:color w:val="FFFFFF"/>
              </w:rPr>
              <w:t>Double Trigger</w:t>
            </w:r>
          </w:p>
        </w:tc>
        <w:tc>
          <w:tcPr>
            <w:tcW w:w="1340" w:type="dxa"/>
            <w:vAlign w:val="bottom"/>
            <w:tcBorders>
              <w:right w:val="single" w:sz="8" w:color="auto"/>
            </w:tcBorders>
            <w:shd w:val="clear" w:color="auto" w:fill="465E66"/>
          </w:tcPr>
          <w:p>
            <w:pPr>
              <w:spacing w:after="0"/>
              <w:rPr>
                <w:sz w:val="24"/>
                <w:szCs w:val="24"/>
                <w:color w:val="auto"/>
              </w:rPr>
            </w:pPr>
          </w:p>
        </w:tc>
        <w:tc>
          <w:tcPr>
            <w:tcW w:w="1140" w:type="dxa"/>
            <w:vAlign w:val="bottom"/>
            <w:tcBorders>
              <w:right w:val="single" w:sz="8" w:color="auto"/>
            </w:tcBorders>
            <w:shd w:val="clear" w:color="auto" w:fill="465E66"/>
          </w:tcPr>
          <w:p>
            <w:pPr>
              <w:spacing w:after="0"/>
              <w:rPr>
                <w:sz w:val="24"/>
                <w:szCs w:val="24"/>
                <w:color w:val="auto"/>
              </w:rPr>
            </w:pPr>
          </w:p>
        </w:tc>
        <w:tc>
          <w:tcPr>
            <w:tcW w:w="1000" w:type="dxa"/>
            <w:vAlign w:val="bottom"/>
            <w:tcBorders>
              <w:right w:val="single" w:sz="8" w:color="auto"/>
            </w:tcBorders>
            <w:shd w:val="clear" w:color="auto" w:fill="465E66"/>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Borders>
              <w:left w:val="single" w:sz="8" w:color="auto"/>
              <w:right w:val="single" w:sz="8" w:color="auto"/>
            </w:tcBorders>
            <w:shd w:val="clear" w:color="auto" w:fill="465E66"/>
          </w:tcPr>
          <w:p>
            <w:pPr>
              <w:spacing w:after="0"/>
              <w:rPr>
                <w:sz w:val="12"/>
                <w:szCs w:val="12"/>
                <w:color w:val="auto"/>
              </w:rPr>
            </w:pPr>
          </w:p>
        </w:tc>
        <w:tc>
          <w:tcPr>
            <w:tcW w:w="2160" w:type="dxa"/>
            <w:vAlign w:val="bottom"/>
            <w:tcBorders>
              <w:right w:val="single" w:sz="8" w:color="auto"/>
            </w:tcBorders>
            <w:shd w:val="clear" w:color="auto" w:fill="465E66"/>
          </w:tcPr>
          <w:p>
            <w:pPr>
              <w:spacing w:after="0"/>
              <w:rPr>
                <w:sz w:val="12"/>
                <w:szCs w:val="12"/>
                <w:color w:val="auto"/>
              </w:rPr>
            </w:pPr>
          </w:p>
        </w:tc>
        <w:tc>
          <w:tcPr>
            <w:tcW w:w="1280" w:type="dxa"/>
            <w:vAlign w:val="bottom"/>
            <w:shd w:val="clear" w:color="auto" w:fill="465E66"/>
          </w:tcPr>
          <w:p>
            <w:pPr>
              <w:spacing w:after="0"/>
              <w:rPr>
                <w:sz w:val="12"/>
                <w:szCs w:val="12"/>
                <w:color w:val="auto"/>
              </w:rPr>
            </w:pPr>
          </w:p>
        </w:tc>
        <w:tc>
          <w:tcPr>
            <w:tcW w:w="1360" w:type="dxa"/>
            <w:vAlign w:val="bottom"/>
            <w:tcBorders>
              <w:right w:val="single" w:sz="8" w:color="auto"/>
            </w:tcBorders>
            <w:shd w:val="clear" w:color="auto" w:fill="465E66"/>
          </w:tcPr>
          <w:p>
            <w:pPr>
              <w:spacing w:after="0"/>
              <w:rPr>
                <w:sz w:val="12"/>
                <w:szCs w:val="12"/>
                <w:color w:val="auto"/>
              </w:rPr>
            </w:pPr>
          </w:p>
        </w:tc>
        <w:tc>
          <w:tcPr>
            <w:tcW w:w="1260" w:type="dxa"/>
            <w:vAlign w:val="bottom"/>
            <w:shd w:val="clear" w:color="auto" w:fill="465E66"/>
          </w:tcPr>
          <w:p>
            <w:pPr>
              <w:jc w:val="center"/>
              <w:spacing w:after="0" w:line="143" w:lineRule="exact"/>
              <w:rPr>
                <w:sz w:val="20"/>
                <w:szCs w:val="20"/>
                <w:color w:val="auto"/>
              </w:rPr>
            </w:pPr>
            <w:r>
              <w:rPr>
                <w:rFonts w:ascii="Arial" w:cs="Arial" w:eastAsia="Arial" w:hAnsi="Arial"/>
                <w:sz w:val="14"/>
                <w:szCs w:val="14"/>
                <w:i w:val="1"/>
                <w:iCs w:val="1"/>
                <w:color w:val="FFFFFF"/>
              </w:rPr>
              <w:t>(Termination</w:t>
            </w:r>
          </w:p>
        </w:tc>
        <w:tc>
          <w:tcPr>
            <w:tcW w:w="1340" w:type="dxa"/>
            <w:vAlign w:val="bottom"/>
            <w:tcBorders>
              <w:right w:val="single" w:sz="8" w:color="auto"/>
            </w:tcBorders>
            <w:shd w:val="clear" w:color="auto" w:fill="465E66"/>
          </w:tcPr>
          <w:p>
            <w:pPr>
              <w:spacing w:after="0"/>
              <w:rPr>
                <w:sz w:val="12"/>
                <w:szCs w:val="12"/>
                <w:color w:val="auto"/>
              </w:rPr>
            </w:pPr>
          </w:p>
        </w:tc>
        <w:tc>
          <w:tcPr>
            <w:tcW w:w="1140" w:type="dxa"/>
            <w:vAlign w:val="bottom"/>
            <w:tcBorders>
              <w:right w:val="single" w:sz="8" w:color="auto"/>
            </w:tcBorders>
            <w:shd w:val="clear" w:color="auto" w:fill="465E66"/>
          </w:tcPr>
          <w:p>
            <w:pPr>
              <w:spacing w:after="0"/>
              <w:rPr>
                <w:sz w:val="12"/>
                <w:szCs w:val="12"/>
                <w:color w:val="auto"/>
              </w:rPr>
            </w:pPr>
          </w:p>
        </w:tc>
        <w:tc>
          <w:tcPr>
            <w:tcW w:w="1000" w:type="dxa"/>
            <w:vAlign w:val="bottom"/>
            <w:tcBorders>
              <w:right w:val="single" w:sz="8" w:color="auto"/>
            </w:tcBorders>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20" w:type="dxa"/>
            <w:vAlign w:val="bottom"/>
            <w:tcBorders>
              <w:left w:val="single" w:sz="8" w:color="auto"/>
              <w:right w:val="single" w:sz="8" w:color="auto"/>
            </w:tcBorders>
            <w:shd w:val="clear" w:color="auto" w:fill="465E66"/>
          </w:tcPr>
          <w:p>
            <w:pPr>
              <w:spacing w:after="0"/>
              <w:rPr>
                <w:sz w:val="12"/>
                <w:szCs w:val="12"/>
                <w:color w:val="auto"/>
              </w:rPr>
            </w:pPr>
          </w:p>
        </w:tc>
        <w:tc>
          <w:tcPr>
            <w:tcW w:w="2160" w:type="dxa"/>
            <w:vAlign w:val="bottom"/>
            <w:tcBorders>
              <w:right w:val="single" w:sz="8" w:color="auto"/>
            </w:tcBorders>
            <w:shd w:val="clear" w:color="auto" w:fill="465E66"/>
          </w:tcPr>
          <w:p>
            <w:pPr>
              <w:spacing w:after="0"/>
              <w:rPr>
                <w:sz w:val="12"/>
                <w:szCs w:val="12"/>
                <w:color w:val="auto"/>
              </w:rPr>
            </w:pPr>
          </w:p>
        </w:tc>
        <w:tc>
          <w:tcPr>
            <w:tcW w:w="1280" w:type="dxa"/>
            <w:vAlign w:val="bottom"/>
            <w:vMerge w:val="restart"/>
            <w:shd w:val="clear" w:color="auto" w:fill="465E66"/>
          </w:tcPr>
          <w:p>
            <w:pPr>
              <w:jc w:val="right"/>
              <w:spacing w:after="0"/>
              <w:rPr>
                <w:sz w:val="20"/>
                <w:szCs w:val="20"/>
                <w:color w:val="auto"/>
              </w:rPr>
            </w:pPr>
            <w:r>
              <w:rPr>
                <w:rFonts w:ascii="Arial" w:cs="Arial" w:eastAsia="Arial" w:hAnsi="Arial"/>
                <w:sz w:val="14"/>
                <w:szCs w:val="14"/>
                <w:i w:val="1"/>
                <w:iCs w:val="1"/>
                <w:color w:val="FFFFFF"/>
              </w:rPr>
              <w:t>Termination without</w:t>
            </w:r>
          </w:p>
        </w:tc>
        <w:tc>
          <w:tcPr>
            <w:tcW w:w="1360" w:type="dxa"/>
            <w:vAlign w:val="bottom"/>
            <w:tcBorders>
              <w:right w:val="single" w:sz="8" w:color="auto"/>
            </w:tcBorders>
            <w:vMerge w:val="restart"/>
            <w:shd w:val="clear" w:color="auto" w:fill="465E66"/>
          </w:tcPr>
          <w:p>
            <w:pPr>
              <w:jc w:val="right"/>
              <w:ind w:right="128"/>
              <w:spacing w:after="0"/>
              <w:rPr>
                <w:sz w:val="20"/>
                <w:szCs w:val="20"/>
                <w:color w:val="auto"/>
              </w:rPr>
            </w:pPr>
            <w:r>
              <w:rPr>
                <w:rFonts w:ascii="Arial" w:cs="Arial" w:eastAsia="Arial" w:hAnsi="Arial"/>
                <w:sz w:val="14"/>
                <w:szCs w:val="14"/>
                <w:i w:val="1"/>
                <w:iCs w:val="1"/>
                <w:color w:val="FFFFFF"/>
              </w:rPr>
              <w:t>Resignation for</w:t>
            </w:r>
          </w:p>
        </w:tc>
        <w:tc>
          <w:tcPr>
            <w:tcW w:w="1260" w:type="dxa"/>
            <w:vAlign w:val="bottom"/>
            <w:shd w:val="clear" w:color="auto" w:fill="465E66"/>
          </w:tcPr>
          <w:p>
            <w:pPr>
              <w:jc w:val="center"/>
              <w:spacing w:after="0" w:line="141" w:lineRule="exact"/>
              <w:rPr>
                <w:sz w:val="20"/>
                <w:szCs w:val="20"/>
                <w:color w:val="auto"/>
              </w:rPr>
            </w:pPr>
            <w:r>
              <w:rPr>
                <w:rFonts w:ascii="Arial" w:cs="Arial" w:eastAsia="Arial" w:hAnsi="Arial"/>
                <w:sz w:val="14"/>
                <w:szCs w:val="14"/>
                <w:i w:val="1"/>
                <w:iCs w:val="1"/>
                <w:color w:val="FFFFFF"/>
              </w:rPr>
              <w:t>without Cause or</w:t>
            </w:r>
          </w:p>
        </w:tc>
        <w:tc>
          <w:tcPr>
            <w:tcW w:w="1340" w:type="dxa"/>
            <w:vAlign w:val="bottom"/>
            <w:tcBorders>
              <w:right w:val="single" w:sz="8" w:color="auto"/>
            </w:tcBorders>
            <w:vMerge w:val="restart"/>
            <w:shd w:val="clear" w:color="auto" w:fill="465E66"/>
          </w:tcPr>
          <w:p>
            <w:pPr>
              <w:ind w:left="80"/>
              <w:spacing w:after="0"/>
              <w:rPr>
                <w:sz w:val="20"/>
                <w:szCs w:val="20"/>
                <w:color w:val="auto"/>
              </w:rPr>
            </w:pPr>
            <w:r>
              <w:rPr>
                <w:rFonts w:ascii="Arial" w:cs="Arial" w:eastAsia="Arial" w:hAnsi="Arial"/>
                <w:sz w:val="14"/>
                <w:szCs w:val="14"/>
                <w:i w:val="1"/>
                <w:iCs w:val="1"/>
                <w:color w:val="FFFFFF"/>
              </w:rPr>
              <w:t>Single Trigger (no</w:t>
            </w:r>
          </w:p>
        </w:tc>
        <w:tc>
          <w:tcPr>
            <w:tcW w:w="1140" w:type="dxa"/>
            <w:vAlign w:val="bottom"/>
            <w:tcBorders>
              <w:right w:val="single" w:sz="8" w:color="auto"/>
            </w:tcBorders>
            <w:vMerge w:val="restart"/>
            <w:shd w:val="clear" w:color="auto" w:fill="465E66"/>
          </w:tcPr>
          <w:p>
            <w:pPr>
              <w:jc w:val="right"/>
              <w:ind w:right="228"/>
              <w:spacing w:after="0"/>
              <w:rPr>
                <w:sz w:val="20"/>
                <w:szCs w:val="20"/>
                <w:color w:val="auto"/>
              </w:rPr>
            </w:pPr>
            <w:r>
              <w:rPr>
                <w:rFonts w:ascii="Arial" w:cs="Arial" w:eastAsia="Arial" w:hAnsi="Arial"/>
                <w:sz w:val="14"/>
                <w:szCs w:val="14"/>
                <w:b w:val="1"/>
                <w:bCs w:val="1"/>
                <w:i w:val="1"/>
                <w:iCs w:val="1"/>
                <w:color w:val="FFFFFF"/>
              </w:rPr>
              <w:t>Death or</w:t>
            </w:r>
          </w:p>
        </w:tc>
        <w:tc>
          <w:tcPr>
            <w:tcW w:w="1000" w:type="dxa"/>
            <w:vAlign w:val="bottom"/>
            <w:tcBorders>
              <w:right w:val="single" w:sz="8" w:color="auto"/>
            </w:tcBorders>
            <w:vMerge w:val="restart"/>
            <w:shd w:val="clear" w:color="auto" w:fill="465E66"/>
          </w:tcPr>
          <w:p>
            <w:pPr>
              <w:ind w:left="180"/>
              <w:spacing w:after="0"/>
              <w:rPr>
                <w:sz w:val="20"/>
                <w:szCs w:val="20"/>
                <w:color w:val="auto"/>
              </w:rPr>
            </w:pPr>
            <w:r>
              <w:rPr>
                <w:rFonts w:ascii="Arial" w:cs="Arial" w:eastAsia="Arial" w:hAnsi="Arial"/>
                <w:sz w:val="14"/>
                <w:szCs w:val="14"/>
                <w:b w:val="1"/>
                <w:bCs w:val="1"/>
                <w:i w:val="1"/>
                <w:iCs w:val="1"/>
                <w:color w:val="FFFFFF"/>
              </w:rPr>
              <w:t>All Other</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vMerge w:val="restart"/>
            <w:shd w:val="clear" w:color="auto" w:fill="465E66"/>
          </w:tcPr>
          <w:p>
            <w:pPr>
              <w:ind w:left="40"/>
              <w:spacing w:after="0"/>
              <w:rPr>
                <w:sz w:val="20"/>
                <w:szCs w:val="20"/>
                <w:color w:val="auto"/>
              </w:rPr>
            </w:pPr>
            <w:r>
              <w:rPr>
                <w:rFonts w:ascii="Arial" w:cs="Arial" w:eastAsia="Arial" w:hAnsi="Arial"/>
                <w:sz w:val="14"/>
                <w:szCs w:val="14"/>
                <w:b w:val="1"/>
                <w:bCs w:val="1"/>
                <w:color w:val="FFFFFF"/>
              </w:rPr>
              <w:t>NEO</w:t>
            </w:r>
          </w:p>
        </w:tc>
        <w:tc>
          <w:tcPr>
            <w:tcW w:w="2160" w:type="dxa"/>
            <w:vAlign w:val="bottom"/>
            <w:tcBorders>
              <w:right w:val="single" w:sz="8" w:color="auto"/>
            </w:tcBorders>
            <w:vMerge w:val="restart"/>
            <w:shd w:val="clear" w:color="auto" w:fill="465E66"/>
          </w:tcPr>
          <w:p>
            <w:pPr>
              <w:spacing w:after="0"/>
              <w:rPr>
                <w:sz w:val="20"/>
                <w:szCs w:val="20"/>
                <w:color w:val="auto"/>
              </w:rPr>
            </w:pPr>
            <w:r>
              <w:rPr>
                <w:rFonts w:ascii="Arial" w:cs="Arial" w:eastAsia="Arial" w:hAnsi="Arial"/>
                <w:sz w:val="14"/>
                <w:szCs w:val="14"/>
                <w:b w:val="1"/>
                <w:bCs w:val="1"/>
                <w:i w:val="1"/>
                <w:iCs w:val="1"/>
                <w:color w:val="FFFFFF"/>
              </w:rPr>
              <w:t>Type of Compensation</w:t>
            </w:r>
          </w:p>
        </w:tc>
        <w:tc>
          <w:tcPr>
            <w:tcW w:w="1280" w:type="dxa"/>
            <w:vAlign w:val="bottom"/>
            <w:vMerge w:val="continue"/>
            <w:shd w:val="clear" w:color="auto" w:fill="465E66"/>
          </w:tcPr>
          <w:p>
            <w:pPr>
              <w:spacing w:after="0"/>
              <w:rPr>
                <w:sz w:val="12"/>
                <w:szCs w:val="12"/>
                <w:color w:val="auto"/>
              </w:rPr>
            </w:pPr>
          </w:p>
        </w:tc>
        <w:tc>
          <w:tcPr>
            <w:tcW w:w="1360" w:type="dxa"/>
            <w:vAlign w:val="bottom"/>
            <w:tcBorders>
              <w:right w:val="single" w:sz="8" w:color="auto"/>
            </w:tcBorders>
            <w:vMerge w:val="continue"/>
            <w:shd w:val="clear" w:color="auto" w:fill="465E66"/>
          </w:tcPr>
          <w:p>
            <w:pPr>
              <w:spacing w:after="0"/>
              <w:rPr>
                <w:sz w:val="12"/>
                <w:szCs w:val="12"/>
                <w:color w:val="auto"/>
              </w:rPr>
            </w:pPr>
          </w:p>
        </w:tc>
        <w:tc>
          <w:tcPr>
            <w:tcW w:w="126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i w:val="1"/>
                <w:iCs w:val="1"/>
                <w:color w:val="FFFFFF"/>
              </w:rPr>
              <w:t>Resignation for</w:t>
            </w:r>
          </w:p>
        </w:tc>
        <w:tc>
          <w:tcPr>
            <w:tcW w:w="1340" w:type="dxa"/>
            <w:vAlign w:val="bottom"/>
            <w:tcBorders>
              <w:right w:val="single" w:sz="8" w:color="auto"/>
            </w:tcBorders>
            <w:vMerge w:val="continue"/>
            <w:shd w:val="clear" w:color="auto" w:fill="465E66"/>
          </w:tcPr>
          <w:p>
            <w:pPr>
              <w:spacing w:after="0"/>
              <w:rPr>
                <w:sz w:val="12"/>
                <w:szCs w:val="12"/>
                <w:color w:val="auto"/>
              </w:rPr>
            </w:pPr>
          </w:p>
        </w:tc>
        <w:tc>
          <w:tcPr>
            <w:tcW w:w="1140" w:type="dxa"/>
            <w:vAlign w:val="bottom"/>
            <w:tcBorders>
              <w:right w:val="single" w:sz="8" w:color="auto"/>
            </w:tcBorders>
            <w:vMerge w:val="continue"/>
            <w:shd w:val="clear" w:color="auto" w:fill="465E66"/>
          </w:tcPr>
          <w:p>
            <w:pPr>
              <w:spacing w:after="0"/>
              <w:rPr>
                <w:sz w:val="12"/>
                <w:szCs w:val="12"/>
                <w:color w:val="auto"/>
              </w:rPr>
            </w:pPr>
          </w:p>
        </w:tc>
        <w:tc>
          <w:tcPr>
            <w:tcW w:w="1000" w:type="dxa"/>
            <w:vAlign w:val="bottom"/>
            <w:tcBorders>
              <w:right w:val="single" w:sz="8" w:color="auto"/>
            </w:tcBorders>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bottom w:val="single" w:sz="8" w:color="auto"/>
              <w:right w:val="single" w:sz="8" w:color="auto"/>
            </w:tcBorders>
            <w:vMerge w:val="continue"/>
            <w:shd w:val="clear" w:color="auto" w:fill="465E66"/>
          </w:tcPr>
          <w:p>
            <w:pPr>
              <w:spacing w:after="0"/>
              <w:rPr>
                <w:sz w:val="15"/>
                <w:szCs w:val="15"/>
                <w:color w:val="auto"/>
              </w:rPr>
            </w:pPr>
          </w:p>
        </w:tc>
        <w:tc>
          <w:tcPr>
            <w:tcW w:w="2160" w:type="dxa"/>
            <w:vAlign w:val="bottom"/>
            <w:tcBorders>
              <w:bottom w:val="single" w:sz="8" w:color="auto"/>
              <w:right w:val="single" w:sz="8" w:color="auto"/>
            </w:tcBorders>
            <w:vMerge w:val="continue"/>
            <w:shd w:val="clear" w:color="auto" w:fill="465E66"/>
          </w:tcPr>
          <w:p>
            <w:pPr>
              <w:spacing w:after="0"/>
              <w:rPr>
                <w:sz w:val="15"/>
                <w:szCs w:val="15"/>
                <w:color w:val="auto"/>
              </w:rPr>
            </w:pPr>
          </w:p>
        </w:tc>
        <w:tc>
          <w:tcPr>
            <w:tcW w:w="1280" w:type="dxa"/>
            <w:vAlign w:val="bottom"/>
            <w:tcBorders>
              <w:bottom w:val="single" w:sz="8" w:color="auto"/>
            </w:tcBorders>
            <w:shd w:val="clear" w:color="auto" w:fill="465E66"/>
          </w:tcPr>
          <w:p>
            <w:pPr>
              <w:jc w:val="right"/>
              <w:ind w:right="348"/>
              <w:spacing w:after="0"/>
              <w:rPr>
                <w:sz w:val="20"/>
                <w:szCs w:val="20"/>
                <w:color w:val="auto"/>
              </w:rPr>
            </w:pPr>
            <w:r>
              <w:rPr>
                <w:rFonts w:ascii="Arial" w:cs="Arial" w:eastAsia="Arial" w:hAnsi="Arial"/>
                <w:sz w:val="14"/>
                <w:szCs w:val="14"/>
                <w:i w:val="1"/>
                <w:iCs w:val="1"/>
                <w:color w:val="FFFFFF"/>
              </w:rPr>
              <w:t>Cause</w:t>
            </w:r>
          </w:p>
        </w:tc>
        <w:tc>
          <w:tcPr>
            <w:tcW w:w="1360" w:type="dxa"/>
            <w:vAlign w:val="bottom"/>
            <w:tcBorders>
              <w:bottom w:val="single" w:sz="8" w:color="auto"/>
              <w:right w:val="single" w:sz="8" w:color="auto"/>
            </w:tcBorders>
            <w:shd w:val="clear" w:color="auto" w:fill="465E66"/>
          </w:tcPr>
          <w:p>
            <w:pPr>
              <w:jc w:val="right"/>
              <w:ind w:right="168"/>
              <w:spacing w:after="0"/>
              <w:rPr>
                <w:sz w:val="20"/>
                <w:szCs w:val="20"/>
                <w:color w:val="auto"/>
              </w:rPr>
            </w:pPr>
            <w:r>
              <w:rPr>
                <w:rFonts w:ascii="Arial" w:cs="Arial" w:eastAsia="Arial" w:hAnsi="Arial"/>
                <w:sz w:val="14"/>
                <w:szCs w:val="14"/>
                <w:i w:val="1"/>
                <w:iCs w:val="1"/>
                <w:color w:val="FFFFFF"/>
              </w:rPr>
              <w:t>Good Reason</w:t>
            </w:r>
          </w:p>
        </w:tc>
        <w:tc>
          <w:tcPr>
            <w:tcW w:w="1260" w:type="dxa"/>
            <w:vAlign w:val="bottom"/>
            <w:tcBorders>
              <w:bottom w:val="single" w:sz="8" w:color="auto"/>
            </w:tcBorders>
            <w:shd w:val="clear" w:color="auto" w:fill="465E66"/>
          </w:tcPr>
          <w:p>
            <w:pPr>
              <w:jc w:val="center"/>
              <w:spacing w:after="0"/>
              <w:rPr>
                <w:sz w:val="20"/>
                <w:szCs w:val="20"/>
                <w:color w:val="auto"/>
              </w:rPr>
            </w:pPr>
            <w:r>
              <w:rPr>
                <w:rFonts w:ascii="Arial" w:cs="Arial" w:eastAsia="Arial" w:hAnsi="Arial"/>
                <w:sz w:val="14"/>
                <w:szCs w:val="14"/>
                <w:i w:val="1"/>
                <w:iCs w:val="1"/>
                <w:color w:val="FFFFFF"/>
              </w:rPr>
              <w:t>Good Reason)</w:t>
            </w:r>
          </w:p>
        </w:tc>
        <w:tc>
          <w:tcPr>
            <w:tcW w:w="1340" w:type="dxa"/>
            <w:vAlign w:val="bottom"/>
            <w:tcBorders>
              <w:bottom w:val="single" w:sz="8" w:color="auto"/>
              <w:right w:val="single" w:sz="8" w:color="auto"/>
            </w:tcBorders>
            <w:shd w:val="clear" w:color="auto" w:fill="465E66"/>
          </w:tcPr>
          <w:p>
            <w:pPr>
              <w:ind w:left="240"/>
              <w:spacing w:after="0"/>
              <w:rPr>
                <w:sz w:val="20"/>
                <w:szCs w:val="20"/>
                <w:color w:val="auto"/>
              </w:rPr>
            </w:pPr>
            <w:r>
              <w:rPr>
                <w:rFonts w:ascii="Arial" w:cs="Arial" w:eastAsia="Arial" w:hAnsi="Arial"/>
                <w:sz w:val="14"/>
                <w:szCs w:val="14"/>
                <w:i w:val="1"/>
                <w:iCs w:val="1"/>
                <w:color w:val="FFFFFF"/>
              </w:rPr>
              <w:t>Termination)</w:t>
            </w:r>
          </w:p>
        </w:tc>
        <w:tc>
          <w:tcPr>
            <w:tcW w:w="1140" w:type="dxa"/>
            <w:vAlign w:val="bottom"/>
            <w:tcBorders>
              <w:bottom w:val="single" w:sz="8" w:color="auto"/>
              <w:right w:val="single" w:sz="8" w:color="auto"/>
            </w:tcBorders>
            <w:shd w:val="clear" w:color="auto" w:fill="465E66"/>
          </w:tcPr>
          <w:p>
            <w:pPr>
              <w:jc w:val="right"/>
              <w:ind w:right="188"/>
              <w:spacing w:after="0"/>
              <w:rPr>
                <w:sz w:val="20"/>
                <w:szCs w:val="20"/>
                <w:color w:val="auto"/>
              </w:rPr>
            </w:pPr>
            <w:r>
              <w:rPr>
                <w:rFonts w:ascii="Arial" w:cs="Arial" w:eastAsia="Arial" w:hAnsi="Arial"/>
                <w:sz w:val="14"/>
                <w:szCs w:val="14"/>
                <w:b w:val="1"/>
                <w:bCs w:val="1"/>
                <w:i w:val="1"/>
                <w:iCs w:val="1"/>
                <w:color w:val="FFFFFF"/>
              </w:rPr>
              <w:t>Disability</w:t>
            </w:r>
          </w:p>
        </w:tc>
        <w:tc>
          <w:tcPr>
            <w:tcW w:w="1000" w:type="dxa"/>
            <w:vAlign w:val="bottom"/>
            <w:tcBorders>
              <w:bottom w:val="single" w:sz="8" w:color="auto"/>
              <w:right w:val="single" w:sz="8" w:color="auto"/>
            </w:tcBorders>
            <w:shd w:val="clear" w:color="auto" w:fill="465E66"/>
          </w:tcPr>
          <w:p>
            <w:pPr>
              <w:ind w:left="40"/>
              <w:spacing w:after="0"/>
              <w:rPr>
                <w:sz w:val="20"/>
                <w:szCs w:val="20"/>
                <w:color w:val="auto"/>
              </w:rPr>
            </w:pPr>
            <w:r>
              <w:rPr>
                <w:rFonts w:ascii="Arial" w:cs="Arial" w:eastAsia="Arial" w:hAnsi="Arial"/>
                <w:sz w:val="14"/>
                <w:szCs w:val="14"/>
                <w:b w:val="1"/>
                <w:bCs w:val="1"/>
                <w:i w:val="1"/>
                <w:iCs w:val="1"/>
                <w:color w:val="FFFFFF"/>
              </w:rPr>
              <w:t>Terminations</w:t>
            </w: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Mr. El-Khoury</w:t>
            </w: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Cash Severance</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2,400,000</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2,400,000</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2,400,000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STI Payment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2,100,000</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2,100,000</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4,200,000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2,938,191</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Accelerated RSUs/PBRSUs</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25,132,841</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25,132,841</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47,695,714</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72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Additional Benefits (4)</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52,486</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52,486</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52,486</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29,685,327</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29,685,327</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54,348,200</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2,938,191</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Mr. Trent</w:t>
            </w: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Cash Severance</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1,012,500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1,012,500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1,012,500</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720" w:type="dxa"/>
            <w:vAlign w:val="bottom"/>
            <w:tcBorders>
              <w:left w:val="single" w:sz="8" w:color="auto"/>
              <w:right w:val="single" w:sz="8" w:color="auto"/>
            </w:tcBorders>
          </w:tcPr>
          <w:p>
            <w:pPr>
              <w:spacing w:after="0"/>
              <w:rPr>
                <w:sz w:val="16"/>
                <w:szCs w:val="16"/>
                <w:color w:val="auto"/>
              </w:rPr>
            </w:pP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STI Payment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843,750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843,750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1,265,625</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1,185,000</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spacing w:after="0"/>
              <w:rPr>
                <w:sz w:val="17"/>
                <w:szCs w:val="17"/>
                <w:color w:val="auto"/>
              </w:rPr>
            </w:pP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Accelerated RSUs/PBRSUs</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7,800,700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7,800,700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19,216,828</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Additional Benefits (4)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65,481</w:t>
            </w:r>
          </w:p>
        </w:tc>
        <w:tc>
          <w:tcPr>
            <w:tcW w:w="13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65,481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65,481</w:t>
            </w:r>
          </w:p>
        </w:tc>
        <w:tc>
          <w:tcPr>
            <w:tcW w:w="13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9,722,431</w:t>
            </w:r>
          </w:p>
        </w:tc>
        <w:tc>
          <w:tcPr>
            <w:tcW w:w="13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9,722,431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21,560,434</w:t>
            </w:r>
          </w:p>
        </w:tc>
        <w:tc>
          <w:tcPr>
            <w:tcW w:w="13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1,185,000</w:t>
            </w:r>
          </w:p>
        </w:tc>
        <w:tc>
          <w:tcPr>
            <w:tcW w:w="100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 xml:space="preserve">Mr. Keeton </w:t>
            </w:r>
            <w:r>
              <w:rPr>
                <w:rFonts w:ascii="Arial" w:cs="Arial" w:eastAsia="Arial" w:hAnsi="Arial"/>
                <w:sz w:val="14"/>
                <w:szCs w:val="14"/>
                <w:color w:val="auto"/>
              </w:rPr>
              <w:t>(1)</w:t>
            </w: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Cash Severance</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600,000</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600,000</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720,000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STI Payment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600,000</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600,000</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720,000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842,487</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Accelerated RSUs/PBRSUs</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4,684,362</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4,684,362</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11,499,325</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72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Additional Benefits (4)</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73,941</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73,941</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73,941</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5,958,303</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5,958,303</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13,013,266</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842,487</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Mr. Gopalswamy </w:t>
            </w:r>
            <w:r>
              <w:rPr>
                <w:rFonts w:ascii="Arial" w:cs="Arial" w:eastAsia="Arial" w:hAnsi="Arial"/>
                <w:sz w:val="14"/>
                <w:szCs w:val="14"/>
                <w:color w:val="auto"/>
              </w:rPr>
              <w:t>(2)</w:t>
            </w: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Cash Severance</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500,000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500,000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600,000</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720" w:type="dxa"/>
            <w:vAlign w:val="bottom"/>
            <w:tcBorders>
              <w:left w:val="single" w:sz="8" w:color="auto"/>
              <w:right w:val="single" w:sz="8" w:color="auto"/>
            </w:tcBorders>
          </w:tcPr>
          <w:p>
            <w:pPr>
              <w:spacing w:after="0"/>
              <w:rPr>
                <w:sz w:val="16"/>
                <w:szCs w:val="16"/>
                <w:color w:val="auto"/>
              </w:rPr>
            </w:pP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STI Payment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425,000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425,000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510,000</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499,077</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spacing w:after="0"/>
              <w:rPr>
                <w:sz w:val="17"/>
                <w:szCs w:val="17"/>
                <w:color w:val="auto"/>
              </w:rPr>
            </w:pPr>
          </w:p>
        </w:tc>
        <w:tc>
          <w:tcPr>
            <w:tcW w:w="2160" w:type="dxa"/>
            <w:vAlign w:val="bottom"/>
            <w:tcBorders>
              <w:bottom w:val="single" w:sz="8" w:color="DBDBDB"/>
              <w:right w:val="single" w:sz="8" w:color="auto"/>
            </w:tcBorders>
          </w:tcPr>
          <w:p>
            <w:pPr>
              <w:spacing w:after="0"/>
              <w:rPr>
                <w:sz w:val="20"/>
                <w:szCs w:val="20"/>
                <w:color w:val="auto"/>
              </w:rPr>
            </w:pPr>
            <w:r>
              <w:rPr>
                <w:rFonts w:ascii="Arial" w:cs="Arial" w:eastAsia="Arial" w:hAnsi="Arial"/>
                <w:sz w:val="14"/>
                <w:szCs w:val="14"/>
                <w:color w:val="auto"/>
              </w:rPr>
              <w:t>Accelerated RSUs/PBRSUs</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3,461,400</w:t>
            </w:r>
          </w:p>
        </w:tc>
        <w:tc>
          <w:tcPr>
            <w:tcW w:w="136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3,461,400</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7,435,506</w:t>
            </w:r>
          </w:p>
        </w:tc>
        <w:tc>
          <w:tcPr>
            <w:tcW w:w="1340" w:type="dxa"/>
            <w:vAlign w:val="bottom"/>
            <w:tcBorders>
              <w:bottom w:val="single" w:sz="8" w:color="DBDBDB"/>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Additional Benefits (4)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73,941</w:t>
            </w:r>
          </w:p>
        </w:tc>
        <w:tc>
          <w:tcPr>
            <w:tcW w:w="13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73,941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73,941</w:t>
            </w:r>
          </w:p>
        </w:tc>
        <w:tc>
          <w:tcPr>
            <w:tcW w:w="13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4,460,341</w:t>
            </w:r>
          </w:p>
        </w:tc>
        <w:tc>
          <w:tcPr>
            <w:tcW w:w="13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4,460,341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8,619,447</w:t>
            </w:r>
          </w:p>
        </w:tc>
        <w:tc>
          <w:tcPr>
            <w:tcW w:w="134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499,077</w:t>
            </w:r>
          </w:p>
        </w:tc>
        <w:tc>
          <w:tcPr>
            <w:tcW w:w="100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 xml:space="preserve">Mr. Jatou </w:t>
            </w:r>
            <w:r>
              <w:rPr>
                <w:rFonts w:ascii="Arial" w:cs="Arial" w:eastAsia="Arial" w:hAnsi="Arial"/>
                <w:sz w:val="14"/>
                <w:szCs w:val="14"/>
                <w:color w:val="auto"/>
              </w:rPr>
              <w:t>(3)</w:t>
            </w: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Cash Severance</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475,000</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475,000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STI Payment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193,845</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403,750</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shd w:val="clear" w:color="auto" w:fill="DBDBDB"/>
          </w:tcPr>
          <w:p>
            <w:pPr>
              <w:spacing w:after="0"/>
              <w:rPr>
                <w:sz w:val="18"/>
                <w:szCs w:val="18"/>
                <w:color w:val="auto"/>
              </w:rPr>
            </w:pPr>
          </w:p>
        </w:tc>
        <w:tc>
          <w:tcPr>
            <w:tcW w:w="21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Accelerated RSUs/PBRSUs</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72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color w:val="auto"/>
              </w:rPr>
              <w:t>Additional Benefits (4)</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18,743</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18,743</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172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21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4"/>
                <w:szCs w:val="14"/>
                <w:b w:val="1"/>
                <w:bCs w:val="1"/>
                <w:color w:val="auto"/>
              </w:rPr>
              <w:t>Total</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687,588</w:t>
            </w:r>
          </w:p>
        </w:tc>
        <w:tc>
          <w:tcPr>
            <w:tcW w:w="13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897,493</w:t>
            </w:r>
          </w:p>
        </w:tc>
        <w:tc>
          <w:tcPr>
            <w:tcW w:w="1340" w:type="dxa"/>
            <w:vAlign w:val="bottom"/>
            <w:tcBorders>
              <w:bottom w:val="single" w:sz="8" w:color="auto"/>
              <w:right w:val="single" w:sz="8" w:color="auto"/>
            </w:tcBorders>
            <w:shd w:val="clear" w:color="auto" w:fill="DBDBDB"/>
          </w:tcPr>
          <w:p>
            <w:pPr>
              <w:ind w:left="1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shd w:val="clear" w:color="auto" w:fill="DBDBDB"/>
          </w:tcPr>
          <w:p>
            <w:pPr>
              <w:ind w:left="7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-281940</wp:posOffset>
            </wp:positionV>
            <wp:extent cx="60693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-419735</wp:posOffset>
            </wp:positionV>
            <wp:extent cx="60693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-556895</wp:posOffset>
            </wp:positionV>
            <wp:extent cx="60693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-1653540</wp:posOffset>
            </wp:positionV>
            <wp:extent cx="60693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-1791335</wp:posOffset>
            </wp:positionV>
            <wp:extent cx="60693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-1928495</wp:posOffset>
            </wp:positionV>
            <wp:extent cx="60693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-3025140</wp:posOffset>
            </wp:positionV>
            <wp:extent cx="60693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-3162300</wp:posOffset>
            </wp:positionV>
            <wp:extent cx="60693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-3436620</wp:posOffset>
            </wp:positionV>
            <wp:extent cx="254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-3300095</wp:posOffset>
            </wp:positionV>
            <wp:extent cx="60693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-3436620</wp:posOffset>
            </wp:positionV>
            <wp:extent cx="254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-3436620</wp:posOffset>
            </wp:positionV>
            <wp:extent cx="25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-3436620</wp:posOffset>
            </wp:positionV>
            <wp:extent cx="25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ind w:left="260" w:right="80" w:hanging="234"/>
        <w:spacing w:after="0" w:line="231"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noted above, these figures reflect the higher compensation and benefits to which Mr. Keeton is entitled under his current employment agreement, which was entered into on February 28, 2024. Under his old employment agreement, the estimated total amount due to him under the scenarios above would be: Termination without Cause or Resignation for Good Reason: $</w:t>
      </w:r>
      <w:r>
        <w:rPr>
          <w:rFonts w:ascii="Arial" w:cs="Arial" w:eastAsia="Arial" w:hAnsi="Arial"/>
          <w:sz w:val="14"/>
          <w:szCs w:val="14"/>
          <w:u w:val="single" w:color="auto"/>
          <w:color w:val="auto"/>
        </w:rPr>
        <w:t>919,570</w:t>
      </w:r>
      <w:r>
        <w:rPr>
          <w:rFonts w:ascii="Arial" w:cs="Arial" w:eastAsia="Arial" w:hAnsi="Arial"/>
          <w:sz w:val="14"/>
          <w:szCs w:val="14"/>
          <w:color w:val="auto"/>
        </w:rPr>
        <w:t xml:space="preserve"> (no change in control) or $</w:t>
      </w:r>
      <w:r>
        <w:rPr>
          <w:rFonts w:ascii="Arial" w:cs="Arial" w:eastAsia="Arial" w:hAnsi="Arial"/>
          <w:sz w:val="14"/>
          <w:szCs w:val="14"/>
          <w:u w:val="single" w:color="auto"/>
          <w:color w:val="auto"/>
        </w:rPr>
        <w:t>1,519,570</w:t>
      </w:r>
      <w:r>
        <w:rPr>
          <w:rFonts w:ascii="Arial" w:cs="Arial" w:eastAsia="Arial" w:hAnsi="Arial"/>
          <w:sz w:val="14"/>
          <w:szCs w:val="14"/>
          <w:color w:val="auto"/>
        </w:rPr>
        <w:t xml:space="preserve"> (if termination occurred within 24 months of a change in control). He would not have been entitled to any single trigger change in control benefits or any compensation upon any other termination of employment (including death and disability).</w:t>
      </w:r>
    </w:p>
    <w:p>
      <w:pPr>
        <w:spacing w:after="0" w:line="14" w:lineRule="exact"/>
        <w:rPr>
          <w:rFonts w:ascii="Arial" w:cs="Arial" w:eastAsia="Arial" w:hAnsi="Arial"/>
          <w:sz w:val="14"/>
          <w:szCs w:val="14"/>
          <w:color w:val="auto"/>
        </w:rPr>
      </w:pPr>
    </w:p>
    <w:p>
      <w:pPr>
        <w:ind w:left="260" w:right="60" w:hanging="234"/>
        <w:spacing w:after="0" w:line="229"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noted above, these figures reflect the higher compensation and benefits to which Mr. Gopalswamy is entitled under his current employment agreement, which was entered into on March 14, 2024. Prior to entering into the new agreement, the estimated total amount that would have been due to him under the scenarios above would be: Termination without Cause (no change in control): $</w:t>
      </w:r>
      <w:r>
        <w:rPr>
          <w:rFonts w:ascii="Arial" w:cs="Arial" w:eastAsia="Arial" w:hAnsi="Arial"/>
          <w:sz w:val="14"/>
          <w:szCs w:val="14"/>
          <w:u w:val="single" w:color="auto"/>
          <w:color w:val="auto"/>
        </w:rPr>
        <w:t>722,562</w:t>
      </w:r>
      <w:r>
        <w:rPr>
          <w:rFonts w:ascii="Arial" w:cs="Arial" w:eastAsia="Arial" w:hAnsi="Arial"/>
          <w:sz w:val="14"/>
          <w:szCs w:val="14"/>
          <w:color w:val="auto"/>
        </w:rPr>
        <w:t>; Termination without Cause or Resignation for Good Reason (if termination occurred within 24 months of a change in control) $</w:t>
      </w:r>
      <w:r>
        <w:rPr>
          <w:rFonts w:ascii="Arial" w:cs="Arial" w:eastAsia="Arial" w:hAnsi="Arial"/>
          <w:sz w:val="14"/>
          <w:szCs w:val="14"/>
          <w:u w:val="single" w:color="auto"/>
          <w:color w:val="auto"/>
        </w:rPr>
        <w:t>6,297,400</w:t>
      </w:r>
      <w:r>
        <w:rPr>
          <w:rFonts w:ascii="Arial" w:cs="Arial" w:eastAsia="Arial" w:hAnsi="Arial"/>
          <w:sz w:val="14"/>
          <w:szCs w:val="14"/>
          <w:color w:val="auto"/>
        </w:rPr>
        <w:t>.He would not have been entitled to any single trigger change in control benefits or any compensation upon any other termination of employment (including for Good Reason outside of a change in control, death and disability).</w:t>
      </w:r>
    </w:p>
    <w:p>
      <w:pPr>
        <w:spacing w:after="0" w:line="2" w:lineRule="exact"/>
        <w:rPr>
          <w:rFonts w:ascii="Arial" w:cs="Arial" w:eastAsia="Arial" w:hAnsi="Arial"/>
          <w:sz w:val="14"/>
          <w:szCs w:val="14"/>
          <w:color w:val="auto"/>
        </w:rPr>
      </w:pPr>
    </w:p>
    <w:p>
      <w:pPr>
        <w:ind w:left="260" w:right="360" w:hanging="234"/>
        <w:spacing w:after="0" w:line="251"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Jatou, who resigned from all positions with the Company effective February 22, 2024, did not receive any termination-related benefits. He was not eligible to receive payment of a 2023 STI bonus and all of his unvested equity awards were forfeited as of his termination date.</w:t>
      </w:r>
    </w:p>
    <w:p>
      <w:pPr>
        <w:ind w:left="260" w:right="660" w:hanging="234"/>
        <w:spacing w:after="0" w:line="263" w:lineRule="auto"/>
        <w:tabs>
          <w:tab w:leader="none" w:pos="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figure represents the estimated cost of continuation of benefits, based on the NEO’s elections as in effect on December 31, 2023, and the maximum permitted outplacement assistance.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onsemi 2023 Pay Ratio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2023:</w:t>
      </w:r>
    </w:p>
    <w:p>
      <w:pPr>
        <w:spacing w:after="0" w:line="239"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(other than Mr. El-Khoury, our CEO) was $15,746;</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total compensation of our median U.S.-based non-manufacturing employee (other than Mr. El-Khoury) was $141,397; and</w:t>
      </w: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total compensation of Mr. El-Khoury, as reported in our SCT, was $19,965,513.</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Based on this information, for 2023, the ratios of the annual total compensation of Mr. El-Khoury to the annual total compensation of our median employee and to the annual total compensation of our median U.S.-based non-manufacturing employee were 1,268 to 1 and 141 to 1, respectively.</w:t>
      </w:r>
    </w:p>
    <w:p>
      <w:pPr>
        <w:sectPr>
          <w:pgSz w:w="11900" w:h="16838" w:orient="portrait"/>
          <w:cols w:equalWidth="0" w:num="1">
            <w:col w:w="11260"/>
          </w:cols>
          <w:pgMar w:left="320" w:top="1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61" w:right="31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We calculated these pay ratios using the following assumptions and principles: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Methodology for Determining our Median Employees</w:t>
      </w:r>
      <w:r>
        <w:rPr>
          <w:rFonts w:ascii="Arial" w:cs="Arial" w:eastAsia="Arial" w:hAnsi="Arial"/>
          <w:sz w:val="18"/>
          <w:szCs w:val="18"/>
          <w:color w:val="auto"/>
        </w:rPr>
        <w:t>. As permitted under SEC rules, we used the same median employee and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median U.S. non-manufacturing employee that we used for purposes of disclosing our 2022 pay ratios as there has been no change in our employee population or employee compensation arrangements that we believe would significantly impact the pay ratio analysis. To determine our median employees, we surveyed our global employee population as of December 1, 2022 from our human resources system of record, using cash compensation as the basis for comparison. We define cash compensation as base pay, overtime pay and STI</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compensation, which includes all commissions and bonuses. We did not annualize the compensation of any employees who did not work for us or our consolidated subsidiaries for the full year. As a significant percentage of our workforce is based outside the U.S., we converted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amounts paid in foreign currency to U.S. dollars using our calculated corporate treasury exchange rate for February 2023 but did not make any cost-of-living adjustments. We excluded the value of annual equity awards and certain employee allowances, as those items are neither widely nor uniformly distributed across our employee population and thus do not reasonably reflect the annual compensation of our employees.</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Identification of Our Median Employees</w:t>
      </w:r>
      <w:r>
        <w:rPr>
          <w:rFonts w:ascii="Arial" w:cs="Arial" w:eastAsia="Arial" w:hAnsi="Arial"/>
          <w:sz w:val="18"/>
          <w:szCs w:val="18"/>
          <w:color w:val="auto"/>
        </w:rPr>
        <w:t>. Using the methodology described above, we determined that the median employee was a full-time operator located in Malaysia and the median U.S. non-manufacturing employee was a systems analyst located in Scottsdale, Arizona.</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Calculating Total Compensation for Our Median Employees</w:t>
      </w:r>
      <w:r>
        <w:rPr>
          <w:rFonts w:ascii="Arial" w:cs="Arial" w:eastAsia="Arial" w:hAnsi="Arial"/>
          <w:sz w:val="18"/>
          <w:szCs w:val="18"/>
          <w:color w:val="auto"/>
        </w:rPr>
        <w:t>. For purposes of determining the pay ratios, we calculated annual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each of our median employees using the same methodology we use for our NEOs in the SCT.</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these pay ratios are reasonable estimates calculated in a manner consistent with SEC rules. Because SEC rules for identifying the median employee and calculating the pay ratio allow companies to adopt a variety of methodologies, to apply certain exclusions and to make reasonable estimates and assumptions that reflect their compensation practices and workforce composition, the pay ratios reported by other companies may not be comparable to ours.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2023 Pay versus Performance</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table below compares the pay of our principal executive officer (PEO) and the average pay of all other NEOs to our performance on certain metrics during each of the last four fiscal years (2020, 2021, 2022 and 2023). In this table, executive pay is presented in two ways: (1) total compensation as disclosed in the SCT for the relevant year and (2) “compensation actually paid” (CAP) for the same year, calculated as required by SEC rules, which is intended to, among other things, adjust SCT totals to capture actual payouts from equity awards vesting during a given year as well as year-over-year changes in the value of unvested equity awards that are outstanding at the end of that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Graphs illustrating the relationship between executive pay and each of these metrics are located below the table.</w:t>
      </w:r>
    </w:p>
    <w:p>
      <w:pPr>
        <w:spacing w:after="0" w:line="2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For further information regarding our pay-for-performance philosophy and how we align executive compensation with our performance, please see our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7" w:name="page58"/>
    <w:bookmarkEnd w:id="57"/>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shd w:val="clear" w:color="auto" w:fill="465E66"/>
          </w:tcPr>
          <w:p>
            <w:pPr>
              <w:spacing w:after="0"/>
              <w:rPr>
                <w:sz w:val="17"/>
                <w:szCs w:val="17"/>
                <w:color w:val="auto"/>
              </w:rPr>
            </w:pPr>
          </w:p>
        </w:tc>
        <w:tc>
          <w:tcPr>
            <w:tcW w:w="1040" w:type="dxa"/>
            <w:vAlign w:val="bottom"/>
            <w:shd w:val="clear" w:color="auto" w:fill="465E66"/>
          </w:tcPr>
          <w:p>
            <w:pPr>
              <w:spacing w:after="0"/>
              <w:rPr>
                <w:sz w:val="17"/>
                <w:szCs w:val="17"/>
                <w:color w:val="auto"/>
              </w:rPr>
            </w:pPr>
          </w:p>
        </w:tc>
        <w:tc>
          <w:tcPr>
            <w:tcW w:w="900" w:type="dxa"/>
            <w:vAlign w:val="bottom"/>
            <w:shd w:val="clear" w:color="auto" w:fill="465E66"/>
          </w:tcPr>
          <w:p>
            <w:pPr>
              <w:spacing w:after="0"/>
              <w:rPr>
                <w:sz w:val="17"/>
                <w:szCs w:val="17"/>
                <w:color w:val="auto"/>
              </w:rPr>
            </w:pPr>
          </w:p>
        </w:tc>
        <w:tc>
          <w:tcPr>
            <w:tcW w:w="1040" w:type="dxa"/>
            <w:vAlign w:val="bottom"/>
            <w:shd w:val="clear" w:color="auto" w:fill="465E66"/>
          </w:tcPr>
          <w:p>
            <w:pPr>
              <w:spacing w:after="0"/>
              <w:rPr>
                <w:sz w:val="17"/>
                <w:szCs w:val="17"/>
                <w:color w:val="auto"/>
              </w:rPr>
            </w:pPr>
          </w:p>
        </w:tc>
        <w:tc>
          <w:tcPr>
            <w:tcW w:w="740" w:type="dxa"/>
            <w:vAlign w:val="bottom"/>
            <w:shd w:val="clear" w:color="auto" w:fill="465E66"/>
          </w:tcPr>
          <w:p>
            <w:pPr>
              <w:spacing w:after="0"/>
              <w:rPr>
                <w:sz w:val="17"/>
                <w:szCs w:val="17"/>
                <w:color w:val="auto"/>
              </w:rPr>
            </w:pPr>
          </w:p>
        </w:tc>
        <w:tc>
          <w:tcPr>
            <w:tcW w:w="2580" w:type="dxa"/>
            <w:vAlign w:val="bottom"/>
            <w:gridSpan w:val="2"/>
            <w:shd w:val="clear" w:color="auto" w:fill="465E66"/>
          </w:tcPr>
          <w:p>
            <w:pPr>
              <w:ind w:left="20"/>
              <w:spacing w:after="0"/>
              <w:rPr>
                <w:sz w:val="20"/>
                <w:szCs w:val="20"/>
                <w:color w:val="auto"/>
              </w:rPr>
            </w:pPr>
            <w:r>
              <w:rPr>
                <w:rFonts w:ascii="Arial" w:cs="Arial" w:eastAsia="Arial" w:hAnsi="Arial"/>
                <w:sz w:val="14"/>
                <w:szCs w:val="14"/>
                <w:b w:val="1"/>
                <w:bCs w:val="1"/>
                <w:color w:val="FFFFFF"/>
              </w:rPr>
              <w:t>Pay versus Performance Table</w:t>
            </w:r>
          </w:p>
        </w:tc>
        <w:tc>
          <w:tcPr>
            <w:tcW w:w="1160" w:type="dxa"/>
            <w:vAlign w:val="bottom"/>
            <w:shd w:val="clear" w:color="auto" w:fill="465E66"/>
          </w:tcPr>
          <w:p>
            <w:pPr>
              <w:spacing w:after="0"/>
              <w:rPr>
                <w:sz w:val="17"/>
                <w:szCs w:val="17"/>
                <w:color w:val="auto"/>
              </w:rPr>
            </w:pPr>
          </w:p>
        </w:tc>
        <w:tc>
          <w:tcPr>
            <w:tcW w:w="1060" w:type="dxa"/>
            <w:vAlign w:val="bottom"/>
            <w:shd w:val="clear" w:color="auto" w:fill="465E66"/>
          </w:tcPr>
          <w:p>
            <w:pPr>
              <w:spacing w:after="0"/>
              <w:rPr>
                <w:sz w:val="17"/>
                <w:szCs w:val="17"/>
                <w:color w:val="auto"/>
              </w:rPr>
            </w:pPr>
          </w:p>
        </w:tc>
        <w:tc>
          <w:tcPr>
            <w:tcW w:w="940" w:type="dxa"/>
            <w:vAlign w:val="bottom"/>
            <w:shd w:val="clear" w:color="auto" w:fill="465E66"/>
          </w:tcPr>
          <w:p>
            <w:pPr>
              <w:spacing w:after="0"/>
              <w:rPr>
                <w:sz w:val="17"/>
                <w:szCs w:val="17"/>
                <w:color w:val="auto"/>
              </w:rPr>
            </w:pPr>
          </w:p>
        </w:tc>
        <w:tc>
          <w:tcPr>
            <w:tcW w:w="94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shd w:val="clear" w:color="auto" w:fill="465E66"/>
          </w:tcPr>
          <w:p>
            <w:pPr>
              <w:spacing w:after="0"/>
              <w:rPr>
                <w:sz w:val="13"/>
                <w:szCs w:val="13"/>
                <w:color w:val="auto"/>
              </w:rPr>
            </w:pPr>
          </w:p>
        </w:tc>
        <w:tc>
          <w:tcPr>
            <w:tcW w:w="1940" w:type="dxa"/>
            <w:vAlign w:val="bottom"/>
            <w:gridSpan w:val="2"/>
            <w:vMerge w:val="restart"/>
            <w:shd w:val="clear" w:color="auto" w:fill="465E66"/>
          </w:tcPr>
          <w:p>
            <w:pPr>
              <w:jc w:val="right"/>
              <w:ind w:right="348"/>
              <w:spacing w:after="0"/>
              <w:rPr>
                <w:sz w:val="20"/>
                <w:szCs w:val="20"/>
                <w:color w:val="auto"/>
              </w:rPr>
            </w:pPr>
            <w:r>
              <w:rPr>
                <w:rFonts w:ascii="Arial" w:cs="Arial" w:eastAsia="Arial" w:hAnsi="Arial"/>
                <w:sz w:val="14"/>
                <w:szCs w:val="14"/>
                <w:b w:val="1"/>
                <w:bCs w:val="1"/>
                <w:color w:val="FFFFFF"/>
              </w:rPr>
              <w:t>Current PEO (1)</w:t>
            </w:r>
          </w:p>
        </w:tc>
        <w:tc>
          <w:tcPr>
            <w:tcW w:w="1780" w:type="dxa"/>
            <w:vAlign w:val="bottom"/>
            <w:gridSpan w:val="2"/>
            <w:vMerge w:val="restart"/>
            <w:shd w:val="clear" w:color="auto" w:fill="465E66"/>
          </w:tcPr>
          <w:p>
            <w:pPr>
              <w:jc w:val="right"/>
              <w:ind w:right="288"/>
              <w:spacing w:after="0"/>
              <w:rPr>
                <w:sz w:val="20"/>
                <w:szCs w:val="20"/>
                <w:color w:val="auto"/>
              </w:rPr>
            </w:pPr>
            <w:r>
              <w:rPr>
                <w:rFonts w:ascii="Arial" w:cs="Arial" w:eastAsia="Arial" w:hAnsi="Arial"/>
                <w:sz w:val="14"/>
                <w:szCs w:val="14"/>
                <w:b w:val="1"/>
                <w:bCs w:val="1"/>
                <w:color w:val="FFFFFF"/>
              </w:rPr>
              <w:t>Former PEO (2)</w:t>
            </w:r>
          </w:p>
        </w:tc>
        <w:tc>
          <w:tcPr>
            <w:tcW w:w="2580" w:type="dxa"/>
            <w:vAlign w:val="bottom"/>
            <w:gridSpan w:val="2"/>
            <w:vMerge w:val="restart"/>
            <w:shd w:val="clear" w:color="auto" w:fill="465E66"/>
          </w:tcPr>
          <w:p>
            <w:pPr>
              <w:ind w:left="660"/>
              <w:spacing w:after="0"/>
              <w:rPr>
                <w:sz w:val="20"/>
                <w:szCs w:val="20"/>
                <w:color w:val="auto"/>
              </w:rPr>
            </w:pPr>
            <w:r>
              <w:rPr>
                <w:rFonts w:ascii="Arial" w:cs="Arial" w:eastAsia="Arial" w:hAnsi="Arial"/>
                <w:sz w:val="14"/>
                <w:szCs w:val="14"/>
                <w:b w:val="1"/>
                <w:bCs w:val="1"/>
                <w:color w:val="FFFFFF"/>
              </w:rPr>
              <w:t>All Other NEOs (3)</w:t>
            </w:r>
          </w:p>
        </w:tc>
        <w:tc>
          <w:tcPr>
            <w:tcW w:w="2220" w:type="dxa"/>
            <w:vAlign w:val="bottom"/>
            <w:gridSpan w:val="2"/>
            <w:shd w:val="clear" w:color="auto" w:fill="465E66"/>
          </w:tcPr>
          <w:p>
            <w:pPr>
              <w:jc w:val="right"/>
              <w:ind w:right="168"/>
              <w:spacing w:after="0" w:line="153" w:lineRule="exact"/>
              <w:rPr>
                <w:sz w:val="20"/>
                <w:szCs w:val="20"/>
                <w:color w:val="auto"/>
              </w:rPr>
            </w:pPr>
            <w:r>
              <w:rPr>
                <w:rFonts w:ascii="Arial" w:cs="Arial" w:eastAsia="Arial" w:hAnsi="Arial"/>
                <w:sz w:val="14"/>
                <w:szCs w:val="14"/>
                <w:b w:val="1"/>
                <w:bCs w:val="1"/>
                <w:color w:val="FFFFFF"/>
              </w:rPr>
              <w:t>Value of Initial Fixed $100</w:t>
            </w:r>
          </w:p>
        </w:tc>
        <w:tc>
          <w:tcPr>
            <w:tcW w:w="940" w:type="dxa"/>
            <w:vAlign w:val="bottom"/>
            <w:shd w:val="clear" w:color="auto" w:fill="465E66"/>
          </w:tcPr>
          <w:p>
            <w:pPr>
              <w:spacing w:after="0"/>
              <w:rPr>
                <w:sz w:val="13"/>
                <w:szCs w:val="13"/>
                <w:color w:val="auto"/>
              </w:rPr>
            </w:pPr>
          </w:p>
        </w:tc>
        <w:tc>
          <w:tcPr>
            <w:tcW w:w="9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CSM (5)</w:t>
            </w:r>
          </w:p>
        </w:tc>
        <w:tc>
          <w:tcPr>
            <w:tcW w:w="0" w:type="dxa"/>
            <w:vAlign w:val="bottom"/>
          </w:tcPr>
          <w:p>
            <w:pPr>
              <w:spacing w:after="0"/>
              <w:rPr>
                <w:sz w:val="1"/>
                <w:szCs w:val="1"/>
                <w:color w:val="auto"/>
              </w:rPr>
            </w:pPr>
          </w:p>
        </w:tc>
      </w:tr>
      <w:tr>
        <w:trPr>
          <w:trHeight w:val="185"/>
        </w:trPr>
        <w:tc>
          <w:tcPr>
            <w:tcW w:w="840" w:type="dxa"/>
            <w:vAlign w:val="bottom"/>
            <w:shd w:val="clear" w:color="auto" w:fill="465E66"/>
          </w:tcPr>
          <w:p>
            <w:pPr>
              <w:spacing w:after="0"/>
              <w:rPr>
                <w:sz w:val="16"/>
                <w:szCs w:val="16"/>
                <w:color w:val="auto"/>
              </w:rPr>
            </w:pPr>
          </w:p>
        </w:tc>
        <w:tc>
          <w:tcPr>
            <w:tcW w:w="1940" w:type="dxa"/>
            <w:vAlign w:val="bottom"/>
            <w:gridSpan w:val="2"/>
            <w:vMerge w:val="continue"/>
            <w:shd w:val="clear" w:color="auto" w:fill="465E66"/>
          </w:tcPr>
          <w:p>
            <w:pPr>
              <w:spacing w:after="0"/>
              <w:rPr>
                <w:sz w:val="16"/>
                <w:szCs w:val="16"/>
                <w:color w:val="auto"/>
              </w:rPr>
            </w:pPr>
          </w:p>
        </w:tc>
        <w:tc>
          <w:tcPr>
            <w:tcW w:w="1780" w:type="dxa"/>
            <w:vAlign w:val="bottom"/>
            <w:gridSpan w:val="2"/>
            <w:vMerge w:val="continue"/>
            <w:shd w:val="clear" w:color="auto" w:fill="465E66"/>
          </w:tcPr>
          <w:p>
            <w:pPr>
              <w:spacing w:after="0"/>
              <w:rPr>
                <w:sz w:val="16"/>
                <w:szCs w:val="16"/>
                <w:color w:val="auto"/>
              </w:rPr>
            </w:pPr>
          </w:p>
        </w:tc>
        <w:tc>
          <w:tcPr>
            <w:tcW w:w="2580" w:type="dxa"/>
            <w:vAlign w:val="bottom"/>
            <w:gridSpan w:val="2"/>
            <w:vMerge w:val="continue"/>
            <w:shd w:val="clear" w:color="auto" w:fill="465E66"/>
          </w:tcPr>
          <w:p>
            <w:pPr>
              <w:spacing w:after="0"/>
              <w:rPr>
                <w:sz w:val="16"/>
                <w:szCs w:val="16"/>
                <w:color w:val="auto"/>
              </w:rPr>
            </w:pPr>
          </w:p>
        </w:tc>
        <w:tc>
          <w:tcPr>
            <w:tcW w:w="2220" w:type="dxa"/>
            <w:vAlign w:val="bottom"/>
            <w:gridSpan w:val="2"/>
            <w:shd w:val="clear" w:color="auto" w:fill="465E66"/>
          </w:tcPr>
          <w:p>
            <w:pPr>
              <w:jc w:val="right"/>
              <w:ind w:right="168"/>
              <w:spacing w:after="0"/>
              <w:rPr>
                <w:sz w:val="20"/>
                <w:szCs w:val="20"/>
                <w:color w:val="auto"/>
              </w:rPr>
            </w:pPr>
            <w:r>
              <w:rPr>
                <w:rFonts w:ascii="Arial" w:cs="Arial" w:eastAsia="Arial" w:hAnsi="Arial"/>
                <w:sz w:val="14"/>
                <w:szCs w:val="14"/>
                <w:b w:val="1"/>
                <w:bCs w:val="1"/>
                <w:color w:val="FFFFFF"/>
              </w:rPr>
              <w:t>Investment Based On (4):</w:t>
            </w:r>
          </w:p>
        </w:tc>
        <w:tc>
          <w:tcPr>
            <w:tcW w:w="940" w:type="dxa"/>
            <w:vAlign w:val="bottom"/>
            <w:shd w:val="clear" w:color="auto" w:fill="465E66"/>
          </w:tcPr>
          <w:p>
            <w:pPr>
              <w:spacing w:after="0"/>
              <w:rPr>
                <w:sz w:val="16"/>
                <w:szCs w:val="16"/>
                <w:color w:val="auto"/>
              </w:rPr>
            </w:pPr>
          </w:p>
        </w:tc>
        <w:tc>
          <w:tcPr>
            <w:tcW w:w="94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0" w:type="dxa"/>
            <w:vAlign w:val="bottom"/>
            <w:shd w:val="clear" w:color="auto" w:fill="465E66"/>
          </w:tcPr>
          <w:p>
            <w:pPr>
              <w:spacing w:after="0"/>
              <w:rPr>
                <w:sz w:val="13"/>
                <w:szCs w:val="13"/>
                <w:color w:val="auto"/>
              </w:rPr>
            </w:pPr>
          </w:p>
        </w:tc>
        <w:tc>
          <w:tcPr>
            <w:tcW w:w="104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SCT Total (6)</w:t>
            </w:r>
          </w:p>
        </w:tc>
        <w:tc>
          <w:tcPr>
            <w:tcW w:w="900" w:type="dxa"/>
            <w:vAlign w:val="bottom"/>
            <w:vMerge w:val="restart"/>
            <w:shd w:val="clear" w:color="auto" w:fill="465E66"/>
          </w:tcPr>
          <w:p>
            <w:pPr>
              <w:jc w:val="right"/>
              <w:ind w:right="148"/>
              <w:spacing w:after="0"/>
              <w:rPr>
                <w:sz w:val="20"/>
                <w:szCs w:val="20"/>
                <w:color w:val="auto"/>
              </w:rPr>
            </w:pPr>
            <w:r>
              <w:rPr>
                <w:rFonts w:ascii="Arial" w:cs="Arial" w:eastAsia="Arial" w:hAnsi="Arial"/>
                <w:sz w:val="14"/>
                <w:szCs w:val="14"/>
                <w:b w:val="1"/>
                <w:bCs w:val="1"/>
                <w:color w:val="FFFFFF"/>
              </w:rPr>
              <w:t>CAP (7)</w:t>
            </w:r>
          </w:p>
        </w:tc>
        <w:tc>
          <w:tcPr>
            <w:tcW w:w="104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SCT Total (6)</w:t>
            </w:r>
          </w:p>
        </w:tc>
        <w:tc>
          <w:tcPr>
            <w:tcW w:w="740" w:type="dxa"/>
            <w:vAlign w:val="bottom"/>
            <w:vMerge w:val="restart"/>
            <w:shd w:val="clear" w:color="auto" w:fill="465E66"/>
          </w:tcPr>
          <w:p>
            <w:pPr>
              <w:jc w:val="right"/>
              <w:ind w:right="48"/>
              <w:spacing w:after="0"/>
              <w:rPr>
                <w:sz w:val="20"/>
                <w:szCs w:val="20"/>
                <w:color w:val="auto"/>
              </w:rPr>
            </w:pPr>
            <w:r>
              <w:rPr>
                <w:rFonts w:ascii="Arial" w:cs="Arial" w:eastAsia="Arial" w:hAnsi="Arial"/>
                <w:sz w:val="14"/>
                <w:szCs w:val="14"/>
                <w:b w:val="1"/>
                <w:bCs w:val="1"/>
                <w:color w:val="FFFFFF"/>
              </w:rPr>
              <w:t>CAP (7)</w:t>
            </w:r>
          </w:p>
        </w:tc>
        <w:tc>
          <w:tcPr>
            <w:tcW w:w="1300" w:type="dxa"/>
            <w:vAlign w:val="bottom"/>
            <w:shd w:val="clear" w:color="auto" w:fill="465E66"/>
          </w:tcPr>
          <w:p>
            <w:pPr>
              <w:ind w:left="200"/>
              <w:spacing w:after="0" w:line="153" w:lineRule="exact"/>
              <w:rPr>
                <w:sz w:val="20"/>
                <w:szCs w:val="20"/>
                <w:color w:val="auto"/>
              </w:rPr>
            </w:pPr>
            <w:r>
              <w:rPr>
                <w:rFonts w:ascii="Arial" w:cs="Arial" w:eastAsia="Arial" w:hAnsi="Arial"/>
                <w:sz w:val="14"/>
                <w:szCs w:val="14"/>
                <w:b w:val="1"/>
                <w:bCs w:val="1"/>
                <w:color w:val="FFFFFF"/>
              </w:rPr>
              <w:t>Average SCT</w:t>
            </w:r>
          </w:p>
        </w:tc>
        <w:tc>
          <w:tcPr>
            <w:tcW w:w="1280" w:type="dxa"/>
            <w:vAlign w:val="bottom"/>
            <w:vMerge w:val="restart"/>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Average CAP (7)</w:t>
            </w:r>
          </w:p>
        </w:tc>
        <w:tc>
          <w:tcPr>
            <w:tcW w:w="1160" w:type="dxa"/>
            <w:vAlign w:val="bottom"/>
            <w:vMerge w:val="restart"/>
            <w:shd w:val="clear" w:color="auto" w:fill="465E66"/>
          </w:tcPr>
          <w:p>
            <w:pPr>
              <w:jc w:val="right"/>
              <w:ind w:right="48"/>
              <w:spacing w:after="0"/>
              <w:rPr>
                <w:sz w:val="20"/>
                <w:szCs w:val="20"/>
                <w:color w:val="auto"/>
              </w:rPr>
            </w:pPr>
            <w:r>
              <w:rPr>
                <w:rFonts w:ascii="Arial" w:cs="Arial" w:eastAsia="Arial" w:hAnsi="Arial"/>
                <w:sz w:val="14"/>
                <w:szCs w:val="14"/>
                <w:b w:val="1"/>
                <w:bCs w:val="1"/>
                <w:color w:val="FFFFFF"/>
              </w:rPr>
              <w:t>Company TSR</w:t>
            </w:r>
          </w:p>
        </w:tc>
        <w:tc>
          <w:tcPr>
            <w:tcW w:w="1060" w:type="dxa"/>
            <w:vAlign w:val="bottom"/>
            <w:shd w:val="clear" w:color="auto" w:fill="465E66"/>
          </w:tcPr>
          <w:p>
            <w:pPr>
              <w:jc w:val="center"/>
              <w:ind w:right="8"/>
              <w:spacing w:after="0" w:line="153" w:lineRule="exact"/>
              <w:rPr>
                <w:sz w:val="20"/>
                <w:szCs w:val="20"/>
                <w:color w:val="auto"/>
              </w:rPr>
            </w:pPr>
            <w:r>
              <w:rPr>
                <w:rFonts w:ascii="Arial" w:cs="Arial" w:eastAsia="Arial" w:hAnsi="Arial"/>
                <w:sz w:val="14"/>
                <w:szCs w:val="14"/>
                <w:b w:val="1"/>
                <w:bCs w:val="1"/>
                <w:color w:val="FFFFFF"/>
              </w:rPr>
              <w:t>Peer Group</w:t>
            </w:r>
          </w:p>
        </w:tc>
        <w:tc>
          <w:tcPr>
            <w:tcW w:w="940" w:type="dxa"/>
            <w:vAlign w:val="bottom"/>
            <w:vMerge w:val="restart"/>
            <w:shd w:val="clear" w:color="auto" w:fill="465E66"/>
          </w:tcPr>
          <w:p>
            <w:pPr>
              <w:jc w:val="right"/>
              <w:ind w:right="8"/>
              <w:spacing w:after="0"/>
              <w:rPr>
                <w:sz w:val="20"/>
                <w:szCs w:val="20"/>
                <w:color w:val="auto"/>
              </w:rPr>
            </w:pPr>
            <w:r>
              <w:rPr>
                <w:rFonts w:ascii="Arial" w:cs="Arial" w:eastAsia="Arial" w:hAnsi="Arial"/>
                <w:sz w:val="14"/>
                <w:szCs w:val="14"/>
                <w:b w:val="1"/>
                <w:bCs w:val="1"/>
                <w:color w:val="FFFFFF"/>
              </w:rPr>
              <w:t>Net Income</w:t>
            </w:r>
          </w:p>
        </w:tc>
        <w:tc>
          <w:tcPr>
            <w:tcW w:w="94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44"/>
        </w:trPr>
        <w:tc>
          <w:tcPr>
            <w:tcW w:w="84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040" w:type="dxa"/>
            <w:vAlign w:val="bottom"/>
            <w:vMerge w:val="continue"/>
            <w:shd w:val="clear" w:color="auto" w:fill="465E66"/>
          </w:tcPr>
          <w:p>
            <w:pPr>
              <w:spacing w:after="0"/>
              <w:rPr>
                <w:sz w:val="12"/>
                <w:szCs w:val="12"/>
                <w:color w:val="auto"/>
              </w:rPr>
            </w:pPr>
          </w:p>
        </w:tc>
        <w:tc>
          <w:tcPr>
            <w:tcW w:w="900" w:type="dxa"/>
            <w:vAlign w:val="bottom"/>
            <w:vMerge w:val="continue"/>
            <w:shd w:val="clear" w:color="auto" w:fill="465E66"/>
          </w:tcPr>
          <w:p>
            <w:pPr>
              <w:spacing w:after="0"/>
              <w:rPr>
                <w:sz w:val="12"/>
                <w:szCs w:val="12"/>
                <w:color w:val="auto"/>
              </w:rPr>
            </w:pPr>
          </w:p>
        </w:tc>
        <w:tc>
          <w:tcPr>
            <w:tcW w:w="1040" w:type="dxa"/>
            <w:vAlign w:val="bottom"/>
            <w:vMerge w:val="continue"/>
            <w:shd w:val="clear" w:color="auto" w:fill="465E66"/>
          </w:tcPr>
          <w:p>
            <w:pPr>
              <w:spacing w:after="0"/>
              <w:rPr>
                <w:sz w:val="12"/>
                <w:szCs w:val="12"/>
                <w:color w:val="auto"/>
              </w:rPr>
            </w:pPr>
          </w:p>
        </w:tc>
        <w:tc>
          <w:tcPr>
            <w:tcW w:w="740" w:type="dxa"/>
            <w:vAlign w:val="bottom"/>
            <w:vMerge w:val="continue"/>
            <w:shd w:val="clear" w:color="auto" w:fill="465E66"/>
          </w:tcPr>
          <w:p>
            <w:pPr>
              <w:spacing w:after="0"/>
              <w:rPr>
                <w:sz w:val="12"/>
                <w:szCs w:val="12"/>
                <w:color w:val="auto"/>
              </w:rPr>
            </w:pPr>
          </w:p>
        </w:tc>
        <w:tc>
          <w:tcPr>
            <w:tcW w:w="1300" w:type="dxa"/>
            <w:vAlign w:val="bottom"/>
            <w:shd w:val="clear" w:color="auto" w:fill="465E66"/>
          </w:tcPr>
          <w:p>
            <w:pPr>
              <w:ind w:left="380"/>
              <w:spacing w:after="0" w:line="145" w:lineRule="exact"/>
              <w:rPr>
                <w:sz w:val="20"/>
                <w:szCs w:val="20"/>
                <w:color w:val="auto"/>
              </w:rPr>
            </w:pPr>
            <w:r>
              <w:rPr>
                <w:rFonts w:ascii="Arial" w:cs="Arial" w:eastAsia="Arial" w:hAnsi="Arial"/>
                <w:sz w:val="14"/>
                <w:szCs w:val="14"/>
                <w:b w:val="1"/>
                <w:bCs w:val="1"/>
                <w:color w:val="FFFFFF"/>
              </w:rPr>
              <w:t>Total (6)</w:t>
            </w:r>
          </w:p>
        </w:tc>
        <w:tc>
          <w:tcPr>
            <w:tcW w:w="1280" w:type="dxa"/>
            <w:vAlign w:val="bottom"/>
            <w:vMerge w:val="continue"/>
            <w:shd w:val="clear" w:color="auto" w:fill="465E66"/>
          </w:tcPr>
          <w:p>
            <w:pPr>
              <w:spacing w:after="0"/>
              <w:rPr>
                <w:sz w:val="12"/>
                <w:szCs w:val="12"/>
                <w:color w:val="auto"/>
              </w:rPr>
            </w:pPr>
          </w:p>
        </w:tc>
        <w:tc>
          <w:tcPr>
            <w:tcW w:w="1160" w:type="dxa"/>
            <w:vAlign w:val="bottom"/>
            <w:vMerge w:val="continue"/>
            <w:shd w:val="clear" w:color="auto" w:fill="465E66"/>
          </w:tcPr>
          <w:p>
            <w:pPr>
              <w:spacing w:after="0"/>
              <w:rPr>
                <w:sz w:val="12"/>
                <w:szCs w:val="12"/>
                <w:color w:val="auto"/>
              </w:rPr>
            </w:pPr>
          </w:p>
        </w:tc>
        <w:tc>
          <w:tcPr>
            <w:tcW w:w="1060" w:type="dxa"/>
            <w:vAlign w:val="bottom"/>
            <w:shd w:val="clear" w:color="auto" w:fill="465E66"/>
          </w:tcPr>
          <w:p>
            <w:pPr>
              <w:jc w:val="center"/>
              <w:spacing w:after="0" w:line="145" w:lineRule="exact"/>
              <w:rPr>
                <w:sz w:val="20"/>
                <w:szCs w:val="20"/>
                <w:color w:val="auto"/>
              </w:rPr>
            </w:pPr>
            <w:r>
              <w:rPr>
                <w:rFonts w:ascii="Arial" w:cs="Arial" w:eastAsia="Arial" w:hAnsi="Arial"/>
                <w:sz w:val="14"/>
                <w:szCs w:val="14"/>
                <w:b w:val="1"/>
                <w:bCs w:val="1"/>
                <w:color w:val="FFFFFF"/>
                <w:w w:val="99"/>
              </w:rPr>
              <w:t>TSR</w:t>
            </w:r>
          </w:p>
        </w:tc>
        <w:tc>
          <w:tcPr>
            <w:tcW w:w="940" w:type="dxa"/>
            <w:vAlign w:val="bottom"/>
            <w:vMerge w:val="continue"/>
            <w:shd w:val="clear" w:color="auto" w:fill="465E66"/>
          </w:tcPr>
          <w:p>
            <w:pPr>
              <w:spacing w:after="0"/>
              <w:rPr>
                <w:sz w:val="12"/>
                <w:szCs w:val="12"/>
                <w:color w:val="auto"/>
              </w:rPr>
            </w:pPr>
          </w:p>
        </w:tc>
        <w:tc>
          <w:tcPr>
            <w:tcW w:w="940" w:type="dxa"/>
            <w:vAlign w:val="bottom"/>
            <w:vMerge w:val="continue"/>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0" w:type="dxa"/>
            <w:vAlign w:val="bottom"/>
            <w:vMerge w:val="continue"/>
            <w:shd w:val="clear" w:color="auto" w:fill="465E66"/>
          </w:tcPr>
          <w:p>
            <w:pPr>
              <w:spacing w:after="0"/>
              <w:rPr>
                <w:sz w:val="16"/>
                <w:szCs w:val="16"/>
                <w:color w:val="auto"/>
              </w:rPr>
            </w:pPr>
          </w:p>
        </w:tc>
        <w:tc>
          <w:tcPr>
            <w:tcW w:w="1040" w:type="dxa"/>
            <w:vAlign w:val="bottom"/>
            <w:shd w:val="clear" w:color="auto" w:fill="465E66"/>
          </w:tcPr>
          <w:p>
            <w:pPr>
              <w:jc w:val="right"/>
              <w:ind w:right="38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465E66"/>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465E66"/>
          </w:tcPr>
          <w:p>
            <w:pPr>
              <w:jc w:val="right"/>
              <w:ind w:right="388"/>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465E66"/>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465E66"/>
          </w:tcPr>
          <w:p>
            <w:pPr>
              <w:ind w:left="560"/>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465E66"/>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465E66"/>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465E66"/>
          </w:tcPr>
          <w:p>
            <w:pPr>
              <w:jc w:val="center"/>
              <w:ind w:right="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465E66"/>
          </w:tcPr>
          <w:p>
            <w:pPr>
              <w:jc w:val="right"/>
              <w:ind w:right="28"/>
              <w:spacing w:after="0"/>
              <w:rPr>
                <w:sz w:val="20"/>
                <w:szCs w:val="20"/>
                <w:color w:val="auto"/>
              </w:rPr>
            </w:pPr>
            <w:r>
              <w:rPr>
                <w:rFonts w:ascii="Arial" w:cs="Arial" w:eastAsia="Arial" w:hAnsi="Arial"/>
                <w:sz w:val="14"/>
                <w:szCs w:val="14"/>
                <w:b w:val="1"/>
                <w:bCs w:val="1"/>
                <w:color w:val="FFFFFF"/>
              </w:rPr>
              <w:t>($ millions)</w:t>
            </w:r>
          </w:p>
        </w:tc>
        <w:tc>
          <w:tcPr>
            <w:tcW w:w="9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 millions)</w:t>
            </w:r>
          </w:p>
        </w:tc>
        <w:tc>
          <w:tcPr>
            <w:tcW w:w="0" w:type="dxa"/>
            <w:vAlign w:val="bottom"/>
          </w:tcPr>
          <w:p>
            <w:pPr>
              <w:spacing w:after="0"/>
              <w:rPr>
                <w:sz w:val="1"/>
                <w:szCs w:val="1"/>
                <w:color w:val="auto"/>
              </w:rPr>
            </w:pPr>
          </w:p>
        </w:tc>
      </w:tr>
      <w:tr>
        <w:trPr>
          <w:trHeight w:val="203"/>
        </w:trPr>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10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19,965,513</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35,879,947</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ind w:left="580"/>
              <w:spacing w:after="0"/>
              <w:rPr>
                <w:sz w:val="20"/>
                <w:szCs w:val="20"/>
                <w:color w:val="auto"/>
              </w:rPr>
            </w:pPr>
            <w:r>
              <w:rPr>
                <w:rFonts w:ascii="Arial" w:cs="Arial" w:eastAsia="Arial" w:hAnsi="Arial"/>
                <w:sz w:val="14"/>
                <w:szCs w:val="14"/>
                <w:color w:val="auto"/>
              </w:rPr>
              <w:t>4,730,325</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8,918,083</w:t>
            </w:r>
          </w:p>
        </w:tc>
        <w:tc>
          <w:tcPr>
            <w:tcW w:w="11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343</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226</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2,184</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8,253</w:t>
            </w:r>
          </w:p>
        </w:tc>
        <w:tc>
          <w:tcPr>
            <w:tcW w:w="0" w:type="dxa"/>
            <w:vAlign w:val="bottom"/>
          </w:tcPr>
          <w:p>
            <w:pPr>
              <w:spacing w:after="0"/>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4"/>
                <w:szCs w:val="14"/>
                <w:color w:val="auto"/>
              </w:rPr>
              <w:t>2022</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16,519,702</w:t>
            </w:r>
          </w:p>
        </w:tc>
        <w:tc>
          <w:tcPr>
            <w:tcW w:w="900" w:type="dxa"/>
            <w:vAlign w:val="bottom"/>
          </w:tcPr>
          <w:p>
            <w:pPr>
              <w:jc w:val="right"/>
              <w:spacing w:after="0"/>
              <w:rPr>
                <w:sz w:val="20"/>
                <w:szCs w:val="20"/>
                <w:color w:val="auto"/>
              </w:rPr>
            </w:pPr>
            <w:r>
              <w:rPr>
                <w:rFonts w:ascii="Arial" w:cs="Arial" w:eastAsia="Arial" w:hAnsi="Arial"/>
                <w:sz w:val="14"/>
                <w:szCs w:val="14"/>
                <w:color w:val="auto"/>
              </w:rPr>
              <w:t>20,249,043</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ind w:left="580"/>
              <w:spacing w:after="0"/>
              <w:rPr>
                <w:sz w:val="20"/>
                <w:szCs w:val="20"/>
                <w:color w:val="auto"/>
              </w:rPr>
            </w:pPr>
            <w:r>
              <w:rPr>
                <w:rFonts w:ascii="Arial" w:cs="Arial" w:eastAsia="Arial" w:hAnsi="Arial"/>
                <w:sz w:val="14"/>
                <w:szCs w:val="14"/>
                <w:color w:val="auto"/>
              </w:rPr>
              <w:t>3,699,715</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2,710,546</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1,902</w:t>
            </w:r>
          </w:p>
        </w:tc>
        <w:tc>
          <w:tcPr>
            <w:tcW w:w="940" w:type="dxa"/>
            <w:vAlign w:val="bottom"/>
          </w:tcPr>
          <w:p>
            <w:pPr>
              <w:jc w:val="right"/>
              <w:spacing w:after="0"/>
              <w:rPr>
                <w:sz w:val="20"/>
                <w:szCs w:val="20"/>
                <w:color w:val="auto"/>
              </w:rPr>
            </w:pPr>
            <w:r>
              <w:rPr>
                <w:rFonts w:ascii="Arial" w:cs="Arial" w:eastAsia="Arial" w:hAnsi="Arial"/>
                <w:sz w:val="14"/>
                <w:szCs w:val="14"/>
                <w:color w:val="auto"/>
              </w:rPr>
              <w:t>8,326</w:t>
            </w:r>
          </w:p>
        </w:tc>
        <w:tc>
          <w:tcPr>
            <w:tcW w:w="0" w:type="dxa"/>
            <w:vAlign w:val="bottom"/>
          </w:tcPr>
          <w:p>
            <w:pPr>
              <w:spacing w:after="0"/>
              <w:rPr>
                <w:sz w:val="1"/>
                <w:szCs w:val="1"/>
                <w:color w:val="auto"/>
              </w:rPr>
            </w:pPr>
          </w:p>
        </w:tc>
      </w:tr>
      <w:tr>
        <w:trPr>
          <w:trHeight w:val="207"/>
        </w:trPr>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10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12,825,562</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37,831,495</w:t>
            </w:r>
          </w:p>
        </w:tc>
        <w:tc>
          <w:tcPr>
            <w:tcW w:w="104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ind w:left="580"/>
              <w:spacing w:after="0"/>
              <w:rPr>
                <w:sz w:val="20"/>
                <w:szCs w:val="20"/>
                <w:color w:val="auto"/>
              </w:rPr>
            </w:pPr>
            <w:r>
              <w:rPr>
                <w:rFonts w:ascii="Arial" w:cs="Arial" w:eastAsia="Arial" w:hAnsi="Arial"/>
                <w:sz w:val="14"/>
                <w:szCs w:val="14"/>
                <w:color w:val="auto"/>
              </w:rPr>
              <w:t>4,014,944</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10,996,407</w:t>
            </w:r>
          </w:p>
        </w:tc>
        <w:tc>
          <w:tcPr>
            <w:tcW w:w="11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279</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213</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1,010</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6,740</w:t>
            </w:r>
          </w:p>
        </w:tc>
        <w:tc>
          <w:tcPr>
            <w:tcW w:w="0" w:type="dxa"/>
            <w:vAlign w:val="bottom"/>
          </w:tcPr>
          <w:p>
            <w:pPr>
              <w:spacing w:after="0"/>
              <w:rPr>
                <w:sz w:val="1"/>
                <w:szCs w:val="1"/>
                <w:color w:val="auto"/>
              </w:rPr>
            </w:pPr>
          </w:p>
        </w:tc>
      </w:tr>
      <w:tr>
        <w:trPr>
          <w:trHeight w:val="194"/>
        </w:trPr>
        <w:tc>
          <w:tcPr>
            <w:tcW w:w="840" w:type="dxa"/>
            <w:vAlign w:val="bottom"/>
          </w:tcPr>
          <w:p>
            <w:pPr>
              <w:ind w:left="20"/>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7,866,813</w:t>
            </w:r>
          </w:p>
        </w:tc>
        <w:tc>
          <w:tcPr>
            <w:tcW w:w="900" w:type="dxa"/>
            <w:vAlign w:val="bottom"/>
          </w:tcPr>
          <w:p>
            <w:pPr>
              <w:jc w:val="right"/>
              <w:spacing w:after="0"/>
              <w:rPr>
                <w:sz w:val="20"/>
                <w:szCs w:val="20"/>
                <w:color w:val="auto"/>
              </w:rPr>
            </w:pPr>
            <w:r>
              <w:rPr>
                <w:rFonts w:ascii="Arial" w:cs="Arial" w:eastAsia="Arial" w:hAnsi="Arial"/>
                <w:sz w:val="14"/>
                <w:szCs w:val="14"/>
                <w:color w:val="auto"/>
              </w:rPr>
              <w:t>8,510,970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7,056,742</w:t>
            </w:r>
          </w:p>
        </w:tc>
        <w:tc>
          <w:tcPr>
            <w:tcW w:w="740" w:type="dxa"/>
            <w:vAlign w:val="bottom"/>
          </w:tcPr>
          <w:p>
            <w:pPr>
              <w:jc w:val="right"/>
              <w:spacing w:after="0"/>
              <w:rPr>
                <w:sz w:val="20"/>
                <w:szCs w:val="20"/>
                <w:color w:val="auto"/>
              </w:rPr>
            </w:pPr>
            <w:r>
              <w:rPr>
                <w:rFonts w:ascii="Arial" w:cs="Arial" w:eastAsia="Arial" w:hAnsi="Arial"/>
                <w:sz w:val="14"/>
                <w:szCs w:val="14"/>
                <w:color w:val="auto"/>
              </w:rPr>
              <w:t>5,738,178</w:t>
            </w:r>
          </w:p>
        </w:tc>
        <w:tc>
          <w:tcPr>
            <w:tcW w:w="1300" w:type="dxa"/>
            <w:vAlign w:val="bottom"/>
          </w:tcPr>
          <w:p>
            <w:pPr>
              <w:ind w:left="580"/>
              <w:spacing w:after="0"/>
              <w:rPr>
                <w:sz w:val="20"/>
                <w:szCs w:val="20"/>
                <w:color w:val="auto"/>
              </w:rPr>
            </w:pPr>
            <w:r>
              <w:rPr>
                <w:rFonts w:ascii="Arial" w:cs="Arial" w:eastAsia="Arial" w:hAnsi="Arial"/>
                <w:sz w:val="14"/>
                <w:szCs w:val="14"/>
                <w:color w:val="auto"/>
              </w:rPr>
              <w:t>2,363,835</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2,129,348</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940" w:type="dxa"/>
            <w:vAlign w:val="bottom"/>
          </w:tcPr>
          <w:p>
            <w:pPr>
              <w:jc w:val="right"/>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-842645</wp:posOffset>
            </wp:positionV>
            <wp:extent cx="5480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-842645</wp:posOffset>
            </wp:positionV>
            <wp:extent cx="5327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276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-842645</wp:posOffset>
            </wp:positionV>
            <wp:extent cx="6597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-834390</wp:posOffset>
            </wp:positionV>
            <wp:extent cx="9340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6667500</wp:posOffset>
            </wp:positionH>
            <wp:positionV relativeFrom="paragraph">
              <wp:posOffset>-842645</wp:posOffset>
            </wp:positionV>
            <wp:extent cx="2032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6" w:lineRule="exact"/>
        <w:rPr>
          <w:sz w:val="20"/>
          <w:szCs w:val="20"/>
          <w:color w:val="auto"/>
        </w:r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Current PEO refers to Mr. El-Khoury, who was appointed as our President and CEO on December 7, 2020.</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Former PEO refers to Keith Jackson, Mr. El-Khoury’s predecessor in office.</w:t>
      </w:r>
    </w:p>
    <w:p>
      <w:pPr>
        <w:spacing w:after="0" w:line="41" w:lineRule="exact"/>
        <w:rPr>
          <w:rFonts w:ascii="Arial" w:cs="Arial" w:eastAsia="Arial" w:hAnsi="Arial"/>
          <w:sz w:val="14"/>
          <w:szCs w:val="14"/>
          <w:color w:val="auto"/>
        </w:rPr>
      </w:pPr>
    </w:p>
    <w:p>
      <w:pPr>
        <w:ind w:left="260" w:right="40" w:hanging="234"/>
        <w:spacing w:after="0"/>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Other NEOs refers to all named executive officers, other than the PEO, who were designated as such under the SEC’s executive compensation disclosure rules based on their position and the compensation paid to them during the relevant year shown in the chart. All Other NEOs for each year consists of the following officers: for 2023, Messrs. Trent, Keeton, Jatou and Gopalswamy; for 2022, Messrs. Trent, Keeton, Jatou, and former officers Robert Tong and Vince Hopkin; for 2021, Messrs. Trent, Keeton, Jatou and Hopkin, as well as former officers George H. Cave and Bernard Gutmann; and for 2020, Messrs. Keeton, Hopkin and Gutmann, as well as former officer William Schromm.</w:t>
      </w:r>
    </w:p>
    <w:p>
      <w:pPr>
        <w:spacing w:after="0" w:line="126" w:lineRule="exact"/>
        <w:rPr>
          <w:rFonts w:ascii="Arial" w:cs="Arial" w:eastAsia="Arial" w:hAnsi="Arial"/>
          <w:sz w:val="14"/>
          <w:szCs w:val="14"/>
          <w:color w:val="auto"/>
        </w:rPr>
      </w:pPr>
    </w:p>
    <w:p>
      <w:pPr>
        <w:jc w:val="both"/>
        <w:ind w:left="260" w:right="40" w:hanging="234"/>
        <w:spacing w:after="0" w:line="234" w:lineRule="auto"/>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one-, two-, three- and four-year cumulative TSR. To illustrate peer group TSR, we selected the PHLX Semiconductor Sector Index (SOX), which we also use for comparison purposes in the five-year cumulative stock performance graph included in our annual report to stockholders. Our TSR performance relative to a smaller group of peer companies is a key performance metric in determining compensation actually paid to our NEOs, as identified below under “Most Important Performance Metrics.”</w:t>
      </w:r>
    </w:p>
    <w:p>
      <w:pPr>
        <w:spacing w:after="0" w:line="13" w:lineRule="exact"/>
        <w:rPr>
          <w:rFonts w:ascii="Arial" w:cs="Arial" w:eastAsia="Arial" w:hAnsi="Arial"/>
          <w:sz w:val="14"/>
          <w:szCs w:val="14"/>
          <w:color w:val="auto"/>
        </w:r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 purposes of this chart, we have selected revenue as our company-selected metric (CSM).</w:t>
      </w:r>
    </w:p>
    <w:p>
      <w:pPr>
        <w:spacing w:after="0" w:line="41" w:lineRule="exact"/>
        <w:rPr>
          <w:rFonts w:ascii="Arial" w:cs="Arial" w:eastAsia="Arial" w:hAnsi="Arial"/>
          <w:sz w:val="14"/>
          <w:szCs w:val="14"/>
          <w:color w:val="auto"/>
        </w:r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totals in these columns reflect amounts reported in our SCT for the applicable year.</w:t>
      </w:r>
    </w:p>
    <w:p>
      <w:pPr>
        <w:spacing w:after="0" w:line="41" w:lineRule="exact"/>
        <w:rPr>
          <w:rFonts w:ascii="Arial" w:cs="Arial" w:eastAsia="Arial" w:hAnsi="Arial"/>
          <w:sz w:val="14"/>
          <w:szCs w:val="14"/>
          <w:color w:val="auto"/>
        </w:rPr>
      </w:pPr>
    </w:p>
    <w:p>
      <w:pPr>
        <w:ind w:left="260" w:right="180" w:hanging="234"/>
        <w:spacing w:after="0" w:line="264" w:lineRule="auto"/>
        <w:tabs>
          <w:tab w:leader="none" w:pos="233" w:val="left"/>
        </w:tabs>
        <w:numPr>
          <w:ilvl w:val="0"/>
          <w:numId w:val="83"/>
        </w:numPr>
        <w:rPr>
          <w:rFonts w:ascii="Arial" w:cs="Arial" w:eastAsia="Arial" w:hAnsi="Arial"/>
          <w:sz w:val="14"/>
          <w:szCs w:val="14"/>
          <w:color w:val="auto"/>
        </w:rPr>
      </w:pPr>
      <w:r>
        <w:rPr>
          <w:rFonts w:ascii="Arial" w:cs="Arial" w:eastAsia="Arial" w:hAnsi="Arial"/>
          <w:sz w:val="14"/>
          <w:szCs w:val="14"/>
          <w:color w:val="auto"/>
        </w:rPr>
        <w:t>To calculate compensation actually paid (CAP), the corresponding SCT total was adjusted as detailed below as required by SEC rules. For a reconciliation of SCT to CAP, please see the next two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shd w:val="clear" w:color="auto" w:fill="465E66"/>
          </w:tcPr>
          <w:p>
            <w:pPr>
              <w:spacing w:after="0"/>
              <w:rPr>
                <w:sz w:val="17"/>
                <w:szCs w:val="17"/>
                <w:color w:val="auto"/>
              </w:rPr>
            </w:pPr>
          </w:p>
        </w:tc>
        <w:tc>
          <w:tcPr>
            <w:tcW w:w="1360" w:type="dxa"/>
            <w:vAlign w:val="bottom"/>
            <w:shd w:val="clear" w:color="auto" w:fill="465E66"/>
          </w:tcPr>
          <w:p>
            <w:pPr>
              <w:spacing w:after="0"/>
              <w:rPr>
                <w:sz w:val="17"/>
                <w:szCs w:val="17"/>
                <w:color w:val="auto"/>
              </w:rPr>
            </w:pPr>
          </w:p>
        </w:tc>
        <w:tc>
          <w:tcPr>
            <w:tcW w:w="1720" w:type="dxa"/>
            <w:vAlign w:val="bottom"/>
            <w:shd w:val="clear" w:color="auto" w:fill="465E66"/>
          </w:tcPr>
          <w:p>
            <w:pPr>
              <w:spacing w:after="0"/>
              <w:rPr>
                <w:sz w:val="17"/>
                <w:szCs w:val="17"/>
                <w:color w:val="auto"/>
              </w:rPr>
            </w:pPr>
          </w:p>
        </w:tc>
        <w:tc>
          <w:tcPr>
            <w:tcW w:w="4240" w:type="dxa"/>
            <w:vAlign w:val="bottom"/>
            <w:gridSpan w:val="3"/>
            <w:shd w:val="clear" w:color="auto" w:fill="465E66"/>
          </w:tcPr>
          <w:p>
            <w:pPr>
              <w:ind w:left="340"/>
              <w:spacing w:after="0"/>
              <w:rPr>
                <w:sz w:val="20"/>
                <w:szCs w:val="20"/>
                <w:color w:val="auto"/>
              </w:rPr>
            </w:pPr>
            <w:r>
              <w:rPr>
                <w:rFonts w:ascii="Arial" w:cs="Arial" w:eastAsia="Arial" w:hAnsi="Arial"/>
                <w:sz w:val="14"/>
                <w:szCs w:val="14"/>
                <w:b w:val="1"/>
                <w:bCs w:val="1"/>
                <w:color w:val="FFFFFF"/>
              </w:rPr>
              <w:t>SCT to CAP Reconciliation — PEOs (A)</w:t>
            </w:r>
          </w:p>
        </w:tc>
        <w:tc>
          <w:tcPr>
            <w:tcW w:w="1660" w:type="dxa"/>
            <w:vAlign w:val="bottom"/>
            <w:shd w:val="clear" w:color="auto" w:fill="465E66"/>
          </w:tcPr>
          <w:p>
            <w:pPr>
              <w:spacing w:after="0"/>
              <w:rPr>
                <w:sz w:val="17"/>
                <w:szCs w:val="17"/>
                <w:color w:val="auto"/>
              </w:rPr>
            </w:pPr>
          </w:p>
        </w:tc>
        <w:tc>
          <w:tcPr>
            <w:tcW w:w="140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3120" w:type="dxa"/>
            <w:vAlign w:val="bottom"/>
            <w:gridSpan w:val="2"/>
            <w:shd w:val="clear" w:color="auto" w:fill="465E66"/>
          </w:tcPr>
          <w:p>
            <w:pPr>
              <w:jc w:val="center"/>
              <w:ind w:left="48"/>
              <w:spacing w:after="0" w:line="149" w:lineRule="exact"/>
              <w:rPr>
                <w:sz w:val="20"/>
                <w:szCs w:val="20"/>
                <w:color w:val="auto"/>
              </w:rPr>
            </w:pPr>
            <w:r>
              <w:rPr>
                <w:rFonts w:ascii="Arial" w:cs="Arial" w:eastAsia="Arial" w:hAnsi="Arial"/>
                <w:sz w:val="14"/>
                <w:szCs w:val="14"/>
                <w:b w:val="1"/>
                <w:bCs w:val="1"/>
                <w:color w:val="FFFFFF"/>
              </w:rPr>
              <w:t>Adjust Value of</w:t>
            </w:r>
          </w:p>
        </w:tc>
        <w:tc>
          <w:tcPr>
            <w:tcW w:w="4500" w:type="dxa"/>
            <w:vAlign w:val="bottom"/>
            <w:gridSpan w:val="3"/>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 xml:space="preserve">Adjust for Incremental </w:t>
            </w:r>
            <w:r>
              <w:rPr>
                <w:rFonts w:ascii="Arial" w:cs="Arial" w:eastAsia="Arial" w:hAnsi="Arial"/>
                <w:sz w:val="14"/>
                <w:szCs w:val="14"/>
                <w:b w:val="1"/>
                <w:bCs w:val="1"/>
                <w:i w:val="1"/>
                <w:iCs w:val="1"/>
                <w:color w:val="FFFFFF"/>
              </w:rPr>
              <w:t>Increase/(Decrease)</w:t>
            </w:r>
          </w:p>
        </w:tc>
        <w:tc>
          <w:tcPr>
            <w:tcW w:w="140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465E66"/>
          </w:tcPr>
          <w:p>
            <w:pPr>
              <w:spacing w:after="0"/>
              <w:rPr>
                <w:sz w:val="16"/>
                <w:szCs w:val="16"/>
                <w:color w:val="auto"/>
              </w:rPr>
            </w:pPr>
          </w:p>
        </w:tc>
        <w:tc>
          <w:tcPr>
            <w:tcW w:w="1360" w:type="dxa"/>
            <w:vAlign w:val="bottom"/>
            <w:shd w:val="clear" w:color="auto" w:fill="465E66"/>
          </w:tcPr>
          <w:p>
            <w:pPr>
              <w:spacing w:after="0"/>
              <w:rPr>
                <w:sz w:val="16"/>
                <w:szCs w:val="16"/>
                <w:color w:val="auto"/>
              </w:rPr>
            </w:pPr>
          </w:p>
        </w:tc>
        <w:tc>
          <w:tcPr>
            <w:tcW w:w="3120" w:type="dxa"/>
            <w:vAlign w:val="bottom"/>
            <w:gridSpan w:val="2"/>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Current Year’s Equity Grant</w:t>
            </w:r>
          </w:p>
        </w:tc>
        <w:tc>
          <w:tcPr>
            <w:tcW w:w="4500" w:type="dxa"/>
            <w:vAlign w:val="bottom"/>
            <w:gridSpan w:val="3"/>
            <w:shd w:val="clear" w:color="auto" w:fill="465E66"/>
          </w:tcPr>
          <w:p>
            <w:pPr>
              <w:jc w:val="center"/>
              <w:spacing w:after="0"/>
              <w:rPr>
                <w:sz w:val="20"/>
                <w:szCs w:val="20"/>
                <w:color w:val="auto"/>
              </w:rPr>
            </w:pPr>
            <w:r>
              <w:rPr>
                <w:rFonts w:ascii="Arial" w:cs="Arial" w:eastAsia="Arial" w:hAnsi="Arial"/>
                <w:sz w:val="14"/>
                <w:szCs w:val="14"/>
                <w:b w:val="1"/>
                <w:bCs w:val="1"/>
                <w:color w:val="FFFFFF"/>
              </w:rPr>
              <w:t>in Value of All Other Outstanding Equity Grants</w:t>
            </w:r>
          </w:p>
        </w:tc>
        <w:tc>
          <w:tcPr>
            <w:tcW w:w="1400" w:type="dxa"/>
            <w:vAlign w:val="bottom"/>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465E66"/>
          </w:tcPr>
          <w:p>
            <w:pPr>
              <w:spacing w:after="0"/>
              <w:rPr>
                <w:sz w:val="12"/>
                <w:szCs w:val="12"/>
                <w:color w:val="auto"/>
              </w:rPr>
            </w:pPr>
          </w:p>
        </w:tc>
        <w:tc>
          <w:tcPr>
            <w:tcW w:w="1360" w:type="dxa"/>
            <w:vAlign w:val="bottom"/>
            <w:shd w:val="clear" w:color="auto" w:fill="465E66"/>
          </w:tcPr>
          <w:p>
            <w:pPr>
              <w:spacing w:after="0"/>
              <w:rPr>
                <w:sz w:val="12"/>
                <w:szCs w:val="12"/>
                <w:color w:val="auto"/>
              </w:rPr>
            </w:pPr>
          </w:p>
        </w:tc>
        <w:tc>
          <w:tcPr>
            <w:tcW w:w="1720" w:type="dxa"/>
            <w:vAlign w:val="bottom"/>
            <w:shd w:val="clear" w:color="auto" w:fill="465E66"/>
          </w:tcPr>
          <w:p>
            <w:pPr>
              <w:jc w:val="center"/>
              <w:ind w:left="8"/>
              <w:spacing w:after="0" w:line="149" w:lineRule="exact"/>
              <w:rPr>
                <w:sz w:val="20"/>
                <w:szCs w:val="20"/>
                <w:color w:val="auto"/>
              </w:rPr>
            </w:pPr>
            <w:r>
              <w:rPr>
                <w:rFonts w:ascii="Arial" w:cs="Arial" w:eastAsia="Arial" w:hAnsi="Arial"/>
                <w:sz w:val="14"/>
                <w:szCs w:val="14"/>
                <w:b w:val="1"/>
                <w:bCs w:val="1"/>
                <w:i w:val="1"/>
                <w:iCs w:val="1"/>
                <w:color w:val="FFFFFF"/>
              </w:rPr>
              <w:t xml:space="preserve">Subtract </w:t>
            </w:r>
            <w:r>
              <w:rPr>
                <w:rFonts w:ascii="Arial" w:cs="Arial" w:eastAsia="Arial" w:hAnsi="Arial"/>
                <w:sz w:val="14"/>
                <w:szCs w:val="14"/>
                <w:b w:val="1"/>
                <w:bCs w:val="1"/>
                <w:color w:val="FFFFFF"/>
              </w:rPr>
              <w:t>Grant Date</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 xml:space="preserve">Add </w:t>
            </w:r>
            <w:r>
              <w:rPr>
                <w:rFonts w:ascii="Arial" w:cs="Arial" w:eastAsia="Arial" w:hAnsi="Arial"/>
                <w:sz w:val="14"/>
                <w:szCs w:val="14"/>
                <w:b w:val="1"/>
                <w:bCs w:val="1"/>
                <w:color w:val="FFFFFF"/>
              </w:rPr>
              <w:t>Fair Market</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Unvested Awards</w:t>
            </w:r>
          </w:p>
        </w:tc>
        <w:tc>
          <w:tcPr>
            <w:tcW w:w="144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Vested during Year</w:t>
            </w:r>
          </w:p>
        </w:tc>
        <w:tc>
          <w:tcPr>
            <w:tcW w:w="166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Forfeited during Year</w:t>
            </w:r>
          </w:p>
        </w:tc>
        <w:tc>
          <w:tcPr>
            <w:tcW w:w="1400" w:type="dxa"/>
            <w:vAlign w:val="bottom"/>
            <w:shd w:val="clear" w:color="auto" w:fill="465E6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360" w:type="dxa"/>
            <w:vAlign w:val="bottom"/>
            <w:vMerge w:val="restart"/>
            <w:shd w:val="clear" w:color="auto" w:fill="465E66"/>
          </w:tcPr>
          <w:p>
            <w:pPr>
              <w:ind w:left="280"/>
              <w:spacing w:after="0"/>
              <w:rPr>
                <w:sz w:val="20"/>
                <w:szCs w:val="20"/>
                <w:color w:val="auto"/>
              </w:rPr>
            </w:pPr>
            <w:r>
              <w:rPr>
                <w:rFonts w:ascii="Arial" w:cs="Arial" w:eastAsia="Arial" w:hAnsi="Arial"/>
                <w:sz w:val="14"/>
                <w:szCs w:val="14"/>
                <w:b w:val="1"/>
                <w:bCs w:val="1"/>
                <w:color w:val="FFFFFF"/>
              </w:rPr>
              <w:t>SCT Total ($)</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Fair Market Value as</w:t>
            </w:r>
          </w:p>
        </w:tc>
        <w:tc>
          <w:tcPr>
            <w:tcW w:w="1400" w:type="dxa"/>
            <w:vAlign w:val="bottom"/>
            <w:vMerge w:val="continue"/>
            <w:shd w:val="clear" w:color="auto" w:fill="465E66"/>
          </w:tcPr>
          <w:p>
            <w:pPr>
              <w:spacing w:after="0"/>
              <w:rPr>
                <w:sz w:val="12"/>
                <w:szCs w:val="12"/>
                <w:color w:val="auto"/>
              </w:rPr>
            </w:pPr>
          </w:p>
        </w:tc>
        <w:tc>
          <w:tcPr>
            <w:tcW w:w="1400" w:type="dxa"/>
            <w:vAlign w:val="bottom"/>
            <w:vMerge w:val="continue"/>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660" w:type="dxa"/>
            <w:vAlign w:val="bottom"/>
            <w:vMerge w:val="continue"/>
            <w:shd w:val="clear" w:color="auto" w:fill="465E66"/>
          </w:tcPr>
          <w:p>
            <w:pPr>
              <w:spacing w:after="0"/>
              <w:rPr>
                <w:sz w:val="12"/>
                <w:szCs w:val="12"/>
                <w:color w:val="auto"/>
              </w:rPr>
            </w:pPr>
          </w:p>
        </w:tc>
        <w:tc>
          <w:tcPr>
            <w:tcW w:w="1400" w:type="dxa"/>
            <w:vAlign w:val="bottom"/>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Ending CAP ($)</w:t>
            </w:r>
          </w:p>
        </w:tc>
        <w:tc>
          <w:tcPr>
            <w:tcW w:w="0" w:type="dxa"/>
            <w:vAlign w:val="bottom"/>
          </w:tcPr>
          <w:p>
            <w:pPr>
              <w:spacing w:after="0"/>
              <w:rPr>
                <w:sz w:val="1"/>
                <w:szCs w:val="1"/>
                <w:color w:val="auto"/>
              </w:rPr>
            </w:pPr>
          </w:p>
        </w:tc>
      </w:tr>
      <w:tr>
        <w:trPr>
          <w:trHeight w:val="189"/>
        </w:trPr>
        <w:tc>
          <w:tcPr>
            <w:tcW w:w="860" w:type="dxa"/>
            <w:vAlign w:val="bottom"/>
            <w:vMerge w:val="continue"/>
            <w:shd w:val="clear" w:color="auto" w:fill="465E66"/>
          </w:tcPr>
          <w:p>
            <w:pPr>
              <w:spacing w:after="0"/>
              <w:rPr>
                <w:sz w:val="16"/>
                <w:szCs w:val="16"/>
                <w:color w:val="auto"/>
              </w:rPr>
            </w:pPr>
          </w:p>
        </w:tc>
        <w:tc>
          <w:tcPr>
            <w:tcW w:w="1360" w:type="dxa"/>
            <w:vAlign w:val="bottom"/>
            <w:vMerge w:val="continue"/>
            <w:shd w:val="clear" w:color="auto" w:fill="465E66"/>
          </w:tcPr>
          <w:p>
            <w:pPr>
              <w:spacing w:after="0"/>
              <w:rPr>
                <w:sz w:val="16"/>
                <w:szCs w:val="16"/>
                <w:color w:val="auto"/>
              </w:rPr>
            </w:pP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reported in SCT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Value at 12/31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as of 12/31 ($)</w:t>
            </w:r>
          </w:p>
        </w:tc>
        <w:tc>
          <w:tcPr>
            <w:tcW w:w="14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19,965,513</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(17,733,531)</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21,898,735</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3,496,312</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8,252,918</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35,879,947</w:t>
            </w:r>
          </w:p>
        </w:tc>
        <w:tc>
          <w:tcPr>
            <w:tcW w:w="0" w:type="dxa"/>
            <w:vAlign w:val="bottom"/>
          </w:tcPr>
          <w:p>
            <w:pPr>
              <w:spacing w:after="0"/>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4"/>
                <w:szCs w:val="14"/>
                <w:color w:val="auto"/>
              </w:rPr>
              <w:t>2022</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16,519,702</w:t>
            </w:r>
          </w:p>
        </w:tc>
        <w:tc>
          <w:tcPr>
            <w:tcW w:w="1720" w:type="dxa"/>
            <w:vAlign w:val="bottom"/>
          </w:tcPr>
          <w:p>
            <w:pPr>
              <w:jc w:val="center"/>
              <w:spacing w:after="0"/>
              <w:rPr>
                <w:sz w:val="20"/>
                <w:szCs w:val="20"/>
                <w:color w:val="auto"/>
              </w:rPr>
            </w:pPr>
            <w:r>
              <w:rPr>
                <w:rFonts w:ascii="Arial" w:cs="Arial" w:eastAsia="Arial" w:hAnsi="Arial"/>
                <w:sz w:val="14"/>
                <w:szCs w:val="14"/>
                <w:color w:val="auto"/>
              </w:rPr>
              <w:t>(12,557,026)</w:t>
            </w:r>
          </w:p>
        </w:tc>
        <w:tc>
          <w:tcPr>
            <w:tcW w:w="1400" w:type="dxa"/>
            <w:vAlign w:val="bottom"/>
          </w:tcPr>
          <w:p>
            <w:pPr>
              <w:jc w:val="center"/>
              <w:spacing w:after="0"/>
              <w:rPr>
                <w:sz w:val="20"/>
                <w:szCs w:val="20"/>
                <w:color w:val="auto"/>
              </w:rPr>
            </w:pPr>
            <w:r>
              <w:rPr>
                <w:rFonts w:ascii="Arial" w:cs="Arial" w:eastAsia="Arial" w:hAnsi="Arial"/>
                <w:sz w:val="14"/>
                <w:szCs w:val="14"/>
                <w:color w:val="auto"/>
              </w:rPr>
              <w:t>18,713,998</w:t>
            </w:r>
          </w:p>
        </w:tc>
        <w:tc>
          <w:tcPr>
            <w:tcW w:w="1400" w:type="dxa"/>
            <w:vAlign w:val="bottom"/>
          </w:tcPr>
          <w:p>
            <w:pPr>
              <w:jc w:val="center"/>
              <w:spacing w:after="0"/>
              <w:rPr>
                <w:sz w:val="20"/>
                <w:szCs w:val="20"/>
                <w:color w:val="auto"/>
              </w:rPr>
            </w:pPr>
            <w:r>
              <w:rPr>
                <w:rFonts w:ascii="Arial" w:cs="Arial" w:eastAsia="Arial" w:hAnsi="Arial"/>
                <w:sz w:val="14"/>
                <w:szCs w:val="14"/>
                <w:color w:val="auto"/>
              </w:rPr>
              <w:t>(3,109,730)</w:t>
            </w:r>
          </w:p>
        </w:tc>
        <w:tc>
          <w:tcPr>
            <w:tcW w:w="1440" w:type="dxa"/>
            <w:vAlign w:val="bottom"/>
          </w:tcPr>
          <w:p>
            <w:pPr>
              <w:jc w:val="center"/>
              <w:spacing w:after="0"/>
              <w:rPr>
                <w:sz w:val="20"/>
                <w:szCs w:val="20"/>
                <w:color w:val="auto"/>
              </w:rPr>
            </w:pPr>
            <w:r>
              <w:rPr>
                <w:rFonts w:ascii="Arial" w:cs="Arial" w:eastAsia="Arial" w:hAnsi="Arial"/>
                <w:sz w:val="14"/>
                <w:szCs w:val="14"/>
                <w:color w:val="auto"/>
              </w:rPr>
              <w:t>682,099</w:t>
            </w:r>
          </w:p>
        </w:tc>
        <w:tc>
          <w:tcPr>
            <w:tcW w:w="166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20,249,043</w:t>
            </w:r>
          </w:p>
        </w:tc>
        <w:tc>
          <w:tcPr>
            <w:tcW w:w="0" w:type="dxa"/>
            <w:vAlign w:val="bottom"/>
          </w:tcPr>
          <w:p>
            <w:pPr>
              <w:spacing w:after="0"/>
              <w:rPr>
                <w:sz w:val="1"/>
                <w:szCs w:val="1"/>
                <w:color w:val="auto"/>
              </w:rPr>
            </w:pPr>
          </w:p>
        </w:tc>
      </w:tr>
      <w:tr>
        <w:trPr>
          <w:trHeight w:val="207"/>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12,825,562</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(9,413,592)</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20,760,924</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12,588,427</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1,070,174</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37,831,495</w:t>
            </w:r>
          </w:p>
        </w:tc>
        <w:tc>
          <w:tcPr>
            <w:tcW w:w="0" w:type="dxa"/>
            <w:vAlign w:val="bottom"/>
          </w:tcPr>
          <w:p>
            <w:pPr>
              <w:spacing w:after="0"/>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4"/>
                <w:szCs w:val="14"/>
                <w:color w:val="auto"/>
              </w:rPr>
              <w:t>2020 (B)</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7,866,813</w:t>
            </w:r>
          </w:p>
        </w:tc>
        <w:tc>
          <w:tcPr>
            <w:tcW w:w="1720" w:type="dxa"/>
            <w:vAlign w:val="bottom"/>
          </w:tcPr>
          <w:p>
            <w:pPr>
              <w:jc w:val="center"/>
              <w:spacing w:after="0"/>
              <w:rPr>
                <w:sz w:val="20"/>
                <w:szCs w:val="20"/>
                <w:color w:val="auto"/>
              </w:rPr>
            </w:pPr>
            <w:r>
              <w:rPr>
                <w:rFonts w:ascii="Arial" w:cs="Arial" w:eastAsia="Arial" w:hAnsi="Arial"/>
                <w:sz w:val="14"/>
                <w:szCs w:val="14"/>
                <w:color w:val="auto"/>
              </w:rPr>
              <w:t>(7,578,939)</w:t>
            </w:r>
          </w:p>
        </w:tc>
        <w:tc>
          <w:tcPr>
            <w:tcW w:w="1400" w:type="dxa"/>
            <w:vAlign w:val="bottom"/>
          </w:tcPr>
          <w:p>
            <w:pPr>
              <w:jc w:val="center"/>
              <w:spacing w:after="0"/>
              <w:rPr>
                <w:sz w:val="20"/>
                <w:szCs w:val="20"/>
                <w:color w:val="auto"/>
              </w:rPr>
            </w:pPr>
            <w:r>
              <w:rPr>
                <w:rFonts w:ascii="Arial" w:cs="Arial" w:eastAsia="Arial" w:hAnsi="Arial"/>
                <w:sz w:val="14"/>
                <w:szCs w:val="14"/>
                <w:color w:val="auto"/>
              </w:rPr>
              <w:t>8,223,096</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8,510,970</w:t>
            </w:r>
          </w:p>
        </w:tc>
        <w:tc>
          <w:tcPr>
            <w:tcW w:w="0" w:type="dxa"/>
            <w:vAlign w:val="bottom"/>
          </w:tcPr>
          <w:p>
            <w:pPr>
              <w:spacing w:after="0"/>
              <w:rPr>
                <w:sz w:val="1"/>
                <w:szCs w:val="1"/>
                <w:color w:val="auto"/>
              </w:rPr>
            </w:pPr>
          </w:p>
        </w:tc>
      </w:tr>
      <w:tr>
        <w:trPr>
          <w:trHeight w:val="203"/>
        </w:trPr>
        <w:tc>
          <w:tcPr>
            <w:tcW w:w="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2020 (C)</w:t>
            </w:r>
          </w:p>
        </w:tc>
        <w:tc>
          <w:tcPr>
            <w:tcW w:w="1360" w:type="dxa"/>
            <w:vAlign w:val="bottom"/>
            <w:tcBorders>
              <w:bottom w:val="single" w:sz="8" w:color="auto"/>
            </w:tcBorders>
            <w:shd w:val="clear" w:color="auto" w:fill="DBDBDB"/>
          </w:tcPr>
          <w:p>
            <w:pPr>
              <w:jc w:val="center"/>
              <w:ind w:left="8"/>
              <w:spacing w:after="0"/>
              <w:rPr>
                <w:sz w:val="20"/>
                <w:szCs w:val="20"/>
                <w:color w:val="auto"/>
              </w:rPr>
            </w:pPr>
            <w:r>
              <w:rPr>
                <w:rFonts w:ascii="Arial" w:cs="Arial" w:eastAsia="Arial" w:hAnsi="Arial"/>
                <w:sz w:val="14"/>
                <w:szCs w:val="14"/>
                <w:color w:val="auto"/>
              </w:rPr>
              <w:t>7,056,742</w:t>
            </w:r>
          </w:p>
        </w:tc>
        <w:tc>
          <w:tcPr>
            <w:tcW w:w="1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(5,982,515)</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99"/>
              </w:rPr>
              <w:t>4,357,116</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2,376,715</w:t>
            </w:r>
          </w:p>
        </w:tc>
        <w:tc>
          <w:tcPr>
            <w:tcW w:w="14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(2,024,880)</w:t>
            </w:r>
          </w:p>
        </w:tc>
        <w:tc>
          <w:tcPr>
            <w:tcW w:w="16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5,783,178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-985520</wp:posOffset>
            </wp:positionV>
            <wp:extent cx="40011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001135" cy="8255"/>
                    </a:xfrm>
                    <a:prstGeom prst="rect">
                      <a:avLst/>
                    </a:prstGeom>
                    <a:noFill/>
                  </pic:spPr>
                </pic:pic>
              </a:graphicData>
            </a:graphic>
          </wp:anchor>
        </w:drawing>
      </w:r>
    </w:p>
    <w:p>
      <w:pPr>
        <w:ind w:left="260" w:right="220" w:hanging="234"/>
        <w:spacing w:after="0" w:line="235" w:lineRule="auto"/>
        <w:tabs>
          <w:tab w:leader="none" w:pos="249"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determining the fair value of unvested equity awards, we applied the same methodology used to determine grant date fair value of equity awards for purposes of SCT reporting but calculated as of the last day of the year, with no material changes to the underlying assumptions for any of the awards since grant date except that probable outcomes may have changed. For more information, please see Note 1 to the SCT.</w:t>
      </w:r>
    </w:p>
    <w:p>
      <w:pPr>
        <w:spacing w:after="0" w:line="13" w:lineRule="exact"/>
        <w:rPr>
          <w:rFonts w:ascii="Arial" w:cs="Arial" w:eastAsia="Arial" w:hAnsi="Arial"/>
          <w:sz w:val="14"/>
          <w:szCs w:val="14"/>
          <w:color w:val="auto"/>
        </w:rPr>
      </w:pPr>
    </w:p>
    <w:p>
      <w:pPr>
        <w:ind w:left="260" w:hanging="234"/>
        <w:spacing w:after="0"/>
        <w:tabs>
          <w:tab w:leader="none" w:pos="2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is the SCT to CAP reconciliation for Mr. El-Khoury.</w:t>
      </w:r>
    </w:p>
    <w:p>
      <w:pPr>
        <w:spacing w:after="0" w:line="41" w:lineRule="exact"/>
        <w:rPr>
          <w:rFonts w:ascii="Arial" w:cs="Arial" w:eastAsia="Arial" w:hAnsi="Arial"/>
          <w:sz w:val="14"/>
          <w:szCs w:val="14"/>
          <w:color w:val="auto"/>
        </w:rPr>
      </w:pPr>
    </w:p>
    <w:p>
      <w:pPr>
        <w:ind w:left="260" w:hanging="234"/>
        <w:spacing w:after="0"/>
        <w:tabs>
          <w:tab w:leader="none" w:pos="2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is the SCT to CAP reconciliation for Mr. Jackson, our Former PEO.</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shd w:val="clear" w:color="auto" w:fill="465E66"/>
          </w:tcPr>
          <w:p>
            <w:pPr>
              <w:spacing w:after="0"/>
              <w:rPr>
                <w:sz w:val="17"/>
                <w:szCs w:val="17"/>
                <w:color w:val="auto"/>
              </w:rPr>
            </w:pPr>
          </w:p>
        </w:tc>
        <w:tc>
          <w:tcPr>
            <w:tcW w:w="1360" w:type="dxa"/>
            <w:vAlign w:val="bottom"/>
            <w:shd w:val="clear" w:color="auto" w:fill="465E66"/>
          </w:tcPr>
          <w:p>
            <w:pPr>
              <w:spacing w:after="0"/>
              <w:rPr>
                <w:sz w:val="17"/>
                <w:szCs w:val="17"/>
                <w:color w:val="auto"/>
              </w:rPr>
            </w:pPr>
          </w:p>
        </w:tc>
        <w:tc>
          <w:tcPr>
            <w:tcW w:w="5960" w:type="dxa"/>
            <w:vAlign w:val="bottom"/>
            <w:gridSpan w:val="4"/>
            <w:shd w:val="clear" w:color="auto" w:fill="465E66"/>
          </w:tcPr>
          <w:p>
            <w:pPr>
              <w:ind w:left="1340"/>
              <w:spacing w:after="0"/>
              <w:rPr>
                <w:sz w:val="20"/>
                <w:szCs w:val="20"/>
                <w:color w:val="auto"/>
              </w:rPr>
            </w:pPr>
            <w:r>
              <w:rPr>
                <w:rFonts w:ascii="Arial" w:cs="Arial" w:eastAsia="Arial" w:hAnsi="Arial"/>
                <w:sz w:val="14"/>
                <w:szCs w:val="14"/>
                <w:b w:val="1"/>
                <w:bCs w:val="1"/>
                <w:color w:val="FFFFFF"/>
              </w:rPr>
              <w:t>SCT to CAP Reconciliation — Average of All Other NEOs (A)</w:t>
            </w:r>
          </w:p>
        </w:tc>
        <w:tc>
          <w:tcPr>
            <w:tcW w:w="1660" w:type="dxa"/>
            <w:vAlign w:val="bottom"/>
            <w:shd w:val="clear" w:color="auto" w:fill="465E66"/>
          </w:tcPr>
          <w:p>
            <w:pPr>
              <w:spacing w:after="0"/>
              <w:rPr>
                <w:sz w:val="17"/>
                <w:szCs w:val="17"/>
                <w:color w:val="auto"/>
              </w:rPr>
            </w:pPr>
          </w:p>
        </w:tc>
        <w:tc>
          <w:tcPr>
            <w:tcW w:w="140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465E66"/>
          </w:tcPr>
          <w:p>
            <w:pPr>
              <w:spacing w:after="0"/>
              <w:rPr>
                <w:sz w:val="13"/>
                <w:szCs w:val="13"/>
                <w:color w:val="auto"/>
              </w:rPr>
            </w:pPr>
          </w:p>
        </w:tc>
        <w:tc>
          <w:tcPr>
            <w:tcW w:w="1360" w:type="dxa"/>
            <w:vAlign w:val="bottom"/>
            <w:shd w:val="clear" w:color="auto" w:fill="465E66"/>
          </w:tcPr>
          <w:p>
            <w:pPr>
              <w:spacing w:after="0"/>
              <w:rPr>
                <w:sz w:val="13"/>
                <w:szCs w:val="13"/>
                <w:color w:val="auto"/>
              </w:rPr>
            </w:pPr>
          </w:p>
        </w:tc>
        <w:tc>
          <w:tcPr>
            <w:tcW w:w="3120" w:type="dxa"/>
            <w:vAlign w:val="bottom"/>
            <w:gridSpan w:val="2"/>
            <w:shd w:val="clear" w:color="auto" w:fill="465E66"/>
          </w:tcPr>
          <w:p>
            <w:pPr>
              <w:jc w:val="center"/>
              <w:ind w:left="48"/>
              <w:spacing w:after="0" w:line="153" w:lineRule="exact"/>
              <w:rPr>
                <w:sz w:val="20"/>
                <w:szCs w:val="20"/>
                <w:color w:val="auto"/>
              </w:rPr>
            </w:pPr>
            <w:r>
              <w:rPr>
                <w:rFonts w:ascii="Arial" w:cs="Arial" w:eastAsia="Arial" w:hAnsi="Arial"/>
                <w:sz w:val="14"/>
                <w:szCs w:val="14"/>
                <w:b w:val="1"/>
                <w:bCs w:val="1"/>
                <w:color w:val="FFFFFF"/>
              </w:rPr>
              <w:t>Adjust Value of</w:t>
            </w:r>
          </w:p>
        </w:tc>
        <w:tc>
          <w:tcPr>
            <w:tcW w:w="4500" w:type="dxa"/>
            <w:vAlign w:val="bottom"/>
            <w:gridSpan w:val="3"/>
            <w:shd w:val="clear" w:color="auto" w:fill="465E66"/>
          </w:tcPr>
          <w:p>
            <w:pPr>
              <w:jc w:val="center"/>
              <w:spacing w:after="0" w:line="153" w:lineRule="exact"/>
              <w:rPr>
                <w:sz w:val="20"/>
                <w:szCs w:val="20"/>
                <w:color w:val="auto"/>
              </w:rPr>
            </w:pPr>
            <w:r>
              <w:rPr>
                <w:rFonts w:ascii="Arial" w:cs="Arial" w:eastAsia="Arial" w:hAnsi="Arial"/>
                <w:sz w:val="14"/>
                <w:szCs w:val="14"/>
                <w:b w:val="1"/>
                <w:bCs w:val="1"/>
                <w:color w:val="FFFFFF"/>
              </w:rPr>
              <w:t xml:space="preserve">Adjust for Incremental </w:t>
            </w:r>
            <w:r>
              <w:rPr>
                <w:rFonts w:ascii="Arial" w:cs="Arial" w:eastAsia="Arial" w:hAnsi="Arial"/>
                <w:sz w:val="14"/>
                <w:szCs w:val="14"/>
                <w:b w:val="1"/>
                <w:bCs w:val="1"/>
                <w:i w:val="1"/>
                <w:iCs w:val="1"/>
                <w:color w:val="FFFFFF"/>
              </w:rPr>
              <w:t>Increase/(Decrease)</w:t>
            </w:r>
          </w:p>
        </w:tc>
        <w:tc>
          <w:tcPr>
            <w:tcW w:w="1400" w:type="dxa"/>
            <w:vAlign w:val="bottom"/>
            <w:shd w:val="clear" w:color="auto" w:fill="465E66"/>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0" w:type="dxa"/>
            <w:vAlign w:val="bottom"/>
            <w:shd w:val="clear" w:color="auto" w:fill="465E66"/>
          </w:tcPr>
          <w:p>
            <w:pPr>
              <w:spacing w:after="0"/>
              <w:rPr>
                <w:sz w:val="16"/>
                <w:szCs w:val="16"/>
                <w:color w:val="auto"/>
              </w:rPr>
            </w:pPr>
          </w:p>
        </w:tc>
        <w:tc>
          <w:tcPr>
            <w:tcW w:w="1360" w:type="dxa"/>
            <w:vAlign w:val="bottom"/>
            <w:shd w:val="clear" w:color="auto" w:fill="465E66"/>
          </w:tcPr>
          <w:p>
            <w:pPr>
              <w:spacing w:after="0"/>
              <w:rPr>
                <w:sz w:val="16"/>
                <w:szCs w:val="16"/>
                <w:color w:val="auto"/>
              </w:rPr>
            </w:pPr>
          </w:p>
        </w:tc>
        <w:tc>
          <w:tcPr>
            <w:tcW w:w="3120" w:type="dxa"/>
            <w:vAlign w:val="bottom"/>
            <w:gridSpan w:val="2"/>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Current Year’s Equity Grant</w:t>
            </w:r>
          </w:p>
        </w:tc>
        <w:tc>
          <w:tcPr>
            <w:tcW w:w="4500" w:type="dxa"/>
            <w:vAlign w:val="bottom"/>
            <w:gridSpan w:val="3"/>
            <w:shd w:val="clear" w:color="auto" w:fill="465E66"/>
          </w:tcPr>
          <w:p>
            <w:pPr>
              <w:jc w:val="center"/>
              <w:spacing w:after="0"/>
              <w:rPr>
                <w:sz w:val="20"/>
                <w:szCs w:val="20"/>
                <w:color w:val="auto"/>
              </w:rPr>
            </w:pPr>
            <w:r>
              <w:rPr>
                <w:rFonts w:ascii="Arial" w:cs="Arial" w:eastAsia="Arial" w:hAnsi="Arial"/>
                <w:sz w:val="14"/>
                <w:szCs w:val="14"/>
                <w:b w:val="1"/>
                <w:bCs w:val="1"/>
                <w:color w:val="FFFFFF"/>
              </w:rPr>
              <w:t>in Value of All Other Outstanding Equity Grants</w:t>
            </w:r>
          </w:p>
        </w:tc>
        <w:tc>
          <w:tcPr>
            <w:tcW w:w="1400" w:type="dxa"/>
            <w:vAlign w:val="bottom"/>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0" w:type="dxa"/>
            <w:vAlign w:val="bottom"/>
            <w:shd w:val="clear" w:color="auto" w:fill="465E66"/>
          </w:tcPr>
          <w:p>
            <w:pPr>
              <w:spacing w:after="0"/>
              <w:rPr>
                <w:sz w:val="13"/>
                <w:szCs w:val="13"/>
                <w:color w:val="auto"/>
              </w:rPr>
            </w:pPr>
          </w:p>
        </w:tc>
        <w:tc>
          <w:tcPr>
            <w:tcW w:w="1360" w:type="dxa"/>
            <w:vAlign w:val="bottom"/>
            <w:shd w:val="clear" w:color="auto" w:fill="465E66"/>
          </w:tcPr>
          <w:p>
            <w:pPr>
              <w:spacing w:after="0"/>
              <w:rPr>
                <w:sz w:val="13"/>
                <w:szCs w:val="13"/>
                <w:color w:val="auto"/>
              </w:rPr>
            </w:pPr>
          </w:p>
        </w:tc>
        <w:tc>
          <w:tcPr>
            <w:tcW w:w="1720" w:type="dxa"/>
            <w:vAlign w:val="bottom"/>
            <w:shd w:val="clear" w:color="auto" w:fill="465E66"/>
          </w:tcPr>
          <w:p>
            <w:pPr>
              <w:jc w:val="center"/>
              <w:ind w:left="8"/>
              <w:spacing w:after="0" w:line="153" w:lineRule="exact"/>
              <w:rPr>
                <w:sz w:val="20"/>
                <w:szCs w:val="20"/>
                <w:color w:val="auto"/>
              </w:rPr>
            </w:pPr>
            <w:r>
              <w:rPr>
                <w:rFonts w:ascii="Arial" w:cs="Arial" w:eastAsia="Arial" w:hAnsi="Arial"/>
                <w:sz w:val="14"/>
                <w:szCs w:val="14"/>
                <w:b w:val="1"/>
                <w:bCs w:val="1"/>
                <w:i w:val="1"/>
                <w:iCs w:val="1"/>
                <w:color w:val="FFFFFF"/>
              </w:rPr>
              <w:t xml:space="preserve">Subtract </w:t>
            </w:r>
            <w:r>
              <w:rPr>
                <w:rFonts w:ascii="Arial" w:cs="Arial" w:eastAsia="Arial" w:hAnsi="Arial"/>
                <w:sz w:val="14"/>
                <w:szCs w:val="14"/>
                <w:b w:val="1"/>
                <w:bCs w:val="1"/>
                <w:color w:val="FFFFFF"/>
              </w:rPr>
              <w:t>Grant Date</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i w:val="1"/>
                <w:iCs w:val="1"/>
                <w:color w:val="FFFFFF"/>
              </w:rPr>
              <w:t xml:space="preserve">Add </w:t>
            </w:r>
            <w:r>
              <w:rPr>
                <w:rFonts w:ascii="Arial" w:cs="Arial" w:eastAsia="Arial" w:hAnsi="Arial"/>
                <w:sz w:val="14"/>
                <w:szCs w:val="14"/>
                <w:b w:val="1"/>
                <w:bCs w:val="1"/>
                <w:color w:val="FFFFFF"/>
              </w:rPr>
              <w:t>Fair Market</w:t>
            </w:r>
          </w:p>
        </w:tc>
        <w:tc>
          <w:tcPr>
            <w:tcW w:w="1400" w:type="dxa"/>
            <w:vAlign w:val="bottom"/>
            <w:vMerge w:val="restart"/>
            <w:shd w:val="clear" w:color="auto" w:fill="465E66"/>
          </w:tcPr>
          <w:p>
            <w:pPr>
              <w:jc w:val="center"/>
              <w:spacing w:after="0"/>
              <w:rPr>
                <w:sz w:val="20"/>
                <w:szCs w:val="20"/>
                <w:color w:val="auto"/>
              </w:rPr>
            </w:pPr>
            <w:r>
              <w:rPr>
                <w:rFonts w:ascii="Arial" w:cs="Arial" w:eastAsia="Arial" w:hAnsi="Arial"/>
                <w:sz w:val="14"/>
                <w:szCs w:val="14"/>
                <w:b w:val="1"/>
                <w:bCs w:val="1"/>
                <w:color w:val="FFFFFF"/>
              </w:rPr>
              <w:t>Unvested Awards</w:t>
            </w:r>
          </w:p>
        </w:tc>
        <w:tc>
          <w:tcPr>
            <w:tcW w:w="144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Vested during Year</w:t>
            </w:r>
          </w:p>
        </w:tc>
        <w:tc>
          <w:tcPr>
            <w:tcW w:w="1660" w:type="dxa"/>
            <w:vAlign w:val="bottom"/>
            <w:vMerge w:val="restart"/>
            <w:shd w:val="clear" w:color="auto" w:fill="465E66"/>
          </w:tcPr>
          <w:p>
            <w:pPr>
              <w:ind w:left="80"/>
              <w:spacing w:after="0"/>
              <w:rPr>
                <w:sz w:val="20"/>
                <w:szCs w:val="20"/>
                <w:color w:val="auto"/>
              </w:rPr>
            </w:pPr>
            <w:r>
              <w:rPr>
                <w:rFonts w:ascii="Arial" w:cs="Arial" w:eastAsia="Arial" w:hAnsi="Arial"/>
                <w:sz w:val="14"/>
                <w:szCs w:val="14"/>
                <w:b w:val="1"/>
                <w:bCs w:val="1"/>
                <w:color w:val="FFFFFF"/>
              </w:rPr>
              <w:t>Forfeited during Year</w:t>
            </w:r>
          </w:p>
        </w:tc>
        <w:tc>
          <w:tcPr>
            <w:tcW w:w="1400" w:type="dxa"/>
            <w:vAlign w:val="bottom"/>
            <w:shd w:val="clear" w:color="auto" w:fill="465E6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Year</w:t>
            </w:r>
          </w:p>
        </w:tc>
        <w:tc>
          <w:tcPr>
            <w:tcW w:w="1360" w:type="dxa"/>
            <w:vAlign w:val="bottom"/>
            <w:vMerge w:val="restart"/>
            <w:shd w:val="clear" w:color="auto" w:fill="465E66"/>
          </w:tcPr>
          <w:p>
            <w:pPr>
              <w:jc w:val="center"/>
              <w:ind w:left="8"/>
              <w:spacing w:after="0"/>
              <w:rPr>
                <w:sz w:val="20"/>
                <w:szCs w:val="20"/>
                <w:color w:val="auto"/>
              </w:rPr>
            </w:pPr>
            <w:r>
              <w:rPr>
                <w:rFonts w:ascii="Arial" w:cs="Arial" w:eastAsia="Arial" w:hAnsi="Arial"/>
                <w:sz w:val="14"/>
                <w:szCs w:val="14"/>
                <w:b w:val="1"/>
                <w:bCs w:val="1"/>
                <w:color w:val="FFFFFF"/>
              </w:rPr>
              <w:t>SCT Total ($)</w:t>
            </w:r>
          </w:p>
        </w:tc>
        <w:tc>
          <w:tcPr>
            <w:tcW w:w="172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Fair Market Value as</w:t>
            </w:r>
          </w:p>
        </w:tc>
        <w:tc>
          <w:tcPr>
            <w:tcW w:w="1400" w:type="dxa"/>
            <w:vAlign w:val="bottom"/>
            <w:vMerge w:val="continue"/>
            <w:shd w:val="clear" w:color="auto" w:fill="465E66"/>
          </w:tcPr>
          <w:p>
            <w:pPr>
              <w:spacing w:after="0"/>
              <w:rPr>
                <w:sz w:val="12"/>
                <w:szCs w:val="12"/>
                <w:color w:val="auto"/>
              </w:rPr>
            </w:pPr>
          </w:p>
        </w:tc>
        <w:tc>
          <w:tcPr>
            <w:tcW w:w="1400" w:type="dxa"/>
            <w:vAlign w:val="bottom"/>
            <w:vMerge w:val="continue"/>
            <w:shd w:val="clear" w:color="auto" w:fill="465E66"/>
          </w:tcPr>
          <w:p>
            <w:pPr>
              <w:spacing w:after="0"/>
              <w:rPr>
                <w:sz w:val="12"/>
                <w:szCs w:val="12"/>
                <w:color w:val="auto"/>
              </w:rPr>
            </w:pPr>
          </w:p>
        </w:tc>
        <w:tc>
          <w:tcPr>
            <w:tcW w:w="1440" w:type="dxa"/>
            <w:vAlign w:val="bottom"/>
            <w:vMerge w:val="continue"/>
            <w:shd w:val="clear" w:color="auto" w:fill="465E66"/>
          </w:tcPr>
          <w:p>
            <w:pPr>
              <w:spacing w:after="0"/>
              <w:rPr>
                <w:sz w:val="12"/>
                <w:szCs w:val="12"/>
                <w:color w:val="auto"/>
              </w:rPr>
            </w:pPr>
          </w:p>
        </w:tc>
        <w:tc>
          <w:tcPr>
            <w:tcW w:w="1660" w:type="dxa"/>
            <w:vAlign w:val="bottom"/>
            <w:vMerge w:val="continue"/>
            <w:shd w:val="clear" w:color="auto" w:fill="465E66"/>
          </w:tcPr>
          <w:p>
            <w:pPr>
              <w:spacing w:after="0"/>
              <w:rPr>
                <w:sz w:val="12"/>
                <w:szCs w:val="12"/>
                <w:color w:val="auto"/>
              </w:rPr>
            </w:pPr>
          </w:p>
        </w:tc>
        <w:tc>
          <w:tcPr>
            <w:tcW w:w="1400" w:type="dxa"/>
            <w:vAlign w:val="bottom"/>
            <w:vMerge w:val="restart"/>
            <w:shd w:val="clear" w:color="auto" w:fill="465E66"/>
          </w:tcPr>
          <w:p>
            <w:pPr>
              <w:ind w:left="140"/>
              <w:spacing w:after="0"/>
              <w:rPr>
                <w:sz w:val="20"/>
                <w:szCs w:val="20"/>
                <w:color w:val="auto"/>
              </w:rPr>
            </w:pPr>
            <w:r>
              <w:rPr>
                <w:rFonts w:ascii="Arial" w:cs="Arial" w:eastAsia="Arial" w:hAnsi="Arial"/>
                <w:sz w:val="14"/>
                <w:szCs w:val="14"/>
                <w:b w:val="1"/>
                <w:bCs w:val="1"/>
                <w:color w:val="FFFFFF"/>
              </w:rPr>
              <w:t>Ending CAP ($)</w:t>
            </w:r>
          </w:p>
        </w:tc>
        <w:tc>
          <w:tcPr>
            <w:tcW w:w="0" w:type="dxa"/>
            <w:vAlign w:val="bottom"/>
          </w:tcPr>
          <w:p>
            <w:pPr>
              <w:spacing w:after="0"/>
              <w:rPr>
                <w:sz w:val="1"/>
                <w:szCs w:val="1"/>
                <w:color w:val="auto"/>
              </w:rPr>
            </w:pPr>
          </w:p>
        </w:tc>
      </w:tr>
      <w:tr>
        <w:trPr>
          <w:trHeight w:val="185"/>
        </w:trPr>
        <w:tc>
          <w:tcPr>
            <w:tcW w:w="860" w:type="dxa"/>
            <w:vAlign w:val="bottom"/>
            <w:vMerge w:val="continue"/>
            <w:shd w:val="clear" w:color="auto" w:fill="465E66"/>
          </w:tcPr>
          <w:p>
            <w:pPr>
              <w:spacing w:after="0"/>
              <w:rPr>
                <w:sz w:val="16"/>
                <w:szCs w:val="16"/>
                <w:color w:val="auto"/>
              </w:rPr>
            </w:pPr>
          </w:p>
        </w:tc>
        <w:tc>
          <w:tcPr>
            <w:tcW w:w="1360" w:type="dxa"/>
            <w:vAlign w:val="bottom"/>
            <w:vMerge w:val="continue"/>
            <w:shd w:val="clear" w:color="auto" w:fill="465E66"/>
          </w:tcPr>
          <w:p>
            <w:pPr>
              <w:spacing w:after="0"/>
              <w:rPr>
                <w:sz w:val="16"/>
                <w:szCs w:val="16"/>
                <w:color w:val="auto"/>
              </w:rPr>
            </w:pPr>
          </w:p>
        </w:tc>
        <w:tc>
          <w:tcPr>
            <w:tcW w:w="172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reported in SCT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Value at 12/31 ($)</w:t>
            </w:r>
          </w:p>
        </w:tc>
        <w:tc>
          <w:tcPr>
            <w:tcW w:w="140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as of 12/31 ($)</w:t>
            </w:r>
          </w:p>
        </w:tc>
        <w:tc>
          <w:tcPr>
            <w:tcW w:w="144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4,730,325</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(3,921,173)</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4,820,751</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951,556</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2,336,624</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8,918,083</w:t>
            </w:r>
          </w:p>
        </w:tc>
        <w:tc>
          <w:tcPr>
            <w:tcW w:w="0" w:type="dxa"/>
            <w:vAlign w:val="bottom"/>
          </w:tcPr>
          <w:p>
            <w:pPr>
              <w:spacing w:after="0"/>
              <w:rPr>
                <w:sz w:val="1"/>
                <w:szCs w:val="1"/>
                <w:color w:val="auto"/>
              </w:rPr>
            </w:pPr>
          </w:p>
        </w:tc>
      </w:tr>
      <w:tr>
        <w:trPr>
          <w:trHeight w:val="198"/>
        </w:trPr>
        <w:tc>
          <w:tcPr>
            <w:tcW w:w="860" w:type="dxa"/>
            <w:vAlign w:val="bottom"/>
          </w:tcPr>
          <w:p>
            <w:pPr>
              <w:ind w:left="20"/>
              <w:spacing w:after="0"/>
              <w:rPr>
                <w:sz w:val="20"/>
                <w:szCs w:val="20"/>
                <w:color w:val="auto"/>
              </w:rPr>
            </w:pPr>
            <w:r>
              <w:rPr>
                <w:rFonts w:ascii="Arial" w:cs="Arial" w:eastAsia="Arial" w:hAnsi="Arial"/>
                <w:sz w:val="14"/>
                <w:szCs w:val="14"/>
                <w:color w:val="auto"/>
              </w:rPr>
              <w:t>2022</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3,699,715</w:t>
            </w:r>
          </w:p>
        </w:tc>
        <w:tc>
          <w:tcPr>
            <w:tcW w:w="1720" w:type="dxa"/>
            <w:vAlign w:val="bottom"/>
          </w:tcPr>
          <w:p>
            <w:pPr>
              <w:jc w:val="center"/>
              <w:spacing w:after="0"/>
              <w:rPr>
                <w:sz w:val="20"/>
                <w:szCs w:val="20"/>
                <w:color w:val="auto"/>
              </w:rPr>
            </w:pPr>
            <w:r>
              <w:rPr>
                <w:rFonts w:ascii="Arial" w:cs="Arial" w:eastAsia="Arial" w:hAnsi="Arial"/>
                <w:sz w:val="14"/>
                <w:szCs w:val="14"/>
                <w:color w:val="auto"/>
              </w:rPr>
              <w:t>(2,542,484)</w:t>
            </w:r>
          </w:p>
        </w:tc>
        <w:tc>
          <w:tcPr>
            <w:tcW w:w="1400" w:type="dxa"/>
            <w:vAlign w:val="bottom"/>
          </w:tcPr>
          <w:p>
            <w:pPr>
              <w:jc w:val="center"/>
              <w:spacing w:after="0"/>
              <w:rPr>
                <w:sz w:val="20"/>
                <w:szCs w:val="20"/>
                <w:color w:val="auto"/>
              </w:rPr>
            </w:pPr>
            <w:r>
              <w:rPr>
                <w:rFonts w:ascii="Arial" w:cs="Arial" w:eastAsia="Arial" w:hAnsi="Arial"/>
                <w:sz w:val="14"/>
                <w:szCs w:val="14"/>
                <w:color w:val="auto"/>
              </w:rPr>
              <w:t>2,887,979</w:t>
            </w:r>
          </w:p>
        </w:tc>
        <w:tc>
          <w:tcPr>
            <w:tcW w:w="1400" w:type="dxa"/>
            <w:vAlign w:val="bottom"/>
          </w:tcPr>
          <w:p>
            <w:pPr>
              <w:jc w:val="center"/>
              <w:spacing w:after="0"/>
              <w:rPr>
                <w:sz w:val="20"/>
                <w:szCs w:val="20"/>
                <w:color w:val="auto"/>
              </w:rPr>
            </w:pPr>
            <w:r>
              <w:rPr>
                <w:rFonts w:ascii="Arial" w:cs="Arial" w:eastAsia="Arial" w:hAnsi="Arial"/>
                <w:sz w:val="14"/>
                <w:szCs w:val="14"/>
                <w:color w:val="auto"/>
              </w:rPr>
              <w:t>(700,029)</w:t>
            </w:r>
          </w:p>
        </w:tc>
        <w:tc>
          <w:tcPr>
            <w:tcW w:w="1440" w:type="dxa"/>
            <w:vAlign w:val="bottom"/>
          </w:tcPr>
          <w:p>
            <w:pPr>
              <w:jc w:val="center"/>
              <w:spacing w:after="0"/>
              <w:rPr>
                <w:sz w:val="20"/>
                <w:szCs w:val="20"/>
                <w:color w:val="auto"/>
              </w:rPr>
            </w:pPr>
            <w:r>
              <w:rPr>
                <w:rFonts w:ascii="Arial" w:cs="Arial" w:eastAsia="Arial" w:hAnsi="Arial"/>
                <w:sz w:val="14"/>
                <w:szCs w:val="14"/>
                <w:color w:val="auto"/>
              </w:rPr>
              <w:t>(413)</w:t>
            </w:r>
          </w:p>
        </w:tc>
        <w:tc>
          <w:tcPr>
            <w:tcW w:w="1660" w:type="dxa"/>
            <w:vAlign w:val="bottom"/>
          </w:tcPr>
          <w:p>
            <w:pPr>
              <w:jc w:val="center"/>
              <w:spacing w:after="0"/>
              <w:rPr>
                <w:sz w:val="20"/>
                <w:szCs w:val="20"/>
                <w:color w:val="auto"/>
              </w:rPr>
            </w:pPr>
            <w:r>
              <w:rPr>
                <w:rFonts w:ascii="Arial" w:cs="Arial" w:eastAsia="Arial" w:hAnsi="Arial"/>
                <w:sz w:val="14"/>
                <w:szCs w:val="14"/>
                <w:color w:val="auto"/>
              </w:rPr>
              <w:t>(634,222)</w:t>
            </w:r>
          </w:p>
        </w:tc>
        <w:tc>
          <w:tcPr>
            <w:tcW w:w="1400" w:type="dxa"/>
            <w:vAlign w:val="bottom"/>
          </w:tcPr>
          <w:p>
            <w:pPr>
              <w:jc w:val="center"/>
              <w:spacing w:after="0"/>
              <w:rPr>
                <w:sz w:val="20"/>
                <w:szCs w:val="20"/>
                <w:color w:val="auto"/>
              </w:rPr>
            </w:pPr>
            <w:r>
              <w:rPr>
                <w:rFonts w:ascii="Arial" w:cs="Arial" w:eastAsia="Arial" w:hAnsi="Arial"/>
                <w:sz w:val="14"/>
                <w:szCs w:val="14"/>
                <w:color w:val="auto"/>
              </w:rPr>
              <w:t>2,710,546</w:t>
            </w:r>
          </w:p>
        </w:tc>
        <w:tc>
          <w:tcPr>
            <w:tcW w:w="0" w:type="dxa"/>
            <w:vAlign w:val="bottom"/>
          </w:tcPr>
          <w:p>
            <w:pPr>
              <w:spacing w:after="0"/>
              <w:rPr>
                <w:sz w:val="1"/>
                <w:szCs w:val="1"/>
                <w:color w:val="auto"/>
              </w:rPr>
            </w:pPr>
          </w:p>
        </w:tc>
      </w:tr>
      <w:tr>
        <w:trPr>
          <w:trHeight w:val="207"/>
        </w:trPr>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2021</w:t>
            </w:r>
          </w:p>
        </w:tc>
        <w:tc>
          <w:tcPr>
            <w:tcW w:w="136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auto"/>
              </w:rPr>
              <w:t>4,014,944</w:t>
            </w: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(2,955,672)</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6,317,938</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4,106,036</w:t>
            </w: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228,638</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(715,477)</w:t>
            </w:r>
          </w:p>
        </w:tc>
        <w:tc>
          <w:tcPr>
            <w:tcW w:w="14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10,996,407</w:t>
            </w:r>
          </w:p>
        </w:tc>
        <w:tc>
          <w:tcPr>
            <w:tcW w:w="0" w:type="dxa"/>
            <w:vAlign w:val="bottom"/>
          </w:tcPr>
          <w:p>
            <w:pPr>
              <w:spacing w:after="0"/>
              <w:rPr>
                <w:sz w:val="1"/>
                <w:szCs w:val="1"/>
                <w:color w:val="auto"/>
              </w:rPr>
            </w:pPr>
          </w:p>
        </w:tc>
      </w:tr>
      <w:tr>
        <w:trPr>
          <w:trHeight w:val="194"/>
        </w:trPr>
        <w:tc>
          <w:tcPr>
            <w:tcW w:w="860" w:type="dxa"/>
            <w:vAlign w:val="bottom"/>
          </w:tcPr>
          <w:p>
            <w:pPr>
              <w:ind w:left="20"/>
              <w:spacing w:after="0"/>
              <w:rPr>
                <w:sz w:val="20"/>
                <w:szCs w:val="20"/>
                <w:color w:val="auto"/>
              </w:rPr>
            </w:pPr>
            <w:r>
              <w:rPr>
                <w:rFonts w:ascii="Arial" w:cs="Arial" w:eastAsia="Arial" w:hAnsi="Arial"/>
                <w:sz w:val="14"/>
                <w:szCs w:val="14"/>
                <w:color w:val="auto"/>
              </w:rPr>
              <w:t>2020</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2,363,835</w:t>
            </w:r>
          </w:p>
        </w:tc>
        <w:tc>
          <w:tcPr>
            <w:tcW w:w="1720" w:type="dxa"/>
            <w:vAlign w:val="bottom"/>
          </w:tcPr>
          <w:p>
            <w:pPr>
              <w:jc w:val="center"/>
              <w:spacing w:after="0"/>
              <w:rPr>
                <w:sz w:val="20"/>
                <w:szCs w:val="20"/>
                <w:color w:val="auto"/>
              </w:rPr>
            </w:pPr>
            <w:r>
              <w:rPr>
                <w:rFonts w:ascii="Arial" w:cs="Arial" w:eastAsia="Arial" w:hAnsi="Arial"/>
                <w:sz w:val="14"/>
                <w:szCs w:val="14"/>
                <w:color w:val="auto"/>
              </w:rPr>
              <w:t>(1,868,651)</w:t>
            </w:r>
          </w:p>
        </w:tc>
        <w:tc>
          <w:tcPr>
            <w:tcW w:w="1400" w:type="dxa"/>
            <w:vAlign w:val="bottom"/>
          </w:tcPr>
          <w:p>
            <w:pPr>
              <w:jc w:val="center"/>
              <w:spacing w:after="0"/>
              <w:rPr>
                <w:sz w:val="20"/>
                <w:szCs w:val="20"/>
                <w:color w:val="auto"/>
              </w:rPr>
            </w:pPr>
            <w:r>
              <w:rPr>
                <w:rFonts w:ascii="Arial" w:cs="Arial" w:eastAsia="Arial" w:hAnsi="Arial"/>
                <w:sz w:val="14"/>
                <w:szCs w:val="14"/>
                <w:color w:val="auto"/>
              </w:rPr>
              <w:t>1,429,507</w:t>
            </w:r>
          </w:p>
        </w:tc>
        <w:tc>
          <w:tcPr>
            <w:tcW w:w="1400" w:type="dxa"/>
            <w:vAlign w:val="bottom"/>
          </w:tcPr>
          <w:p>
            <w:pPr>
              <w:jc w:val="center"/>
              <w:spacing w:after="0"/>
              <w:rPr>
                <w:sz w:val="20"/>
                <w:szCs w:val="20"/>
                <w:color w:val="auto"/>
              </w:rPr>
            </w:pPr>
            <w:r>
              <w:rPr>
                <w:rFonts w:ascii="Arial" w:cs="Arial" w:eastAsia="Arial" w:hAnsi="Arial"/>
                <w:sz w:val="14"/>
                <w:szCs w:val="14"/>
                <w:color w:val="auto"/>
              </w:rPr>
              <w:t>647,814</w:t>
            </w:r>
          </w:p>
        </w:tc>
        <w:tc>
          <w:tcPr>
            <w:tcW w:w="1440" w:type="dxa"/>
            <w:vAlign w:val="bottom"/>
          </w:tcPr>
          <w:p>
            <w:pPr>
              <w:jc w:val="center"/>
              <w:spacing w:after="0"/>
              <w:rPr>
                <w:sz w:val="20"/>
                <w:szCs w:val="20"/>
                <w:color w:val="auto"/>
              </w:rPr>
            </w:pPr>
            <w:r>
              <w:rPr>
                <w:rFonts w:ascii="Arial" w:cs="Arial" w:eastAsia="Arial" w:hAnsi="Arial"/>
                <w:sz w:val="14"/>
                <w:szCs w:val="14"/>
                <w:color w:val="auto"/>
              </w:rPr>
              <w:t>(443,157)</w:t>
            </w:r>
          </w:p>
        </w:tc>
        <w:tc>
          <w:tcPr>
            <w:tcW w:w="166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2,129,348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-834390</wp:posOffset>
            </wp:positionV>
            <wp:extent cx="40011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01135" cy="8255"/>
                    </a:xfrm>
                    <a:prstGeom prst="rect">
                      <a:avLst/>
                    </a:prstGeom>
                    <a:noFill/>
                  </pic:spPr>
                </pic:pic>
              </a:graphicData>
            </a:graphic>
          </wp:anchor>
        </w:drawing>
      </w:r>
    </w:p>
    <w:p>
      <w:pPr>
        <w:spacing w:after="0" w:line="6" w:lineRule="exact"/>
        <w:rPr>
          <w:sz w:val="20"/>
          <w:szCs w:val="20"/>
          <w:color w:val="auto"/>
        </w:rPr>
      </w:pPr>
    </w:p>
    <w:p>
      <w:pPr>
        <w:ind w:left="260" w:right="220" w:hanging="234"/>
        <w:spacing w:after="0" w:line="243" w:lineRule="auto"/>
        <w:tabs>
          <w:tab w:leader="none" w:pos="249"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 determining the fair value of unvested equity awards, we applied the same methodology used to determine grant date fair value of equity awards for purposes of SCT reporting but calculated as of the last day of the year, with no material changes to the underlying assumptions for any of the awards since grant date except that probable outcomes may have changed. For more information, please see Note 1 to the SCT.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Relationship between CAP and Selected Performance Measures</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graphs illustrate how CAP compares to each of the performance metrics in the main Pay versus Performance table. For 2020, the year in which we had two PEOs, the figure used for PEO CAP is their combined CAP for that year.</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in our CD&amp;A, annual equity awards represent the most significant portion of each executive officer’s compensation. In addition, Mr. El-Khoury’s initial compensation package, granted in late 2020, included an award of PBRSUs with payout tied to our two-year TSR performance as compared to a defined group of peer companies. As a result, over the four-year period covered by the table, CAP to PEO aligns most closely with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139700</wp:posOffset>
            </wp:positionV>
            <wp:extent cx="2957195" cy="33775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5719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Most Important Performance Metrics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five of the most important metrics that we use to link executive compensation actually paid to Company performance</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most recently completed fiscal year. For more information about how each is used in our programs, please see the section entitled “Elements of our Compensation Program” in our CD&amp;A.</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54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59" w:name="page60"/>
    <w:bookmarkEnd w:id="59"/>
    <w:p>
      <w:pPr>
        <w:ind w:left="8360"/>
        <w:spacing w:after="0"/>
        <w:rPr>
          <w:sz w:val="20"/>
          <w:szCs w:val="20"/>
          <w:color w:val="auto"/>
        </w:rPr>
      </w:pPr>
      <w:r>
        <w:rPr>
          <w:rFonts w:ascii="Arial" w:cs="Arial" w:eastAsia="Arial" w:hAnsi="Arial"/>
          <w:sz w:val="18"/>
          <w:szCs w:val="18"/>
          <w:color w:val="E97D2E"/>
        </w:rPr>
        <w:t>Compensation of Executive Officers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-127635</wp:posOffset>
            </wp:positionV>
            <wp:extent cx="2828925" cy="291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8925" cy="291465"/>
                    </a:xfrm>
                    <a:prstGeom prst="rect">
                      <a:avLst/>
                    </a:prstGeom>
                    <a:noFill/>
                  </pic:spPr>
                </pic:pic>
              </a:graphicData>
            </a:graphic>
          </wp:anchor>
        </w:drawing>
      </w:r>
    </w:p>
    <w:p>
      <w:pPr>
        <w:spacing w:after="0" w:line="2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Revenue</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8925" cy="14541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Operating Expense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28925" cy="14605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12065</wp:posOffset>
            </wp:positionV>
            <wp:extent cx="28289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AUDIT COMMITTEE MATTERS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Proposal No. 3: Ratification of Selection of Independent Registered Public Accounting Firm</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Board unanimously recommends a vote “FOR” the ratification of our selection of PwC as our independent registered public accounting firm for the year ending December 31, 2024.</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 Committee: (i) has selected PwC as the independent registered public accounting firm to (1) audit our consolidated financial statements for the year ending December 31, 2024, and (2) render other services as required of them, including to report on the effectiveness of our internal control over financial reporting as of December 31, 2024; and (ii) is seeking ratification of this selection from our stockholders. PwC has served as our independent auditor continuously since 1999.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whether to retain PwC as our 2024 independent auditor, our Audit Committee considered, among other things:</w:t>
      </w:r>
    </w:p>
    <w:p>
      <w:pPr>
        <w:spacing w:after="0" w:line="9"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historical and recent performance of PwC on our audits;</w:t>
      </w:r>
    </w:p>
    <w:p>
      <w:pPr>
        <w:ind w:left="660" w:hanging="328"/>
        <w:spacing w:after="0" w:line="234"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breadth of knowledge of PwC with respect to our industry and business, our accounting policies and practices and our internal control over financial reporting;</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capability and expertise of PwC in handling the breadth and complexity of our worldwide operations;</w:t>
      </w:r>
    </w:p>
    <w:p>
      <w:pPr>
        <w:ind w:left="660" w:hanging="328"/>
        <w:spacing w:after="0" w:line="23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external data on audit quality and performance, including recent PCAOB reports on PwC and its peer firms;</w:t>
      </w:r>
    </w:p>
    <w:p>
      <w:pPr>
        <w:ind w:left="660" w:hanging="328"/>
        <w:spacing w:after="0" w:line="21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appropriateness of PwC’s fees for audit and non-audit services; and</w:t>
      </w: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PwC’s independence and tenure as our independent auditor.</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this evaluation, our Audit Committee believes that the retention of PwC as our independent auditor for the year ending December 31, 2024 is in the best interest of us and our stockholders. Although stockholder ratification is not required, this appointment is being submitted to our stockholders for ratification as a matter of good corporate governance. If our stockholders fail to ratify the selection, the Audit Committee may reconsider the selection of PwC. Even if the selection is ratified, our Audit Committee, in its discretion, may select a different independent registered public accounting firm at any time during the year if it determines that such a selection would be in our best interest and the best interest of our stockholders.</w:t>
      </w:r>
    </w:p>
    <w:p>
      <w:pPr>
        <w:spacing w:after="0" w:line="20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representative of PwC is expected to be present at our annual meeting, will have the opportunity to make a statement if he or she so desires and will be available to respond to appropriate questions.</w:t>
      </w:r>
    </w:p>
    <w:p>
      <w:pPr>
        <w:spacing w:after="0" w:line="194"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Vote Required to Ratify the Appointment of PricewaterhouseCoopers LLP as our Independent Registered Public Accounting Firm for 2024</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our Audit Committee may select our independent auditor without stockholder approval, the Audit Committee will consider the affirmative vote of a majority of the shares present in person or represented by proxy and entitled to vote on the matter as approval for this Proposal No. 3. See “Questions and Answers About the Proxy Materials, Annual Meeting and Voting”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color w:val="E97D2E"/>
        </w:rPr>
        <w:t>Audit Committee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Audit Committee Report</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 Committee is responsible for monitoring the integrity of our consolidated financial statements, our compliance with legal and regulatory requirements, our system of disclosure controls and procedures that may have a material impact on our financial statements (including internal control over financial reporting) and the qualifications, independence and performance of our independent registered public accounting firm. It has the sole authority and responsibility to select, oversee and, when appropriate, replace our independent registered public accounting firm. Our Audit Committee meets periodically with the internal auditors and independent registered public accounting firm, with and without management present, to discuss the results of their examinations, their evaluations of our disclosure controls and procedures (including internal control over financial reporting) and the overall quality of our financial reporting.</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Audit Committee, currently comprised of five independent non-employee directors and operating under its written charter, has: (i) reviewed and discussed the audited financial statements with our management; (ii) discussed with our independent registered public accounting firm the matters required to be discussed by the applicable requirements of the PCAOB and the SEC; (iii) received and reviewed the written disclosures and the letter from our independent registered public accounting firm required by applicable requirements of the PCAOB regarding the independent registered public accounting firm’s communications with the Audit Committee concerning independence;</w:t>
      </w:r>
    </w:p>
    <w:p>
      <w:pPr>
        <w:spacing w:after="0" w:line="4" w:lineRule="exact"/>
        <w:rPr>
          <w:sz w:val="20"/>
          <w:szCs w:val="20"/>
          <w:color w:val="auto"/>
        </w:rPr>
      </w:pPr>
    </w:p>
    <w:p>
      <w:pPr>
        <w:jc w:val="both"/>
        <w:ind w:firstLine="8"/>
        <w:spacing w:after="0" w:line="239"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such independent registered public accounting firm’s independence; and (v) discussed with management critical accounting policies, the processes and controls related to the President and CEO and the CFO financial reporting certifications required by the SEC and the Sarbanes-Oxley Act of 2002 to accompany our periodic filings with the SEC. Based on its review and discussions listed above, as well as such other matters deemed relevant and appropriate by it, the Audit Committee recommended to our Board that the audited financial statements be included in the Form 10-K.</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not the duty of the Audit Committee to determine that our financial statements and disclosures are complete and accurate and in accordance with GAAP or to plan or conduct audits. Those are the responsibilities of management and our independent registered public accounting firm. In giving its recommendation to the Board, our Audit Committee has relied on: (i) management’s representation that such financial statements have been prepared with integrity and objectivity and in conformity with GAAP; and (ii) the report of our independent registered public accounting firm with respect to such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Susan K. Carter, Chair</w:t>
      </w:r>
    </w:p>
    <w:p>
      <w:pPr>
        <w:ind w:left="660"/>
        <w:spacing w:after="0" w:line="234" w:lineRule="auto"/>
        <w:rPr>
          <w:sz w:val="20"/>
          <w:szCs w:val="20"/>
          <w:color w:val="auto"/>
        </w:rPr>
      </w:pPr>
      <w:r>
        <w:rPr>
          <w:rFonts w:ascii="Arial" w:cs="Arial" w:eastAsia="Arial" w:hAnsi="Arial"/>
          <w:sz w:val="18"/>
          <w:szCs w:val="18"/>
          <w:color w:val="auto"/>
        </w:rPr>
        <w:t>Atsushi Abe</w:t>
      </w:r>
    </w:p>
    <w:p>
      <w:pPr>
        <w:ind w:left="660"/>
        <w:spacing w:after="0" w:line="235" w:lineRule="auto"/>
        <w:rPr>
          <w:sz w:val="20"/>
          <w:szCs w:val="20"/>
          <w:color w:val="auto"/>
        </w:rPr>
      </w:pPr>
      <w:r>
        <w:rPr>
          <w:rFonts w:ascii="Arial" w:cs="Arial" w:eastAsia="Arial" w:hAnsi="Arial"/>
          <w:sz w:val="18"/>
          <w:szCs w:val="18"/>
          <w:color w:val="auto"/>
        </w:rPr>
        <w:t>Alan Campbell</w:t>
      </w:r>
    </w:p>
    <w:p>
      <w:pPr>
        <w:ind w:left="660"/>
        <w:spacing w:after="0" w:line="235" w:lineRule="auto"/>
        <w:rPr>
          <w:sz w:val="20"/>
          <w:szCs w:val="20"/>
          <w:color w:val="auto"/>
        </w:rPr>
      </w:pPr>
      <w:r>
        <w:rPr>
          <w:rFonts w:ascii="Arial" w:cs="Arial" w:eastAsia="Arial" w:hAnsi="Arial"/>
          <w:sz w:val="18"/>
          <w:szCs w:val="18"/>
          <w:color w:val="auto"/>
        </w:rPr>
        <w:t>Bruce E. Kiddoo</w:t>
      </w:r>
    </w:p>
    <w:p>
      <w:pPr>
        <w:ind w:left="660"/>
        <w:spacing w:after="0"/>
        <w:rPr>
          <w:sz w:val="20"/>
          <w:szCs w:val="20"/>
          <w:color w:val="auto"/>
        </w:rPr>
      </w:pPr>
      <w:r>
        <w:rPr>
          <w:rFonts w:ascii="Arial" w:cs="Arial" w:eastAsia="Arial" w:hAnsi="Arial"/>
          <w:sz w:val="18"/>
          <w:szCs w:val="18"/>
          <w:color w:val="auto"/>
        </w:rPr>
        <w:t>Christina Lampe-Önnerud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1" w:name="page62"/>
    <w:bookmarkEnd w:id="61"/>
    <w:p>
      <w:pPr>
        <w:ind w:left="9240"/>
        <w:spacing w:after="0"/>
        <w:rPr>
          <w:sz w:val="20"/>
          <w:szCs w:val="20"/>
          <w:color w:val="auto"/>
        </w:rPr>
      </w:pPr>
      <w:r>
        <w:rPr>
          <w:rFonts w:ascii="Arial" w:cs="Arial" w:eastAsia="Arial" w:hAnsi="Arial"/>
          <w:sz w:val="18"/>
          <w:szCs w:val="18"/>
          <w:color w:val="E97D2E"/>
        </w:rPr>
        <w:t>Audit Committee Matters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Independent Registered Public Accounting Firm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and Related Fees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 Committee reviews and approves audit and permissible non-audit services performed by PwC, as well as the fees charged by PwC for such services. In its review of non-audit services and fees and its selection of PwC as our independent registered public accounting firm, the Audit Committee considered whether the provision of such services is compatible with maintaining PwC’s independence. The table below sets forth the aggregate fees for audit and other services provided by PwC for each of the past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shd w:val="clear" w:color="auto" w:fill="465E66"/>
          </w:tcPr>
          <w:p>
            <w:pPr>
              <w:ind w:left="20"/>
              <w:spacing w:after="0"/>
              <w:rPr>
                <w:sz w:val="20"/>
                <w:szCs w:val="20"/>
                <w:color w:val="auto"/>
              </w:rPr>
            </w:pPr>
            <w:r>
              <w:rPr>
                <w:rFonts w:ascii="Arial" w:cs="Arial" w:eastAsia="Arial" w:hAnsi="Arial"/>
                <w:sz w:val="18"/>
                <w:szCs w:val="18"/>
                <w:b w:val="1"/>
                <w:bCs w:val="1"/>
                <w:color w:val="FFFFFF"/>
              </w:rPr>
              <w:t>Fee Type</w:t>
            </w:r>
          </w:p>
        </w:tc>
        <w:tc>
          <w:tcPr>
            <w:tcW w:w="368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2023</w:t>
            </w:r>
          </w:p>
        </w:tc>
        <w:tc>
          <w:tcPr>
            <w:tcW w:w="160" w:type="dxa"/>
            <w:vAlign w:val="bottom"/>
            <w:shd w:val="clear" w:color="auto" w:fill="465E66"/>
          </w:tcPr>
          <w:p>
            <w:pPr>
              <w:spacing w:after="0"/>
              <w:rPr>
                <w:sz w:val="17"/>
                <w:szCs w:val="17"/>
                <w:color w:val="auto"/>
              </w:rPr>
            </w:pPr>
          </w:p>
        </w:tc>
        <w:tc>
          <w:tcPr>
            <w:tcW w:w="3700" w:type="dxa"/>
            <w:vAlign w:val="bottom"/>
            <w:shd w:val="clear" w:color="auto" w:fill="465E66"/>
          </w:tcPr>
          <w:p>
            <w:pPr>
              <w:jc w:val="center"/>
              <w:spacing w:after="0"/>
              <w:rPr>
                <w:sz w:val="20"/>
                <w:szCs w:val="20"/>
                <w:color w:val="auto"/>
              </w:rPr>
            </w:pPr>
            <w:r>
              <w:rPr>
                <w:rFonts w:ascii="Arial" w:cs="Arial" w:eastAsia="Arial" w:hAnsi="Arial"/>
                <w:sz w:val="18"/>
                <w:szCs w:val="18"/>
                <w:b w:val="1"/>
                <w:bCs w:val="1"/>
                <w:color w:val="FFFFFF"/>
                <w:w w:val="99"/>
              </w:rPr>
              <w:t>2022</w:t>
            </w:r>
          </w:p>
        </w:tc>
        <w:tc>
          <w:tcPr>
            <w:tcW w:w="0" w:type="dxa"/>
            <w:vAlign w:val="bottom"/>
          </w:tcPr>
          <w:p>
            <w:pPr>
              <w:spacing w:after="0"/>
              <w:rPr>
                <w:sz w:val="1"/>
                <w:szCs w:val="1"/>
                <w:color w:val="auto"/>
              </w:rPr>
            </w:pPr>
          </w:p>
        </w:tc>
      </w:tr>
      <w:tr>
        <w:trPr>
          <w:trHeight w:val="243"/>
        </w:trPr>
        <w:tc>
          <w:tcPr>
            <w:tcW w:w="3680" w:type="dxa"/>
            <w:vAlign w:val="bottom"/>
            <w:vMerge w:val="continue"/>
            <w:shd w:val="clear" w:color="auto" w:fill="465E66"/>
          </w:tcPr>
          <w:p>
            <w:pPr>
              <w:spacing w:after="0"/>
              <w:rPr>
                <w:sz w:val="21"/>
                <w:szCs w:val="21"/>
                <w:color w:val="auto"/>
              </w:rPr>
            </w:pPr>
          </w:p>
        </w:tc>
        <w:tc>
          <w:tcPr>
            <w:tcW w:w="3840" w:type="dxa"/>
            <w:vAlign w:val="bottom"/>
            <w:gridSpan w:val="2"/>
            <w:shd w:val="clear" w:color="auto" w:fill="465E66"/>
          </w:tcPr>
          <w:p>
            <w:pPr>
              <w:ind w:left="1260"/>
              <w:spacing w:after="0"/>
              <w:rPr>
                <w:sz w:val="20"/>
                <w:szCs w:val="20"/>
                <w:color w:val="auto"/>
              </w:rPr>
            </w:pPr>
            <w:r>
              <w:rPr>
                <w:rFonts w:ascii="Arial" w:cs="Arial" w:eastAsia="Arial" w:hAnsi="Arial"/>
                <w:sz w:val="18"/>
                <w:szCs w:val="18"/>
                <w:b w:val="1"/>
                <w:bCs w:val="1"/>
                <w:color w:val="FFFFFF"/>
              </w:rPr>
              <w:t>($ in millions)</w:t>
            </w:r>
          </w:p>
        </w:tc>
        <w:tc>
          <w:tcPr>
            <w:tcW w:w="3700" w:type="dxa"/>
            <w:vAlign w:val="bottom"/>
            <w:shd w:val="clear" w:color="auto" w:fill="465E66"/>
          </w:tcPr>
          <w:p>
            <w:pPr>
              <w:ind w:left="1260"/>
              <w:spacing w:after="0"/>
              <w:rPr>
                <w:sz w:val="20"/>
                <w:szCs w:val="20"/>
                <w:color w:val="auto"/>
              </w:rPr>
            </w:pPr>
            <w:r>
              <w:rPr>
                <w:rFonts w:ascii="Arial" w:cs="Arial" w:eastAsia="Arial" w:hAnsi="Arial"/>
                <w:sz w:val="18"/>
                <w:szCs w:val="18"/>
                <w:b w:val="1"/>
                <w:bCs w:val="1"/>
                <w:color w:val="FFFFFF"/>
              </w:rPr>
              <w:t>($ in millions)</w:t>
            </w:r>
          </w:p>
        </w:tc>
        <w:tc>
          <w:tcPr>
            <w:tcW w:w="0" w:type="dxa"/>
            <w:vAlign w:val="bottom"/>
          </w:tcPr>
          <w:p>
            <w:pPr>
              <w:spacing w:after="0"/>
              <w:rPr>
                <w:sz w:val="1"/>
                <w:szCs w:val="1"/>
                <w:color w:val="auto"/>
              </w:rPr>
            </w:pPr>
          </w:p>
        </w:tc>
      </w:tr>
      <w:tr>
        <w:trPr>
          <w:trHeight w:val="229"/>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Fees (1)</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5.8</w:t>
            </w:r>
          </w:p>
        </w:tc>
        <w:tc>
          <w:tcPr>
            <w:tcW w:w="160" w:type="dxa"/>
            <w:vAlign w:val="bottom"/>
            <w:shd w:val="clear" w:color="auto" w:fill="DBDBDB"/>
          </w:tcPr>
          <w:p>
            <w:pPr>
              <w:spacing w:after="0"/>
              <w:rPr>
                <w:sz w:val="19"/>
                <w:szCs w:val="19"/>
                <w:color w:val="auto"/>
              </w:rPr>
            </w:pPr>
          </w:p>
        </w:tc>
        <w:tc>
          <w:tcPr>
            <w:tcW w:w="37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Fees (2)</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0.3</w:t>
            </w:r>
          </w:p>
        </w:tc>
        <w:tc>
          <w:tcPr>
            <w:tcW w:w="160" w:type="dxa"/>
            <w:vAlign w:val="bottom"/>
            <w:shd w:val="clear" w:color="auto" w:fill="DBDBDB"/>
          </w:tcPr>
          <w:p>
            <w:pPr>
              <w:spacing w:after="0"/>
              <w:rPr>
                <w:sz w:val="19"/>
                <w:szCs w:val="19"/>
                <w:color w:val="auto"/>
              </w:rPr>
            </w:pPr>
          </w:p>
        </w:tc>
        <w:tc>
          <w:tcPr>
            <w:tcW w:w="37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Fees</w:t>
            </w:r>
          </w:p>
        </w:tc>
        <w:tc>
          <w:tcPr>
            <w:tcW w:w="36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5"/>
              </w:rPr>
              <w:t>6.1</w:t>
            </w:r>
          </w:p>
        </w:tc>
        <w:tc>
          <w:tcPr>
            <w:tcW w:w="160" w:type="dxa"/>
            <w:vAlign w:val="bottom"/>
            <w:tcBorders>
              <w:top w:val="single" w:sz="8" w:color="DBDBDB"/>
            </w:tcBorders>
            <w:shd w:val="clear" w:color="auto" w:fill="DBDBDB"/>
          </w:tcPr>
          <w:p>
            <w:pPr>
              <w:spacing w:after="0"/>
              <w:rPr>
                <w:sz w:val="19"/>
                <w:szCs w:val="19"/>
                <w:color w:val="auto"/>
              </w:rPr>
            </w:pPr>
          </w:p>
        </w:tc>
        <w:tc>
          <w:tcPr>
            <w:tcW w:w="37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5"/>
              </w:rPr>
              <w:t>6.7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60" w:hanging="234"/>
        <w:spacing w:after="0"/>
        <w:tabs>
          <w:tab w:leader="none" w:pos="233"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2023 and 2022 for professional services rendered in connection with the audit of our consolidated financial statements, limited reviews of our interim consolidated financial information, audits of the financial statements of certain of our subsidiaries and joint ventures, review of purchase accounting and acquisition matters and assistance with securities offerings, including the review of related documents, preparation of comfort letters and issuance of consents.</w:t>
      </w:r>
    </w:p>
    <w:p>
      <w:pPr>
        <w:spacing w:after="0" w:line="151" w:lineRule="exact"/>
        <w:rPr>
          <w:rFonts w:ascii="Arial" w:cs="Arial" w:eastAsia="Arial" w:hAnsi="Arial"/>
          <w:sz w:val="14"/>
          <w:szCs w:val="14"/>
          <w:color w:val="auto"/>
        </w:rPr>
      </w:pPr>
    </w:p>
    <w:p>
      <w:pPr>
        <w:ind w:left="260" w:right="560" w:hanging="234"/>
        <w:spacing w:after="0" w:line="264" w:lineRule="auto"/>
        <w:tabs>
          <w:tab w:leader="none" w:pos="233"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2023 and 2022 for professional services rendered in connection with tax consulting, tax compliance, tax audit assistance and transfer pricing.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has determined that the provision of services described above is compatible with maintaining PwC’s independence.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Under its charter, our Audit Committee must pre-approve all audit and permitted non-audit services (including fees and terms) to be performed by our independent registered public accounting firm,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that are approved by the Audit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Committee prior to the completion of the audit and that qualify for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under federal securities laws and regulations (the pre-approval policy).</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pre-approval policy requires the Audit Committee to pre-approve certain audit, audit-related, tax, tax-related and other services to be performed by our independent registered public accounting firm. With certain exceptions, the term of pre-approval is 12 months from the date of pre-approval. Our Audit Committee periodically revises the list of pre-approved services. The Audit Committee may delegate pre-approval authority to one or more of its members, who then must report any pre-approval decisions to our full Audit Committee at its next scheduled meeting. In granting any such pre-approvals, the Audit Committee considers the extent to which approved services could impair the independence of our independent registered public accounting firm. With respect to each proposed pre-approved service, the auditor must provide the Audit Committee, upon request, with detailed back-up documentation regarding the specific services to be performed. During 2023 and 2022, all audit and permissible non-audit services were pre-approved by our Audit Committee in accordance with the pre-approval policy and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2" w:name="page63"/>
    <w:bookmarkEnd w:id="62"/>
    <w:p>
      <w:pPr>
        <w:spacing w:after="0"/>
        <w:rPr>
          <w:sz w:val="20"/>
          <w:szCs w:val="20"/>
          <w:color w:val="auto"/>
        </w:rPr>
      </w:pPr>
      <w:r>
        <w:rPr>
          <w:rFonts w:ascii="Arial" w:cs="Arial" w:eastAsia="Arial" w:hAnsi="Arial"/>
          <w:sz w:val="25"/>
          <w:szCs w:val="25"/>
          <w:b w:val="1"/>
          <w:bCs w:val="1"/>
          <w:color w:val="E97D2E"/>
        </w:rPr>
        <w:t>STOCK OWNERSHIP</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Principal Stockholders</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Except as discussed in the footnotes below, the following table sets forth, as of the record date, certain information regarding each person known to us to be the beneficial owner of more than 5% of our common stock. The percentages of class amounts set forth in the table below are based on 429,845,652 shares of common stock outstanding on the record date. The information with respect to the number of shares of common stock that the persons listed below beneficially own includes sole or shared voting power or investment power and is based solely on the information most recently filed by such persons with the SEC under the Exchange Act.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shd w:val="clear" w:color="auto" w:fill="465E66"/>
          </w:tcPr>
          <w:p>
            <w:pPr>
              <w:spacing w:after="0"/>
              <w:rPr>
                <w:sz w:val="17"/>
                <w:szCs w:val="17"/>
                <w:color w:val="auto"/>
              </w:rPr>
            </w:pPr>
          </w:p>
        </w:tc>
        <w:tc>
          <w:tcPr>
            <w:tcW w:w="3240" w:type="dxa"/>
            <w:vAlign w:val="bottom"/>
            <w:shd w:val="clear" w:color="auto" w:fill="465E66"/>
          </w:tcPr>
          <w:p>
            <w:pPr>
              <w:ind w:left="2080"/>
              <w:spacing w:after="0"/>
              <w:rPr>
                <w:sz w:val="20"/>
                <w:szCs w:val="20"/>
                <w:color w:val="auto"/>
              </w:rPr>
            </w:pPr>
            <w:r>
              <w:rPr>
                <w:rFonts w:ascii="Arial" w:cs="Arial" w:eastAsia="Arial" w:hAnsi="Arial"/>
                <w:sz w:val="14"/>
                <w:szCs w:val="14"/>
                <w:b w:val="1"/>
                <w:bCs w:val="1"/>
                <w:color w:val="FFFFFF"/>
              </w:rPr>
              <w:t>Common Stock</w:t>
            </w:r>
          </w:p>
        </w:tc>
        <w:tc>
          <w:tcPr>
            <w:tcW w:w="1980" w:type="dxa"/>
            <w:vAlign w:val="bottom"/>
            <w:shd w:val="clear" w:color="auto" w:fill="465E6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00" w:type="dxa"/>
            <w:vAlign w:val="bottom"/>
            <w:vMerge w:val="restart"/>
            <w:shd w:val="clear" w:color="auto" w:fill="465E66"/>
          </w:tcPr>
          <w:p>
            <w:pPr>
              <w:ind w:left="1660"/>
              <w:spacing w:after="0"/>
              <w:rPr>
                <w:sz w:val="20"/>
                <w:szCs w:val="20"/>
                <w:color w:val="auto"/>
              </w:rPr>
            </w:pPr>
            <w:r>
              <w:rPr>
                <w:rFonts w:ascii="Arial" w:cs="Arial" w:eastAsia="Arial" w:hAnsi="Arial"/>
                <w:sz w:val="14"/>
                <w:szCs w:val="14"/>
                <w:b w:val="1"/>
                <w:bCs w:val="1"/>
                <w:color w:val="FFFFFF"/>
              </w:rPr>
              <w:t>Name and Address of Beneficial Owner</w:t>
            </w:r>
          </w:p>
        </w:tc>
        <w:tc>
          <w:tcPr>
            <w:tcW w:w="3240" w:type="dxa"/>
            <w:vAlign w:val="bottom"/>
            <w:shd w:val="clear" w:color="auto" w:fill="465E66"/>
          </w:tcPr>
          <w:p>
            <w:pPr>
              <w:jc w:val="center"/>
              <w:ind w:right="564"/>
              <w:spacing w:after="0" w:line="153" w:lineRule="exact"/>
              <w:rPr>
                <w:sz w:val="20"/>
                <w:szCs w:val="20"/>
                <w:color w:val="auto"/>
              </w:rPr>
            </w:pPr>
            <w:r>
              <w:rPr>
                <w:rFonts w:ascii="Arial" w:cs="Arial" w:eastAsia="Arial" w:hAnsi="Arial"/>
                <w:sz w:val="14"/>
                <w:szCs w:val="14"/>
                <w:b w:val="1"/>
                <w:bCs w:val="1"/>
                <w:color w:val="FFFFFF"/>
              </w:rPr>
              <w:t>Amount and Nature of Beneficial</w:t>
            </w:r>
          </w:p>
        </w:tc>
        <w:tc>
          <w:tcPr>
            <w:tcW w:w="1980" w:type="dxa"/>
            <w:vAlign w:val="bottom"/>
            <w:vMerge w:val="restart"/>
            <w:shd w:val="clear" w:color="auto" w:fill="465E66"/>
          </w:tcPr>
          <w:p>
            <w:pPr>
              <w:ind w:left="100"/>
              <w:spacing w:after="0"/>
              <w:rPr>
                <w:sz w:val="20"/>
                <w:szCs w:val="20"/>
                <w:color w:val="auto"/>
              </w:rPr>
            </w:pPr>
            <w:r>
              <w:rPr>
                <w:rFonts w:ascii="Arial" w:cs="Arial" w:eastAsia="Arial" w:hAnsi="Arial"/>
                <w:sz w:val="14"/>
                <w:szCs w:val="14"/>
                <w:b w:val="1"/>
                <w:bCs w:val="1"/>
                <w:color w:val="FFFFFF"/>
              </w:rPr>
              <w:t>Percent of Class</w:t>
            </w:r>
          </w:p>
        </w:tc>
        <w:tc>
          <w:tcPr>
            <w:tcW w:w="0" w:type="dxa"/>
            <w:vAlign w:val="bottom"/>
          </w:tcPr>
          <w:p>
            <w:pPr>
              <w:spacing w:after="0"/>
              <w:rPr>
                <w:sz w:val="1"/>
                <w:szCs w:val="1"/>
                <w:color w:val="auto"/>
              </w:rPr>
            </w:pPr>
          </w:p>
        </w:tc>
      </w:tr>
      <w:tr>
        <w:trPr>
          <w:trHeight w:val="185"/>
        </w:trPr>
        <w:tc>
          <w:tcPr>
            <w:tcW w:w="6000" w:type="dxa"/>
            <w:vAlign w:val="bottom"/>
            <w:vMerge w:val="continue"/>
            <w:shd w:val="clear" w:color="auto" w:fill="465E66"/>
          </w:tcPr>
          <w:p>
            <w:pPr>
              <w:spacing w:after="0"/>
              <w:rPr>
                <w:sz w:val="16"/>
                <w:szCs w:val="16"/>
                <w:color w:val="auto"/>
              </w:rPr>
            </w:pPr>
          </w:p>
        </w:tc>
        <w:tc>
          <w:tcPr>
            <w:tcW w:w="3240" w:type="dxa"/>
            <w:vAlign w:val="bottom"/>
            <w:shd w:val="clear" w:color="auto" w:fill="465E66"/>
          </w:tcPr>
          <w:p>
            <w:pPr>
              <w:jc w:val="center"/>
              <w:ind w:right="544"/>
              <w:spacing w:after="0"/>
              <w:rPr>
                <w:sz w:val="20"/>
                <w:szCs w:val="20"/>
                <w:color w:val="auto"/>
              </w:rPr>
            </w:pPr>
            <w:r>
              <w:rPr>
                <w:rFonts w:ascii="Arial" w:cs="Arial" w:eastAsia="Arial" w:hAnsi="Arial"/>
                <w:sz w:val="14"/>
                <w:szCs w:val="14"/>
                <w:b w:val="1"/>
                <w:bCs w:val="1"/>
                <w:color w:val="FFFFFF"/>
              </w:rPr>
              <w:t>Ownership</w:t>
            </w:r>
          </w:p>
        </w:tc>
        <w:tc>
          <w:tcPr>
            <w:tcW w:w="1980" w:type="dxa"/>
            <w:vAlign w:val="bottom"/>
            <w:vMerge w:val="continue"/>
            <w:shd w:val="clear" w:color="auto" w:fill="465E6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FMR LLC</w:t>
            </w:r>
          </w:p>
        </w:tc>
        <w:tc>
          <w:tcPr>
            <w:tcW w:w="3240" w:type="dxa"/>
            <w:vAlign w:val="bottom"/>
            <w:shd w:val="clear" w:color="auto" w:fill="DBDBDB"/>
          </w:tcPr>
          <w:p>
            <w:pPr>
              <w:spacing w:after="0"/>
              <w:rPr>
                <w:sz w:val="14"/>
                <w:szCs w:val="14"/>
                <w:color w:val="auto"/>
              </w:rPr>
            </w:pPr>
          </w:p>
        </w:tc>
        <w:tc>
          <w:tcPr>
            <w:tcW w:w="1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245 Summer Street</w:t>
            </w:r>
          </w:p>
        </w:tc>
        <w:tc>
          <w:tcPr>
            <w:tcW w:w="3240" w:type="dxa"/>
            <w:vAlign w:val="bottom"/>
            <w:vMerge w:val="restart"/>
            <w:shd w:val="clear" w:color="auto" w:fill="DBDBDB"/>
          </w:tcPr>
          <w:p>
            <w:pPr>
              <w:jc w:val="center"/>
              <w:ind w:right="544"/>
              <w:spacing w:after="0"/>
              <w:rPr>
                <w:sz w:val="20"/>
                <w:szCs w:val="20"/>
                <w:color w:val="auto"/>
              </w:rPr>
            </w:pPr>
            <w:r>
              <w:rPr>
                <w:rFonts w:ascii="Arial" w:cs="Arial" w:eastAsia="Arial" w:hAnsi="Arial"/>
                <w:sz w:val="16"/>
                <w:szCs w:val="16"/>
                <w:color w:val="auto"/>
              </w:rPr>
              <w:t>57,494,526 (1)</w:t>
            </w:r>
          </w:p>
        </w:tc>
        <w:tc>
          <w:tcPr>
            <w:tcW w:w="1980" w:type="dxa"/>
            <w:vAlign w:val="bottom"/>
            <w:vMerge w:val="restart"/>
            <w:shd w:val="clear" w:color="auto" w:fill="DBDBDB"/>
          </w:tcPr>
          <w:p>
            <w:pPr>
              <w:jc w:val="center"/>
              <w:ind w:right="561"/>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6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Boston, Massachusetts 02210</w:t>
            </w:r>
          </w:p>
        </w:tc>
        <w:tc>
          <w:tcPr>
            <w:tcW w:w="3240" w:type="dxa"/>
            <w:vAlign w:val="bottom"/>
            <w:vMerge w:val="continue"/>
            <w:shd w:val="clear" w:color="auto" w:fill="DBDBDB"/>
          </w:tcPr>
          <w:p>
            <w:pPr>
              <w:spacing w:after="0"/>
              <w:rPr>
                <w:sz w:val="18"/>
                <w:szCs w:val="18"/>
                <w:color w:val="auto"/>
              </w:rPr>
            </w:pPr>
          </w:p>
        </w:tc>
        <w:tc>
          <w:tcPr>
            <w:tcW w:w="19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0"/>
              <w:spacing w:after="0" w:line="162" w:lineRule="exact"/>
              <w:rPr>
                <w:sz w:val="20"/>
                <w:szCs w:val="20"/>
                <w:color w:val="auto"/>
              </w:rPr>
            </w:pPr>
            <w:r>
              <w:rPr>
                <w:rFonts w:ascii="Arial" w:cs="Arial" w:eastAsia="Arial" w:hAnsi="Arial"/>
                <w:sz w:val="16"/>
                <w:szCs w:val="16"/>
                <w:color w:val="auto"/>
              </w:rPr>
              <w:t>The Vanguard Group, Inc.</w:t>
            </w:r>
          </w:p>
        </w:tc>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0"/>
              <w:spacing w:after="0" w:line="162" w:lineRule="exact"/>
              <w:rPr>
                <w:sz w:val="20"/>
                <w:szCs w:val="20"/>
                <w:color w:val="auto"/>
              </w:rPr>
            </w:pPr>
            <w:r>
              <w:rPr>
                <w:rFonts w:ascii="Arial" w:cs="Arial" w:eastAsia="Arial" w:hAnsi="Arial"/>
                <w:sz w:val="16"/>
                <w:szCs w:val="16"/>
                <w:color w:val="auto"/>
              </w:rPr>
              <w:t>100 Vanguard Blvd.</w:t>
            </w:r>
          </w:p>
        </w:tc>
        <w:tc>
          <w:tcPr>
            <w:tcW w:w="3240" w:type="dxa"/>
            <w:vAlign w:val="bottom"/>
            <w:vMerge w:val="restart"/>
          </w:tcPr>
          <w:p>
            <w:pPr>
              <w:jc w:val="center"/>
              <w:ind w:right="544"/>
              <w:spacing w:after="0"/>
              <w:rPr>
                <w:sz w:val="20"/>
                <w:szCs w:val="20"/>
                <w:color w:val="auto"/>
              </w:rPr>
            </w:pPr>
            <w:r>
              <w:rPr>
                <w:rFonts w:ascii="Arial" w:cs="Arial" w:eastAsia="Arial" w:hAnsi="Arial"/>
                <w:sz w:val="16"/>
                <w:szCs w:val="16"/>
                <w:color w:val="auto"/>
              </w:rPr>
              <w:t>50,341,366 (2)</w:t>
            </w:r>
          </w:p>
        </w:tc>
        <w:tc>
          <w:tcPr>
            <w:tcW w:w="1980" w:type="dxa"/>
            <w:vAlign w:val="bottom"/>
            <w:vMerge w:val="restart"/>
          </w:tcPr>
          <w:p>
            <w:pPr>
              <w:jc w:val="center"/>
              <w:ind w:right="56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Malvern, Pennsylvania 19355</w:t>
            </w:r>
          </w:p>
        </w:tc>
        <w:tc>
          <w:tcPr>
            <w:tcW w:w="324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BlackRock, Inc.</w:t>
            </w:r>
          </w:p>
        </w:tc>
        <w:tc>
          <w:tcPr>
            <w:tcW w:w="3240" w:type="dxa"/>
            <w:vAlign w:val="bottom"/>
            <w:shd w:val="clear" w:color="auto" w:fill="DBDBDB"/>
          </w:tcPr>
          <w:p>
            <w:pPr>
              <w:spacing w:after="0"/>
              <w:rPr>
                <w:sz w:val="14"/>
                <w:szCs w:val="14"/>
                <w:color w:val="auto"/>
              </w:rPr>
            </w:pPr>
          </w:p>
        </w:tc>
        <w:tc>
          <w:tcPr>
            <w:tcW w:w="1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50 Hudson Yards</w:t>
            </w:r>
          </w:p>
        </w:tc>
        <w:tc>
          <w:tcPr>
            <w:tcW w:w="3240" w:type="dxa"/>
            <w:vAlign w:val="bottom"/>
            <w:vMerge w:val="restart"/>
            <w:shd w:val="clear" w:color="auto" w:fill="DBDBDB"/>
          </w:tcPr>
          <w:p>
            <w:pPr>
              <w:jc w:val="center"/>
              <w:ind w:right="544"/>
              <w:spacing w:after="0"/>
              <w:rPr>
                <w:sz w:val="20"/>
                <w:szCs w:val="20"/>
                <w:color w:val="auto"/>
              </w:rPr>
            </w:pPr>
            <w:r>
              <w:rPr>
                <w:rFonts w:ascii="Arial" w:cs="Arial" w:eastAsia="Arial" w:hAnsi="Arial"/>
                <w:sz w:val="16"/>
                <w:szCs w:val="16"/>
                <w:color w:val="auto"/>
              </w:rPr>
              <w:t>40,199,775 (3)</w:t>
            </w:r>
          </w:p>
        </w:tc>
        <w:tc>
          <w:tcPr>
            <w:tcW w:w="1980" w:type="dxa"/>
            <w:vAlign w:val="bottom"/>
            <w:vMerge w:val="restart"/>
            <w:shd w:val="clear" w:color="auto" w:fill="DBDBDB"/>
          </w:tcPr>
          <w:p>
            <w:pPr>
              <w:jc w:val="center"/>
              <w:ind w:right="56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6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New York, New York 10001</w:t>
            </w:r>
          </w:p>
        </w:tc>
        <w:tc>
          <w:tcPr>
            <w:tcW w:w="3240" w:type="dxa"/>
            <w:vAlign w:val="bottom"/>
            <w:vMerge w:val="continue"/>
            <w:shd w:val="clear" w:color="auto" w:fill="DBDBDB"/>
          </w:tcPr>
          <w:p>
            <w:pPr>
              <w:spacing w:after="0"/>
              <w:rPr>
                <w:sz w:val="18"/>
                <w:szCs w:val="18"/>
                <w:color w:val="auto"/>
              </w:rPr>
            </w:pPr>
          </w:p>
        </w:tc>
        <w:tc>
          <w:tcPr>
            <w:tcW w:w="19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60" w:right="140" w:hanging="234"/>
        <w:spacing w:after="0"/>
        <w:tabs>
          <w:tab w:leader="none" w:pos="233"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(Amendment No. 9) filed with the SEC by FMR LLC (FMR) and Abigail P. Johnson on February 9, 2024, as of December 29, 2023, FMR and Ms. Johnson are the beneficial owners of 57,494,526 shares of our common stock. FMR has sole power to vote or direct the vote with respect to 54,994,237 shares that it beneficially owns and no shared voting power. FMR and Ms. Johnson have sole power to dispose or direct the disposition of 57,494,526 shares that are beneficially owned and no shared dispositive power. The shares are beneficially owned through the following entities: Fiam LLC, Fidelity Institutional Asset Management Trust Company, Fidelity Management &amp; Research (Hong Kong) Limited, Fidelity Management &amp; Research Company LLC (which beneficially owns 5% or greater of the shares of the class being reported on), Fidelity Management Trust Company and Strategic Advisers LLC. Ms. Johnson is a director, the Chairman and the Chief Executive Officer of FMR. Ms. Johnson and other members of the Johnson family own directly or indirectly 49% of the voting power of FMR, and they and all of the Series B stockholders have entered into a voting agreement under which all Series B voting common shares will be voted in accordance with the majority vote of such shares.</w:t>
      </w:r>
    </w:p>
    <w:p>
      <w:pPr>
        <w:spacing w:after="0" w:line="62" w:lineRule="exact"/>
        <w:rPr>
          <w:rFonts w:ascii="Arial" w:cs="Arial" w:eastAsia="Arial" w:hAnsi="Arial"/>
          <w:sz w:val="14"/>
          <w:szCs w:val="14"/>
          <w:color w:val="auto"/>
        </w:rPr>
      </w:pPr>
    </w:p>
    <w:p>
      <w:pPr>
        <w:ind w:left="260" w:right="80" w:hanging="234"/>
        <w:spacing w:after="0"/>
        <w:tabs>
          <w:tab w:leader="none" w:pos="233"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(Amendment No. 12) filed with the SEC on February 13, 2024, reporting beneficial ownership as of December 29, 2023, The Vanguard Group, Inc. (Vanguard) is the beneficial owner of 50,341,366 shares of our common stock. Vanguard has the sole power to dispose or to direct the disposition of 48,519,672 shares it beneficially owns, does not have the sole power to vote or to direct the vote of any of the shares it beneficially owns, has shared power to vote or to direct the vote of 534,179 shares it beneficially owns and has shared power to dispose or direct the disposition of 1,821,694 shares it beneficially owns.</w:t>
      </w:r>
    </w:p>
    <w:p>
      <w:pPr>
        <w:spacing w:after="0" w:line="126" w:lineRule="exact"/>
        <w:rPr>
          <w:rFonts w:ascii="Arial" w:cs="Arial" w:eastAsia="Arial" w:hAnsi="Arial"/>
          <w:sz w:val="14"/>
          <w:szCs w:val="14"/>
          <w:color w:val="auto"/>
        </w:rPr>
      </w:pPr>
    </w:p>
    <w:p>
      <w:pPr>
        <w:ind w:left="260" w:right="200" w:hanging="234"/>
        <w:spacing w:after="0" w:line="221" w:lineRule="auto"/>
        <w:tabs>
          <w:tab w:leader="none" w:pos="233"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solely on the information contained in its Schedule 13G/A, Amendment No. 2 filed with the SEC on January 25, 2024, as of December 31, 2023, BlackRock, Inc. (BlackRock) is the beneficial owner of 40,199,775 shares of our common stock. BlackRock has the sole power to dispose or direct the disposition of 40,199,775 shares of our common stock and no shared dispositive power. BlackRock has the sole power to vote or direct the voting of 37,456,345 shares of our common stock and no shared voting power. The shares are beneficially owned through the following entities: BlackRock Life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58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3" w:name="page64"/>
    <w:bookmarkEnd w:id="63"/>
    <w:p>
      <w:pPr>
        <w:ind w:left="9860"/>
        <w:spacing w:after="0"/>
        <w:rPr>
          <w:sz w:val="20"/>
          <w:szCs w:val="20"/>
          <w:color w:val="auto"/>
        </w:rPr>
      </w:pPr>
      <w:r>
        <w:rPr>
          <w:rFonts w:ascii="Arial" w:cs="Arial" w:eastAsia="Arial" w:hAnsi="Arial"/>
          <w:sz w:val="18"/>
          <w:szCs w:val="18"/>
          <w:color w:val="E97D2E"/>
        </w:rPr>
        <w:t>Stock Ownership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Share Ownership of Directors and Executive Officers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certain information, as of the record date, regarding beneficial ownership of our common stock by each director, each NEO and our current directors and executive officers as a group. The percentages set forth in the table below are based on 429,845,652 shares of common stock outstanding on the record date. Beneficial ownership includes sole or shared voting power or investment power and also any shares that the individual has the right to acquire within 60 days of the record date (such as the vesting of RSUs). Unless otherwise indicated, individuals in the following table have sole voting and investment power over the reported shares.</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6200" w:type="dxa"/>
            <w:vAlign w:val="bottom"/>
            <w:shd w:val="clear" w:color="auto" w:fill="465E66"/>
          </w:tcPr>
          <w:p>
            <w:pPr>
              <w:spacing w:after="0"/>
              <w:rPr>
                <w:sz w:val="17"/>
                <w:szCs w:val="17"/>
                <w:color w:val="auto"/>
              </w:rPr>
            </w:pPr>
          </w:p>
        </w:tc>
        <w:tc>
          <w:tcPr>
            <w:tcW w:w="4180" w:type="dxa"/>
            <w:vAlign w:val="bottom"/>
            <w:gridSpan w:val="2"/>
            <w:shd w:val="clear" w:color="auto" w:fill="465E66"/>
          </w:tcPr>
          <w:p>
            <w:pPr>
              <w:ind w:left="1560"/>
              <w:spacing w:after="0"/>
              <w:rPr>
                <w:sz w:val="20"/>
                <w:szCs w:val="20"/>
                <w:color w:val="auto"/>
              </w:rPr>
            </w:pPr>
            <w:r>
              <w:rPr>
                <w:rFonts w:ascii="Arial" w:cs="Arial" w:eastAsia="Arial" w:hAnsi="Arial"/>
                <w:sz w:val="14"/>
                <w:szCs w:val="14"/>
                <w:b w:val="1"/>
                <w:bCs w:val="1"/>
                <w:color w:val="FFFFFF"/>
              </w:rPr>
              <w:t>Common Stock</w:t>
            </w:r>
          </w:p>
        </w:tc>
      </w:tr>
      <w:tr>
        <w:trPr>
          <w:trHeight w:val="203"/>
        </w:trPr>
        <w:tc>
          <w:tcPr>
            <w:tcW w:w="620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2200" w:type="dxa"/>
            <w:vAlign w:val="bottom"/>
            <w:shd w:val="clear" w:color="auto" w:fill="465E66"/>
          </w:tcPr>
          <w:p>
            <w:pPr>
              <w:jc w:val="right"/>
              <w:ind w:right="792"/>
              <w:spacing w:after="0"/>
              <w:rPr>
                <w:sz w:val="20"/>
                <w:szCs w:val="20"/>
                <w:color w:val="auto"/>
              </w:rPr>
            </w:pPr>
            <w:r>
              <w:rPr>
                <w:rFonts w:ascii="Arial" w:cs="Arial" w:eastAsia="Arial" w:hAnsi="Arial"/>
                <w:sz w:val="14"/>
                <w:szCs w:val="14"/>
                <w:b w:val="1"/>
                <w:bCs w:val="1"/>
                <w:color w:val="FFFFFF"/>
              </w:rPr>
              <w:t>Total (1)</w:t>
            </w:r>
          </w:p>
        </w:tc>
        <w:tc>
          <w:tcPr>
            <w:tcW w:w="1980" w:type="dxa"/>
            <w:vAlign w:val="bottom"/>
            <w:shd w:val="clear" w:color="auto" w:fill="465E66"/>
          </w:tcPr>
          <w:p>
            <w:pPr>
              <w:jc w:val="center"/>
              <w:ind w:right="60"/>
              <w:spacing w:after="0"/>
              <w:rPr>
                <w:sz w:val="20"/>
                <w:szCs w:val="20"/>
                <w:color w:val="auto"/>
              </w:rPr>
            </w:pPr>
            <w:r>
              <w:rPr>
                <w:rFonts w:ascii="Arial" w:cs="Arial" w:eastAsia="Arial" w:hAnsi="Arial"/>
                <w:sz w:val="14"/>
                <w:szCs w:val="14"/>
                <w:b w:val="1"/>
                <w:bCs w:val="1"/>
                <w:color w:val="FFFFFF"/>
              </w:rPr>
              <w:t>Percentage Ownership</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NEOs</w:t>
            </w:r>
          </w:p>
        </w:tc>
        <w:tc>
          <w:tcPr>
            <w:tcW w:w="220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Hassane El-Khoury</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465,926</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Thad Trent</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235,960</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Simon Keeton</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165,924</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Sudhir Gopalswamy</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47,489</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Ross F. Jatou (2)</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90,876</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Directors</w:t>
            </w:r>
          </w:p>
        </w:tc>
        <w:tc>
          <w:tcPr>
            <w:tcW w:w="220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Atsushi Abe</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174,048</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Alan Campbell</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91,923</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color w:val="auto"/>
              </w:rPr>
              <w:t>Susan K. Carter</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15,515</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Thomas L. Deitrich</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15,937</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Bruce E. Kiddoo</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13,463</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Christina Lampe-Önnerud</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1,601</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Paul A. Mascarenas</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46,757</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Gregory L. Waters</w:t>
            </w:r>
          </w:p>
        </w:tc>
        <w:tc>
          <w:tcPr>
            <w:tcW w:w="22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31,401</w:t>
            </w:r>
          </w:p>
        </w:tc>
        <w:tc>
          <w:tcPr>
            <w:tcW w:w="1980" w:type="dxa"/>
            <w:vAlign w:val="bottom"/>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Christine Y. Yan</w:t>
            </w:r>
          </w:p>
        </w:tc>
        <w:tc>
          <w:tcPr>
            <w:tcW w:w="2200" w:type="dxa"/>
            <w:vAlign w:val="bottom"/>
          </w:tcPr>
          <w:p>
            <w:pPr>
              <w:jc w:val="right"/>
              <w:ind w:right="52"/>
              <w:spacing w:after="0"/>
              <w:rPr>
                <w:sz w:val="20"/>
                <w:szCs w:val="20"/>
                <w:color w:val="auto"/>
              </w:rPr>
            </w:pPr>
            <w:r>
              <w:rPr>
                <w:rFonts w:ascii="Arial" w:cs="Arial" w:eastAsia="Arial" w:hAnsi="Arial"/>
                <w:sz w:val="18"/>
                <w:szCs w:val="18"/>
                <w:color w:val="auto"/>
              </w:rPr>
              <w:t>38,532</w:t>
            </w:r>
          </w:p>
        </w:tc>
        <w:tc>
          <w:tcPr>
            <w:tcW w:w="1980" w:type="dxa"/>
            <w:vAlign w:val="bottom"/>
          </w:tcPr>
          <w:p>
            <w:pPr>
              <w:jc w:val="center"/>
              <w:ind w:right="40"/>
              <w:spacing w:after="0"/>
              <w:rPr>
                <w:sz w:val="20"/>
                <w:szCs w:val="20"/>
                <w:color w:val="auto"/>
              </w:rPr>
            </w:pPr>
            <w:r>
              <w:rPr>
                <w:rFonts w:ascii="Arial" w:cs="Arial" w:eastAsia="Arial" w:hAnsi="Arial"/>
                <w:sz w:val="16"/>
                <w:szCs w:val="16"/>
                <w:color w:val="auto"/>
                <w:w w:val="95"/>
              </w:rPr>
              <w:t>*</w:t>
            </w:r>
          </w:p>
        </w:tc>
      </w:tr>
      <w:tr>
        <w:trPr>
          <w:trHeight w:val="230"/>
        </w:trPr>
        <w:tc>
          <w:tcPr>
            <w:tcW w:w="6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All current directors and executive officers as a group (13 persons)</w:t>
            </w:r>
          </w:p>
        </w:tc>
        <w:tc>
          <w:tcPr>
            <w:tcW w:w="220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color w:val="auto"/>
              </w:rPr>
              <w:t>1,344,476</w:t>
            </w:r>
          </w:p>
        </w:tc>
        <w:tc>
          <w:tcPr>
            <w:tcW w:w="1980" w:type="dxa"/>
            <w:vAlign w:val="bottom"/>
            <w:tcBorders>
              <w:bottom w:val="single" w:sz="8" w:color="auto"/>
            </w:tcBorders>
            <w:shd w:val="clear" w:color="auto" w:fill="DBDBDB"/>
          </w:tcPr>
          <w:p>
            <w:pPr>
              <w:jc w:val="center"/>
              <w:ind w:right="40"/>
              <w:spacing w:after="0"/>
              <w:rPr>
                <w:sz w:val="20"/>
                <w:szCs w:val="20"/>
                <w:color w:val="auto"/>
              </w:rPr>
            </w:pPr>
            <w:r>
              <w:rPr>
                <w:rFonts w:ascii="Arial" w:cs="Arial" w:eastAsia="Arial" w:hAnsi="Arial"/>
                <w:sz w:val="16"/>
                <w:szCs w:val="16"/>
                <w:color w:val="auto"/>
                <w:w w:val="95"/>
              </w:rPr>
              <w:t>*</w:t>
            </w:r>
          </w:p>
        </w:tc>
      </w:tr>
    </w:tbl>
    <w:p>
      <w:pPr>
        <w:spacing w:after="0" w:line="4" w:lineRule="exact"/>
        <w:rPr>
          <w:sz w:val="20"/>
          <w:szCs w:val="20"/>
          <w:color w:val="auto"/>
        </w:rPr>
      </w:pPr>
    </w:p>
    <w:p>
      <w:pPr>
        <w:ind w:left="660" w:hanging="209"/>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 than 1% of the total voting power of the outstanding shares of common stock.</w:t>
      </w:r>
    </w:p>
    <w:p>
      <w:pPr>
        <w:spacing w:after="0" w:line="42" w:lineRule="exact"/>
        <w:rPr>
          <w:sz w:val="20"/>
          <w:szCs w:val="20"/>
          <w:color w:val="auto"/>
        </w:rPr>
      </w:pPr>
    </w:p>
    <w:p>
      <w:pPr>
        <w:ind w:left="700" w:right="440" w:hanging="249"/>
        <w:spacing w:after="0" w:line="226" w:lineRule="auto"/>
        <w:tabs>
          <w:tab w:leader="none" w:pos="673"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each non-employee director other than Ms. Lampe-Önnerud, this figure includes 2,602 shares of restricted stock that are scheduled to vest on the day prior to the annual meeting. For Ms. Lampe-Önnerud, this figure includes 1,601 shares of restricted stock that are scheduled to vest on the day prior to the annual meeting. For Mr. Gopalswamy, this figure includes 22,889 PBRSUs that are expected to vest and settle in shares within 60 days of the record date. No other NEO holds any outstanding RSUs or PBRSUs that are scheduled to vest and settle in shares within 60 days of the record date.</w:t>
      </w:r>
    </w:p>
    <w:p>
      <w:pPr>
        <w:spacing w:after="0" w:line="28" w:lineRule="exact"/>
        <w:rPr>
          <w:rFonts w:ascii="Arial" w:cs="Arial" w:eastAsia="Arial" w:hAnsi="Arial"/>
          <w:sz w:val="14"/>
          <w:szCs w:val="14"/>
          <w:color w:val="auto"/>
        </w:rPr>
      </w:pPr>
    </w:p>
    <w:p>
      <w:pPr>
        <w:ind w:left="700" w:right="600" w:hanging="249"/>
        <w:spacing w:after="0" w:line="244" w:lineRule="auto"/>
        <w:tabs>
          <w:tab w:leader="none" w:pos="673"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Mr. Jatou’s last day of </w:t>
      </w:r>
      <w:r>
        <w:rPr>
          <w:rFonts w:ascii="Arial" w:cs="Arial" w:eastAsia="Arial" w:hAnsi="Arial"/>
          <w:sz w:val="14"/>
          <w:szCs w:val="14"/>
          <w:b w:val="1"/>
          <w:bCs w:val="1"/>
          <w:color w:val="auto"/>
        </w:rPr>
        <w:t>onsemi</w:t>
      </w:r>
      <w:r>
        <w:rPr>
          <w:rFonts w:ascii="Arial" w:cs="Arial" w:eastAsia="Arial" w:hAnsi="Arial"/>
          <w:sz w:val="14"/>
          <w:szCs w:val="14"/>
          <w:color w:val="auto"/>
        </w:rPr>
        <w:t xml:space="preserve"> employment was February 22, 2024. The numbers listed for Mr. Jatou reflect his beneficial ownership of our common stock as of that date.</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Hedging and Pledging Restrictions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our Insider Trading Policy, officers, directors and certain other specified key employees who have regular access to financial or other material information prior to the time the information is disclosed to the public (our insiders) may not engage in short sales of our securities or buy or sell financial instruments, including, without limitation, puts, calls or other derivatives of our securities, prepaid variable forwards, equity swaps, collars and exchange funds, or otherwise engage in hedging or monetization transactions, in any such case that hedge or offset, or are designed to hedge or offset, any decrease in the market value of our securities or that otherwise have economic consequences comparable to the same. Our insiders are also prohibited from holding our securities in a margin account or otherwise pledging our securities as collateral for a loan. Each insider is also responsible for transactions of specified family members and controlled entities and such</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transactions are subject to the same restrictions as if entered into for the account of the insider. We also encourage our employees who are not insiders to adhere to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color w:val="E97D2E"/>
        </w:rPr>
        <w:t>Stock Ownership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Director and Officer Stock Ownership and Retention Guidelines</w:t>
      </w:r>
    </w:p>
    <w:p>
      <w:pPr>
        <w:spacing w:after="0" w:line="11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In order to align directors’ and officers’ interests and objectives with those of our stockholders, and to further promote our longstanding commitment to sound corporate governance, we have established the following guidelines for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stock ownership and retention: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shd w:val="clear" w:color="auto" w:fill="465E66"/>
          </w:tcPr>
          <w:p>
            <w:pPr>
              <w:ind w:left="20"/>
              <w:spacing w:after="0"/>
              <w:rPr>
                <w:sz w:val="20"/>
                <w:szCs w:val="20"/>
                <w:color w:val="auto"/>
              </w:rPr>
            </w:pPr>
            <w:r>
              <w:rPr>
                <w:rFonts w:ascii="Arial" w:cs="Arial" w:eastAsia="Arial" w:hAnsi="Arial"/>
                <w:sz w:val="14"/>
                <w:szCs w:val="14"/>
                <w:b w:val="1"/>
                <w:bCs w:val="1"/>
                <w:color w:val="FFFFFF"/>
              </w:rPr>
              <w:t>Guideline</w:t>
            </w:r>
          </w:p>
        </w:tc>
        <w:tc>
          <w:tcPr>
            <w:tcW w:w="4280" w:type="dxa"/>
            <w:vAlign w:val="bottom"/>
            <w:shd w:val="clear" w:color="auto" w:fill="465E66"/>
          </w:tcPr>
          <w:p>
            <w:pPr>
              <w:ind w:left="1420"/>
              <w:spacing w:after="0"/>
              <w:rPr>
                <w:sz w:val="20"/>
                <w:szCs w:val="20"/>
                <w:color w:val="auto"/>
              </w:rPr>
            </w:pPr>
            <w:r>
              <w:rPr>
                <w:rFonts w:ascii="Arial" w:cs="Arial" w:eastAsia="Arial" w:hAnsi="Arial"/>
                <w:sz w:val="14"/>
                <w:szCs w:val="14"/>
                <w:b w:val="1"/>
                <w:bCs w:val="1"/>
                <w:color w:val="FFFFFF"/>
              </w:rPr>
              <w:t>Non-Employee Directors</w:t>
            </w:r>
          </w:p>
        </w:tc>
        <w:tc>
          <w:tcPr>
            <w:tcW w:w="4120" w:type="dxa"/>
            <w:vAlign w:val="bottom"/>
            <w:shd w:val="clear" w:color="auto" w:fill="465E66"/>
          </w:tcPr>
          <w:p>
            <w:pPr>
              <w:ind w:left="1800"/>
              <w:spacing w:after="0"/>
              <w:rPr>
                <w:sz w:val="20"/>
                <w:szCs w:val="20"/>
                <w:color w:val="auto"/>
              </w:rPr>
            </w:pPr>
            <w:r>
              <w:rPr>
                <w:rFonts w:ascii="Arial" w:cs="Arial" w:eastAsia="Arial" w:hAnsi="Arial"/>
                <w:sz w:val="14"/>
                <w:szCs w:val="14"/>
                <w:b w:val="1"/>
                <w:bCs w:val="1"/>
                <w:color w:val="FFFFFF"/>
              </w:rPr>
              <w:t>Officers</w:t>
            </w: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spacing w:after="0"/>
              <w:rPr>
                <w:sz w:val="13"/>
                <w:szCs w:val="13"/>
                <w:color w:val="auto"/>
              </w:rPr>
            </w:pPr>
          </w:p>
        </w:tc>
        <w:tc>
          <w:tcPr>
            <w:tcW w:w="4280" w:type="dxa"/>
            <w:vAlign w:val="bottom"/>
            <w:shd w:val="clear" w:color="auto" w:fill="DBDBDB"/>
          </w:tcPr>
          <w:p>
            <w:pPr>
              <w:ind w:left="240"/>
              <w:spacing w:after="0" w:line="153" w:lineRule="exact"/>
              <w:rPr>
                <w:sz w:val="20"/>
                <w:szCs w:val="20"/>
                <w:color w:val="auto"/>
              </w:rPr>
            </w:pPr>
            <w:r>
              <w:rPr>
                <w:rFonts w:ascii="Arial" w:cs="Arial" w:eastAsia="Arial" w:hAnsi="Arial"/>
                <w:sz w:val="14"/>
                <w:szCs w:val="14"/>
                <w:color w:val="auto"/>
              </w:rPr>
              <w:t>•  A minimum of five times base annual cash retainer fee as of</w:t>
            </w:r>
          </w:p>
        </w:tc>
        <w:tc>
          <w:tcPr>
            <w:tcW w:w="4120" w:type="dxa"/>
            <w:vAlign w:val="bottom"/>
            <w:shd w:val="clear" w:color="auto" w:fill="DBDBDB"/>
          </w:tcPr>
          <w:p>
            <w:pPr>
              <w:ind w:left="40"/>
              <w:spacing w:after="0" w:line="153" w:lineRule="exact"/>
              <w:rPr>
                <w:sz w:val="20"/>
                <w:szCs w:val="20"/>
                <w:color w:val="auto"/>
              </w:rPr>
            </w:pPr>
            <w:r>
              <w:rPr>
                <w:rFonts w:ascii="Arial" w:cs="Arial" w:eastAsia="Arial" w:hAnsi="Arial"/>
                <w:sz w:val="14"/>
                <w:szCs w:val="14"/>
                <w:color w:val="auto"/>
              </w:rPr>
              <w:t>•  CEO: a minimum of six times annual base salary</w:t>
            </w:r>
          </w:p>
        </w:tc>
        <w:tc>
          <w:tcPr>
            <w:tcW w:w="0" w:type="dxa"/>
            <w:vAlign w:val="bottom"/>
          </w:tcPr>
          <w:p>
            <w:pPr>
              <w:spacing w:after="0"/>
              <w:rPr>
                <w:sz w:val="1"/>
                <w:szCs w:val="1"/>
                <w:color w:val="auto"/>
              </w:rPr>
            </w:pPr>
          </w:p>
        </w:tc>
      </w:tr>
      <w:tr>
        <w:trPr>
          <w:trHeight w:val="148"/>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400"/>
              <w:spacing w:after="0" w:line="149" w:lineRule="exact"/>
              <w:rPr>
                <w:sz w:val="20"/>
                <w:szCs w:val="20"/>
                <w:color w:val="auto"/>
              </w:rPr>
            </w:pPr>
            <w:r>
              <w:rPr>
                <w:rFonts w:ascii="Arial" w:cs="Arial" w:eastAsia="Arial" w:hAnsi="Arial"/>
                <w:sz w:val="14"/>
                <w:szCs w:val="14"/>
                <w:color w:val="auto"/>
              </w:rPr>
              <w:t>January 1 (1)</w:t>
            </w:r>
          </w:p>
        </w:tc>
        <w:tc>
          <w:tcPr>
            <w:tcW w:w="4120" w:type="dxa"/>
            <w:vAlign w:val="bottom"/>
            <w:shd w:val="clear" w:color="auto" w:fill="DBDBDB"/>
          </w:tcPr>
          <w:p>
            <w:pPr>
              <w:ind w:left="40"/>
              <w:spacing w:after="0" w:line="149" w:lineRule="exact"/>
              <w:rPr>
                <w:sz w:val="20"/>
                <w:szCs w:val="20"/>
                <w:color w:val="auto"/>
              </w:rPr>
            </w:pPr>
            <w:r>
              <w:rPr>
                <w:rFonts w:ascii="Arial" w:cs="Arial" w:eastAsia="Arial" w:hAnsi="Arial"/>
                <w:sz w:val="14"/>
                <w:szCs w:val="14"/>
                <w:color w:val="auto"/>
              </w:rPr>
              <w:t>•  Executive Vice Presidents: a minimum of three times annual</w:t>
            </w:r>
          </w:p>
        </w:tc>
        <w:tc>
          <w:tcPr>
            <w:tcW w:w="0" w:type="dxa"/>
            <w:vAlign w:val="bottom"/>
          </w:tcPr>
          <w:p>
            <w:pPr>
              <w:spacing w:after="0"/>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240"/>
              <w:spacing w:after="0" w:line="145" w:lineRule="exact"/>
              <w:rPr>
                <w:sz w:val="20"/>
                <w:szCs w:val="20"/>
                <w:color w:val="auto"/>
              </w:rPr>
            </w:pPr>
            <w:r>
              <w:rPr>
                <w:rFonts w:ascii="Arial" w:cs="Arial" w:eastAsia="Arial" w:hAnsi="Arial"/>
                <w:sz w:val="14"/>
                <w:szCs w:val="14"/>
                <w:color w:val="auto"/>
              </w:rPr>
              <w:t>•  Based on the average closing price of the Company’s</w:t>
            </w:r>
          </w:p>
        </w:tc>
        <w:tc>
          <w:tcPr>
            <w:tcW w:w="4120" w:type="dxa"/>
            <w:vAlign w:val="bottom"/>
            <w:shd w:val="clear" w:color="auto" w:fill="DBDBDB"/>
          </w:tcPr>
          <w:p>
            <w:pPr>
              <w:ind w:left="200"/>
              <w:spacing w:after="0" w:line="145" w:lineRule="exact"/>
              <w:rPr>
                <w:sz w:val="20"/>
                <w:szCs w:val="20"/>
                <w:color w:val="auto"/>
              </w:rPr>
            </w:pPr>
            <w:r>
              <w:rPr>
                <w:rFonts w:ascii="Arial" w:cs="Arial" w:eastAsia="Arial" w:hAnsi="Arial"/>
                <w:sz w:val="14"/>
                <w:szCs w:val="14"/>
                <w:color w:val="auto"/>
              </w:rPr>
              <w:t>base salary</w:t>
            </w:r>
          </w:p>
        </w:tc>
        <w:tc>
          <w:tcPr>
            <w:tcW w:w="0" w:type="dxa"/>
            <w:vAlign w:val="bottom"/>
          </w:tcPr>
          <w:p>
            <w:pPr>
              <w:spacing w:after="0"/>
              <w:rPr>
                <w:sz w:val="1"/>
                <w:szCs w:val="1"/>
                <w:color w:val="auto"/>
              </w:rPr>
            </w:pPr>
          </w:p>
        </w:tc>
      </w:tr>
      <w:tr>
        <w:trPr>
          <w:trHeight w:val="139"/>
        </w:trPr>
        <w:tc>
          <w:tcPr>
            <w:tcW w:w="284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Stock Ownership</w:t>
            </w:r>
          </w:p>
        </w:tc>
        <w:tc>
          <w:tcPr>
            <w:tcW w:w="4280" w:type="dxa"/>
            <w:vAlign w:val="bottom"/>
            <w:shd w:val="clear" w:color="auto" w:fill="DBDBDB"/>
          </w:tcPr>
          <w:p>
            <w:pPr>
              <w:ind w:left="400"/>
              <w:spacing w:after="0" w:line="139" w:lineRule="exact"/>
              <w:rPr>
                <w:sz w:val="20"/>
                <w:szCs w:val="20"/>
                <w:color w:val="auto"/>
              </w:rPr>
            </w:pPr>
            <w:r>
              <w:rPr>
                <w:rFonts w:ascii="Arial" w:cs="Arial" w:eastAsia="Arial" w:hAnsi="Arial"/>
                <w:sz w:val="14"/>
                <w:szCs w:val="14"/>
                <w:color w:val="auto"/>
              </w:rPr>
              <w:t>common stock on Nasdaq for the prior calendar quarter (i.e.,</w:t>
            </w: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Senior Vice Presidents: a minimum of two times annual base</w:t>
            </w:r>
          </w:p>
        </w:tc>
        <w:tc>
          <w:tcPr>
            <w:tcW w:w="0" w:type="dxa"/>
            <w:vAlign w:val="bottom"/>
          </w:tcPr>
          <w:p>
            <w:pPr>
              <w:spacing w:after="0"/>
              <w:rPr>
                <w:sz w:val="1"/>
                <w:szCs w:val="1"/>
                <w:color w:val="auto"/>
              </w:rPr>
            </w:pPr>
          </w:p>
        </w:tc>
      </w:tr>
      <w:tr>
        <w:trPr>
          <w:trHeight w:val="115"/>
        </w:trPr>
        <w:tc>
          <w:tcPr>
            <w:tcW w:w="2840" w:type="dxa"/>
            <w:vAlign w:val="bottom"/>
            <w:vMerge w:val="continue"/>
            <w:shd w:val="clear" w:color="auto" w:fill="DBDBDB"/>
          </w:tcPr>
          <w:p>
            <w:pPr>
              <w:spacing w:after="0"/>
              <w:rPr>
                <w:sz w:val="10"/>
                <w:szCs w:val="10"/>
                <w:color w:val="auto"/>
              </w:rPr>
            </w:pPr>
          </w:p>
        </w:tc>
        <w:tc>
          <w:tcPr>
            <w:tcW w:w="4280" w:type="dxa"/>
            <w:vAlign w:val="bottom"/>
            <w:vMerge w:val="restart"/>
            <w:shd w:val="clear" w:color="auto" w:fill="DBDBDB"/>
          </w:tcPr>
          <w:p>
            <w:pPr>
              <w:ind w:left="400"/>
              <w:spacing w:after="0" w:line="149" w:lineRule="exact"/>
              <w:rPr>
                <w:sz w:val="20"/>
                <w:szCs w:val="20"/>
                <w:color w:val="auto"/>
              </w:rPr>
            </w:pPr>
            <w:r>
              <w:rPr>
                <w:rFonts w:ascii="Arial" w:cs="Arial" w:eastAsia="Arial" w:hAnsi="Arial"/>
                <w:sz w:val="14"/>
                <w:szCs w:val="14"/>
                <w:color w:val="auto"/>
              </w:rPr>
              <w:t>the fourth quarter of the prior fiscal year)</w:t>
            </w:r>
          </w:p>
        </w:tc>
        <w:tc>
          <w:tcPr>
            <w:tcW w:w="4120" w:type="dxa"/>
            <w:vAlign w:val="bottom"/>
            <w:vMerge w:val="restart"/>
            <w:shd w:val="clear" w:color="auto" w:fill="DBDBDB"/>
          </w:tcPr>
          <w:p>
            <w:pPr>
              <w:ind w:left="200"/>
              <w:spacing w:after="0" w:line="149" w:lineRule="exact"/>
              <w:rPr>
                <w:sz w:val="20"/>
                <w:szCs w:val="20"/>
                <w:color w:val="auto"/>
              </w:rPr>
            </w:pPr>
            <w:r>
              <w:rPr>
                <w:rFonts w:ascii="Arial" w:cs="Arial" w:eastAsia="Arial" w:hAnsi="Arial"/>
                <w:sz w:val="14"/>
                <w:szCs w:val="14"/>
                <w:color w:val="auto"/>
              </w:rPr>
              <w:t>salary</w:t>
            </w:r>
          </w:p>
        </w:tc>
        <w:tc>
          <w:tcPr>
            <w:tcW w:w="0" w:type="dxa"/>
            <w:vAlign w:val="bottom"/>
          </w:tcPr>
          <w:p>
            <w:pPr>
              <w:spacing w:after="0"/>
              <w:rPr>
                <w:sz w:val="1"/>
                <w:szCs w:val="1"/>
                <w:color w:val="auto"/>
              </w:rPr>
            </w:pPr>
          </w:p>
        </w:tc>
      </w:tr>
      <w:tr>
        <w:trPr>
          <w:trHeight w:val="33"/>
        </w:trPr>
        <w:tc>
          <w:tcPr>
            <w:tcW w:w="2840" w:type="dxa"/>
            <w:vAlign w:val="bottom"/>
            <w:shd w:val="clear" w:color="auto" w:fill="DBDBDB"/>
          </w:tcPr>
          <w:p>
            <w:pPr>
              <w:spacing w:after="0"/>
              <w:rPr>
                <w:sz w:val="2"/>
                <w:szCs w:val="2"/>
                <w:color w:val="auto"/>
              </w:rPr>
            </w:pPr>
          </w:p>
        </w:tc>
        <w:tc>
          <w:tcPr>
            <w:tcW w:w="4280" w:type="dxa"/>
            <w:vAlign w:val="bottom"/>
            <w:vMerge w:val="continue"/>
            <w:shd w:val="clear" w:color="auto" w:fill="DBDBDB"/>
          </w:tcPr>
          <w:p>
            <w:pPr>
              <w:spacing w:after="0"/>
              <w:rPr>
                <w:sz w:val="2"/>
                <w:szCs w:val="2"/>
                <w:color w:val="auto"/>
              </w:rPr>
            </w:pPr>
          </w:p>
        </w:tc>
        <w:tc>
          <w:tcPr>
            <w:tcW w:w="412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45" w:lineRule="exact"/>
              <w:rPr>
                <w:sz w:val="20"/>
                <w:szCs w:val="20"/>
                <w:color w:val="auto"/>
              </w:rPr>
            </w:pPr>
            <w:r>
              <w:rPr>
                <w:rFonts w:ascii="Arial" w:cs="Arial" w:eastAsia="Arial" w:hAnsi="Arial"/>
                <w:sz w:val="14"/>
                <w:szCs w:val="14"/>
                <w:color w:val="auto"/>
              </w:rPr>
              <w:t>•  Based on the base salary of the employee as of January 1</w:t>
            </w:r>
          </w:p>
        </w:tc>
        <w:tc>
          <w:tcPr>
            <w:tcW w:w="0" w:type="dxa"/>
            <w:vAlign w:val="bottom"/>
          </w:tcPr>
          <w:p>
            <w:pPr>
              <w:spacing w:after="0"/>
              <w:rPr>
                <w:sz w:val="1"/>
                <w:szCs w:val="1"/>
                <w:color w:val="auto"/>
              </w:rPr>
            </w:pPr>
          </w:p>
        </w:tc>
      </w:tr>
      <w:tr>
        <w:trPr>
          <w:trHeight w:val="139"/>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200"/>
              <w:spacing w:after="0" w:line="139" w:lineRule="exact"/>
              <w:rPr>
                <w:sz w:val="20"/>
                <w:szCs w:val="20"/>
                <w:color w:val="auto"/>
              </w:rPr>
            </w:pPr>
            <w:r>
              <w:rPr>
                <w:rFonts w:ascii="Arial" w:cs="Arial" w:eastAsia="Arial" w:hAnsi="Arial"/>
                <w:sz w:val="14"/>
                <w:szCs w:val="14"/>
                <w:color w:val="auto"/>
              </w:rPr>
              <w:t>and the average closing price of the Company’s common</w:t>
            </w:r>
          </w:p>
        </w:tc>
        <w:tc>
          <w:tcPr>
            <w:tcW w:w="0" w:type="dxa"/>
            <w:vAlign w:val="bottom"/>
          </w:tcPr>
          <w:p>
            <w:pPr>
              <w:spacing w:after="0"/>
              <w:rPr>
                <w:sz w:val="1"/>
                <w:szCs w:val="1"/>
                <w:color w:val="auto"/>
              </w:rPr>
            </w:pPr>
          </w:p>
        </w:tc>
      </w:tr>
      <w:tr>
        <w:trPr>
          <w:trHeight w:val="185"/>
        </w:trPr>
        <w:tc>
          <w:tcPr>
            <w:tcW w:w="2840" w:type="dxa"/>
            <w:vAlign w:val="bottom"/>
            <w:shd w:val="clear" w:color="auto" w:fill="DBDBDB"/>
          </w:tcPr>
          <w:p>
            <w:pPr>
              <w:spacing w:after="0"/>
              <w:rPr>
                <w:sz w:val="16"/>
                <w:szCs w:val="16"/>
                <w:color w:val="auto"/>
              </w:rPr>
            </w:pPr>
          </w:p>
        </w:tc>
        <w:tc>
          <w:tcPr>
            <w:tcW w:w="4280" w:type="dxa"/>
            <w:vAlign w:val="bottom"/>
            <w:shd w:val="clear" w:color="auto" w:fill="DBDBDB"/>
          </w:tcPr>
          <w:p>
            <w:pPr>
              <w:spacing w:after="0"/>
              <w:rPr>
                <w:sz w:val="16"/>
                <w:szCs w:val="16"/>
                <w:color w:val="auto"/>
              </w:rPr>
            </w:pPr>
          </w:p>
        </w:tc>
        <w:tc>
          <w:tcPr>
            <w:tcW w:w="41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stock on Nasdaq for the prior calendar quarter (2)</w:t>
            </w:r>
          </w:p>
        </w:tc>
        <w:tc>
          <w:tcPr>
            <w:tcW w:w="0" w:type="dxa"/>
            <w:vAlign w:val="bottom"/>
          </w:tcPr>
          <w:p>
            <w:pPr>
              <w:spacing w:after="0"/>
              <w:rPr>
                <w:sz w:val="1"/>
                <w:szCs w:val="1"/>
                <w:color w:val="auto"/>
              </w:rPr>
            </w:pPr>
          </w:p>
        </w:tc>
      </w:tr>
      <w:tr>
        <w:trPr>
          <w:trHeight w:val="153"/>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Time Period to Meet Stock Ownership</w:t>
            </w:r>
          </w:p>
        </w:tc>
        <w:tc>
          <w:tcPr>
            <w:tcW w:w="4280" w:type="dxa"/>
            <w:vAlign w:val="bottom"/>
          </w:tcPr>
          <w:p>
            <w:pPr>
              <w:ind w:left="240"/>
              <w:spacing w:after="0" w:line="153" w:lineRule="exact"/>
              <w:rPr>
                <w:sz w:val="20"/>
                <w:szCs w:val="20"/>
                <w:color w:val="auto"/>
              </w:rPr>
            </w:pPr>
            <w:r>
              <w:rPr>
                <w:rFonts w:ascii="Arial" w:cs="Arial" w:eastAsia="Arial" w:hAnsi="Arial"/>
                <w:sz w:val="14"/>
                <w:szCs w:val="14"/>
                <w:color w:val="auto"/>
              </w:rPr>
              <w:t>• Within five years of joining the Board</w:t>
            </w:r>
          </w:p>
        </w:tc>
        <w:tc>
          <w:tcPr>
            <w:tcW w:w="4120" w:type="dxa"/>
            <w:vAlign w:val="bottom"/>
          </w:tcPr>
          <w:p>
            <w:pPr>
              <w:ind w:left="40"/>
              <w:spacing w:after="0" w:line="153" w:lineRule="exact"/>
              <w:rPr>
                <w:sz w:val="20"/>
                <w:szCs w:val="20"/>
                <w:color w:val="auto"/>
              </w:rPr>
            </w:pPr>
            <w:r>
              <w:rPr>
                <w:rFonts w:ascii="Arial" w:cs="Arial" w:eastAsia="Arial" w:hAnsi="Arial"/>
                <w:sz w:val="14"/>
                <w:szCs w:val="14"/>
                <w:color w:val="auto"/>
              </w:rPr>
              <w:t>•  Within five years from the date on which the officer first</w:t>
            </w:r>
          </w:p>
        </w:tc>
        <w:tc>
          <w:tcPr>
            <w:tcW w:w="0" w:type="dxa"/>
            <w:vAlign w:val="bottom"/>
          </w:tcPr>
          <w:p>
            <w:pPr>
              <w:spacing w:after="0"/>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4120" w:type="dxa"/>
            <w:vAlign w:val="bottom"/>
            <w:vMerge w:val="restart"/>
          </w:tcPr>
          <w:p>
            <w:pPr>
              <w:ind w:left="200"/>
              <w:spacing w:after="0"/>
              <w:rPr>
                <w:sz w:val="20"/>
                <w:szCs w:val="20"/>
                <w:color w:val="auto"/>
              </w:rPr>
            </w:pPr>
            <w:r>
              <w:rPr>
                <w:rFonts w:ascii="Arial" w:cs="Arial" w:eastAsia="Arial" w:hAnsi="Arial"/>
                <w:sz w:val="14"/>
                <w:szCs w:val="14"/>
                <w:color w:val="auto"/>
              </w:rPr>
              <w:t>became subject to the applicable guideline</w:t>
            </w:r>
          </w:p>
        </w:tc>
        <w:tc>
          <w:tcPr>
            <w:tcW w:w="0" w:type="dxa"/>
            <w:vAlign w:val="bottom"/>
          </w:tcPr>
          <w:p>
            <w:pPr>
              <w:spacing w:after="0"/>
              <w:rPr>
                <w:sz w:val="1"/>
                <w:szCs w:val="1"/>
                <w:color w:val="auto"/>
              </w:rPr>
            </w:pPr>
          </w:p>
        </w:tc>
      </w:tr>
      <w:tr>
        <w:trPr>
          <w:trHeight w:val="70"/>
        </w:trPr>
        <w:tc>
          <w:tcPr>
            <w:tcW w:w="284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spacing w:after="0"/>
              <w:rPr>
                <w:sz w:val="13"/>
                <w:szCs w:val="13"/>
                <w:color w:val="auto"/>
              </w:rPr>
            </w:pPr>
          </w:p>
        </w:tc>
        <w:tc>
          <w:tcPr>
            <w:tcW w:w="4280" w:type="dxa"/>
            <w:vAlign w:val="bottom"/>
            <w:shd w:val="clear" w:color="auto" w:fill="DBDBDB"/>
          </w:tcPr>
          <w:p>
            <w:pPr>
              <w:ind w:left="240"/>
              <w:spacing w:after="0" w:line="153" w:lineRule="exact"/>
              <w:rPr>
                <w:sz w:val="20"/>
                <w:szCs w:val="20"/>
                <w:color w:val="auto"/>
              </w:rPr>
            </w:pPr>
            <w:r>
              <w:rPr>
                <w:rFonts w:ascii="Arial" w:cs="Arial" w:eastAsia="Arial" w:hAnsi="Arial"/>
                <w:sz w:val="14"/>
                <w:szCs w:val="14"/>
                <w:color w:val="auto"/>
              </w:rPr>
              <w:t>•  Shares purchased on the open market</w:t>
            </w:r>
          </w:p>
        </w:tc>
        <w:tc>
          <w:tcPr>
            <w:tcW w:w="4120" w:type="dxa"/>
            <w:vAlign w:val="bottom"/>
            <w:shd w:val="clear" w:color="auto" w:fill="DBDBDB"/>
          </w:tcPr>
          <w:p>
            <w:pPr>
              <w:ind w:left="40"/>
              <w:spacing w:after="0" w:line="153" w:lineRule="exact"/>
              <w:rPr>
                <w:sz w:val="20"/>
                <w:szCs w:val="20"/>
                <w:color w:val="auto"/>
              </w:rPr>
            </w:pPr>
            <w:r>
              <w:rPr>
                <w:rFonts w:ascii="Arial" w:cs="Arial" w:eastAsia="Arial" w:hAnsi="Arial"/>
                <w:sz w:val="14"/>
                <w:szCs w:val="14"/>
                <w:color w:val="auto"/>
              </w:rPr>
              <w:t>•  Shares purchased on the open market</w:t>
            </w:r>
          </w:p>
        </w:tc>
        <w:tc>
          <w:tcPr>
            <w:tcW w:w="0" w:type="dxa"/>
            <w:vAlign w:val="bottom"/>
          </w:tcPr>
          <w:p>
            <w:pPr>
              <w:spacing w:after="0"/>
              <w:rPr>
                <w:sz w:val="1"/>
                <w:szCs w:val="1"/>
                <w:color w:val="auto"/>
              </w:rPr>
            </w:pPr>
          </w:p>
        </w:tc>
      </w:tr>
      <w:tr>
        <w:trPr>
          <w:trHeight w:val="148"/>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240"/>
              <w:spacing w:after="0" w:line="149" w:lineRule="exact"/>
              <w:rPr>
                <w:sz w:val="20"/>
                <w:szCs w:val="20"/>
                <w:color w:val="auto"/>
              </w:rPr>
            </w:pPr>
            <w:r>
              <w:rPr>
                <w:rFonts w:ascii="Arial" w:cs="Arial" w:eastAsia="Arial" w:hAnsi="Arial"/>
                <w:sz w:val="14"/>
                <w:szCs w:val="14"/>
                <w:color w:val="auto"/>
              </w:rPr>
              <w:t>•  Vested stock units from RSU awards or other equity-based</w:t>
            </w:r>
          </w:p>
        </w:tc>
        <w:tc>
          <w:tcPr>
            <w:tcW w:w="4120" w:type="dxa"/>
            <w:vAlign w:val="bottom"/>
            <w:shd w:val="clear" w:color="auto" w:fill="DBDBDB"/>
          </w:tcPr>
          <w:p>
            <w:pPr>
              <w:ind w:left="40"/>
              <w:spacing w:after="0" w:line="149" w:lineRule="exact"/>
              <w:rPr>
                <w:sz w:val="20"/>
                <w:szCs w:val="20"/>
                <w:color w:val="auto"/>
              </w:rPr>
            </w:pPr>
            <w:r>
              <w:rPr>
                <w:rFonts w:ascii="Arial" w:cs="Arial" w:eastAsia="Arial" w:hAnsi="Arial"/>
                <w:sz w:val="14"/>
                <w:szCs w:val="14"/>
                <w:color w:val="auto"/>
              </w:rPr>
              <w:t>•  Shares obtained through exercises of stock options granted</w:t>
            </w:r>
          </w:p>
        </w:tc>
        <w:tc>
          <w:tcPr>
            <w:tcW w:w="0" w:type="dxa"/>
            <w:vAlign w:val="bottom"/>
          </w:tcPr>
          <w:p>
            <w:pPr>
              <w:spacing w:after="0"/>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ind w:left="400"/>
              <w:spacing w:after="0" w:line="145" w:lineRule="exact"/>
              <w:rPr>
                <w:sz w:val="20"/>
                <w:szCs w:val="20"/>
                <w:color w:val="auto"/>
              </w:rPr>
            </w:pPr>
            <w:r>
              <w:rPr>
                <w:rFonts w:ascii="Arial" w:cs="Arial" w:eastAsia="Arial" w:hAnsi="Arial"/>
                <w:sz w:val="14"/>
                <w:szCs w:val="14"/>
                <w:color w:val="auto"/>
              </w:rPr>
              <w:t>awards granted by the Company</w:t>
            </w:r>
          </w:p>
        </w:tc>
        <w:tc>
          <w:tcPr>
            <w:tcW w:w="4120" w:type="dxa"/>
            <w:vAlign w:val="bottom"/>
            <w:shd w:val="clear" w:color="auto" w:fill="DBDBDB"/>
          </w:tcPr>
          <w:p>
            <w:pPr>
              <w:ind w:left="200"/>
              <w:spacing w:after="0" w:line="145" w:lineRule="exact"/>
              <w:rPr>
                <w:sz w:val="20"/>
                <w:szCs w:val="20"/>
                <w:color w:val="auto"/>
              </w:rPr>
            </w:pPr>
            <w:r>
              <w:rPr>
                <w:rFonts w:ascii="Arial" w:cs="Arial" w:eastAsia="Arial" w:hAnsi="Arial"/>
                <w:sz w:val="14"/>
                <w:szCs w:val="14"/>
                <w:color w:val="auto"/>
              </w:rPr>
              <w:t>by the Company</w:t>
            </w:r>
          </w:p>
        </w:tc>
        <w:tc>
          <w:tcPr>
            <w:tcW w:w="0" w:type="dxa"/>
            <w:vAlign w:val="bottom"/>
          </w:tcPr>
          <w:p>
            <w:pPr>
              <w:spacing w:after="0"/>
              <w:rPr>
                <w:sz w:val="1"/>
                <w:szCs w:val="1"/>
                <w:color w:val="auto"/>
              </w:rPr>
            </w:pPr>
          </w:p>
        </w:tc>
      </w:tr>
      <w:tr>
        <w:trPr>
          <w:trHeight w:val="139"/>
        </w:trPr>
        <w:tc>
          <w:tcPr>
            <w:tcW w:w="284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Qualifying Shares</w:t>
            </w:r>
          </w:p>
        </w:tc>
        <w:tc>
          <w:tcPr>
            <w:tcW w:w="4280" w:type="dxa"/>
            <w:vAlign w:val="bottom"/>
            <w:shd w:val="clear" w:color="auto" w:fill="DBDBDB"/>
          </w:tcPr>
          <w:p>
            <w:pPr>
              <w:ind w:left="240"/>
              <w:spacing w:after="0" w:line="139" w:lineRule="exact"/>
              <w:rPr>
                <w:sz w:val="20"/>
                <w:szCs w:val="20"/>
                <w:color w:val="auto"/>
              </w:rPr>
            </w:pPr>
            <w:r>
              <w:rPr>
                <w:rFonts w:ascii="Arial" w:cs="Arial" w:eastAsia="Arial" w:hAnsi="Arial"/>
                <w:sz w:val="14"/>
                <w:szCs w:val="14"/>
                <w:color w:val="auto"/>
              </w:rPr>
              <w:t>•  Shares owned jointly with, or separately by, a spouse and/or</w:t>
            </w: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Vested stock units from RSU awards or other equity-based</w:t>
            </w:r>
          </w:p>
        </w:tc>
        <w:tc>
          <w:tcPr>
            <w:tcW w:w="0" w:type="dxa"/>
            <w:vAlign w:val="bottom"/>
          </w:tcPr>
          <w:p>
            <w:pPr>
              <w:spacing w:after="0"/>
              <w:rPr>
                <w:sz w:val="1"/>
                <w:szCs w:val="1"/>
                <w:color w:val="auto"/>
              </w:rPr>
            </w:pPr>
          </w:p>
        </w:tc>
      </w:tr>
      <w:tr>
        <w:trPr>
          <w:trHeight w:val="115"/>
        </w:trPr>
        <w:tc>
          <w:tcPr>
            <w:tcW w:w="2840" w:type="dxa"/>
            <w:vAlign w:val="bottom"/>
            <w:vMerge w:val="continue"/>
            <w:shd w:val="clear" w:color="auto" w:fill="DBDBDB"/>
          </w:tcPr>
          <w:p>
            <w:pPr>
              <w:spacing w:after="0"/>
              <w:rPr>
                <w:sz w:val="10"/>
                <w:szCs w:val="10"/>
                <w:color w:val="auto"/>
              </w:rPr>
            </w:pPr>
          </w:p>
        </w:tc>
        <w:tc>
          <w:tcPr>
            <w:tcW w:w="4280" w:type="dxa"/>
            <w:vAlign w:val="bottom"/>
            <w:vMerge w:val="restart"/>
            <w:shd w:val="clear" w:color="auto" w:fill="DBDBDB"/>
          </w:tcPr>
          <w:p>
            <w:pPr>
              <w:ind w:left="400"/>
              <w:spacing w:after="0" w:line="149" w:lineRule="exact"/>
              <w:rPr>
                <w:sz w:val="20"/>
                <w:szCs w:val="20"/>
                <w:color w:val="auto"/>
              </w:rPr>
            </w:pPr>
            <w:r>
              <w:rPr>
                <w:rFonts w:ascii="Arial" w:cs="Arial" w:eastAsia="Arial" w:hAnsi="Arial"/>
                <w:sz w:val="14"/>
                <w:szCs w:val="14"/>
                <w:color w:val="auto"/>
              </w:rPr>
              <w:t>minor children</w:t>
            </w:r>
          </w:p>
        </w:tc>
        <w:tc>
          <w:tcPr>
            <w:tcW w:w="4120" w:type="dxa"/>
            <w:vAlign w:val="bottom"/>
            <w:vMerge w:val="restart"/>
            <w:shd w:val="clear" w:color="auto" w:fill="DBDBDB"/>
          </w:tcPr>
          <w:p>
            <w:pPr>
              <w:ind w:left="200"/>
              <w:spacing w:after="0" w:line="149" w:lineRule="exact"/>
              <w:rPr>
                <w:sz w:val="20"/>
                <w:szCs w:val="20"/>
                <w:color w:val="auto"/>
              </w:rPr>
            </w:pPr>
            <w:r>
              <w:rPr>
                <w:rFonts w:ascii="Arial" w:cs="Arial" w:eastAsia="Arial" w:hAnsi="Arial"/>
                <w:sz w:val="14"/>
                <w:szCs w:val="14"/>
                <w:color w:val="auto"/>
              </w:rPr>
              <w:t>awards granted by the Company</w:t>
            </w:r>
          </w:p>
        </w:tc>
        <w:tc>
          <w:tcPr>
            <w:tcW w:w="0" w:type="dxa"/>
            <w:vAlign w:val="bottom"/>
          </w:tcPr>
          <w:p>
            <w:pPr>
              <w:spacing w:after="0"/>
              <w:rPr>
                <w:sz w:val="1"/>
                <w:szCs w:val="1"/>
                <w:color w:val="auto"/>
              </w:rPr>
            </w:pPr>
          </w:p>
        </w:tc>
      </w:tr>
      <w:tr>
        <w:trPr>
          <w:trHeight w:val="33"/>
        </w:trPr>
        <w:tc>
          <w:tcPr>
            <w:tcW w:w="2840" w:type="dxa"/>
            <w:vAlign w:val="bottom"/>
            <w:shd w:val="clear" w:color="auto" w:fill="DBDBDB"/>
          </w:tcPr>
          <w:p>
            <w:pPr>
              <w:spacing w:after="0"/>
              <w:rPr>
                <w:sz w:val="2"/>
                <w:szCs w:val="2"/>
                <w:color w:val="auto"/>
              </w:rPr>
            </w:pPr>
          </w:p>
        </w:tc>
        <w:tc>
          <w:tcPr>
            <w:tcW w:w="4280" w:type="dxa"/>
            <w:vAlign w:val="bottom"/>
            <w:vMerge w:val="continue"/>
            <w:shd w:val="clear" w:color="auto" w:fill="DBDBDB"/>
          </w:tcPr>
          <w:p>
            <w:pPr>
              <w:spacing w:after="0"/>
              <w:rPr>
                <w:sz w:val="2"/>
                <w:szCs w:val="2"/>
                <w:color w:val="auto"/>
              </w:rPr>
            </w:pPr>
          </w:p>
        </w:tc>
        <w:tc>
          <w:tcPr>
            <w:tcW w:w="412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45" w:lineRule="exact"/>
              <w:rPr>
                <w:sz w:val="20"/>
                <w:szCs w:val="20"/>
                <w:color w:val="auto"/>
              </w:rPr>
            </w:pPr>
            <w:r>
              <w:rPr>
                <w:rFonts w:ascii="Arial" w:cs="Arial" w:eastAsia="Arial" w:hAnsi="Arial"/>
                <w:sz w:val="14"/>
                <w:szCs w:val="14"/>
                <w:color w:val="auto"/>
              </w:rPr>
              <w:t>•  Shares obtained through the ESPP</w:t>
            </w:r>
          </w:p>
        </w:tc>
        <w:tc>
          <w:tcPr>
            <w:tcW w:w="0" w:type="dxa"/>
            <w:vAlign w:val="bottom"/>
          </w:tcPr>
          <w:p>
            <w:pPr>
              <w:spacing w:after="0"/>
              <w:rPr>
                <w:sz w:val="1"/>
                <w:szCs w:val="1"/>
                <w:color w:val="auto"/>
              </w:rPr>
            </w:pPr>
          </w:p>
        </w:tc>
      </w:tr>
      <w:tr>
        <w:trPr>
          <w:trHeight w:val="139"/>
        </w:trPr>
        <w:tc>
          <w:tcPr>
            <w:tcW w:w="2840" w:type="dxa"/>
            <w:vAlign w:val="bottom"/>
            <w:shd w:val="clear" w:color="auto" w:fill="DBDBDB"/>
          </w:tcPr>
          <w:p>
            <w:pPr>
              <w:spacing w:after="0"/>
              <w:rPr>
                <w:sz w:val="12"/>
                <w:szCs w:val="12"/>
                <w:color w:val="auto"/>
              </w:rPr>
            </w:pPr>
          </w:p>
        </w:tc>
        <w:tc>
          <w:tcPr>
            <w:tcW w:w="4280" w:type="dxa"/>
            <w:vAlign w:val="bottom"/>
            <w:shd w:val="clear" w:color="auto" w:fill="DBDBDB"/>
          </w:tcPr>
          <w:p>
            <w:pPr>
              <w:spacing w:after="0"/>
              <w:rPr>
                <w:sz w:val="12"/>
                <w:szCs w:val="12"/>
                <w:color w:val="auto"/>
              </w:rPr>
            </w:pPr>
          </w:p>
        </w:tc>
        <w:tc>
          <w:tcPr>
            <w:tcW w:w="4120" w:type="dxa"/>
            <w:vAlign w:val="bottom"/>
            <w:shd w:val="clear" w:color="auto" w:fill="DBDBDB"/>
          </w:tcPr>
          <w:p>
            <w:pPr>
              <w:ind w:left="40"/>
              <w:spacing w:after="0" w:line="139" w:lineRule="exact"/>
              <w:rPr>
                <w:sz w:val="20"/>
                <w:szCs w:val="20"/>
                <w:color w:val="auto"/>
              </w:rPr>
            </w:pPr>
            <w:r>
              <w:rPr>
                <w:rFonts w:ascii="Arial" w:cs="Arial" w:eastAsia="Arial" w:hAnsi="Arial"/>
                <w:sz w:val="14"/>
                <w:szCs w:val="14"/>
                <w:color w:val="auto"/>
              </w:rPr>
              <w:t>•  Shares owned jointly with, or separately by, a spouse and/or</w:t>
            </w:r>
          </w:p>
        </w:tc>
        <w:tc>
          <w:tcPr>
            <w:tcW w:w="0" w:type="dxa"/>
            <w:vAlign w:val="bottom"/>
          </w:tcPr>
          <w:p>
            <w:pPr>
              <w:spacing w:after="0"/>
              <w:rPr>
                <w:sz w:val="1"/>
                <w:szCs w:val="1"/>
                <w:color w:val="auto"/>
              </w:rPr>
            </w:pPr>
          </w:p>
        </w:tc>
      </w:tr>
      <w:tr>
        <w:trPr>
          <w:trHeight w:val="185"/>
        </w:trPr>
        <w:tc>
          <w:tcPr>
            <w:tcW w:w="2840" w:type="dxa"/>
            <w:vAlign w:val="bottom"/>
            <w:shd w:val="clear" w:color="auto" w:fill="DBDBDB"/>
          </w:tcPr>
          <w:p>
            <w:pPr>
              <w:spacing w:after="0"/>
              <w:rPr>
                <w:sz w:val="16"/>
                <w:szCs w:val="16"/>
                <w:color w:val="auto"/>
              </w:rPr>
            </w:pPr>
          </w:p>
        </w:tc>
        <w:tc>
          <w:tcPr>
            <w:tcW w:w="4280" w:type="dxa"/>
            <w:vAlign w:val="bottom"/>
            <w:shd w:val="clear" w:color="auto" w:fill="DBDBDB"/>
          </w:tcPr>
          <w:p>
            <w:pPr>
              <w:spacing w:after="0"/>
              <w:rPr>
                <w:sz w:val="16"/>
                <w:szCs w:val="16"/>
                <w:color w:val="auto"/>
              </w:rPr>
            </w:pPr>
          </w:p>
        </w:tc>
        <w:tc>
          <w:tcPr>
            <w:tcW w:w="41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minor children</w:t>
            </w: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4280" w:type="dxa"/>
            <w:vAlign w:val="bottom"/>
          </w:tcPr>
          <w:p>
            <w:pPr>
              <w:ind w:left="240"/>
              <w:spacing w:after="0" w:line="153" w:lineRule="exact"/>
              <w:rPr>
                <w:sz w:val="20"/>
                <w:szCs w:val="20"/>
                <w:color w:val="auto"/>
              </w:rPr>
            </w:pPr>
            <w:r>
              <w:rPr>
                <w:rFonts w:ascii="Arial" w:cs="Arial" w:eastAsia="Arial" w:hAnsi="Arial"/>
                <w:sz w:val="14"/>
                <w:szCs w:val="14"/>
                <w:color w:val="auto"/>
              </w:rPr>
              <w:t>•  Meeting with Chair of the Board to formulate an</w:t>
            </w:r>
          </w:p>
        </w:tc>
        <w:tc>
          <w:tcPr>
            <w:tcW w:w="4120" w:type="dxa"/>
            <w:vAlign w:val="bottom"/>
          </w:tcPr>
          <w:p>
            <w:pPr>
              <w:ind w:left="40"/>
              <w:spacing w:after="0" w:line="153" w:lineRule="exact"/>
              <w:rPr>
                <w:sz w:val="20"/>
                <w:szCs w:val="20"/>
                <w:color w:val="auto"/>
              </w:rPr>
            </w:pPr>
            <w:r>
              <w:rPr>
                <w:rFonts w:ascii="Arial" w:cs="Arial" w:eastAsia="Arial" w:hAnsi="Arial"/>
                <w:sz w:val="14"/>
                <w:szCs w:val="14"/>
                <w:color w:val="auto"/>
              </w:rPr>
              <w:t>•  Meeting with HCC Committee to formulate an individualized</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280" w:type="dxa"/>
            <w:vAlign w:val="bottom"/>
          </w:tcPr>
          <w:p>
            <w:pPr>
              <w:ind w:left="400"/>
              <w:spacing w:after="0" w:line="149" w:lineRule="exact"/>
              <w:rPr>
                <w:sz w:val="20"/>
                <w:szCs w:val="20"/>
                <w:color w:val="auto"/>
              </w:rPr>
            </w:pPr>
            <w:r>
              <w:rPr>
                <w:rFonts w:ascii="Arial" w:cs="Arial" w:eastAsia="Arial" w:hAnsi="Arial"/>
                <w:sz w:val="14"/>
                <w:szCs w:val="14"/>
                <w:color w:val="auto"/>
              </w:rPr>
              <w:t>individualized and structured plan to ensure compliance (3)</w:t>
            </w:r>
          </w:p>
        </w:tc>
        <w:tc>
          <w:tcPr>
            <w:tcW w:w="4120" w:type="dxa"/>
            <w:vAlign w:val="bottom"/>
          </w:tcPr>
          <w:p>
            <w:pPr>
              <w:ind w:left="200"/>
              <w:spacing w:after="0" w:line="149" w:lineRule="exact"/>
              <w:rPr>
                <w:sz w:val="20"/>
                <w:szCs w:val="20"/>
                <w:color w:val="auto"/>
              </w:rPr>
            </w:pPr>
            <w:r>
              <w:rPr>
                <w:rFonts w:ascii="Arial" w:cs="Arial" w:eastAsia="Arial" w:hAnsi="Arial"/>
                <w:sz w:val="14"/>
                <w:szCs w:val="14"/>
                <w:color w:val="auto"/>
              </w:rPr>
              <w:t>and structured plan to ensure compliance</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4280" w:type="dxa"/>
            <w:vAlign w:val="bottom"/>
          </w:tcPr>
          <w:p>
            <w:pPr>
              <w:ind w:left="240"/>
              <w:spacing w:after="0" w:line="145" w:lineRule="exact"/>
              <w:rPr>
                <w:sz w:val="20"/>
                <w:szCs w:val="20"/>
                <w:color w:val="auto"/>
              </w:rPr>
            </w:pPr>
            <w:r>
              <w:rPr>
                <w:rFonts w:ascii="Arial" w:cs="Arial" w:eastAsia="Arial" w:hAnsi="Arial"/>
                <w:sz w:val="14"/>
                <w:szCs w:val="14"/>
                <w:color w:val="auto"/>
              </w:rPr>
              <w:t>•  Failure to comply with the plan will make a non-employee</w:t>
            </w:r>
          </w:p>
        </w:tc>
        <w:tc>
          <w:tcPr>
            <w:tcW w:w="4120" w:type="dxa"/>
            <w:vAlign w:val="bottom"/>
          </w:tcPr>
          <w:p>
            <w:pPr>
              <w:ind w:left="40"/>
              <w:spacing w:after="0" w:line="145" w:lineRule="exact"/>
              <w:rPr>
                <w:sz w:val="20"/>
                <w:szCs w:val="20"/>
                <w:color w:val="auto"/>
              </w:rPr>
            </w:pPr>
            <w:r>
              <w:rPr>
                <w:rFonts w:ascii="Arial" w:cs="Arial" w:eastAsia="Arial" w:hAnsi="Arial"/>
                <w:sz w:val="14"/>
                <w:szCs w:val="14"/>
                <w:color w:val="auto"/>
              </w:rPr>
              <w:t>•  At any time when the ownership guideline is not met, the</w:t>
            </w:r>
          </w:p>
        </w:tc>
        <w:tc>
          <w:tcPr>
            <w:tcW w:w="0" w:type="dxa"/>
            <w:vAlign w:val="bottom"/>
          </w:tcPr>
          <w:p>
            <w:pPr>
              <w:spacing w:after="0"/>
              <w:rPr>
                <w:sz w:val="1"/>
                <w:szCs w:val="1"/>
                <w:color w:val="auto"/>
              </w:rPr>
            </w:pPr>
          </w:p>
        </w:tc>
      </w:tr>
      <w:tr>
        <w:trPr>
          <w:trHeight w:val="139"/>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Remedy for Failure to Comply</w:t>
            </w:r>
          </w:p>
        </w:tc>
        <w:tc>
          <w:tcPr>
            <w:tcW w:w="4280" w:type="dxa"/>
            <w:vAlign w:val="bottom"/>
          </w:tcPr>
          <w:p>
            <w:pPr>
              <w:ind w:left="400"/>
              <w:spacing w:after="0" w:line="139" w:lineRule="exact"/>
              <w:rPr>
                <w:sz w:val="20"/>
                <w:szCs w:val="20"/>
                <w:color w:val="auto"/>
              </w:rPr>
            </w:pPr>
            <w:r>
              <w:rPr>
                <w:rFonts w:ascii="Arial" w:cs="Arial" w:eastAsia="Arial" w:hAnsi="Arial"/>
                <w:sz w:val="14"/>
                <w:szCs w:val="14"/>
                <w:color w:val="auto"/>
              </w:rPr>
              <w:t>director ineligible for re-election at the next annual meeting</w:t>
            </w:r>
          </w:p>
        </w:tc>
        <w:tc>
          <w:tcPr>
            <w:tcW w:w="4120" w:type="dxa"/>
            <w:vAlign w:val="bottom"/>
          </w:tcPr>
          <w:p>
            <w:pPr>
              <w:ind w:left="200"/>
              <w:spacing w:after="0" w:line="139" w:lineRule="exact"/>
              <w:rPr>
                <w:sz w:val="20"/>
                <w:szCs w:val="20"/>
                <w:color w:val="auto"/>
              </w:rPr>
            </w:pPr>
            <w:r>
              <w:rPr>
                <w:rFonts w:ascii="Arial" w:cs="Arial" w:eastAsia="Arial" w:hAnsi="Arial"/>
                <w:sz w:val="14"/>
                <w:szCs w:val="14"/>
                <w:color w:val="auto"/>
              </w:rPr>
              <w:t>officer is expected to retain all of the net shares of Company</w:t>
            </w:r>
          </w:p>
        </w:tc>
        <w:tc>
          <w:tcPr>
            <w:tcW w:w="0" w:type="dxa"/>
            <w:vAlign w:val="bottom"/>
          </w:tcPr>
          <w:p>
            <w:pPr>
              <w:spacing w:after="0"/>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4280" w:type="dxa"/>
            <w:vAlign w:val="bottom"/>
            <w:vMerge w:val="restart"/>
          </w:tcPr>
          <w:p>
            <w:pPr>
              <w:ind w:left="400"/>
              <w:spacing w:after="0" w:line="149" w:lineRule="exact"/>
              <w:rPr>
                <w:sz w:val="20"/>
                <w:szCs w:val="20"/>
                <w:color w:val="auto"/>
              </w:rPr>
            </w:pPr>
            <w:r>
              <w:rPr>
                <w:rFonts w:ascii="Arial" w:cs="Arial" w:eastAsia="Arial" w:hAnsi="Arial"/>
                <w:sz w:val="14"/>
                <w:szCs w:val="14"/>
                <w:color w:val="auto"/>
              </w:rPr>
              <w:t>of stockholders</w:t>
            </w:r>
          </w:p>
        </w:tc>
        <w:tc>
          <w:tcPr>
            <w:tcW w:w="412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stock or equity-based awards received until such ownership</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4280" w:type="dxa"/>
            <w:vAlign w:val="bottom"/>
            <w:vMerge w:val="continue"/>
          </w:tcPr>
          <w:p>
            <w:pPr>
              <w:spacing w:after="0"/>
              <w:rPr>
                <w:sz w:val="2"/>
                <w:szCs w:val="2"/>
                <w:color w:val="auto"/>
              </w:rPr>
            </w:pPr>
          </w:p>
        </w:tc>
        <w:tc>
          <w:tcPr>
            <w:tcW w:w="4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840" w:type="dxa"/>
            <w:vAlign w:val="bottom"/>
          </w:tcPr>
          <w:p>
            <w:pPr>
              <w:spacing w:after="0"/>
              <w:rPr>
                <w:sz w:val="12"/>
                <w:szCs w:val="12"/>
                <w:color w:val="auto"/>
              </w:rPr>
            </w:pPr>
          </w:p>
        </w:tc>
        <w:tc>
          <w:tcPr>
            <w:tcW w:w="4280" w:type="dxa"/>
            <w:vAlign w:val="bottom"/>
          </w:tcPr>
          <w:p>
            <w:pPr>
              <w:ind w:left="240"/>
              <w:spacing w:after="0" w:line="145" w:lineRule="exact"/>
              <w:rPr>
                <w:sz w:val="20"/>
                <w:szCs w:val="20"/>
                <w:color w:val="auto"/>
              </w:rPr>
            </w:pPr>
            <w:r>
              <w:rPr>
                <w:rFonts w:ascii="Arial" w:cs="Arial" w:eastAsia="Arial" w:hAnsi="Arial"/>
                <w:sz w:val="14"/>
                <w:szCs w:val="14"/>
                <w:color w:val="auto"/>
              </w:rPr>
              <w:t>•  Non-employee directors are expected to retain all of the net</w:t>
            </w:r>
          </w:p>
        </w:tc>
        <w:tc>
          <w:tcPr>
            <w:tcW w:w="4120" w:type="dxa"/>
            <w:vAlign w:val="bottom"/>
          </w:tcPr>
          <w:p>
            <w:pPr>
              <w:ind w:left="200"/>
              <w:spacing w:after="0" w:line="145" w:lineRule="exact"/>
              <w:rPr>
                <w:sz w:val="20"/>
                <w:szCs w:val="20"/>
                <w:color w:val="auto"/>
              </w:rPr>
            </w:pPr>
            <w:r>
              <w:rPr>
                <w:rFonts w:ascii="Arial" w:cs="Arial" w:eastAsia="Arial" w:hAnsi="Arial"/>
                <w:sz w:val="14"/>
                <w:szCs w:val="14"/>
                <w:color w:val="auto"/>
              </w:rPr>
              <w:t>guideline is met</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4280" w:type="dxa"/>
            <w:vAlign w:val="bottom"/>
          </w:tcPr>
          <w:p>
            <w:pPr>
              <w:ind w:left="400"/>
              <w:spacing w:after="0" w:line="139" w:lineRule="exact"/>
              <w:rPr>
                <w:sz w:val="20"/>
                <w:szCs w:val="20"/>
                <w:color w:val="auto"/>
              </w:rPr>
            </w:pPr>
            <w:r>
              <w:rPr>
                <w:rFonts w:ascii="Arial" w:cs="Arial" w:eastAsia="Arial" w:hAnsi="Arial"/>
                <w:sz w:val="14"/>
                <w:szCs w:val="14"/>
                <w:color w:val="auto"/>
              </w:rPr>
              <w:t>shares of Company stock or equity-based awards received</w:t>
            </w:r>
          </w:p>
        </w:tc>
        <w:tc>
          <w:tcPr>
            <w:tcW w:w="4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4280" w:type="dxa"/>
            <w:vAlign w:val="bottom"/>
          </w:tcPr>
          <w:p>
            <w:pPr>
              <w:ind w:left="400"/>
              <w:spacing w:after="0"/>
              <w:rPr>
                <w:sz w:val="20"/>
                <w:szCs w:val="20"/>
                <w:color w:val="auto"/>
              </w:rPr>
            </w:pPr>
            <w:r>
              <w:rPr>
                <w:rFonts w:ascii="Arial" w:cs="Arial" w:eastAsia="Arial" w:hAnsi="Arial"/>
                <w:sz w:val="14"/>
                <w:szCs w:val="14"/>
                <w:color w:val="auto"/>
              </w:rPr>
              <w:t>until the guideline is met</w:t>
            </w:r>
          </w:p>
        </w:tc>
        <w:tc>
          <w:tcPr>
            <w:tcW w:w="4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60" w:right="780" w:hanging="234"/>
        <w:spacing w:after="0" w:line="252" w:lineRule="auto"/>
        <w:tabs>
          <w:tab w:leader="none" w:pos="233" w:val="left"/>
        </w:tabs>
        <w:numPr>
          <w:ilvl w:val="0"/>
          <w:numId w:val="92"/>
        </w:numPr>
        <w:rPr>
          <w:rFonts w:ascii="Arial" w:cs="Arial" w:eastAsia="Arial" w:hAnsi="Arial"/>
          <w:sz w:val="14"/>
          <w:szCs w:val="14"/>
          <w:color w:val="auto"/>
        </w:rPr>
      </w:pPr>
      <w:r>
        <w:rPr>
          <w:rFonts w:ascii="Arial" w:cs="Arial" w:eastAsia="Arial" w:hAnsi="Arial"/>
          <w:sz w:val="14"/>
          <w:szCs w:val="14"/>
          <w:color w:val="auto"/>
        </w:rPr>
        <w:t>For non-employee directors appointed or elected after January 1, for the first year of service, the guideline is based on the retainer for such director at the date of appointment or election.</w:t>
      </w:r>
    </w:p>
    <w:p>
      <w:pPr>
        <w:ind w:left="240" w:hanging="214"/>
        <w:spacing w:after="0"/>
        <w:tabs>
          <w:tab w:leader="none" w:pos="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For officers hired after January 1, for the first year of employment, the guideline will be based on the base salary for such officer at the date of hire.</w:t>
      </w:r>
    </w:p>
    <w:p>
      <w:pPr>
        <w:spacing w:after="0" w:line="40" w:lineRule="exact"/>
        <w:rPr>
          <w:rFonts w:ascii="Arial" w:cs="Arial" w:eastAsia="Arial" w:hAnsi="Arial"/>
          <w:sz w:val="14"/>
          <w:szCs w:val="14"/>
          <w:color w:val="auto"/>
        </w:rPr>
      </w:pPr>
    </w:p>
    <w:p>
      <w:pPr>
        <w:ind w:left="240" w:hanging="214"/>
        <w:spacing w:after="0"/>
        <w:tabs>
          <w:tab w:leader="none" w:pos="2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If the affected director is the Chair of the Board, our HCC Committee will meet with him or her to formulate the individualized compliance plan.</w:t>
      </w:r>
    </w:p>
    <w:p>
      <w:pPr>
        <w:spacing w:after="0" w:line="3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compliance would create a severe hardship or for other good reasons, these guidelines may be waived for: (i) non-employee directors other than the Chair of the Board, at the discretion of the Chair of our Board; (ii) the Chair of the Board and the CEO, at the discretion of our HCC Committee; and (iii) officers, at the discretion of our HCC Committee and the CEO. It is expected that these instances will be rare.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60</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9"/>
        </w:trPr>
        <w:tc>
          <w:tcPr>
            <w:tcW w:w="3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E97D2E"/>
              </w:rPr>
              <w:t>Stock Ownership</w:t>
            </w:r>
          </w:p>
        </w:tc>
        <w:tc>
          <w:tcPr>
            <w:tcW w:w="0" w:type="dxa"/>
            <w:vAlign w:val="bottom"/>
          </w:tcPr>
          <w:p>
            <w:pPr>
              <w:spacing w:after="0"/>
              <w:rPr>
                <w:sz w:val="1"/>
                <w:szCs w:val="1"/>
                <w:color w:val="auto"/>
              </w:rPr>
            </w:pPr>
          </w:p>
        </w:tc>
      </w:tr>
      <w:tr>
        <w:trPr>
          <w:trHeight w:val="1022"/>
        </w:trPr>
        <w:tc>
          <w:tcPr>
            <w:tcW w:w="6260" w:type="dxa"/>
            <w:vAlign w:val="bottom"/>
            <w:gridSpan w:val="2"/>
          </w:tcPr>
          <w:p>
            <w:pPr>
              <w:spacing w:after="0"/>
              <w:rPr>
                <w:sz w:val="20"/>
                <w:szCs w:val="20"/>
                <w:color w:val="auto"/>
              </w:rPr>
            </w:pPr>
            <w:r>
              <w:rPr>
                <w:rFonts w:ascii="Arial" w:cs="Arial" w:eastAsia="Arial" w:hAnsi="Arial"/>
                <w:sz w:val="25"/>
                <w:szCs w:val="25"/>
                <w:b w:val="1"/>
                <w:bCs w:val="1"/>
                <w:color w:val="465E66"/>
              </w:rPr>
              <w:t>Equity Compensation Plan Information</w:t>
            </w: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80" w:type="dxa"/>
            <w:vAlign w:val="bottom"/>
            <w:gridSpan w:val="3"/>
          </w:tcPr>
          <w:p>
            <w:pPr>
              <w:spacing w:after="0"/>
              <w:rPr>
                <w:sz w:val="20"/>
                <w:szCs w:val="20"/>
                <w:color w:val="auto"/>
              </w:rPr>
            </w:pPr>
            <w:r>
              <w:rPr>
                <w:rFonts w:ascii="Arial" w:cs="Arial" w:eastAsia="Arial" w:hAnsi="Arial"/>
                <w:sz w:val="18"/>
                <w:szCs w:val="18"/>
                <w:color w:val="auto"/>
              </w:rPr>
              <w:t>The following table sets forth equity compensation plan information as of December 31, 2023:</w:t>
            </w: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465E66"/>
          </w:tcPr>
          <w:p>
            <w:pPr>
              <w:spacing w:after="0"/>
              <w:rPr>
                <w:sz w:val="12"/>
                <w:szCs w:val="12"/>
                <w:color w:val="auto"/>
              </w:rPr>
            </w:pPr>
          </w:p>
        </w:tc>
        <w:tc>
          <w:tcPr>
            <w:tcW w:w="2840" w:type="dxa"/>
            <w:vAlign w:val="bottom"/>
            <w:shd w:val="clear" w:color="auto" w:fill="465E66"/>
          </w:tcPr>
          <w:p>
            <w:pPr>
              <w:spacing w:after="0"/>
              <w:rPr>
                <w:sz w:val="12"/>
                <w:szCs w:val="12"/>
                <w:color w:val="auto"/>
              </w:rPr>
            </w:pPr>
          </w:p>
        </w:tc>
        <w:tc>
          <w:tcPr>
            <w:tcW w:w="2020" w:type="dxa"/>
            <w:vAlign w:val="bottom"/>
            <w:vMerge w:val="restart"/>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Weighted-Average</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35"/>
        </w:trPr>
        <w:tc>
          <w:tcPr>
            <w:tcW w:w="3420" w:type="dxa"/>
            <w:vAlign w:val="bottom"/>
            <w:shd w:val="clear" w:color="auto" w:fill="465E66"/>
          </w:tcPr>
          <w:p>
            <w:pPr>
              <w:spacing w:after="0"/>
              <w:rPr>
                <w:sz w:val="11"/>
                <w:szCs w:val="11"/>
                <w:color w:val="auto"/>
              </w:rPr>
            </w:pPr>
          </w:p>
        </w:tc>
        <w:tc>
          <w:tcPr>
            <w:tcW w:w="2840" w:type="dxa"/>
            <w:vAlign w:val="bottom"/>
            <w:vMerge w:val="restart"/>
            <w:shd w:val="clear" w:color="auto" w:fill="465E66"/>
          </w:tcPr>
          <w:p>
            <w:pPr>
              <w:jc w:val="center"/>
              <w:ind w:right="161"/>
              <w:spacing w:after="0"/>
              <w:rPr>
                <w:sz w:val="20"/>
                <w:szCs w:val="20"/>
                <w:color w:val="auto"/>
              </w:rPr>
            </w:pPr>
            <w:r>
              <w:rPr>
                <w:rFonts w:ascii="Arial" w:cs="Arial" w:eastAsia="Arial" w:hAnsi="Arial"/>
                <w:sz w:val="14"/>
                <w:szCs w:val="14"/>
                <w:b w:val="1"/>
                <w:bCs w:val="1"/>
                <w:color w:val="FFFFFF"/>
              </w:rPr>
              <w:t>Number of Securities to be Issued</w:t>
            </w:r>
          </w:p>
        </w:tc>
        <w:tc>
          <w:tcPr>
            <w:tcW w:w="2020" w:type="dxa"/>
            <w:vAlign w:val="bottom"/>
            <w:vMerge w:val="continue"/>
            <w:shd w:val="clear" w:color="auto" w:fill="465E66"/>
          </w:tcPr>
          <w:p>
            <w:pPr>
              <w:spacing w:after="0"/>
              <w:rPr>
                <w:sz w:val="11"/>
                <w:szCs w:val="11"/>
                <w:color w:val="auto"/>
              </w:rPr>
            </w:pPr>
          </w:p>
        </w:tc>
        <w:tc>
          <w:tcPr>
            <w:tcW w:w="380" w:type="dxa"/>
            <w:vAlign w:val="bottom"/>
            <w:shd w:val="clear" w:color="auto" w:fill="465E66"/>
          </w:tcPr>
          <w:p>
            <w:pPr>
              <w:spacing w:after="0"/>
              <w:rPr>
                <w:sz w:val="11"/>
                <w:szCs w:val="11"/>
                <w:color w:val="auto"/>
              </w:rPr>
            </w:pPr>
          </w:p>
        </w:tc>
        <w:tc>
          <w:tcPr>
            <w:tcW w:w="2580" w:type="dxa"/>
            <w:vAlign w:val="bottom"/>
            <w:shd w:val="clear" w:color="auto" w:fill="465E66"/>
          </w:tcPr>
          <w:p>
            <w:pPr>
              <w:jc w:val="center"/>
              <w:spacing w:after="0" w:line="135" w:lineRule="exact"/>
              <w:rPr>
                <w:sz w:val="20"/>
                <w:szCs w:val="20"/>
                <w:color w:val="auto"/>
              </w:rPr>
            </w:pPr>
            <w:r>
              <w:rPr>
                <w:rFonts w:ascii="Arial" w:cs="Arial" w:eastAsia="Arial" w:hAnsi="Arial"/>
                <w:sz w:val="14"/>
                <w:szCs w:val="14"/>
                <w:b w:val="1"/>
                <w:bCs w:val="1"/>
                <w:color w:val="FFFFFF"/>
              </w:rPr>
              <w:t>Available for Future Issuance Under</w:t>
            </w:r>
          </w:p>
        </w:tc>
        <w:tc>
          <w:tcPr>
            <w:tcW w:w="0" w:type="dxa"/>
            <w:vAlign w:val="bottom"/>
          </w:tcPr>
          <w:p>
            <w:pPr>
              <w:spacing w:after="0"/>
              <w:rPr>
                <w:sz w:val="1"/>
                <w:szCs w:val="1"/>
                <w:color w:val="auto"/>
              </w:rPr>
            </w:pPr>
          </w:p>
        </w:tc>
      </w:tr>
      <w:tr>
        <w:trPr>
          <w:trHeight w:val="148"/>
        </w:trPr>
        <w:tc>
          <w:tcPr>
            <w:tcW w:w="3420" w:type="dxa"/>
            <w:vAlign w:val="bottom"/>
            <w:shd w:val="clear" w:color="auto" w:fill="465E66"/>
          </w:tcPr>
          <w:p>
            <w:pPr>
              <w:spacing w:after="0"/>
              <w:rPr>
                <w:sz w:val="12"/>
                <w:szCs w:val="12"/>
                <w:color w:val="auto"/>
              </w:rPr>
            </w:pPr>
          </w:p>
        </w:tc>
        <w:tc>
          <w:tcPr>
            <w:tcW w:w="2840" w:type="dxa"/>
            <w:vAlign w:val="bottom"/>
            <w:vMerge w:val="continue"/>
            <w:shd w:val="clear" w:color="auto" w:fill="465E66"/>
          </w:tcPr>
          <w:p>
            <w:pPr>
              <w:spacing w:after="0"/>
              <w:rPr>
                <w:sz w:val="12"/>
                <w:szCs w:val="12"/>
                <w:color w:val="auto"/>
              </w:rPr>
            </w:pPr>
          </w:p>
        </w:tc>
        <w:tc>
          <w:tcPr>
            <w:tcW w:w="2020" w:type="dxa"/>
            <w:vAlign w:val="bottom"/>
            <w:shd w:val="clear" w:color="auto" w:fill="465E66"/>
          </w:tcPr>
          <w:p>
            <w:pPr>
              <w:jc w:val="center"/>
              <w:ind w:left="68"/>
              <w:spacing w:after="0" w:line="149" w:lineRule="exact"/>
              <w:rPr>
                <w:sz w:val="20"/>
                <w:szCs w:val="20"/>
                <w:color w:val="auto"/>
              </w:rPr>
            </w:pPr>
            <w:r>
              <w:rPr>
                <w:rFonts w:ascii="Arial" w:cs="Arial" w:eastAsia="Arial" w:hAnsi="Arial"/>
                <w:sz w:val="14"/>
                <w:szCs w:val="14"/>
                <w:b w:val="1"/>
                <w:bCs w:val="1"/>
                <w:color w:val="FFFFFF"/>
              </w:rPr>
              <w:t>Exercise Price of</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Equity Compensation Plans</w:t>
            </w:r>
          </w:p>
        </w:tc>
        <w:tc>
          <w:tcPr>
            <w:tcW w:w="0" w:type="dxa"/>
            <w:vAlign w:val="bottom"/>
          </w:tcPr>
          <w:p>
            <w:pPr>
              <w:spacing w:after="0"/>
              <w:rPr>
                <w:sz w:val="1"/>
                <w:szCs w:val="1"/>
                <w:color w:val="auto"/>
              </w:rPr>
            </w:pPr>
          </w:p>
        </w:tc>
      </w:tr>
      <w:tr>
        <w:trPr>
          <w:trHeight w:val="149"/>
        </w:trPr>
        <w:tc>
          <w:tcPr>
            <w:tcW w:w="3420" w:type="dxa"/>
            <w:vAlign w:val="bottom"/>
            <w:vMerge w:val="restart"/>
            <w:shd w:val="clear" w:color="auto" w:fill="465E66"/>
          </w:tcPr>
          <w:p>
            <w:pPr>
              <w:ind w:left="20"/>
              <w:spacing w:after="0"/>
              <w:rPr>
                <w:sz w:val="20"/>
                <w:szCs w:val="20"/>
                <w:color w:val="auto"/>
              </w:rPr>
            </w:pPr>
            <w:r>
              <w:rPr>
                <w:rFonts w:ascii="Arial" w:cs="Arial" w:eastAsia="Arial" w:hAnsi="Arial"/>
                <w:sz w:val="14"/>
                <w:szCs w:val="14"/>
                <w:b w:val="1"/>
                <w:bCs w:val="1"/>
                <w:color w:val="FFFFFF"/>
              </w:rPr>
              <w:t>Plan Category</w:t>
            </w:r>
          </w:p>
        </w:tc>
        <w:tc>
          <w:tcPr>
            <w:tcW w:w="2840" w:type="dxa"/>
            <w:vAlign w:val="bottom"/>
            <w:shd w:val="clear" w:color="auto" w:fill="465E66"/>
          </w:tcPr>
          <w:p>
            <w:pPr>
              <w:jc w:val="center"/>
              <w:ind w:right="141"/>
              <w:spacing w:after="0" w:line="149" w:lineRule="exact"/>
              <w:rPr>
                <w:sz w:val="20"/>
                <w:szCs w:val="20"/>
                <w:color w:val="auto"/>
              </w:rPr>
            </w:pPr>
            <w:r>
              <w:rPr>
                <w:rFonts w:ascii="Arial" w:cs="Arial" w:eastAsia="Arial" w:hAnsi="Arial"/>
                <w:sz w:val="14"/>
                <w:szCs w:val="14"/>
                <w:b w:val="1"/>
                <w:bCs w:val="1"/>
                <w:color w:val="FFFFFF"/>
              </w:rPr>
              <w:t>Upon Exercise of Outstanding</w:t>
            </w:r>
          </w:p>
        </w:tc>
        <w:tc>
          <w:tcPr>
            <w:tcW w:w="2020" w:type="dxa"/>
            <w:vAlign w:val="bottom"/>
            <w:shd w:val="clear" w:color="auto" w:fill="465E66"/>
          </w:tcPr>
          <w:p>
            <w:pPr>
              <w:jc w:val="center"/>
              <w:ind w:left="48"/>
              <w:spacing w:after="0" w:line="149" w:lineRule="exact"/>
              <w:rPr>
                <w:sz w:val="20"/>
                <w:szCs w:val="20"/>
                <w:color w:val="auto"/>
              </w:rPr>
            </w:pPr>
            <w:r>
              <w:rPr>
                <w:rFonts w:ascii="Arial" w:cs="Arial" w:eastAsia="Arial" w:hAnsi="Arial"/>
                <w:sz w:val="14"/>
                <w:szCs w:val="14"/>
                <w:b w:val="1"/>
                <w:bCs w:val="1"/>
                <w:color w:val="FFFFFF"/>
              </w:rPr>
              <w:t>Outstanding Options,</w:t>
            </w:r>
          </w:p>
        </w:tc>
        <w:tc>
          <w:tcPr>
            <w:tcW w:w="380" w:type="dxa"/>
            <w:vAlign w:val="bottom"/>
            <w:shd w:val="clear" w:color="auto" w:fill="465E66"/>
          </w:tcPr>
          <w:p>
            <w:pPr>
              <w:spacing w:after="0"/>
              <w:rPr>
                <w:sz w:val="12"/>
                <w:szCs w:val="12"/>
                <w:color w:val="auto"/>
              </w:rPr>
            </w:pPr>
          </w:p>
        </w:tc>
        <w:tc>
          <w:tcPr>
            <w:tcW w:w="2580" w:type="dxa"/>
            <w:vAlign w:val="bottom"/>
            <w:shd w:val="clear" w:color="auto" w:fill="465E66"/>
          </w:tcPr>
          <w:p>
            <w:pPr>
              <w:jc w:val="center"/>
              <w:spacing w:after="0" w:line="149" w:lineRule="exact"/>
              <w:rPr>
                <w:sz w:val="20"/>
                <w:szCs w:val="20"/>
                <w:color w:val="auto"/>
              </w:rPr>
            </w:pPr>
            <w:r>
              <w:rPr>
                <w:rFonts w:ascii="Arial" w:cs="Arial" w:eastAsia="Arial" w:hAnsi="Arial"/>
                <w:sz w:val="14"/>
                <w:szCs w:val="14"/>
                <w:b w:val="1"/>
                <w:bCs w:val="1"/>
                <w:color w:val="FFFFFF"/>
              </w:rPr>
              <w:t>(Excluding Securities Reflected in</w:t>
            </w:r>
          </w:p>
        </w:tc>
        <w:tc>
          <w:tcPr>
            <w:tcW w:w="0" w:type="dxa"/>
            <w:vAlign w:val="bottom"/>
          </w:tcPr>
          <w:p>
            <w:pPr>
              <w:spacing w:after="0"/>
              <w:rPr>
                <w:sz w:val="1"/>
                <w:szCs w:val="1"/>
                <w:color w:val="auto"/>
              </w:rPr>
            </w:pPr>
          </w:p>
        </w:tc>
      </w:tr>
      <w:tr>
        <w:trPr>
          <w:trHeight w:val="189"/>
        </w:trPr>
        <w:tc>
          <w:tcPr>
            <w:tcW w:w="3420" w:type="dxa"/>
            <w:vAlign w:val="bottom"/>
            <w:vMerge w:val="continue"/>
            <w:shd w:val="clear" w:color="auto" w:fill="465E66"/>
          </w:tcPr>
          <w:p>
            <w:pPr>
              <w:spacing w:after="0"/>
              <w:rPr>
                <w:sz w:val="16"/>
                <w:szCs w:val="16"/>
                <w:color w:val="auto"/>
              </w:rPr>
            </w:pPr>
          </w:p>
        </w:tc>
        <w:tc>
          <w:tcPr>
            <w:tcW w:w="2840" w:type="dxa"/>
            <w:vAlign w:val="bottom"/>
            <w:shd w:val="clear" w:color="auto" w:fill="465E66"/>
          </w:tcPr>
          <w:p>
            <w:pPr>
              <w:jc w:val="center"/>
              <w:ind w:right="141"/>
              <w:spacing w:after="0"/>
              <w:rPr>
                <w:sz w:val="20"/>
                <w:szCs w:val="20"/>
                <w:color w:val="auto"/>
              </w:rPr>
            </w:pPr>
            <w:r>
              <w:rPr>
                <w:rFonts w:ascii="Arial" w:cs="Arial" w:eastAsia="Arial" w:hAnsi="Arial"/>
                <w:sz w:val="14"/>
                <w:szCs w:val="14"/>
                <w:b w:val="1"/>
                <w:bCs w:val="1"/>
                <w:color w:val="FFFFFF"/>
              </w:rPr>
              <w:t>Options, Warrants and Rights</w:t>
            </w:r>
          </w:p>
        </w:tc>
        <w:tc>
          <w:tcPr>
            <w:tcW w:w="2020" w:type="dxa"/>
            <w:vAlign w:val="bottom"/>
            <w:shd w:val="clear" w:color="auto" w:fill="465E66"/>
          </w:tcPr>
          <w:p>
            <w:pPr>
              <w:jc w:val="center"/>
              <w:ind w:left="48"/>
              <w:spacing w:after="0"/>
              <w:rPr>
                <w:sz w:val="20"/>
                <w:szCs w:val="20"/>
                <w:color w:val="auto"/>
              </w:rPr>
            </w:pPr>
            <w:r>
              <w:rPr>
                <w:rFonts w:ascii="Arial" w:cs="Arial" w:eastAsia="Arial" w:hAnsi="Arial"/>
                <w:sz w:val="14"/>
                <w:szCs w:val="14"/>
                <w:b w:val="1"/>
                <w:bCs w:val="1"/>
                <w:color w:val="FFFFFF"/>
              </w:rPr>
              <w:t>Warrants and Rights (1)</w:t>
            </w:r>
          </w:p>
        </w:tc>
        <w:tc>
          <w:tcPr>
            <w:tcW w:w="380" w:type="dxa"/>
            <w:vAlign w:val="bottom"/>
            <w:shd w:val="clear" w:color="auto" w:fill="465E66"/>
          </w:tcPr>
          <w:p>
            <w:pPr>
              <w:spacing w:after="0"/>
              <w:rPr>
                <w:sz w:val="16"/>
                <w:szCs w:val="16"/>
                <w:color w:val="auto"/>
              </w:rPr>
            </w:pPr>
          </w:p>
        </w:tc>
        <w:tc>
          <w:tcPr>
            <w:tcW w:w="2580" w:type="dxa"/>
            <w:vAlign w:val="bottom"/>
            <w:shd w:val="clear" w:color="auto" w:fill="465E66"/>
          </w:tcPr>
          <w:p>
            <w:pPr>
              <w:jc w:val="center"/>
              <w:spacing w:after="0"/>
              <w:rPr>
                <w:sz w:val="20"/>
                <w:szCs w:val="20"/>
                <w:color w:val="auto"/>
              </w:rPr>
            </w:pPr>
            <w:r>
              <w:rPr>
                <w:rFonts w:ascii="Arial" w:cs="Arial" w:eastAsia="Arial" w:hAnsi="Arial"/>
                <w:sz w:val="14"/>
                <w:szCs w:val="14"/>
                <w:b w:val="1"/>
                <w:bCs w:val="1"/>
                <w:color w:val="FFFFFF"/>
              </w:rPr>
              <w:t>First Column)</w:t>
            </w:r>
          </w:p>
        </w:tc>
        <w:tc>
          <w:tcPr>
            <w:tcW w:w="0" w:type="dxa"/>
            <w:vAlign w:val="bottom"/>
          </w:tcPr>
          <w:p>
            <w:pPr>
              <w:spacing w:after="0"/>
              <w:rPr>
                <w:sz w:val="1"/>
                <w:szCs w:val="1"/>
                <w:color w:val="auto"/>
              </w:rPr>
            </w:pPr>
          </w:p>
        </w:tc>
      </w:tr>
      <w:tr>
        <w:trPr>
          <w:trHeight w:val="162"/>
        </w:trPr>
        <w:tc>
          <w:tcPr>
            <w:tcW w:w="342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Equity Compensation Plans</w:t>
            </w:r>
          </w:p>
        </w:tc>
        <w:tc>
          <w:tcPr>
            <w:tcW w:w="2840" w:type="dxa"/>
            <w:vAlign w:val="bottom"/>
            <w:vMerge w:val="restart"/>
            <w:shd w:val="clear" w:color="auto" w:fill="DBDBDB"/>
          </w:tcPr>
          <w:p>
            <w:pPr>
              <w:jc w:val="right"/>
              <w:ind w:right="161"/>
              <w:spacing w:after="0"/>
              <w:rPr>
                <w:sz w:val="20"/>
                <w:szCs w:val="20"/>
                <w:color w:val="auto"/>
              </w:rPr>
            </w:pPr>
            <w:r>
              <w:rPr>
                <w:rFonts w:ascii="Arial" w:cs="Arial" w:eastAsia="Arial" w:hAnsi="Arial"/>
                <w:sz w:val="18"/>
                <w:szCs w:val="18"/>
                <w:color w:val="auto"/>
              </w:rPr>
              <w:t>3,216,195 (3)</w:t>
            </w:r>
          </w:p>
        </w:tc>
        <w:tc>
          <w:tcPr>
            <w:tcW w:w="2020" w:type="dxa"/>
            <w:vAlign w:val="bottom"/>
            <w:shd w:val="clear" w:color="auto" w:fill="DBDBDB"/>
          </w:tcPr>
          <w:p>
            <w:pPr>
              <w:spacing w:after="0"/>
              <w:rPr>
                <w:sz w:val="14"/>
                <w:szCs w:val="14"/>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5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44,469,497 (4)</w:t>
            </w:r>
          </w:p>
        </w:tc>
        <w:tc>
          <w:tcPr>
            <w:tcW w:w="0" w:type="dxa"/>
            <w:vAlign w:val="bottom"/>
          </w:tcPr>
          <w:p>
            <w:pPr>
              <w:spacing w:after="0"/>
              <w:rPr>
                <w:sz w:val="1"/>
                <w:szCs w:val="1"/>
                <w:color w:val="auto"/>
              </w:rPr>
            </w:pPr>
          </w:p>
        </w:tc>
      </w:tr>
      <w:tr>
        <w:trPr>
          <w:trHeight w:val="216"/>
        </w:trPr>
        <w:tc>
          <w:tcPr>
            <w:tcW w:w="3420" w:type="dxa"/>
            <w:vAlign w:val="bottom"/>
            <w:shd w:val="clear" w:color="auto" w:fill="DBDBDB"/>
          </w:tcPr>
          <w:p>
            <w:pPr>
              <w:ind w:left="100"/>
              <w:spacing w:after="0"/>
              <w:rPr>
                <w:sz w:val="20"/>
                <w:szCs w:val="20"/>
                <w:color w:val="auto"/>
              </w:rPr>
            </w:pPr>
            <w:r>
              <w:rPr>
                <w:rFonts w:ascii="Arial" w:cs="Arial" w:eastAsia="Arial" w:hAnsi="Arial"/>
                <w:sz w:val="16"/>
                <w:szCs w:val="16"/>
                <w:color w:val="auto"/>
              </w:rPr>
              <w:t>Approved By Security Holders (2)</w:t>
            </w:r>
          </w:p>
        </w:tc>
        <w:tc>
          <w:tcPr>
            <w:tcW w:w="2840" w:type="dxa"/>
            <w:vAlign w:val="bottom"/>
            <w:vMerge w:val="continue"/>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380" w:type="dxa"/>
            <w:vAlign w:val="bottom"/>
            <w:vMerge w:val="continue"/>
            <w:shd w:val="clear" w:color="auto" w:fill="DBDBDB"/>
          </w:tcPr>
          <w:p>
            <w:pPr>
              <w:spacing w:after="0"/>
              <w:rPr>
                <w:sz w:val="18"/>
                <w:szCs w:val="18"/>
                <w:color w:val="auto"/>
              </w:rPr>
            </w:pPr>
          </w:p>
        </w:tc>
        <w:tc>
          <w:tcPr>
            <w:tcW w:w="25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line="162" w:lineRule="exact"/>
              <w:rPr>
                <w:sz w:val="20"/>
                <w:szCs w:val="20"/>
                <w:color w:val="auto"/>
              </w:rPr>
            </w:pPr>
            <w:r>
              <w:rPr>
                <w:rFonts w:ascii="Arial" w:cs="Arial" w:eastAsia="Arial" w:hAnsi="Arial"/>
                <w:sz w:val="16"/>
                <w:szCs w:val="16"/>
                <w:color w:val="auto"/>
              </w:rPr>
              <w:t>Equity Compensation Plans</w:t>
            </w:r>
          </w:p>
        </w:tc>
        <w:tc>
          <w:tcPr>
            <w:tcW w:w="284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2020" w:type="dxa"/>
            <w:vAlign w:val="bottom"/>
          </w:tcPr>
          <w:p>
            <w:pPr>
              <w:spacing w:after="0"/>
              <w:rPr>
                <w:sz w:val="14"/>
                <w:szCs w:val="14"/>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6"/>
                <w:szCs w:val="16"/>
                <w:color w:val="auto"/>
              </w:rPr>
              <w:t>—</w:t>
            </w:r>
          </w:p>
        </w:tc>
        <w:tc>
          <w:tcPr>
            <w:tcW w:w="25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Not Approved By Security Holders</w:t>
            </w:r>
          </w:p>
        </w:tc>
        <w:tc>
          <w:tcPr>
            <w:tcW w:w="284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shd w:val="clear" w:color="auto" w:fill="DBDBDB"/>
          </w:tcPr>
          <w:p>
            <w:pPr>
              <w:jc w:val="right"/>
              <w:ind w:right="381"/>
              <w:spacing w:after="0"/>
              <w:rPr>
                <w:sz w:val="20"/>
                <w:szCs w:val="20"/>
                <w:color w:val="auto"/>
              </w:rPr>
            </w:pPr>
            <w:r>
              <w:rPr>
                <w:rFonts w:ascii="Arial" w:cs="Arial" w:eastAsia="Arial" w:hAnsi="Arial"/>
                <w:sz w:val="18"/>
                <w:szCs w:val="18"/>
                <w:color w:val="auto"/>
              </w:rPr>
              <w:t>3,216,195</w:t>
            </w:r>
          </w:p>
        </w:tc>
        <w:tc>
          <w:tcPr>
            <w:tcW w:w="202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shd w:val="clear" w:color="auto" w:fill="DBDBDB"/>
          </w:tcPr>
          <w:p>
            <w:pPr>
              <w:jc w:val="right"/>
              <w:ind w:right="161"/>
              <w:spacing w:after="0"/>
              <w:rPr>
                <w:sz w:val="20"/>
                <w:szCs w:val="20"/>
                <w:color w:val="auto"/>
              </w:rPr>
            </w:pPr>
            <w:r>
              <w:rPr>
                <w:rFonts w:ascii="Arial" w:cs="Arial" w:eastAsia="Arial" w:hAnsi="Arial"/>
                <w:sz w:val="18"/>
                <w:szCs w:val="18"/>
                <w:color w:val="auto"/>
              </w:rPr>
              <w:t>44,469,497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120" w:hanging="234"/>
        <w:spacing w:after="0" w:line="231" w:lineRule="auto"/>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Calculated without taking into account shares of common stock subject to outstanding RSUs and PBRSUs (including any shares issuable for performance exceeding target levels) that will become issuable as those units vest without any cash consideration or other payment required for such shares. No purchase rights were outstanding under the ESPP on December 31, 2023 and the only awards outstanding under the SIP were full value awards (RSUs and PBRSUs) that do not require payment of any cash consideration.</w:t>
      </w:r>
    </w:p>
    <w:p>
      <w:pPr>
        <w:spacing w:after="0" w:line="14" w:lineRule="exact"/>
        <w:rPr>
          <w:rFonts w:ascii="Arial" w:cs="Arial" w:eastAsia="Arial" w:hAnsi="Arial"/>
          <w:sz w:val="14"/>
          <w:szCs w:val="14"/>
          <w:color w:val="auto"/>
        </w:rPr>
      </w:pPr>
    </w:p>
    <w:p>
      <w:pPr>
        <w:ind w:left="240" w:hanging="214"/>
        <w:spacing w:after="0"/>
        <w:tabs>
          <w:tab w:leader="none" w:pos="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the SIP and the ESPP.</w:t>
      </w:r>
    </w:p>
    <w:p>
      <w:pPr>
        <w:spacing w:after="0" w:line="41" w:lineRule="exact"/>
        <w:rPr>
          <w:rFonts w:ascii="Arial" w:cs="Arial" w:eastAsia="Arial" w:hAnsi="Arial"/>
          <w:sz w:val="14"/>
          <w:szCs w:val="14"/>
          <w:color w:val="auto"/>
        </w:rPr>
      </w:pPr>
    </w:p>
    <w:p>
      <w:pPr>
        <w:ind w:left="260" w:right="100" w:hanging="234"/>
        <w:spacing w:after="0"/>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3,215,899 shares of common stock subject to RSUs and PBRSUs, which entitle each holder to one share of common stock for each unit that vests over the holder’s period of continued service or based on the achievement of certain performance criteria, and an additional number of shares representing the maximum number of shares that may be earned under all outstanding PBRSUs that provide for payout above 100%. This amount excludes purchase rights accruing under the ESPP that has a stockholder-approved reserve of 34.5 million shares. As of December 31, 2023, there were approximately 7.3 million shares available for issuance under the ESPP. See footnote (4).</w:t>
      </w:r>
    </w:p>
    <w:p>
      <w:pPr>
        <w:spacing w:after="0" w:line="125" w:lineRule="exact"/>
        <w:rPr>
          <w:rFonts w:ascii="Arial" w:cs="Arial" w:eastAsia="Arial" w:hAnsi="Arial"/>
          <w:sz w:val="14"/>
          <w:szCs w:val="14"/>
          <w:color w:val="auto"/>
        </w:rPr>
      </w:pPr>
    </w:p>
    <w:p>
      <w:pPr>
        <w:ind w:left="260" w:right="100" w:hanging="234"/>
        <w:spacing w:after="0" w:line="225" w:lineRule="auto"/>
        <w:tabs>
          <w:tab w:leader="none" w:pos="233"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7,345,227 shares of common stock reserved for future issuance under the ESPP and 37,124,270 shares of common stock available for issuance under the SIP, as adjusted to account for full-value awards, which reduce the shares of common stock available for future issuance at a fungible ratio of 1:1.58 for each full-value award previously awarded. However, if an award under the SIP is forfeited, terminated, canceled, expires or is paid in cash, the shares subject to such award, to the extent of the forfeiture, termination, cancellation, expiration or cash payment, may be added back to the shares available for issuance under the SIP on a 1:1 basis for options and stock appreciation rights and on a 1.58:1 basis for other awards.</w:t>
      </w:r>
    </w:p>
    <w:p>
      <w:pPr>
        <w:spacing w:after="0" w:line="391" w:lineRule="exact"/>
        <w:rPr>
          <w:sz w:val="20"/>
          <w:szCs w:val="20"/>
          <w:color w:val="auto"/>
        </w:rPr>
      </w:pPr>
    </w:p>
    <w:p>
      <w:pPr>
        <w:ind w:right="720"/>
        <w:spacing w:after="0" w:line="287" w:lineRule="auto"/>
        <w:rPr>
          <w:sz w:val="20"/>
          <w:szCs w:val="20"/>
          <w:color w:val="auto"/>
        </w:rPr>
      </w:pPr>
      <w:r>
        <w:rPr>
          <w:rFonts w:ascii="Arial" w:cs="Arial" w:eastAsia="Arial" w:hAnsi="Arial"/>
          <w:sz w:val="25"/>
          <w:szCs w:val="25"/>
          <w:b w:val="1"/>
          <w:bCs w:val="1"/>
          <w:color w:val="E97D2E"/>
        </w:rPr>
        <w:t>QUESTIONS AND ANSWERS ABOUT THE PROXY MATERIALS, ANNUAL MEETING AND VOTING</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Why am I receiving these proxy materials?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providing these proxy materials in connection with the solicitation by the Board, on behalf of </w:t>
      </w:r>
      <w:r>
        <w:rPr>
          <w:rFonts w:ascii="Arial" w:cs="Arial" w:eastAsia="Arial" w:hAnsi="Arial"/>
          <w:sz w:val="18"/>
          <w:szCs w:val="18"/>
          <w:b w:val="1"/>
          <w:bCs w:val="1"/>
          <w:color w:val="auto"/>
        </w:rPr>
        <w:t>onsemi</w:t>
      </w:r>
      <w:r>
        <w:rPr>
          <w:rFonts w:ascii="Arial" w:cs="Arial" w:eastAsia="Arial" w:hAnsi="Arial"/>
          <w:sz w:val="18"/>
          <w:szCs w:val="18"/>
          <w:color w:val="auto"/>
        </w:rPr>
        <w:t>, of proxies to be voted at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annual meeting. We either (1) mailed you a Notice of Internet Availability of Proxy Materials (the notice) notifying each stockholder entitled to vote at the annual meeting how to vote and how to electronically access a copy of this proxy statement and our 2023 annual report to</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stockholders (collectively referred to as the proxy materials) or (2) mailed you a paper copy of the proxy materials and a proxy card or voting instruction form in paper format. You received these proxy materials because you were a stockholder of record as of the close of business on March 19, 2024.</w:t>
      </w:r>
    </w:p>
    <w:p>
      <w:pPr>
        <w:spacing w:after="0" w:line="214" w:lineRule="exact"/>
        <w:rPr>
          <w:sz w:val="20"/>
          <w:szCs w:val="20"/>
          <w:color w:val="auto"/>
        </w:rPr>
      </w:pPr>
    </w:p>
    <w:p>
      <w:pPr>
        <w:ind w:right="600"/>
        <w:spacing w:after="0" w:line="284" w:lineRule="auto"/>
        <w:rPr>
          <w:sz w:val="20"/>
          <w:szCs w:val="20"/>
          <w:color w:val="auto"/>
        </w:rPr>
      </w:pPr>
      <w:r>
        <w:rPr>
          <w:rFonts w:ascii="Arial" w:cs="Arial" w:eastAsia="Arial" w:hAnsi="Arial"/>
          <w:sz w:val="25"/>
          <w:szCs w:val="25"/>
          <w:b w:val="1"/>
          <w:bCs w:val="1"/>
          <w:color w:val="465E66"/>
        </w:rPr>
        <w:t>Why did I receive a notice of internet availability of proxy materials instead of a full set of proxy materials?</w:t>
      </w:r>
    </w:p>
    <w:p>
      <w:pPr>
        <w:jc w:val="both"/>
        <w:spacing w:after="0" w:line="244" w:lineRule="auto"/>
        <w:rPr>
          <w:sz w:val="20"/>
          <w:szCs w:val="20"/>
          <w:color w:val="auto"/>
        </w:rPr>
      </w:pPr>
      <w:r>
        <w:rPr>
          <w:rFonts w:ascii="Arial" w:cs="Arial" w:eastAsia="Arial" w:hAnsi="Arial"/>
          <w:sz w:val="18"/>
          <w:szCs w:val="18"/>
          <w:color w:val="auto"/>
        </w:rPr>
        <w:t>As permitted by SEC rules, we are furnishing our proxy materials online instead of mailing printed copies to each stockholder. Unless you previously requested to receive printed copies of our proxy materials, you will receive the notice by mail or e-mail. The notice will tell you how to access and review our proxy materials and how to vote your shares after you have reviewed our proxy materials. If you received the notice by mail and would like to receive a printed copy of our proxy materials, please follow the instructions included in the notice. The notice and our proxy materials are being made available to our stockholders beginning on or about April 4, 2024.</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is committed to creating a cleaner, smarter world, we would like to emphasize that stockholders may elect to receive proxy materials, and other stockholder communications, via e-mail. Not only is this a way to mitigate the natural resource consumption, paper</w:t>
      </w:r>
    </w:p>
    <w:p>
      <w:pPr>
        <w:jc w:val="both"/>
        <w:spacing w:after="0" w:line="237" w:lineRule="auto"/>
        <w:rPr>
          <w:sz w:val="20"/>
          <w:szCs w:val="20"/>
          <w:color w:val="auto"/>
        </w:rPr>
      </w:pPr>
      <w:r>
        <w:rPr>
          <w:rFonts w:ascii="Arial" w:cs="Arial" w:eastAsia="Arial" w:hAnsi="Arial"/>
          <w:sz w:val="18"/>
          <w:szCs w:val="18"/>
          <w:color w:val="auto"/>
        </w:rPr>
        <w:t>waste and cost associated with the printing and mailing of such materials, but it also will allow stockholders to receive such items sooner than via regular mail. If you are interested in signing up for online access, please follow the instructions contained in the notice or proxy card.</w:t>
      </w: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are a beneficial holder, please contact your bank, broker, trustee or other nominee for instructions on how to opt into electronic delivery of proxy materials.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6" w:name="page67"/>
    <w:bookmarkEnd w:id="66"/>
    <w:p>
      <w:pPr>
        <w:ind w:left="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is the date, time and location of the annual meeting?</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will hold the annual meeting at 8:00 am, local time, on Thursday, May 16, 2024, at our principal executive offices, located at 5701 North Pima Road, Scottsdale, Arizona 85250, subject to any adjournments or postponements. Directions to the meeting location and related information may be found on our website at </w:t>
      </w:r>
      <w:r>
        <w:rPr>
          <w:rFonts w:ascii="Arial" w:cs="Arial" w:eastAsia="Arial" w:hAnsi="Arial"/>
          <w:sz w:val="18"/>
          <w:szCs w:val="18"/>
          <w:u w:val="single" w:color="auto"/>
          <w:color w:val="auto"/>
        </w:rPr>
        <w:t>www.onsemi.com/annualmeeting</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Who is entitled to vote and what constitutes a quorum?</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Board has set March 19, 2024 as the record date for the annual meeting. All persons who were registered holders of our common stock at the close of business on that date are stockholders of record for the purposes of the annual meeting and will be entitled to receive notice</w:t>
      </w:r>
    </w:p>
    <w:p>
      <w:pPr>
        <w:jc w:val="both"/>
        <w:spacing w:after="0" w:line="226" w:lineRule="auto"/>
        <w:rPr>
          <w:sz w:val="20"/>
          <w:szCs w:val="20"/>
          <w:color w:val="auto"/>
        </w:rPr>
      </w:pPr>
      <w:r>
        <w:rPr>
          <w:rFonts w:ascii="Arial" w:cs="Arial" w:eastAsia="Arial" w:hAnsi="Arial"/>
          <w:sz w:val="18"/>
          <w:szCs w:val="18"/>
          <w:color w:val="auto"/>
        </w:rPr>
        <w:t>of, and to attend and vote at, the annual meeting. Beneficial owners who, at the close of business on the record date, held their shares in an account with a broker, bank or other holder of record generally cannot vote their shares directly and instead must instruct the record holder</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how to vote their shares. For 10 days prior to the annual meeting, a list of stockholders entitled to vote at the annual meeting will be available for inspection in the office of our Legal Department, located at 5701 North Pima Road, Scottsdale, Arizona 85250, between the hours of 8:30 a.m. and 5:00 p.m., local time, each weekday.</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the record date, there were 429,845,652 shares of our common stock outstanding and entitled to vote at the annual meeting. The presence, in person or by proxy, of stockholders holding a majority of the shares entitled to vote at the annual meeting will constitute a</w:t>
      </w:r>
    </w:p>
    <w:p>
      <w:pPr>
        <w:jc w:val="both"/>
        <w:spacing w:after="0" w:line="253" w:lineRule="auto"/>
        <w:rPr>
          <w:sz w:val="20"/>
          <w:szCs w:val="20"/>
          <w:color w:val="auto"/>
        </w:rPr>
      </w:pPr>
      <w:r>
        <w:rPr>
          <w:rFonts w:ascii="Arial" w:cs="Arial" w:eastAsia="Arial" w:hAnsi="Arial"/>
          <w:sz w:val="18"/>
          <w:szCs w:val="18"/>
          <w:color w:val="auto"/>
        </w:rPr>
        <w:t>quorum. Abstentions and broker non-votes are included in determining whether a quorum has been met for the annual meeting. Abstentions include shares present in person but not voting and shares represented by proxy where the holder has abstained from voting on one or more proposals.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How do I vote?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Regardless of whether you plan to attend the annual meeting, please promptly submit your proxy and voting instructions by internet, phone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mail as described herein and in the notice or, if you received printed materials, on your proxy card or voting instruction form. Stockholders are encouraged to submit proxies and voting instructions in advance of the meeting by internet or phone, or by signing, dating and returning</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proxy card (if received by mail), as early as possible to avoid any possible delays. Our stockholders are entitled to one vote for each share they held as of the record date.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E97D2E"/>
        </w:rPr>
        <w:t>Stockholders of Record</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Registered stockholders (that is, stockholders who hold their shares directly with our transfer agent, Computershare) can vote in one of the following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9525</wp:posOffset>
            </wp:positionV>
            <wp:extent cx="8255" cy="1954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9545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9525</wp:posOffset>
            </wp:positionV>
            <wp:extent cx="342900" cy="3429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9525</wp:posOffset>
            </wp:positionV>
            <wp:extent cx="342900" cy="3429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9525</wp:posOffset>
            </wp:positionV>
            <wp:extent cx="342900" cy="3429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15" w:lineRule="exact"/>
        <w:rPr>
          <w:sz w:val="20"/>
          <w:szCs w:val="20"/>
          <w:color w:val="auto"/>
        </w:rPr>
      </w:pPr>
    </w:p>
    <w:tbl>
      <w:tblPr>
        <w:tblLayout w:type="fixed"/>
        <w:tblInd w:w="430" w:type="dxa"/>
        <w:tblCellMar>
          <w:top w:w="0" w:type="dxa"/>
          <w:left w:w="0" w:type="dxa"/>
          <w:bottom w:w="0" w:type="dxa"/>
          <w:right w:w="0" w:type="dxa"/>
        </w:tblCellMar>
      </w:tblPr>
      <w:tr>
        <w:trPr>
          <w:trHeight w:val="859"/>
        </w:trPr>
        <w:tc>
          <w:tcPr>
            <w:tcW w:w="520" w:type="dxa"/>
            <w:vAlign w:val="bottom"/>
            <w:tcBorders>
              <w:left w:val="single" w:sz="8" w:color="465E66"/>
            </w:tcBorders>
          </w:tcPr>
          <w:p>
            <w:pPr>
              <w:spacing w:after="0"/>
              <w:rPr>
                <w:sz w:val="24"/>
                <w:szCs w:val="24"/>
                <w:color w:val="auto"/>
              </w:rPr>
            </w:pPr>
          </w:p>
        </w:tc>
        <w:tc>
          <w:tcPr>
            <w:tcW w:w="2100" w:type="dxa"/>
            <w:vAlign w:val="bottom"/>
            <w:tcBorders>
              <w:right w:val="single" w:sz="8" w:color="465E66"/>
            </w:tcBorders>
            <w:gridSpan w:val="2"/>
          </w:tcPr>
          <w:p>
            <w:pPr>
              <w:ind w:left="300"/>
              <w:spacing w:after="0"/>
              <w:rPr>
                <w:sz w:val="20"/>
                <w:szCs w:val="20"/>
                <w:color w:val="auto"/>
              </w:rPr>
            </w:pPr>
            <w:r>
              <w:rPr>
                <w:rFonts w:ascii="Arial" w:cs="Arial" w:eastAsia="Arial" w:hAnsi="Arial"/>
                <w:sz w:val="18"/>
                <w:szCs w:val="18"/>
                <w:b w:val="1"/>
                <w:bCs w:val="1"/>
                <w:color w:val="auto"/>
              </w:rPr>
              <w:t>Vote online</w:t>
            </w:r>
          </w:p>
        </w:tc>
        <w:tc>
          <w:tcPr>
            <w:tcW w:w="2560" w:type="dxa"/>
            <w:vAlign w:val="bottom"/>
          </w:tcPr>
          <w:p>
            <w:pPr>
              <w:ind w:left="520"/>
              <w:spacing w:after="0"/>
              <w:rPr>
                <w:sz w:val="20"/>
                <w:szCs w:val="20"/>
                <w:color w:val="auto"/>
              </w:rPr>
            </w:pPr>
            <w:r>
              <w:rPr>
                <w:rFonts w:ascii="Arial" w:cs="Arial" w:eastAsia="Arial" w:hAnsi="Arial"/>
                <w:sz w:val="18"/>
                <w:szCs w:val="18"/>
                <w:b w:val="1"/>
                <w:bCs w:val="1"/>
                <w:color w:val="auto"/>
              </w:rPr>
              <w:t>Vote by telephone</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Go to www.proxyvote.com to</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Call 1 (800) 579-1639 from the</w:t>
            </w:r>
          </w:p>
        </w:tc>
        <w:tc>
          <w:tcPr>
            <w:tcW w:w="0" w:type="dxa"/>
            <w:vAlign w:val="bottom"/>
          </w:tcPr>
          <w:p>
            <w:pPr>
              <w:spacing w:after="0"/>
              <w:rPr>
                <w:sz w:val="1"/>
                <w:szCs w:val="1"/>
                <w:color w:val="auto"/>
              </w:rPr>
            </w:pPr>
          </w:p>
        </w:tc>
      </w:tr>
      <w:tr>
        <w:trPr>
          <w:trHeight w:val="27"/>
        </w:trPr>
        <w:tc>
          <w:tcPr>
            <w:tcW w:w="520" w:type="dxa"/>
            <w:vAlign w:val="bottom"/>
            <w:tcBorders>
              <w:left w:val="single" w:sz="8" w:color="465E66"/>
            </w:tcBorders>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500" w:type="dxa"/>
            <w:vAlign w:val="bottom"/>
            <w:tcBorders>
              <w:right w:val="single" w:sz="8" w:color="465E66"/>
            </w:tcBorders>
            <w:vMerge w:val="restart"/>
          </w:tcPr>
          <w:p>
            <w:pPr>
              <w:ind w:left="20"/>
              <w:spacing w:after="0" w:line="183" w:lineRule="exact"/>
              <w:rPr>
                <w:sz w:val="20"/>
                <w:szCs w:val="20"/>
                <w:color w:val="auto"/>
              </w:rPr>
            </w:pPr>
            <w:r>
              <w:rPr>
                <w:rFonts w:ascii="Arial" w:cs="Arial" w:eastAsia="Arial" w:hAnsi="Arial"/>
                <w:sz w:val="18"/>
                <w:szCs w:val="18"/>
                <w:color w:val="auto"/>
              </w:rPr>
              <w:t>the</w:t>
            </w:r>
          </w:p>
        </w:tc>
        <w:tc>
          <w:tcPr>
            <w:tcW w:w="2560" w:type="dxa"/>
            <w:vAlign w:val="bottom"/>
            <w:vMerge w:val="restart"/>
          </w:tcPr>
          <w:p>
            <w:pPr>
              <w:spacing w:after="0" w:line="183" w:lineRule="exact"/>
              <w:rPr>
                <w:sz w:val="20"/>
                <w:szCs w:val="20"/>
                <w:color w:val="auto"/>
              </w:rPr>
            </w:pPr>
            <w:r>
              <w:rPr>
                <w:rFonts w:ascii="Arial" w:cs="Arial" w:eastAsia="Arial" w:hAnsi="Arial"/>
                <w:sz w:val="18"/>
                <w:szCs w:val="18"/>
                <w:color w:val="auto"/>
              </w:rPr>
              <w:t>U.S., U.S. territories and</w:t>
            </w:r>
          </w:p>
        </w:tc>
        <w:tc>
          <w:tcPr>
            <w:tcW w:w="0" w:type="dxa"/>
            <w:vAlign w:val="bottom"/>
          </w:tcPr>
          <w:p>
            <w:pPr>
              <w:spacing w:after="0" w:line="20" w:lineRule="exact"/>
              <w:rPr>
                <w:sz w:val="1"/>
                <w:szCs w:val="1"/>
                <w:color w:val="auto"/>
              </w:rPr>
            </w:pPr>
          </w:p>
        </w:tc>
      </w:tr>
      <w:tr>
        <w:trPr>
          <w:trHeight w:val="157"/>
        </w:trPr>
        <w:tc>
          <w:tcPr>
            <w:tcW w:w="2120" w:type="dxa"/>
            <w:vAlign w:val="bottom"/>
            <w:tcBorders>
              <w:left w:val="single" w:sz="8" w:color="465E66"/>
            </w:tcBorders>
            <w:gridSpan w:val="2"/>
          </w:tcPr>
          <w:p>
            <w:pPr>
              <w:ind w:left="40"/>
              <w:spacing w:after="0" w:line="157" w:lineRule="exact"/>
              <w:rPr>
                <w:sz w:val="20"/>
                <w:szCs w:val="20"/>
                <w:color w:val="auto"/>
              </w:rPr>
            </w:pPr>
            <w:r>
              <w:rPr>
                <w:rFonts w:ascii="Arial" w:cs="Arial" w:eastAsia="Arial" w:hAnsi="Arial"/>
                <w:sz w:val="18"/>
                <w:szCs w:val="18"/>
                <w:color w:val="auto"/>
              </w:rPr>
              <w:t>vote via the internet using</w:t>
            </w:r>
          </w:p>
        </w:tc>
        <w:tc>
          <w:tcPr>
            <w:tcW w:w="500" w:type="dxa"/>
            <w:vAlign w:val="bottom"/>
            <w:tcBorders>
              <w:right w:val="single" w:sz="8" w:color="465E66"/>
            </w:tcBorders>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16-digit control number you</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Canada. You will need to use</w:t>
            </w:r>
          </w:p>
        </w:tc>
        <w:tc>
          <w:tcPr>
            <w:tcW w:w="0" w:type="dxa"/>
            <w:vAlign w:val="bottom"/>
          </w:tcPr>
          <w:p>
            <w:pPr>
              <w:spacing w:after="0"/>
              <w:rPr>
                <w:sz w:val="1"/>
                <w:szCs w:val="1"/>
                <w:color w:val="auto"/>
              </w:rPr>
            </w:pPr>
          </w:p>
        </w:tc>
      </w:tr>
      <w:tr>
        <w:trPr>
          <w:trHeight w:val="176"/>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were provided on your proxy</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the 16-digit control number you</w:t>
            </w:r>
          </w:p>
        </w:tc>
        <w:tc>
          <w:tcPr>
            <w:tcW w:w="0" w:type="dxa"/>
            <w:vAlign w:val="bottom"/>
          </w:tcPr>
          <w:p>
            <w:pPr>
              <w:spacing w:after="0"/>
              <w:rPr>
                <w:sz w:val="1"/>
                <w:szCs w:val="1"/>
                <w:color w:val="auto"/>
              </w:rPr>
            </w:pPr>
          </w:p>
        </w:tc>
      </w:tr>
      <w:tr>
        <w:trPr>
          <w:trHeight w:val="184"/>
        </w:trPr>
        <w:tc>
          <w:tcPr>
            <w:tcW w:w="2620" w:type="dxa"/>
            <w:vAlign w:val="bottom"/>
            <w:tcBorders>
              <w:left w:val="single" w:sz="8" w:color="465E66"/>
              <w:right w:val="single" w:sz="8" w:color="465E66"/>
            </w:tcBorders>
            <w:gridSpan w:val="3"/>
          </w:tcPr>
          <w:p>
            <w:pPr>
              <w:ind w:left="40"/>
              <w:spacing w:after="0" w:line="183" w:lineRule="exact"/>
              <w:rPr>
                <w:sz w:val="20"/>
                <w:szCs w:val="20"/>
                <w:color w:val="auto"/>
              </w:rPr>
            </w:pPr>
            <w:r>
              <w:rPr>
                <w:rFonts w:ascii="Arial" w:cs="Arial" w:eastAsia="Arial" w:hAnsi="Arial"/>
                <w:sz w:val="18"/>
                <w:szCs w:val="18"/>
                <w:color w:val="auto"/>
              </w:rPr>
              <w:t>card or notice. You will need to</w:t>
            </w:r>
          </w:p>
        </w:tc>
        <w:tc>
          <w:tcPr>
            <w:tcW w:w="2560" w:type="dxa"/>
            <w:vAlign w:val="bottom"/>
          </w:tcPr>
          <w:p>
            <w:pPr>
              <w:spacing w:after="0" w:line="183" w:lineRule="exact"/>
              <w:rPr>
                <w:sz w:val="20"/>
                <w:szCs w:val="20"/>
                <w:color w:val="auto"/>
              </w:rPr>
            </w:pPr>
            <w:r>
              <w:rPr>
                <w:rFonts w:ascii="Arial" w:cs="Arial" w:eastAsia="Arial" w:hAnsi="Arial"/>
                <w:sz w:val="18"/>
                <w:szCs w:val="18"/>
                <w:color w:val="auto"/>
              </w:rPr>
              <w:t>were provided on your proxy</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follow the instructions on the</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card or notice, and follow the</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website. Internet voting is</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instructions given by the voice</w:t>
            </w:r>
          </w:p>
        </w:tc>
        <w:tc>
          <w:tcPr>
            <w:tcW w:w="0" w:type="dxa"/>
            <w:vAlign w:val="bottom"/>
          </w:tcPr>
          <w:p>
            <w:pPr>
              <w:spacing w:after="0"/>
              <w:rPr>
                <w:sz w:val="1"/>
                <w:szCs w:val="1"/>
                <w:color w:val="auto"/>
              </w:rPr>
            </w:pPr>
          </w:p>
        </w:tc>
      </w:tr>
      <w:tr>
        <w:trPr>
          <w:trHeight w:val="184"/>
        </w:trPr>
        <w:tc>
          <w:tcPr>
            <w:tcW w:w="2620" w:type="dxa"/>
            <w:vAlign w:val="bottom"/>
            <w:tcBorders>
              <w:left w:val="single" w:sz="8" w:color="465E66"/>
              <w:right w:val="single" w:sz="8" w:color="465E66"/>
            </w:tcBorders>
            <w:gridSpan w:val="3"/>
          </w:tcPr>
          <w:p>
            <w:pPr>
              <w:ind w:left="40"/>
              <w:spacing w:after="0" w:line="183" w:lineRule="exact"/>
              <w:rPr>
                <w:sz w:val="20"/>
                <w:szCs w:val="20"/>
                <w:color w:val="auto"/>
              </w:rPr>
            </w:pPr>
            <w:r>
              <w:rPr>
                <w:rFonts w:ascii="Arial" w:cs="Arial" w:eastAsia="Arial" w:hAnsi="Arial"/>
                <w:sz w:val="18"/>
                <w:szCs w:val="18"/>
                <w:color w:val="auto"/>
              </w:rPr>
              <w:t>available 24 hours a day, seven</w:t>
            </w:r>
          </w:p>
        </w:tc>
        <w:tc>
          <w:tcPr>
            <w:tcW w:w="2560" w:type="dxa"/>
            <w:vAlign w:val="bottom"/>
          </w:tcPr>
          <w:p>
            <w:pPr>
              <w:spacing w:after="0" w:line="183" w:lineRule="exact"/>
              <w:rPr>
                <w:sz w:val="20"/>
                <w:szCs w:val="20"/>
                <w:color w:val="auto"/>
              </w:rPr>
            </w:pPr>
            <w:r>
              <w:rPr>
                <w:rFonts w:ascii="Arial" w:cs="Arial" w:eastAsia="Arial" w:hAnsi="Arial"/>
                <w:sz w:val="18"/>
                <w:szCs w:val="18"/>
                <w:color w:val="auto"/>
              </w:rPr>
              <w:t>prompts. Telephone voting is</w:t>
            </w:r>
          </w:p>
        </w:tc>
        <w:tc>
          <w:tcPr>
            <w:tcW w:w="0" w:type="dxa"/>
            <w:vAlign w:val="bottom"/>
          </w:tcPr>
          <w:p>
            <w:pPr>
              <w:spacing w:after="0"/>
              <w:rPr>
                <w:sz w:val="1"/>
                <w:szCs w:val="1"/>
                <w:color w:val="auto"/>
              </w:rPr>
            </w:pPr>
          </w:p>
        </w:tc>
      </w:tr>
      <w:tr>
        <w:trPr>
          <w:trHeight w:val="181"/>
        </w:trPr>
        <w:tc>
          <w:tcPr>
            <w:tcW w:w="2620" w:type="dxa"/>
            <w:vAlign w:val="bottom"/>
            <w:tcBorders>
              <w:left w:val="single" w:sz="8" w:color="465E66"/>
              <w:right w:val="single" w:sz="8" w:color="465E66"/>
            </w:tcBorders>
            <w:gridSpan w:val="3"/>
          </w:tcPr>
          <w:p>
            <w:pPr>
              <w:ind w:left="40"/>
              <w:spacing w:after="0" w:line="181" w:lineRule="exact"/>
              <w:rPr>
                <w:sz w:val="20"/>
                <w:szCs w:val="20"/>
                <w:color w:val="auto"/>
              </w:rPr>
            </w:pPr>
            <w:r>
              <w:rPr>
                <w:rFonts w:ascii="Arial" w:cs="Arial" w:eastAsia="Arial" w:hAnsi="Arial"/>
                <w:sz w:val="18"/>
                <w:szCs w:val="18"/>
                <w:color w:val="auto"/>
              </w:rPr>
              <w:t>days a week, up until 11:59</w:t>
            </w:r>
          </w:p>
        </w:tc>
        <w:tc>
          <w:tcPr>
            <w:tcW w:w="2560" w:type="dxa"/>
            <w:vAlign w:val="bottom"/>
          </w:tcPr>
          <w:p>
            <w:pPr>
              <w:spacing w:after="0" w:line="181" w:lineRule="exact"/>
              <w:rPr>
                <w:sz w:val="20"/>
                <w:szCs w:val="20"/>
                <w:color w:val="auto"/>
              </w:rPr>
            </w:pPr>
            <w:r>
              <w:rPr>
                <w:rFonts w:ascii="Arial" w:cs="Arial" w:eastAsia="Arial" w:hAnsi="Arial"/>
                <w:sz w:val="18"/>
                <w:szCs w:val="18"/>
                <w:color w:val="auto"/>
              </w:rPr>
              <w:t>available 24 hours a day, seven</w:t>
            </w:r>
          </w:p>
        </w:tc>
        <w:tc>
          <w:tcPr>
            <w:tcW w:w="0" w:type="dxa"/>
            <w:vAlign w:val="bottom"/>
          </w:tcPr>
          <w:p>
            <w:pPr>
              <w:spacing w:after="0"/>
              <w:rPr>
                <w:sz w:val="1"/>
                <w:szCs w:val="1"/>
                <w:color w:val="auto"/>
              </w:rPr>
            </w:pPr>
          </w:p>
        </w:tc>
      </w:tr>
      <w:tr>
        <w:trPr>
          <w:trHeight w:val="175"/>
        </w:trPr>
        <w:tc>
          <w:tcPr>
            <w:tcW w:w="2620" w:type="dxa"/>
            <w:vAlign w:val="bottom"/>
            <w:tcBorders>
              <w:left w:val="single" w:sz="8" w:color="465E66"/>
              <w:right w:val="single" w:sz="8" w:color="465E66"/>
            </w:tcBorders>
            <w:gridSpan w:val="3"/>
          </w:tcPr>
          <w:p>
            <w:pPr>
              <w:ind w:left="40"/>
              <w:spacing w:after="0" w:line="176" w:lineRule="exact"/>
              <w:rPr>
                <w:sz w:val="20"/>
                <w:szCs w:val="20"/>
                <w:color w:val="auto"/>
              </w:rPr>
            </w:pPr>
            <w:r>
              <w:rPr>
                <w:rFonts w:ascii="Arial" w:cs="Arial" w:eastAsia="Arial" w:hAnsi="Arial"/>
                <w:sz w:val="18"/>
                <w:szCs w:val="18"/>
                <w:color w:val="auto"/>
              </w:rPr>
              <w:t>p.m. Eastern Time,</w:t>
            </w:r>
          </w:p>
        </w:tc>
        <w:tc>
          <w:tcPr>
            <w:tcW w:w="2560" w:type="dxa"/>
            <w:vAlign w:val="bottom"/>
          </w:tcPr>
          <w:p>
            <w:pPr>
              <w:spacing w:after="0" w:line="176" w:lineRule="exact"/>
              <w:rPr>
                <w:sz w:val="20"/>
                <w:szCs w:val="20"/>
                <w:color w:val="auto"/>
              </w:rPr>
            </w:pPr>
            <w:r>
              <w:rPr>
                <w:rFonts w:ascii="Arial" w:cs="Arial" w:eastAsia="Arial" w:hAnsi="Arial"/>
                <w:sz w:val="18"/>
                <w:szCs w:val="18"/>
                <w:color w:val="auto"/>
              </w:rPr>
              <w:t>days a week, up until 11:59</w:t>
            </w:r>
          </w:p>
        </w:tc>
        <w:tc>
          <w:tcPr>
            <w:tcW w:w="0" w:type="dxa"/>
            <w:vAlign w:val="bottom"/>
          </w:tcPr>
          <w:p>
            <w:pPr>
              <w:spacing w:after="0"/>
              <w:rPr>
                <w:sz w:val="1"/>
                <w:szCs w:val="1"/>
                <w:color w:val="auto"/>
              </w:rPr>
            </w:pPr>
          </w:p>
        </w:tc>
      </w:tr>
      <w:tr>
        <w:trPr>
          <w:trHeight w:val="184"/>
        </w:trPr>
        <w:tc>
          <w:tcPr>
            <w:tcW w:w="2620" w:type="dxa"/>
            <w:vAlign w:val="bottom"/>
            <w:tcBorders>
              <w:left w:val="single" w:sz="8" w:color="465E66"/>
              <w:right w:val="single" w:sz="8" w:color="465E66"/>
            </w:tcBorders>
            <w:gridSpan w:val="3"/>
          </w:tcPr>
          <w:p>
            <w:pPr>
              <w:ind w:left="40"/>
              <w:spacing w:after="0" w:line="183" w:lineRule="exact"/>
              <w:rPr>
                <w:sz w:val="20"/>
                <w:szCs w:val="20"/>
                <w:color w:val="auto"/>
              </w:rPr>
            </w:pPr>
            <w:r>
              <w:rPr>
                <w:rFonts w:ascii="Arial" w:cs="Arial" w:eastAsia="Arial" w:hAnsi="Arial"/>
                <w:sz w:val="18"/>
                <w:szCs w:val="18"/>
                <w:color w:val="auto"/>
              </w:rPr>
              <w:t>Wednesday, May 15, 2024.</w:t>
            </w:r>
          </w:p>
        </w:tc>
        <w:tc>
          <w:tcPr>
            <w:tcW w:w="2560" w:type="dxa"/>
            <w:vAlign w:val="bottom"/>
          </w:tcPr>
          <w:p>
            <w:pPr>
              <w:spacing w:after="0" w:line="183" w:lineRule="exact"/>
              <w:rPr>
                <w:sz w:val="20"/>
                <w:szCs w:val="20"/>
                <w:color w:val="auto"/>
              </w:rPr>
            </w:pPr>
            <w:r>
              <w:rPr>
                <w:rFonts w:ascii="Arial" w:cs="Arial" w:eastAsia="Arial" w:hAnsi="Arial"/>
                <w:sz w:val="18"/>
                <w:szCs w:val="18"/>
                <w:color w:val="auto"/>
                <w:w w:val="98"/>
              </w:rPr>
              <w:t>p.m. Eastern Time, Wednesday,</w:t>
            </w:r>
          </w:p>
        </w:tc>
        <w:tc>
          <w:tcPr>
            <w:tcW w:w="0" w:type="dxa"/>
            <w:vAlign w:val="bottom"/>
          </w:tcPr>
          <w:p>
            <w:pPr>
              <w:spacing w:after="0"/>
              <w:rPr>
                <w:sz w:val="1"/>
                <w:szCs w:val="1"/>
                <w:color w:val="auto"/>
              </w:rPr>
            </w:pPr>
          </w:p>
        </w:tc>
      </w:tr>
      <w:tr>
        <w:trPr>
          <w:trHeight w:val="235"/>
        </w:trPr>
        <w:tc>
          <w:tcPr>
            <w:tcW w:w="520" w:type="dxa"/>
            <w:vAlign w:val="bottom"/>
            <w:tcBorders>
              <w:left w:val="single" w:sz="8" w:color="465E66"/>
            </w:tcBorders>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Borders>
              <w:right w:val="single" w:sz="8" w:color="465E66"/>
            </w:tcBorders>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May 15,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859"/>
        </w:trPr>
        <w:tc>
          <w:tcPr>
            <w:tcW w:w="2620" w:type="dxa"/>
            <w:vAlign w:val="bottom"/>
            <w:tcBorders>
              <w:left w:val="single" w:sz="8" w:color="465E66"/>
              <w:right w:val="single" w:sz="8" w:color="465E66"/>
            </w:tcBorders>
          </w:tcPr>
          <w:p>
            <w:pPr>
              <w:ind w:left="780"/>
              <w:spacing w:after="0"/>
              <w:rPr>
                <w:sz w:val="20"/>
                <w:szCs w:val="20"/>
                <w:color w:val="auto"/>
              </w:rPr>
            </w:pPr>
            <w:r>
              <w:rPr>
                <w:rFonts w:ascii="Arial" w:cs="Arial" w:eastAsia="Arial" w:hAnsi="Arial"/>
                <w:sz w:val="18"/>
                <w:szCs w:val="18"/>
                <w:b w:val="1"/>
                <w:bCs w:val="1"/>
                <w:color w:val="auto"/>
              </w:rPr>
              <w:t>Vote by mail</w:t>
            </w:r>
          </w:p>
        </w:tc>
        <w:tc>
          <w:tcPr>
            <w:tcW w:w="2540" w:type="dxa"/>
            <w:vAlign w:val="bottom"/>
          </w:tcPr>
          <w:p>
            <w:pPr>
              <w:ind w:left="680"/>
              <w:spacing w:after="0"/>
              <w:rPr>
                <w:sz w:val="20"/>
                <w:szCs w:val="20"/>
                <w:color w:val="auto"/>
              </w:rPr>
            </w:pPr>
            <w:r>
              <w:rPr>
                <w:rFonts w:ascii="Arial" w:cs="Arial" w:eastAsia="Arial" w:hAnsi="Arial"/>
                <w:sz w:val="18"/>
                <w:szCs w:val="18"/>
                <w:b w:val="1"/>
                <w:bCs w:val="1"/>
                <w:color w:val="auto"/>
              </w:rPr>
              <w:t>Vote in person</w:t>
            </w: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If you received a printed copy of</w:t>
            </w:r>
          </w:p>
        </w:tc>
        <w:tc>
          <w:tcPr>
            <w:tcW w:w="2540" w:type="dxa"/>
            <w:vAlign w:val="bottom"/>
          </w:tcPr>
          <w:p>
            <w:pPr>
              <w:ind w:left="20"/>
              <w:spacing w:after="0" w:line="181" w:lineRule="exact"/>
              <w:rPr>
                <w:sz w:val="20"/>
                <w:szCs w:val="20"/>
                <w:color w:val="auto"/>
              </w:rPr>
            </w:pPr>
            <w:r>
              <w:rPr>
                <w:rFonts w:ascii="Arial" w:cs="Arial" w:eastAsia="Arial" w:hAnsi="Arial"/>
                <w:sz w:val="18"/>
                <w:szCs w:val="18"/>
                <w:color w:val="auto"/>
              </w:rPr>
              <w:t>You may vote in person if you</w:t>
            </w:r>
          </w:p>
        </w:tc>
      </w:tr>
      <w:tr>
        <w:trPr>
          <w:trHeight w:val="184"/>
        </w:trPr>
        <w:tc>
          <w:tcPr>
            <w:tcW w:w="2620" w:type="dxa"/>
            <w:vAlign w:val="bottom"/>
            <w:tcBorders>
              <w:left w:val="single" w:sz="8" w:color="465E66"/>
              <w:right w:val="single" w:sz="8" w:color="465E66"/>
            </w:tcBorders>
          </w:tcPr>
          <w:p>
            <w:pPr>
              <w:ind w:left="20"/>
              <w:spacing w:after="0" w:line="183" w:lineRule="exact"/>
              <w:rPr>
                <w:sz w:val="20"/>
                <w:szCs w:val="20"/>
                <w:color w:val="auto"/>
              </w:rPr>
            </w:pPr>
            <w:r>
              <w:rPr>
                <w:rFonts w:ascii="Arial" w:cs="Arial" w:eastAsia="Arial" w:hAnsi="Arial"/>
                <w:sz w:val="18"/>
                <w:szCs w:val="18"/>
                <w:color w:val="auto"/>
              </w:rPr>
              <w:t>our materials, you can vote by</w:t>
            </w:r>
          </w:p>
        </w:tc>
        <w:tc>
          <w:tcPr>
            <w:tcW w:w="2540" w:type="dxa"/>
            <w:vAlign w:val="bottom"/>
          </w:tcPr>
          <w:p>
            <w:pPr>
              <w:ind w:left="20"/>
              <w:spacing w:after="0" w:line="183" w:lineRule="exact"/>
              <w:rPr>
                <w:sz w:val="20"/>
                <w:szCs w:val="20"/>
                <w:color w:val="auto"/>
              </w:rPr>
            </w:pPr>
            <w:r>
              <w:rPr>
                <w:rFonts w:ascii="Arial" w:cs="Arial" w:eastAsia="Arial" w:hAnsi="Arial"/>
                <w:sz w:val="18"/>
                <w:szCs w:val="18"/>
                <w:color w:val="auto"/>
                <w:w w:val="98"/>
              </w:rPr>
              <w:t>or your validly designated proxy</w:t>
            </w: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filling out the proxy card or</w:t>
            </w:r>
          </w:p>
        </w:tc>
        <w:tc>
          <w:tcPr>
            <w:tcW w:w="2540" w:type="dxa"/>
            <w:vAlign w:val="bottom"/>
          </w:tcPr>
          <w:p>
            <w:pPr>
              <w:ind w:left="20"/>
              <w:spacing w:after="0" w:line="181" w:lineRule="exact"/>
              <w:rPr>
                <w:sz w:val="20"/>
                <w:szCs w:val="20"/>
                <w:color w:val="auto"/>
              </w:rPr>
            </w:pPr>
            <w:r>
              <w:rPr>
                <w:rFonts w:ascii="Arial" w:cs="Arial" w:eastAsia="Arial" w:hAnsi="Arial"/>
                <w:sz w:val="18"/>
                <w:szCs w:val="18"/>
                <w:color w:val="auto"/>
              </w:rPr>
              <w:t>attend the annual meeting.</w:t>
            </w:r>
          </w:p>
        </w:tc>
      </w:tr>
      <w:tr>
        <w:trPr>
          <w:trHeight w:val="176"/>
        </w:trPr>
        <w:tc>
          <w:tcPr>
            <w:tcW w:w="2620" w:type="dxa"/>
            <w:vAlign w:val="bottom"/>
            <w:tcBorders>
              <w:left w:val="single" w:sz="8" w:color="465E66"/>
              <w:right w:val="single" w:sz="8" w:color="465E66"/>
            </w:tcBorders>
          </w:tcPr>
          <w:p>
            <w:pPr>
              <w:ind w:left="20"/>
              <w:spacing w:after="0" w:line="176" w:lineRule="exact"/>
              <w:rPr>
                <w:sz w:val="20"/>
                <w:szCs w:val="20"/>
                <w:color w:val="auto"/>
              </w:rPr>
            </w:pPr>
            <w:r>
              <w:rPr>
                <w:rFonts w:ascii="Arial" w:cs="Arial" w:eastAsia="Arial" w:hAnsi="Arial"/>
                <w:sz w:val="18"/>
                <w:szCs w:val="18"/>
                <w:color w:val="auto"/>
              </w:rPr>
              <w:t>voting instruction form that was</w:t>
            </w:r>
          </w:p>
        </w:tc>
        <w:tc>
          <w:tcPr>
            <w:tcW w:w="2540" w:type="dxa"/>
            <w:vAlign w:val="bottom"/>
          </w:tcPr>
          <w:p>
            <w:pPr>
              <w:spacing w:after="0"/>
              <w:rPr>
                <w:sz w:val="15"/>
                <w:szCs w:val="15"/>
                <w:color w:val="auto"/>
              </w:rPr>
            </w:pPr>
          </w:p>
        </w:tc>
      </w:tr>
      <w:tr>
        <w:trPr>
          <w:trHeight w:val="184"/>
        </w:trPr>
        <w:tc>
          <w:tcPr>
            <w:tcW w:w="2620" w:type="dxa"/>
            <w:vAlign w:val="bottom"/>
            <w:tcBorders>
              <w:left w:val="single" w:sz="8" w:color="465E66"/>
              <w:right w:val="single" w:sz="8" w:color="465E66"/>
            </w:tcBorders>
          </w:tcPr>
          <w:p>
            <w:pPr>
              <w:ind w:left="20"/>
              <w:spacing w:after="0" w:line="183" w:lineRule="exact"/>
              <w:rPr>
                <w:sz w:val="20"/>
                <w:szCs w:val="20"/>
                <w:color w:val="auto"/>
              </w:rPr>
            </w:pPr>
            <w:r>
              <w:rPr>
                <w:rFonts w:ascii="Arial" w:cs="Arial" w:eastAsia="Arial" w:hAnsi="Arial"/>
                <w:sz w:val="18"/>
                <w:szCs w:val="18"/>
                <w:color w:val="auto"/>
              </w:rPr>
              <w:t>included in those materials and</w:t>
            </w:r>
          </w:p>
        </w:tc>
        <w:tc>
          <w:tcPr>
            <w:tcW w:w="2540" w:type="dxa"/>
            <w:vAlign w:val="bottom"/>
          </w:tcPr>
          <w:p>
            <w:pPr>
              <w:spacing w:after="0"/>
              <w:rPr>
                <w:sz w:val="15"/>
                <w:szCs w:val="15"/>
                <w:color w:val="auto"/>
              </w:rPr>
            </w:pP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returning it in the postage-paid</w:t>
            </w:r>
          </w:p>
        </w:tc>
        <w:tc>
          <w:tcPr>
            <w:tcW w:w="2540" w:type="dxa"/>
            <w:vAlign w:val="bottom"/>
          </w:tcPr>
          <w:p>
            <w:pPr>
              <w:spacing w:after="0"/>
              <w:rPr>
                <w:sz w:val="15"/>
                <w:szCs w:val="15"/>
                <w:color w:val="auto"/>
              </w:rPr>
            </w:pPr>
          </w:p>
        </w:tc>
      </w:tr>
      <w:tr>
        <w:trPr>
          <w:trHeight w:val="175"/>
        </w:trPr>
        <w:tc>
          <w:tcPr>
            <w:tcW w:w="2620" w:type="dxa"/>
            <w:vAlign w:val="bottom"/>
            <w:tcBorders>
              <w:left w:val="single" w:sz="8" w:color="465E66"/>
              <w:right w:val="single" w:sz="8" w:color="465E66"/>
            </w:tcBorders>
          </w:tcPr>
          <w:p>
            <w:pPr>
              <w:ind w:left="20"/>
              <w:spacing w:after="0" w:line="176" w:lineRule="exact"/>
              <w:rPr>
                <w:sz w:val="20"/>
                <w:szCs w:val="20"/>
                <w:color w:val="auto"/>
              </w:rPr>
            </w:pPr>
            <w:r>
              <w:rPr>
                <w:rFonts w:ascii="Arial" w:cs="Arial" w:eastAsia="Arial" w:hAnsi="Arial"/>
                <w:sz w:val="18"/>
                <w:szCs w:val="18"/>
                <w:color w:val="auto"/>
              </w:rPr>
              <w:t>envelope before the close of</w:t>
            </w:r>
          </w:p>
        </w:tc>
        <w:tc>
          <w:tcPr>
            <w:tcW w:w="2540" w:type="dxa"/>
            <w:vAlign w:val="bottom"/>
          </w:tcPr>
          <w:p>
            <w:pPr>
              <w:spacing w:after="0"/>
              <w:rPr>
                <w:sz w:val="15"/>
                <w:szCs w:val="15"/>
                <w:color w:val="auto"/>
              </w:rPr>
            </w:pPr>
          </w:p>
        </w:tc>
      </w:tr>
      <w:tr>
        <w:trPr>
          <w:trHeight w:val="184"/>
        </w:trPr>
        <w:tc>
          <w:tcPr>
            <w:tcW w:w="2620" w:type="dxa"/>
            <w:vAlign w:val="bottom"/>
            <w:tcBorders>
              <w:left w:val="single" w:sz="8" w:color="465E66"/>
              <w:right w:val="single" w:sz="8" w:color="465E66"/>
            </w:tcBorders>
          </w:tcPr>
          <w:p>
            <w:pPr>
              <w:ind w:left="20"/>
              <w:spacing w:after="0" w:line="183" w:lineRule="exact"/>
              <w:rPr>
                <w:sz w:val="20"/>
                <w:szCs w:val="20"/>
                <w:color w:val="auto"/>
              </w:rPr>
            </w:pPr>
            <w:r>
              <w:rPr>
                <w:rFonts w:ascii="Arial" w:cs="Arial" w:eastAsia="Arial" w:hAnsi="Arial"/>
                <w:sz w:val="18"/>
                <w:szCs w:val="18"/>
                <w:color w:val="auto"/>
              </w:rPr>
              <w:t>voting on the date of our annual</w:t>
            </w:r>
          </w:p>
        </w:tc>
        <w:tc>
          <w:tcPr>
            <w:tcW w:w="2540" w:type="dxa"/>
            <w:vAlign w:val="bottom"/>
          </w:tcPr>
          <w:p>
            <w:pPr>
              <w:spacing w:after="0"/>
              <w:rPr>
                <w:sz w:val="15"/>
                <w:szCs w:val="15"/>
                <w:color w:val="auto"/>
              </w:rPr>
            </w:pPr>
          </w:p>
        </w:tc>
      </w:tr>
      <w:tr>
        <w:trPr>
          <w:trHeight w:val="181"/>
        </w:trPr>
        <w:tc>
          <w:tcPr>
            <w:tcW w:w="2620" w:type="dxa"/>
            <w:vAlign w:val="bottom"/>
            <w:tcBorders>
              <w:left w:val="single" w:sz="8" w:color="465E66"/>
              <w:right w:val="single" w:sz="8" w:color="465E66"/>
            </w:tcBorders>
          </w:tcPr>
          <w:p>
            <w:pPr>
              <w:ind w:left="20"/>
              <w:spacing w:after="0" w:line="181" w:lineRule="exact"/>
              <w:rPr>
                <w:sz w:val="20"/>
                <w:szCs w:val="20"/>
                <w:color w:val="auto"/>
              </w:rPr>
            </w:pPr>
            <w:r>
              <w:rPr>
                <w:rFonts w:ascii="Arial" w:cs="Arial" w:eastAsia="Arial" w:hAnsi="Arial"/>
                <w:sz w:val="18"/>
                <w:szCs w:val="18"/>
                <w:color w:val="auto"/>
              </w:rPr>
              <w:t>meeting, Thursday, May 16,</w:t>
            </w:r>
          </w:p>
        </w:tc>
        <w:tc>
          <w:tcPr>
            <w:tcW w:w="2540" w:type="dxa"/>
            <w:vAlign w:val="bottom"/>
          </w:tcPr>
          <w:p>
            <w:pPr>
              <w:spacing w:after="0"/>
              <w:rPr>
                <w:sz w:val="15"/>
                <w:szCs w:val="15"/>
                <w:color w:val="auto"/>
              </w:rPr>
            </w:pPr>
          </w:p>
        </w:tc>
      </w:tr>
      <w:tr>
        <w:trPr>
          <w:trHeight w:val="239"/>
        </w:trPr>
        <w:tc>
          <w:tcPr>
            <w:tcW w:w="2620" w:type="dxa"/>
            <w:vAlign w:val="bottom"/>
            <w:tcBorders>
              <w:left w:val="single" w:sz="8" w:color="465E66"/>
              <w:right w:val="single" w:sz="8" w:color="465E66"/>
            </w:tcBorders>
          </w:tcPr>
          <w:p>
            <w:pPr>
              <w:ind w:left="20"/>
              <w:spacing w:after="0"/>
              <w:rPr>
                <w:sz w:val="20"/>
                <w:szCs w:val="20"/>
                <w:color w:val="auto"/>
              </w:rPr>
            </w:pPr>
            <w:r>
              <w:rPr>
                <w:rFonts w:ascii="Arial" w:cs="Arial" w:eastAsia="Arial" w:hAnsi="Arial"/>
                <w:sz w:val="18"/>
                <w:szCs w:val="18"/>
                <w:color w:val="auto"/>
              </w:rPr>
              <w:t>2024.</w:t>
            </w:r>
          </w:p>
        </w:tc>
        <w:tc>
          <w:tcPr>
            <w:tcW w:w="2540" w:type="dxa"/>
            <w:vAlign w:val="bottom"/>
          </w:tcPr>
          <w:p>
            <w:pPr>
              <w:spacing w:after="0"/>
              <w:rPr>
                <w:sz w:val="20"/>
                <w:szCs w:val="20"/>
                <w:color w:val="auto"/>
              </w:rPr>
            </w:pPr>
          </w:p>
        </w:tc>
      </w:tr>
      <w:tr>
        <w:trPr>
          <w:trHeight w:val="355"/>
        </w:trPr>
        <w:tc>
          <w:tcPr>
            <w:tcW w:w="2620" w:type="dxa"/>
            <w:vAlign w:val="bottom"/>
            <w:tcBorders>
              <w:left w:val="single" w:sz="8" w:color="465E66"/>
              <w:right w:val="single" w:sz="8" w:color="465E66"/>
            </w:tcBorders>
          </w:tcPr>
          <w:p>
            <w:pPr>
              <w:spacing w:after="0"/>
              <w:rPr>
                <w:sz w:val="24"/>
                <w:szCs w:val="24"/>
                <w:color w:val="auto"/>
              </w:rPr>
            </w:pPr>
          </w:p>
        </w:tc>
        <w:tc>
          <w:tcPr>
            <w:tcW w:w="25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600" w:space="20"/>
            <w:col w:w="5620"/>
          </w:cols>
          <w:pgMar w:left="320" w:top="161" w:right="339" w:bottom="1440" w:gutter="0" w:footer="0" w:header="0"/>
          <w:type w:val="continuous"/>
        </w:sectPr>
      </w:pP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submit your proxy and voting instructions via the internet or by phone, please do not mail your proxy card. The proxies will vote your shares of our common stock at the annual meeting as instructed, if applicable, by the latest dated proxy received from you, whether submitted via the internet or by phone or mail.</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62</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7" w:name="page68"/>
    <w:bookmarkEnd w:id="67"/>
    <w:p>
      <w:pPr>
        <w:ind w:left="93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E97D2E"/>
        </w:rPr>
        <w:t>Beneficial Owners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Please note that if the shares you own are held in “street name” by a broker, bank or other nominee (brokers), then your broker, as the record owner, will vote your shares according to the instructions you, as the beneficial owner, provide to them online, by telephone, or by mail as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described above. If you wish to vote in person at the meeting, you must obtain a legal proxy from the broker that holds your shares, and bring it with you to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do I need to be admitted to the Annual Meeting?</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You are entitled to attend the annual meeting only if you were a stockholder as of the close of business on the record date or hold a valid proxy for the annual meeting. To be admitted to the annual meeting, we may, in our sole discretion, require you to present each of the following documents as proof of ownership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stock on the record date and authority to vote the shares:</w:t>
      </w:r>
    </w:p>
    <w:p>
      <w:pPr>
        <w:spacing w:after="0" w:line="212"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22"/>
          <w:szCs w:val="22"/>
          <w:color w:val="auto"/>
        </w:rPr>
      </w:pPr>
      <w:r>
        <w:rPr>
          <w:rFonts w:ascii="Arial" w:cs="Arial" w:eastAsia="Arial" w:hAnsi="Arial"/>
          <w:sz w:val="18"/>
          <w:szCs w:val="18"/>
          <w:color w:val="auto"/>
        </w:rPr>
        <w:t>a brokerage statement or letter from a broker indicating ownership on the record date;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18"/>
          <w:szCs w:val="18"/>
          <w:color w:val="auto"/>
        </w:rPr>
        <w:t>the notice of internet availability;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18"/>
          <w:szCs w:val="18"/>
          <w:color w:val="auto"/>
        </w:rPr>
        <w:t>a printout of the proxy distribution email (if you received your materials online) or your proxy card or voting instruction form;</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18"/>
          <w:szCs w:val="18"/>
          <w:color w:val="auto"/>
        </w:rPr>
        <w:t>if you hold shares in “street name,” a legal proxy provided by your broker as the holder of record;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18"/>
          <w:szCs w:val="18"/>
          <w:color w:val="auto"/>
        </w:rPr>
        <w:t>a form of government-issued photo identification, such as a driver’s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reserve the right to deny admission to anyone who refuses to provide the applicable documents set forth above.</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5"/>
          <w:szCs w:val="25"/>
          <w:b w:val="1"/>
          <w:bCs w:val="1"/>
          <w:color w:val="465E66"/>
        </w:rPr>
        <w:t>What vote will be required, what does the Board recommend, and how will my votes be counted, to elect directors and to approve each of the other proposals discussed in this proxy statement?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All shares represented by valid proxies will be voted as specified. If no specification is made, the proxies will be voted according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Board’s recommendations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w:t>
            </w: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Your Voting</w:t>
            </w:r>
          </w:p>
        </w:tc>
        <w:tc>
          <w:tcPr>
            <w:tcW w:w="2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Board Recommendation</w:t>
            </w:r>
          </w:p>
        </w:tc>
        <w:tc>
          <w:tcPr>
            <w:tcW w:w="2280" w:type="dxa"/>
            <w:vAlign w:val="bottom"/>
          </w:tcPr>
          <w:p>
            <w:pPr>
              <w:ind w:left="420"/>
              <w:spacing w:after="0"/>
              <w:rPr>
                <w:sz w:val="20"/>
                <w:szCs w:val="20"/>
                <w:color w:val="auto"/>
              </w:rPr>
            </w:pPr>
            <w:r>
              <w:rPr>
                <w:rFonts w:ascii="Arial" w:cs="Arial" w:eastAsia="Arial" w:hAnsi="Arial"/>
                <w:sz w:val="18"/>
                <w:szCs w:val="18"/>
                <w:b w:val="1"/>
                <w:bCs w:val="1"/>
                <w:color w:val="auto"/>
              </w:rPr>
              <w:t>Vote Required for</w:t>
            </w:r>
          </w:p>
        </w:tc>
        <w:tc>
          <w:tcPr>
            <w:tcW w:w="1400" w:type="dxa"/>
            <w:vAlign w:val="bottom"/>
          </w:tcPr>
          <w:p>
            <w:pPr>
              <w:ind w:left="400"/>
              <w:spacing w:after="0"/>
              <w:rPr>
                <w:sz w:val="20"/>
                <w:szCs w:val="20"/>
                <w:color w:val="auto"/>
              </w:rPr>
            </w:pPr>
            <w:r>
              <w:rPr>
                <w:rFonts w:ascii="Arial" w:cs="Arial" w:eastAsia="Arial" w:hAnsi="Arial"/>
                <w:sz w:val="18"/>
                <w:szCs w:val="18"/>
                <w:b w:val="1"/>
                <w:bCs w:val="1"/>
                <w:color w:val="auto"/>
              </w:rPr>
              <w:t>Effect of</w:t>
            </w:r>
          </w:p>
        </w:tc>
        <w:tc>
          <w:tcPr>
            <w:tcW w:w="2360" w:type="dxa"/>
            <w:vAlign w:val="bottom"/>
          </w:tcPr>
          <w:p>
            <w:pPr>
              <w:ind w:left="880"/>
              <w:spacing w:after="0"/>
              <w:rPr>
                <w:sz w:val="20"/>
                <w:szCs w:val="20"/>
                <w:color w:val="auto"/>
              </w:rPr>
            </w:pPr>
            <w:r>
              <w:rPr>
                <w:rFonts w:ascii="Arial" w:cs="Arial" w:eastAsia="Arial" w:hAnsi="Arial"/>
                <w:sz w:val="18"/>
                <w:szCs w:val="18"/>
                <w:b w:val="1"/>
                <w:bCs w:val="1"/>
                <w:color w:val="auto"/>
              </w:rPr>
              <w:t>Effect of</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E97D2E"/>
            </w:tcBorders>
            <w:vMerge w:val="continue"/>
          </w:tcPr>
          <w:p>
            <w:pPr>
              <w:spacing w:after="0"/>
              <w:rPr>
                <w:sz w:val="21"/>
                <w:szCs w:val="21"/>
                <w:color w:val="auto"/>
              </w:rPr>
            </w:pPr>
          </w:p>
        </w:tc>
        <w:tc>
          <w:tcPr>
            <w:tcW w:w="1420" w:type="dxa"/>
            <w:vAlign w:val="bottom"/>
            <w:tcBorders>
              <w:bottom w:val="single" w:sz="8" w:color="E97D2E"/>
            </w:tcBorders>
          </w:tcPr>
          <w:p>
            <w:pPr>
              <w:ind w:left="400"/>
              <w:spacing w:after="0"/>
              <w:rPr>
                <w:sz w:val="20"/>
                <w:szCs w:val="20"/>
                <w:color w:val="auto"/>
              </w:rPr>
            </w:pPr>
            <w:r>
              <w:rPr>
                <w:rFonts w:ascii="Arial" w:cs="Arial" w:eastAsia="Arial" w:hAnsi="Arial"/>
                <w:sz w:val="18"/>
                <w:szCs w:val="18"/>
                <w:b w:val="1"/>
                <w:bCs w:val="1"/>
                <w:color w:val="auto"/>
              </w:rPr>
              <w:t>Options</w:t>
            </w:r>
          </w:p>
        </w:tc>
        <w:tc>
          <w:tcPr>
            <w:tcW w:w="2240" w:type="dxa"/>
            <w:vAlign w:val="bottom"/>
            <w:tcBorders>
              <w:bottom w:val="single" w:sz="8" w:color="E97D2E"/>
            </w:tcBorders>
            <w:vMerge w:val="continue"/>
          </w:tcPr>
          <w:p>
            <w:pPr>
              <w:spacing w:after="0"/>
              <w:rPr>
                <w:sz w:val="21"/>
                <w:szCs w:val="21"/>
                <w:color w:val="auto"/>
              </w:rPr>
            </w:pPr>
          </w:p>
        </w:tc>
        <w:tc>
          <w:tcPr>
            <w:tcW w:w="2280" w:type="dxa"/>
            <w:vAlign w:val="bottom"/>
            <w:tcBorders>
              <w:bottom w:val="single" w:sz="8" w:color="E97D2E"/>
            </w:tcBorders>
          </w:tcPr>
          <w:p>
            <w:pPr>
              <w:ind w:left="780"/>
              <w:spacing w:after="0"/>
              <w:rPr>
                <w:sz w:val="20"/>
                <w:szCs w:val="20"/>
                <w:color w:val="auto"/>
              </w:rPr>
            </w:pPr>
            <w:r>
              <w:rPr>
                <w:rFonts w:ascii="Arial" w:cs="Arial" w:eastAsia="Arial" w:hAnsi="Arial"/>
                <w:sz w:val="18"/>
                <w:szCs w:val="18"/>
                <w:b w:val="1"/>
                <w:bCs w:val="1"/>
                <w:color w:val="auto"/>
              </w:rPr>
              <w:t>Approval</w:t>
            </w:r>
          </w:p>
        </w:tc>
        <w:tc>
          <w:tcPr>
            <w:tcW w:w="1400" w:type="dxa"/>
            <w:vAlign w:val="bottom"/>
            <w:tcBorders>
              <w:bottom w:val="single" w:sz="8" w:color="E97D2E"/>
            </w:tcBorders>
          </w:tcPr>
          <w:p>
            <w:pPr>
              <w:ind w:left="240"/>
              <w:spacing w:after="0"/>
              <w:rPr>
                <w:sz w:val="20"/>
                <w:szCs w:val="20"/>
                <w:color w:val="auto"/>
              </w:rPr>
            </w:pPr>
            <w:r>
              <w:rPr>
                <w:rFonts w:ascii="Arial" w:cs="Arial" w:eastAsia="Arial" w:hAnsi="Arial"/>
                <w:sz w:val="18"/>
                <w:szCs w:val="18"/>
                <w:b w:val="1"/>
                <w:bCs w:val="1"/>
                <w:color w:val="auto"/>
              </w:rPr>
              <w:t>Abstentions</w:t>
            </w:r>
          </w:p>
        </w:tc>
        <w:tc>
          <w:tcPr>
            <w:tcW w:w="2360" w:type="dxa"/>
            <w:vAlign w:val="bottom"/>
            <w:tcBorders>
              <w:bottom w:val="single" w:sz="8" w:color="E97D2E"/>
            </w:tcBorders>
          </w:tcPr>
          <w:p>
            <w:pPr>
              <w:ind w:left="48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r>
        <w:trPr>
          <w:trHeight w:val="169"/>
        </w:trPr>
        <w:tc>
          <w:tcPr>
            <w:tcW w:w="1540" w:type="dxa"/>
            <w:vAlign w:val="bottom"/>
          </w:tcPr>
          <w:p>
            <w:pPr>
              <w:ind w:left="20"/>
              <w:spacing w:after="0" w:line="169" w:lineRule="exact"/>
              <w:rPr>
                <w:sz w:val="20"/>
                <w:szCs w:val="20"/>
                <w:color w:val="auto"/>
              </w:rPr>
            </w:pPr>
            <w:r>
              <w:rPr>
                <w:rFonts w:ascii="Arial" w:cs="Arial" w:eastAsia="Arial" w:hAnsi="Arial"/>
                <w:sz w:val="18"/>
                <w:szCs w:val="18"/>
                <w:color w:val="auto"/>
              </w:rPr>
              <w:t>1. Election of 10</w:t>
            </w:r>
          </w:p>
        </w:tc>
        <w:tc>
          <w:tcPr>
            <w:tcW w:w="1420" w:type="dxa"/>
            <w:vAlign w:val="bottom"/>
          </w:tcPr>
          <w:p>
            <w:pPr>
              <w:ind w:left="80"/>
              <w:spacing w:after="0" w:line="169" w:lineRule="exact"/>
              <w:rPr>
                <w:sz w:val="20"/>
                <w:szCs w:val="20"/>
                <w:color w:val="auto"/>
              </w:rPr>
            </w:pPr>
            <w:r>
              <w:rPr>
                <w:rFonts w:ascii="Arial" w:cs="Arial" w:eastAsia="Arial" w:hAnsi="Arial"/>
                <w:sz w:val="16"/>
                <w:szCs w:val="16"/>
                <w:color w:val="auto"/>
              </w:rPr>
              <w:t>You may vote</w:t>
            </w:r>
          </w:p>
        </w:tc>
        <w:tc>
          <w:tcPr>
            <w:tcW w:w="2240" w:type="dxa"/>
            <w:vAlign w:val="bottom"/>
          </w:tcPr>
          <w:p>
            <w:pPr>
              <w:ind w:left="40"/>
              <w:spacing w:after="0" w:line="169" w:lineRule="exact"/>
              <w:rPr>
                <w:sz w:val="20"/>
                <w:szCs w:val="20"/>
                <w:color w:val="auto"/>
              </w:rPr>
            </w:pPr>
            <w:r>
              <w:rPr>
                <w:rFonts w:ascii="Arial" w:cs="Arial" w:eastAsia="Arial" w:hAnsi="Arial"/>
                <w:sz w:val="16"/>
                <w:szCs w:val="16"/>
                <w:color w:val="auto"/>
              </w:rPr>
              <w:t>The Board recommends that</w:t>
            </w:r>
          </w:p>
        </w:tc>
        <w:tc>
          <w:tcPr>
            <w:tcW w:w="2280" w:type="dxa"/>
            <w:vAlign w:val="bottom"/>
          </w:tcPr>
          <w:p>
            <w:pPr>
              <w:ind w:left="60"/>
              <w:spacing w:after="0" w:line="169" w:lineRule="exact"/>
              <w:rPr>
                <w:sz w:val="20"/>
                <w:szCs w:val="20"/>
                <w:color w:val="auto"/>
              </w:rPr>
            </w:pPr>
            <w:r>
              <w:rPr>
                <w:rFonts w:ascii="Arial" w:cs="Arial" w:eastAsia="Arial" w:hAnsi="Arial"/>
                <w:sz w:val="16"/>
                <w:szCs w:val="16"/>
                <w:color w:val="auto"/>
              </w:rPr>
              <w:t>Each nominee must receive</w:t>
            </w:r>
          </w:p>
        </w:tc>
        <w:tc>
          <w:tcPr>
            <w:tcW w:w="1400" w:type="dxa"/>
            <w:vAlign w:val="bottom"/>
          </w:tcPr>
          <w:p>
            <w:pPr>
              <w:ind w:left="20"/>
              <w:spacing w:after="0" w:line="169" w:lineRule="exact"/>
              <w:rPr>
                <w:sz w:val="20"/>
                <w:szCs w:val="20"/>
                <w:color w:val="auto"/>
              </w:rPr>
            </w:pPr>
            <w:r>
              <w:rPr>
                <w:rFonts w:ascii="Arial" w:cs="Arial" w:eastAsia="Arial" w:hAnsi="Arial"/>
                <w:sz w:val="16"/>
                <w:szCs w:val="16"/>
                <w:color w:val="auto"/>
              </w:rPr>
              <w:t>No effect</w:t>
            </w:r>
          </w:p>
        </w:tc>
        <w:tc>
          <w:tcPr>
            <w:tcW w:w="2360" w:type="dxa"/>
            <w:vAlign w:val="bottom"/>
          </w:tcPr>
          <w:p>
            <w:pPr>
              <w:ind w:left="120"/>
              <w:spacing w:after="0" w:line="169"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76"/>
        </w:trPr>
        <w:tc>
          <w:tcPr>
            <w:tcW w:w="1540" w:type="dxa"/>
            <w:vAlign w:val="bottom"/>
          </w:tcPr>
          <w:p>
            <w:pPr>
              <w:ind w:left="220"/>
              <w:spacing w:after="0" w:line="176" w:lineRule="exact"/>
              <w:rPr>
                <w:sz w:val="20"/>
                <w:szCs w:val="20"/>
                <w:color w:val="auto"/>
              </w:rPr>
            </w:pPr>
            <w:r>
              <w:rPr>
                <w:rFonts w:ascii="Arial" w:cs="Arial" w:eastAsia="Arial" w:hAnsi="Arial"/>
                <w:sz w:val="18"/>
                <w:szCs w:val="18"/>
                <w:color w:val="auto"/>
              </w:rPr>
              <w:t>directors</w:t>
            </w:r>
          </w:p>
        </w:tc>
        <w:tc>
          <w:tcPr>
            <w:tcW w:w="1420" w:type="dxa"/>
            <w:vAlign w:val="bottom"/>
          </w:tcPr>
          <w:p>
            <w:pPr>
              <w:ind w:left="80"/>
              <w:spacing w:after="0" w:line="175" w:lineRule="exact"/>
              <w:rPr>
                <w:sz w:val="20"/>
                <w:szCs w:val="20"/>
                <w:color w:val="auto"/>
              </w:rPr>
            </w:pPr>
            <w:r>
              <w:rPr>
                <w:rFonts w:ascii="Arial" w:cs="Arial" w:eastAsia="Arial" w:hAnsi="Arial"/>
                <w:sz w:val="16"/>
                <w:szCs w:val="16"/>
                <w:color w:val="auto"/>
              </w:rPr>
              <w:t>FOR or AGAINST</w:t>
            </w:r>
          </w:p>
        </w:tc>
        <w:tc>
          <w:tcPr>
            <w:tcW w:w="2240" w:type="dxa"/>
            <w:vAlign w:val="bottom"/>
          </w:tcPr>
          <w:p>
            <w:pPr>
              <w:ind w:left="40"/>
              <w:spacing w:after="0" w:line="175" w:lineRule="exact"/>
              <w:rPr>
                <w:sz w:val="20"/>
                <w:szCs w:val="20"/>
                <w:color w:val="auto"/>
              </w:rPr>
            </w:pPr>
            <w:r>
              <w:rPr>
                <w:rFonts w:ascii="Arial" w:cs="Arial" w:eastAsia="Arial" w:hAnsi="Arial"/>
                <w:sz w:val="16"/>
                <w:szCs w:val="16"/>
                <w:color w:val="auto"/>
              </w:rPr>
              <w:t>you vote FOR each of the 10</w:t>
            </w:r>
          </w:p>
        </w:tc>
        <w:tc>
          <w:tcPr>
            <w:tcW w:w="2280" w:type="dxa"/>
            <w:vAlign w:val="bottom"/>
          </w:tcPr>
          <w:p>
            <w:pPr>
              <w:ind w:left="60"/>
              <w:spacing w:after="0" w:line="175" w:lineRule="exact"/>
              <w:rPr>
                <w:sz w:val="20"/>
                <w:szCs w:val="20"/>
                <w:color w:val="auto"/>
              </w:rPr>
            </w:pPr>
            <w:r>
              <w:rPr>
                <w:rFonts w:ascii="Arial" w:cs="Arial" w:eastAsia="Arial" w:hAnsi="Arial"/>
                <w:sz w:val="16"/>
                <w:szCs w:val="16"/>
                <w:color w:val="auto"/>
              </w:rPr>
              <w:t>an affirmative vote from the</w:t>
            </w:r>
          </w:p>
        </w:tc>
        <w:tc>
          <w:tcPr>
            <w:tcW w:w="1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20" w:type="dxa"/>
            <w:vAlign w:val="bottom"/>
          </w:tcPr>
          <w:p>
            <w:pPr>
              <w:ind w:left="80"/>
              <w:spacing w:after="0" w:line="135" w:lineRule="exact"/>
              <w:rPr>
                <w:sz w:val="20"/>
                <w:szCs w:val="20"/>
                <w:color w:val="auto"/>
              </w:rPr>
            </w:pPr>
            <w:r>
              <w:rPr>
                <w:rFonts w:ascii="Arial" w:cs="Arial" w:eastAsia="Arial" w:hAnsi="Arial"/>
                <w:sz w:val="15"/>
                <w:szCs w:val="15"/>
                <w:color w:val="auto"/>
              </w:rPr>
              <w:t>each nominee or</w:t>
            </w:r>
          </w:p>
        </w:tc>
        <w:tc>
          <w:tcPr>
            <w:tcW w:w="2240" w:type="dxa"/>
            <w:vAlign w:val="bottom"/>
          </w:tcPr>
          <w:p>
            <w:pPr>
              <w:ind w:left="40"/>
              <w:spacing w:after="0" w:line="135" w:lineRule="exact"/>
              <w:rPr>
                <w:sz w:val="20"/>
                <w:szCs w:val="20"/>
                <w:color w:val="auto"/>
              </w:rPr>
            </w:pPr>
            <w:r>
              <w:rPr>
                <w:rFonts w:ascii="Arial" w:cs="Arial" w:eastAsia="Arial" w:hAnsi="Arial"/>
                <w:sz w:val="15"/>
                <w:szCs w:val="15"/>
                <w:color w:val="auto"/>
              </w:rPr>
              <w:t>nominees</w:t>
            </w:r>
          </w:p>
        </w:tc>
        <w:tc>
          <w:tcPr>
            <w:tcW w:w="2280" w:type="dxa"/>
            <w:vAlign w:val="bottom"/>
          </w:tcPr>
          <w:p>
            <w:pPr>
              <w:ind w:left="60"/>
              <w:spacing w:after="0" w:line="135" w:lineRule="exact"/>
              <w:rPr>
                <w:sz w:val="20"/>
                <w:szCs w:val="20"/>
                <w:color w:val="auto"/>
              </w:rPr>
            </w:pPr>
            <w:r>
              <w:rPr>
                <w:rFonts w:ascii="Arial" w:cs="Arial" w:eastAsia="Arial" w:hAnsi="Arial"/>
                <w:sz w:val="15"/>
                <w:szCs w:val="15"/>
                <w:color w:val="auto"/>
              </w:rPr>
              <w:t>majority of the votes cast in his</w:t>
            </w:r>
          </w:p>
        </w:tc>
        <w:tc>
          <w:tcPr>
            <w:tcW w:w="1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choose to</w:t>
            </w:r>
          </w:p>
        </w:tc>
        <w:tc>
          <w:tcPr>
            <w:tcW w:w="224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or her election</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ABSTAIN from</w:t>
            </w:r>
          </w:p>
        </w:tc>
        <w:tc>
          <w:tcPr>
            <w:tcW w:w="2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E97D2E"/>
            </w:tcBorders>
          </w:tcPr>
          <w:p>
            <w:pPr>
              <w:spacing w:after="0"/>
              <w:rPr>
                <w:sz w:val="18"/>
                <w:szCs w:val="18"/>
                <w:color w:val="auto"/>
              </w:rPr>
            </w:pPr>
          </w:p>
        </w:tc>
        <w:tc>
          <w:tcPr>
            <w:tcW w:w="1420" w:type="dxa"/>
            <w:vAlign w:val="bottom"/>
            <w:tcBorders>
              <w:bottom w:val="single" w:sz="8" w:color="E97D2E"/>
            </w:tcBorders>
          </w:tcPr>
          <w:p>
            <w:pPr>
              <w:ind w:left="80"/>
              <w:spacing w:after="0"/>
              <w:rPr>
                <w:sz w:val="20"/>
                <w:szCs w:val="20"/>
                <w:color w:val="auto"/>
              </w:rPr>
            </w:pPr>
            <w:r>
              <w:rPr>
                <w:rFonts w:ascii="Arial" w:cs="Arial" w:eastAsia="Arial" w:hAnsi="Arial"/>
                <w:sz w:val="16"/>
                <w:szCs w:val="16"/>
                <w:color w:val="auto"/>
              </w:rPr>
              <w:t>voting</w:t>
            </w:r>
          </w:p>
        </w:tc>
        <w:tc>
          <w:tcPr>
            <w:tcW w:w="2240" w:type="dxa"/>
            <w:vAlign w:val="bottom"/>
            <w:tcBorders>
              <w:bottom w:val="single" w:sz="8" w:color="E97D2E"/>
            </w:tcBorders>
          </w:tcPr>
          <w:p>
            <w:pPr>
              <w:spacing w:after="0"/>
              <w:rPr>
                <w:sz w:val="18"/>
                <w:szCs w:val="18"/>
                <w:color w:val="auto"/>
              </w:rPr>
            </w:pPr>
          </w:p>
        </w:tc>
        <w:tc>
          <w:tcPr>
            <w:tcW w:w="2280" w:type="dxa"/>
            <w:vAlign w:val="bottom"/>
            <w:tcBorders>
              <w:bottom w:val="single" w:sz="8" w:color="E97D2E"/>
            </w:tcBorders>
          </w:tcPr>
          <w:p>
            <w:pPr>
              <w:spacing w:after="0"/>
              <w:rPr>
                <w:sz w:val="18"/>
                <w:szCs w:val="18"/>
                <w:color w:val="auto"/>
              </w:rPr>
            </w:pPr>
          </w:p>
        </w:tc>
        <w:tc>
          <w:tcPr>
            <w:tcW w:w="1400" w:type="dxa"/>
            <w:vAlign w:val="bottom"/>
            <w:tcBorders>
              <w:bottom w:val="single" w:sz="8" w:color="E97D2E"/>
            </w:tcBorders>
          </w:tcPr>
          <w:p>
            <w:pPr>
              <w:spacing w:after="0"/>
              <w:rPr>
                <w:sz w:val="18"/>
                <w:szCs w:val="18"/>
                <w:color w:val="auto"/>
              </w:rPr>
            </w:pPr>
          </w:p>
        </w:tc>
        <w:tc>
          <w:tcPr>
            <w:tcW w:w="2360" w:type="dxa"/>
            <w:vAlign w:val="bottom"/>
            <w:tcBorders>
              <w:bottom w:val="single" w:sz="8" w:color="E97D2E"/>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96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 xml:space="preserve">2. Advisory say-on- </w:t>
            </w:r>
            <w:r>
              <w:rPr>
                <w:rFonts w:ascii="Arial" w:cs="Arial" w:eastAsia="Arial" w:hAnsi="Arial"/>
                <w:sz w:val="16"/>
                <w:szCs w:val="16"/>
                <w:color w:val="auto"/>
              </w:rPr>
              <w:t>You may vote</w:t>
            </w:r>
          </w:p>
        </w:tc>
        <w:tc>
          <w:tcPr>
            <w:tcW w:w="2240" w:type="dxa"/>
            <w:vAlign w:val="bottom"/>
          </w:tcPr>
          <w:p>
            <w:pPr>
              <w:ind w:left="40"/>
              <w:spacing w:after="0" w:line="170" w:lineRule="exact"/>
              <w:rPr>
                <w:sz w:val="20"/>
                <w:szCs w:val="20"/>
                <w:color w:val="auto"/>
              </w:rPr>
            </w:pPr>
            <w:r>
              <w:rPr>
                <w:rFonts w:ascii="Arial" w:cs="Arial" w:eastAsia="Arial" w:hAnsi="Arial"/>
                <w:sz w:val="16"/>
                <w:szCs w:val="16"/>
                <w:color w:val="auto"/>
              </w:rPr>
              <w:t>The Board recommends that</w:t>
            </w:r>
          </w:p>
        </w:tc>
        <w:tc>
          <w:tcPr>
            <w:tcW w:w="2280" w:type="dxa"/>
            <w:vAlign w:val="bottom"/>
          </w:tcPr>
          <w:p>
            <w:pPr>
              <w:ind w:left="60"/>
              <w:spacing w:after="0" w:line="170" w:lineRule="exact"/>
              <w:rPr>
                <w:sz w:val="20"/>
                <w:szCs w:val="20"/>
                <w:color w:val="auto"/>
              </w:rPr>
            </w:pPr>
            <w:r>
              <w:rPr>
                <w:rFonts w:ascii="Arial" w:cs="Arial" w:eastAsia="Arial" w:hAnsi="Arial"/>
                <w:sz w:val="16"/>
                <w:szCs w:val="16"/>
                <w:color w:val="auto"/>
              </w:rPr>
              <w:t>This proposal must receive an</w:t>
            </w:r>
          </w:p>
        </w:tc>
        <w:tc>
          <w:tcPr>
            <w:tcW w:w="1400" w:type="dxa"/>
            <w:vAlign w:val="bottom"/>
          </w:tcPr>
          <w:p>
            <w:pPr>
              <w:ind w:left="20"/>
              <w:spacing w:after="0" w:line="170" w:lineRule="exact"/>
              <w:rPr>
                <w:sz w:val="20"/>
                <w:szCs w:val="20"/>
                <w:color w:val="auto"/>
              </w:rPr>
            </w:pPr>
            <w:r>
              <w:rPr>
                <w:rFonts w:ascii="Arial" w:cs="Arial" w:eastAsia="Arial" w:hAnsi="Arial"/>
                <w:sz w:val="16"/>
                <w:szCs w:val="16"/>
                <w:color w:val="auto"/>
              </w:rPr>
              <w:t>Treated as votes</w:t>
            </w:r>
          </w:p>
        </w:tc>
        <w:tc>
          <w:tcPr>
            <w:tcW w:w="2360" w:type="dxa"/>
            <w:vAlign w:val="bottom"/>
          </w:tcPr>
          <w:p>
            <w:pPr>
              <w:ind w:left="120"/>
              <w:spacing w:after="0" w:line="170"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4"/>
        </w:trPr>
        <w:tc>
          <w:tcPr>
            <w:tcW w:w="1540" w:type="dxa"/>
            <w:vAlign w:val="bottom"/>
          </w:tcPr>
          <w:p>
            <w:pPr>
              <w:ind w:left="180"/>
              <w:spacing w:after="0" w:line="164" w:lineRule="exact"/>
              <w:rPr>
                <w:sz w:val="20"/>
                <w:szCs w:val="20"/>
                <w:color w:val="auto"/>
              </w:rPr>
            </w:pPr>
            <w:r>
              <w:rPr>
                <w:rFonts w:ascii="Arial" w:cs="Arial" w:eastAsia="Arial" w:hAnsi="Arial"/>
                <w:sz w:val="18"/>
                <w:szCs w:val="18"/>
                <w:color w:val="auto"/>
              </w:rPr>
              <w:t>pay vote</w:t>
            </w:r>
          </w:p>
        </w:tc>
        <w:tc>
          <w:tcPr>
            <w:tcW w:w="1420" w:type="dxa"/>
            <w:vAlign w:val="bottom"/>
          </w:tcPr>
          <w:p>
            <w:pPr>
              <w:ind w:left="80"/>
              <w:spacing w:after="0" w:line="164" w:lineRule="exact"/>
              <w:rPr>
                <w:sz w:val="20"/>
                <w:szCs w:val="20"/>
                <w:color w:val="auto"/>
              </w:rPr>
            </w:pPr>
            <w:r>
              <w:rPr>
                <w:rFonts w:ascii="Arial" w:cs="Arial" w:eastAsia="Arial" w:hAnsi="Arial"/>
                <w:sz w:val="16"/>
                <w:szCs w:val="16"/>
                <w:color w:val="auto"/>
              </w:rPr>
              <w:t>FOR or AGAINST</w:t>
            </w:r>
          </w:p>
        </w:tc>
        <w:tc>
          <w:tcPr>
            <w:tcW w:w="2240" w:type="dxa"/>
            <w:vAlign w:val="bottom"/>
          </w:tcPr>
          <w:p>
            <w:pPr>
              <w:ind w:left="40"/>
              <w:spacing w:after="0" w:line="164" w:lineRule="exact"/>
              <w:rPr>
                <w:sz w:val="20"/>
                <w:szCs w:val="20"/>
                <w:color w:val="auto"/>
              </w:rPr>
            </w:pPr>
            <w:r>
              <w:rPr>
                <w:rFonts w:ascii="Arial" w:cs="Arial" w:eastAsia="Arial" w:hAnsi="Arial"/>
                <w:sz w:val="16"/>
                <w:szCs w:val="16"/>
                <w:color w:val="auto"/>
              </w:rPr>
              <w:t>you vote FOR this proposal</w:t>
            </w:r>
          </w:p>
        </w:tc>
        <w:tc>
          <w:tcPr>
            <w:tcW w:w="2280" w:type="dxa"/>
            <w:vAlign w:val="bottom"/>
          </w:tcPr>
          <w:p>
            <w:pPr>
              <w:ind w:left="60"/>
              <w:spacing w:after="0" w:line="164" w:lineRule="exact"/>
              <w:rPr>
                <w:sz w:val="20"/>
                <w:szCs w:val="20"/>
                <w:color w:val="auto"/>
              </w:rPr>
            </w:pPr>
            <w:r>
              <w:rPr>
                <w:rFonts w:ascii="Arial" w:cs="Arial" w:eastAsia="Arial" w:hAnsi="Arial"/>
                <w:sz w:val="16"/>
                <w:szCs w:val="16"/>
                <w:color w:val="auto"/>
              </w:rPr>
              <w:t>affirmative vote of the holders</w:t>
            </w:r>
          </w:p>
        </w:tc>
        <w:tc>
          <w:tcPr>
            <w:tcW w:w="1400" w:type="dxa"/>
            <w:vAlign w:val="bottom"/>
          </w:tcPr>
          <w:p>
            <w:pPr>
              <w:ind w:left="20"/>
              <w:spacing w:after="0" w:line="164" w:lineRule="exact"/>
              <w:rPr>
                <w:sz w:val="20"/>
                <w:szCs w:val="20"/>
                <w:color w:val="auto"/>
              </w:rPr>
            </w:pPr>
            <w:r>
              <w:rPr>
                <w:rFonts w:ascii="Arial" w:cs="Arial" w:eastAsia="Arial" w:hAnsi="Arial"/>
                <w:sz w:val="16"/>
                <w:szCs w:val="16"/>
                <w:color w:val="auto"/>
              </w:rPr>
              <w:t>against</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6"/>
                <w:szCs w:val="16"/>
                <w:color w:val="auto"/>
              </w:rPr>
              <w:t>this proposal or</w:t>
            </w:r>
          </w:p>
        </w:tc>
        <w:tc>
          <w:tcPr>
            <w:tcW w:w="2240" w:type="dxa"/>
            <w:vAlign w:val="bottom"/>
          </w:tcPr>
          <w:p>
            <w:pPr>
              <w:spacing w:after="0"/>
              <w:rPr>
                <w:sz w:val="12"/>
                <w:szCs w:val="12"/>
                <w:color w:val="auto"/>
              </w:rPr>
            </w:pPr>
          </w:p>
        </w:tc>
        <w:tc>
          <w:tcPr>
            <w:tcW w:w="2280" w:type="dxa"/>
            <w:vAlign w:val="bottom"/>
          </w:tcPr>
          <w:p>
            <w:pPr>
              <w:ind w:left="60"/>
              <w:spacing w:after="0" w:line="147" w:lineRule="exact"/>
              <w:rPr>
                <w:sz w:val="20"/>
                <w:szCs w:val="20"/>
                <w:color w:val="auto"/>
              </w:rPr>
            </w:pPr>
            <w:r>
              <w:rPr>
                <w:rFonts w:ascii="Arial" w:cs="Arial" w:eastAsia="Arial" w:hAnsi="Arial"/>
                <w:sz w:val="16"/>
                <w:szCs w:val="16"/>
                <w:color w:val="auto"/>
              </w:rPr>
              <w:t>of a majority of the shares</w:t>
            </w: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choose to</w:t>
            </w:r>
          </w:p>
        </w:tc>
        <w:tc>
          <w:tcPr>
            <w:tcW w:w="224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present in person or</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ABSTAIN from</w:t>
            </w:r>
          </w:p>
        </w:tc>
        <w:tc>
          <w:tcPr>
            <w:tcW w:w="224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represented by proxy and</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E97D2E"/>
            </w:tcBorders>
          </w:tcPr>
          <w:p>
            <w:pPr>
              <w:spacing w:after="0"/>
              <w:rPr>
                <w:sz w:val="18"/>
                <w:szCs w:val="18"/>
                <w:color w:val="auto"/>
              </w:rPr>
            </w:pPr>
          </w:p>
        </w:tc>
        <w:tc>
          <w:tcPr>
            <w:tcW w:w="1420" w:type="dxa"/>
            <w:vAlign w:val="bottom"/>
            <w:tcBorders>
              <w:bottom w:val="single" w:sz="8" w:color="E97D2E"/>
            </w:tcBorders>
          </w:tcPr>
          <w:p>
            <w:pPr>
              <w:ind w:left="80"/>
              <w:spacing w:after="0"/>
              <w:rPr>
                <w:sz w:val="20"/>
                <w:szCs w:val="20"/>
                <w:color w:val="auto"/>
              </w:rPr>
            </w:pPr>
            <w:r>
              <w:rPr>
                <w:rFonts w:ascii="Arial" w:cs="Arial" w:eastAsia="Arial" w:hAnsi="Arial"/>
                <w:sz w:val="16"/>
                <w:szCs w:val="16"/>
                <w:color w:val="auto"/>
              </w:rPr>
              <w:t>voting</w:t>
            </w:r>
          </w:p>
        </w:tc>
        <w:tc>
          <w:tcPr>
            <w:tcW w:w="2240" w:type="dxa"/>
            <w:vAlign w:val="bottom"/>
            <w:tcBorders>
              <w:bottom w:val="single" w:sz="8" w:color="E97D2E"/>
            </w:tcBorders>
          </w:tcPr>
          <w:p>
            <w:pPr>
              <w:spacing w:after="0"/>
              <w:rPr>
                <w:sz w:val="18"/>
                <w:szCs w:val="18"/>
                <w:color w:val="auto"/>
              </w:rPr>
            </w:pPr>
          </w:p>
        </w:tc>
        <w:tc>
          <w:tcPr>
            <w:tcW w:w="2280" w:type="dxa"/>
            <w:vAlign w:val="bottom"/>
            <w:tcBorders>
              <w:bottom w:val="single" w:sz="8" w:color="E97D2E"/>
            </w:tcBorders>
          </w:tcPr>
          <w:p>
            <w:pPr>
              <w:ind w:left="60"/>
              <w:spacing w:after="0"/>
              <w:rPr>
                <w:sz w:val="20"/>
                <w:szCs w:val="20"/>
                <w:color w:val="auto"/>
              </w:rPr>
            </w:pPr>
            <w:r>
              <w:rPr>
                <w:rFonts w:ascii="Arial" w:cs="Arial" w:eastAsia="Arial" w:hAnsi="Arial"/>
                <w:sz w:val="16"/>
                <w:szCs w:val="16"/>
                <w:color w:val="auto"/>
              </w:rPr>
              <w:t>entitled to vote thereon</w:t>
            </w:r>
          </w:p>
        </w:tc>
        <w:tc>
          <w:tcPr>
            <w:tcW w:w="1400" w:type="dxa"/>
            <w:vAlign w:val="bottom"/>
            <w:tcBorders>
              <w:bottom w:val="single" w:sz="8" w:color="E97D2E"/>
            </w:tcBorders>
          </w:tcPr>
          <w:p>
            <w:pPr>
              <w:spacing w:after="0"/>
              <w:rPr>
                <w:sz w:val="18"/>
                <w:szCs w:val="18"/>
                <w:color w:val="auto"/>
              </w:rPr>
            </w:pPr>
          </w:p>
        </w:tc>
        <w:tc>
          <w:tcPr>
            <w:tcW w:w="2360" w:type="dxa"/>
            <w:vAlign w:val="bottom"/>
            <w:tcBorders>
              <w:bottom w:val="single" w:sz="8" w:color="E97D2E"/>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line="170" w:lineRule="exact"/>
              <w:rPr>
                <w:sz w:val="20"/>
                <w:szCs w:val="20"/>
                <w:color w:val="auto"/>
              </w:rPr>
            </w:pPr>
            <w:r>
              <w:rPr>
                <w:rFonts w:ascii="Arial" w:cs="Arial" w:eastAsia="Arial" w:hAnsi="Arial"/>
                <w:sz w:val="18"/>
                <w:szCs w:val="18"/>
                <w:color w:val="auto"/>
              </w:rPr>
              <w:t>3. Ratification of</w:t>
            </w:r>
          </w:p>
        </w:tc>
        <w:tc>
          <w:tcPr>
            <w:tcW w:w="1420" w:type="dxa"/>
            <w:vAlign w:val="bottom"/>
          </w:tcPr>
          <w:p>
            <w:pPr>
              <w:ind w:left="80"/>
              <w:spacing w:after="0" w:line="170" w:lineRule="exact"/>
              <w:rPr>
                <w:sz w:val="20"/>
                <w:szCs w:val="20"/>
                <w:color w:val="auto"/>
              </w:rPr>
            </w:pPr>
            <w:r>
              <w:rPr>
                <w:rFonts w:ascii="Arial" w:cs="Arial" w:eastAsia="Arial" w:hAnsi="Arial"/>
                <w:sz w:val="16"/>
                <w:szCs w:val="16"/>
                <w:color w:val="auto"/>
              </w:rPr>
              <w:t>You may vote</w:t>
            </w:r>
          </w:p>
        </w:tc>
        <w:tc>
          <w:tcPr>
            <w:tcW w:w="2240" w:type="dxa"/>
            <w:vAlign w:val="bottom"/>
          </w:tcPr>
          <w:p>
            <w:pPr>
              <w:ind w:left="40"/>
              <w:spacing w:after="0" w:line="170" w:lineRule="exact"/>
              <w:rPr>
                <w:sz w:val="20"/>
                <w:szCs w:val="20"/>
                <w:color w:val="auto"/>
              </w:rPr>
            </w:pPr>
            <w:r>
              <w:rPr>
                <w:rFonts w:ascii="Arial" w:cs="Arial" w:eastAsia="Arial" w:hAnsi="Arial"/>
                <w:sz w:val="16"/>
                <w:szCs w:val="16"/>
                <w:color w:val="auto"/>
              </w:rPr>
              <w:t>The Board recommends that</w:t>
            </w:r>
          </w:p>
        </w:tc>
        <w:tc>
          <w:tcPr>
            <w:tcW w:w="2280" w:type="dxa"/>
            <w:vAlign w:val="bottom"/>
          </w:tcPr>
          <w:p>
            <w:pPr>
              <w:ind w:left="60"/>
              <w:spacing w:after="0" w:line="170" w:lineRule="exact"/>
              <w:rPr>
                <w:sz w:val="20"/>
                <w:szCs w:val="20"/>
                <w:color w:val="auto"/>
              </w:rPr>
            </w:pPr>
            <w:r>
              <w:rPr>
                <w:rFonts w:ascii="Arial" w:cs="Arial" w:eastAsia="Arial" w:hAnsi="Arial"/>
                <w:sz w:val="16"/>
                <w:szCs w:val="16"/>
                <w:color w:val="auto"/>
              </w:rPr>
              <w:t>This proposal must receive an</w:t>
            </w:r>
          </w:p>
        </w:tc>
        <w:tc>
          <w:tcPr>
            <w:tcW w:w="1400" w:type="dxa"/>
            <w:vAlign w:val="bottom"/>
          </w:tcPr>
          <w:p>
            <w:pPr>
              <w:ind w:left="20"/>
              <w:spacing w:after="0" w:line="170" w:lineRule="exact"/>
              <w:rPr>
                <w:sz w:val="20"/>
                <w:szCs w:val="20"/>
                <w:color w:val="auto"/>
              </w:rPr>
            </w:pPr>
            <w:r>
              <w:rPr>
                <w:rFonts w:ascii="Arial" w:cs="Arial" w:eastAsia="Arial" w:hAnsi="Arial"/>
                <w:sz w:val="16"/>
                <w:szCs w:val="16"/>
                <w:color w:val="auto"/>
              </w:rPr>
              <w:t>Treated as votes</w:t>
            </w:r>
          </w:p>
        </w:tc>
        <w:tc>
          <w:tcPr>
            <w:tcW w:w="2360" w:type="dxa"/>
            <w:vAlign w:val="bottom"/>
          </w:tcPr>
          <w:p>
            <w:pPr>
              <w:ind w:left="120"/>
              <w:spacing w:after="0" w:line="170" w:lineRule="exact"/>
              <w:rPr>
                <w:sz w:val="20"/>
                <w:szCs w:val="20"/>
                <w:color w:val="auto"/>
              </w:rPr>
            </w:pPr>
            <w:r>
              <w:rPr>
                <w:rFonts w:ascii="Arial" w:cs="Arial" w:eastAsia="Arial" w:hAnsi="Arial"/>
                <w:sz w:val="16"/>
                <w:szCs w:val="16"/>
                <w:color w:val="auto"/>
              </w:rPr>
              <w:t>There will be no broker non-</w:t>
            </w:r>
          </w:p>
        </w:tc>
        <w:tc>
          <w:tcPr>
            <w:tcW w:w="0" w:type="dxa"/>
            <w:vAlign w:val="bottom"/>
          </w:tcPr>
          <w:p>
            <w:pPr>
              <w:spacing w:after="0"/>
              <w:rPr>
                <w:sz w:val="1"/>
                <w:szCs w:val="1"/>
                <w:color w:val="auto"/>
              </w:rPr>
            </w:pPr>
          </w:p>
        </w:tc>
      </w:tr>
      <w:tr>
        <w:trPr>
          <w:trHeight w:val="175"/>
        </w:trPr>
        <w:tc>
          <w:tcPr>
            <w:tcW w:w="1540" w:type="dxa"/>
            <w:vAlign w:val="bottom"/>
          </w:tcPr>
          <w:p>
            <w:pPr>
              <w:ind w:left="180"/>
              <w:spacing w:after="0" w:line="176" w:lineRule="exact"/>
              <w:rPr>
                <w:sz w:val="20"/>
                <w:szCs w:val="20"/>
                <w:color w:val="auto"/>
              </w:rPr>
            </w:pPr>
            <w:r>
              <w:rPr>
                <w:rFonts w:ascii="Arial" w:cs="Arial" w:eastAsia="Arial" w:hAnsi="Arial"/>
                <w:sz w:val="18"/>
                <w:szCs w:val="18"/>
                <w:color w:val="auto"/>
              </w:rPr>
              <w:t>the selection of</w:t>
            </w:r>
          </w:p>
        </w:tc>
        <w:tc>
          <w:tcPr>
            <w:tcW w:w="1420" w:type="dxa"/>
            <w:vAlign w:val="bottom"/>
          </w:tcPr>
          <w:p>
            <w:pPr>
              <w:ind w:left="80"/>
              <w:spacing w:after="0" w:line="175" w:lineRule="exact"/>
              <w:rPr>
                <w:sz w:val="20"/>
                <w:szCs w:val="20"/>
                <w:color w:val="auto"/>
              </w:rPr>
            </w:pPr>
            <w:r>
              <w:rPr>
                <w:rFonts w:ascii="Arial" w:cs="Arial" w:eastAsia="Arial" w:hAnsi="Arial"/>
                <w:sz w:val="16"/>
                <w:szCs w:val="16"/>
                <w:color w:val="auto"/>
              </w:rPr>
              <w:t>FOR or AGAINST</w:t>
            </w:r>
          </w:p>
        </w:tc>
        <w:tc>
          <w:tcPr>
            <w:tcW w:w="2240" w:type="dxa"/>
            <w:vAlign w:val="bottom"/>
          </w:tcPr>
          <w:p>
            <w:pPr>
              <w:ind w:left="40"/>
              <w:spacing w:after="0" w:line="175" w:lineRule="exact"/>
              <w:rPr>
                <w:sz w:val="20"/>
                <w:szCs w:val="20"/>
                <w:color w:val="auto"/>
              </w:rPr>
            </w:pPr>
            <w:r>
              <w:rPr>
                <w:rFonts w:ascii="Arial" w:cs="Arial" w:eastAsia="Arial" w:hAnsi="Arial"/>
                <w:sz w:val="16"/>
                <w:szCs w:val="16"/>
                <w:color w:val="auto"/>
              </w:rPr>
              <w:t>you vote FOR this proposal</w:t>
            </w:r>
          </w:p>
        </w:tc>
        <w:tc>
          <w:tcPr>
            <w:tcW w:w="2280" w:type="dxa"/>
            <w:vAlign w:val="bottom"/>
          </w:tcPr>
          <w:p>
            <w:pPr>
              <w:ind w:left="60"/>
              <w:spacing w:after="0" w:line="175" w:lineRule="exact"/>
              <w:rPr>
                <w:sz w:val="20"/>
                <w:szCs w:val="20"/>
                <w:color w:val="auto"/>
              </w:rPr>
            </w:pPr>
            <w:r>
              <w:rPr>
                <w:rFonts w:ascii="Arial" w:cs="Arial" w:eastAsia="Arial" w:hAnsi="Arial"/>
                <w:sz w:val="16"/>
                <w:szCs w:val="16"/>
                <w:color w:val="auto"/>
              </w:rPr>
              <w:t>affirmative vote from the</w:t>
            </w:r>
          </w:p>
        </w:tc>
        <w:tc>
          <w:tcPr>
            <w:tcW w:w="1400" w:type="dxa"/>
            <w:vAlign w:val="bottom"/>
          </w:tcPr>
          <w:p>
            <w:pPr>
              <w:ind w:left="20"/>
              <w:spacing w:after="0" w:line="175" w:lineRule="exact"/>
              <w:rPr>
                <w:sz w:val="20"/>
                <w:szCs w:val="20"/>
                <w:color w:val="auto"/>
              </w:rPr>
            </w:pPr>
            <w:r>
              <w:rPr>
                <w:rFonts w:ascii="Arial" w:cs="Arial" w:eastAsia="Arial" w:hAnsi="Arial"/>
                <w:sz w:val="16"/>
                <w:szCs w:val="16"/>
                <w:color w:val="auto"/>
              </w:rPr>
              <w:t>against</w:t>
            </w:r>
          </w:p>
        </w:tc>
        <w:tc>
          <w:tcPr>
            <w:tcW w:w="2360" w:type="dxa"/>
            <w:vAlign w:val="bottom"/>
          </w:tcPr>
          <w:p>
            <w:pPr>
              <w:ind w:left="120"/>
              <w:spacing w:after="0" w:line="175" w:lineRule="exact"/>
              <w:rPr>
                <w:sz w:val="20"/>
                <w:szCs w:val="20"/>
                <w:color w:val="auto"/>
              </w:rPr>
            </w:pPr>
            <w:r>
              <w:rPr>
                <w:rFonts w:ascii="Arial" w:cs="Arial" w:eastAsia="Arial" w:hAnsi="Arial"/>
                <w:sz w:val="16"/>
                <w:szCs w:val="16"/>
                <w:color w:val="auto"/>
              </w:rPr>
              <w:t>votes, as this is a “routine”</w:t>
            </w:r>
          </w:p>
        </w:tc>
        <w:tc>
          <w:tcPr>
            <w:tcW w:w="0" w:type="dxa"/>
            <w:vAlign w:val="bottom"/>
          </w:tcPr>
          <w:p>
            <w:pPr>
              <w:spacing w:after="0"/>
              <w:rPr>
                <w:sz w:val="1"/>
                <w:szCs w:val="1"/>
                <w:color w:val="auto"/>
              </w:rPr>
            </w:pPr>
          </w:p>
        </w:tc>
      </w:tr>
      <w:tr>
        <w:trPr>
          <w:trHeight w:val="150"/>
        </w:trPr>
        <w:tc>
          <w:tcPr>
            <w:tcW w:w="1540" w:type="dxa"/>
            <w:vAlign w:val="bottom"/>
          </w:tcPr>
          <w:p>
            <w:pPr>
              <w:ind w:left="180"/>
              <w:spacing w:after="0" w:line="150" w:lineRule="exact"/>
              <w:rPr>
                <w:sz w:val="20"/>
                <w:szCs w:val="20"/>
                <w:color w:val="auto"/>
              </w:rPr>
            </w:pPr>
            <w:r>
              <w:rPr>
                <w:rFonts w:ascii="Arial" w:cs="Arial" w:eastAsia="Arial" w:hAnsi="Arial"/>
                <w:sz w:val="17"/>
                <w:szCs w:val="17"/>
                <w:color w:val="auto"/>
              </w:rPr>
              <w:t>PwC as our</w:t>
            </w:r>
          </w:p>
        </w:tc>
        <w:tc>
          <w:tcPr>
            <w:tcW w:w="1420" w:type="dxa"/>
            <w:vAlign w:val="bottom"/>
          </w:tcPr>
          <w:p>
            <w:pPr>
              <w:ind w:left="80"/>
              <w:spacing w:after="0" w:line="151" w:lineRule="exact"/>
              <w:rPr>
                <w:sz w:val="20"/>
                <w:szCs w:val="20"/>
                <w:color w:val="auto"/>
              </w:rPr>
            </w:pPr>
            <w:r>
              <w:rPr>
                <w:rFonts w:ascii="Arial" w:cs="Arial" w:eastAsia="Arial" w:hAnsi="Arial"/>
                <w:sz w:val="16"/>
                <w:szCs w:val="16"/>
                <w:color w:val="auto"/>
              </w:rPr>
              <w:t>this proposal or</w:t>
            </w:r>
          </w:p>
        </w:tc>
        <w:tc>
          <w:tcPr>
            <w:tcW w:w="2240" w:type="dxa"/>
            <w:vAlign w:val="bottom"/>
          </w:tcPr>
          <w:p>
            <w:pPr>
              <w:spacing w:after="0"/>
              <w:rPr>
                <w:sz w:val="13"/>
                <w:szCs w:val="13"/>
                <w:color w:val="auto"/>
              </w:rPr>
            </w:pPr>
          </w:p>
        </w:tc>
        <w:tc>
          <w:tcPr>
            <w:tcW w:w="2280" w:type="dxa"/>
            <w:vAlign w:val="bottom"/>
          </w:tcPr>
          <w:p>
            <w:pPr>
              <w:ind w:left="60"/>
              <w:spacing w:after="0" w:line="151" w:lineRule="exact"/>
              <w:rPr>
                <w:sz w:val="20"/>
                <w:szCs w:val="20"/>
                <w:color w:val="auto"/>
              </w:rPr>
            </w:pPr>
            <w:r>
              <w:rPr>
                <w:rFonts w:ascii="Arial" w:cs="Arial" w:eastAsia="Arial" w:hAnsi="Arial"/>
                <w:sz w:val="16"/>
                <w:szCs w:val="16"/>
                <w:color w:val="auto"/>
              </w:rPr>
              <w:t>majority of the holders of a</w:t>
            </w:r>
          </w:p>
        </w:tc>
        <w:tc>
          <w:tcPr>
            <w:tcW w:w="140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Arial" w:cs="Arial" w:eastAsia="Arial" w:hAnsi="Arial"/>
                <w:sz w:val="16"/>
                <w:szCs w:val="16"/>
                <w:color w:val="auto"/>
              </w:rPr>
              <w:t>proposal for which brokers</w:t>
            </w:r>
          </w:p>
        </w:tc>
        <w:tc>
          <w:tcPr>
            <w:tcW w:w="0" w:type="dxa"/>
            <w:vAlign w:val="bottom"/>
          </w:tcPr>
          <w:p>
            <w:pPr>
              <w:spacing w:after="0"/>
              <w:rPr>
                <w:sz w:val="1"/>
                <w:szCs w:val="1"/>
                <w:color w:val="auto"/>
              </w:rPr>
            </w:pPr>
          </w:p>
        </w:tc>
      </w:tr>
      <w:tr>
        <w:trPr>
          <w:trHeight w:val="214"/>
        </w:trPr>
        <w:tc>
          <w:tcPr>
            <w:tcW w:w="1540" w:type="dxa"/>
            <w:vAlign w:val="bottom"/>
          </w:tcPr>
          <w:p>
            <w:pPr>
              <w:ind w:left="180"/>
              <w:spacing w:after="0"/>
              <w:rPr>
                <w:sz w:val="20"/>
                <w:szCs w:val="20"/>
                <w:color w:val="auto"/>
              </w:rPr>
            </w:pPr>
            <w:r>
              <w:rPr>
                <w:rFonts w:ascii="Arial" w:cs="Arial" w:eastAsia="Arial" w:hAnsi="Arial"/>
                <w:sz w:val="18"/>
                <w:szCs w:val="18"/>
                <w:color w:val="auto"/>
              </w:rPr>
              <w:t>auditor for 2024</w:t>
            </w:r>
          </w:p>
        </w:tc>
        <w:tc>
          <w:tcPr>
            <w:tcW w:w="1420" w:type="dxa"/>
            <w:vAlign w:val="bottom"/>
          </w:tcPr>
          <w:p>
            <w:pPr>
              <w:ind w:left="80"/>
              <w:spacing w:after="0"/>
              <w:rPr>
                <w:sz w:val="20"/>
                <w:szCs w:val="20"/>
                <w:color w:val="auto"/>
              </w:rPr>
            </w:pPr>
            <w:r>
              <w:rPr>
                <w:rFonts w:ascii="Arial" w:cs="Arial" w:eastAsia="Arial" w:hAnsi="Arial"/>
                <w:sz w:val="16"/>
                <w:szCs w:val="16"/>
                <w:color w:val="auto"/>
              </w:rPr>
              <w:t>choose to</w:t>
            </w:r>
          </w:p>
        </w:tc>
        <w:tc>
          <w:tcPr>
            <w:tcW w:w="224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majority of the shares present</w:t>
            </w:r>
          </w:p>
        </w:tc>
        <w:tc>
          <w:tcPr>
            <w:tcW w:w="140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have discretionary voting</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1420" w:type="dxa"/>
            <w:vAlign w:val="bottom"/>
          </w:tcPr>
          <w:p>
            <w:pPr>
              <w:ind w:left="80"/>
              <w:spacing w:after="0" w:line="95" w:lineRule="exact"/>
              <w:rPr>
                <w:sz w:val="20"/>
                <w:szCs w:val="20"/>
                <w:color w:val="auto"/>
              </w:rPr>
            </w:pPr>
            <w:r>
              <w:rPr>
                <w:rFonts w:ascii="Arial" w:cs="Arial" w:eastAsia="Arial" w:hAnsi="Arial"/>
                <w:sz w:val="10"/>
                <w:szCs w:val="10"/>
                <w:color w:val="auto"/>
              </w:rPr>
              <w:t>ABSTAIN from</w:t>
            </w:r>
          </w:p>
        </w:tc>
        <w:tc>
          <w:tcPr>
            <w:tcW w:w="2240" w:type="dxa"/>
            <w:vAlign w:val="bottom"/>
          </w:tcPr>
          <w:p>
            <w:pPr>
              <w:spacing w:after="0"/>
              <w:rPr>
                <w:sz w:val="8"/>
                <w:szCs w:val="8"/>
                <w:color w:val="auto"/>
              </w:rPr>
            </w:pPr>
          </w:p>
        </w:tc>
        <w:tc>
          <w:tcPr>
            <w:tcW w:w="2280" w:type="dxa"/>
            <w:vAlign w:val="bottom"/>
          </w:tcPr>
          <w:p>
            <w:pPr>
              <w:ind w:left="60"/>
              <w:spacing w:after="0" w:line="95" w:lineRule="exact"/>
              <w:rPr>
                <w:sz w:val="20"/>
                <w:szCs w:val="20"/>
                <w:color w:val="auto"/>
              </w:rPr>
            </w:pPr>
            <w:r>
              <w:rPr>
                <w:rFonts w:ascii="Arial" w:cs="Arial" w:eastAsia="Arial" w:hAnsi="Arial"/>
                <w:sz w:val="10"/>
                <w:szCs w:val="10"/>
                <w:color w:val="auto"/>
              </w:rPr>
              <w:t>in person or represented by</w:t>
            </w:r>
          </w:p>
        </w:tc>
        <w:tc>
          <w:tcPr>
            <w:tcW w:w="1400" w:type="dxa"/>
            <w:vAlign w:val="bottom"/>
          </w:tcPr>
          <w:p>
            <w:pPr>
              <w:spacing w:after="0"/>
              <w:rPr>
                <w:sz w:val="8"/>
                <w:szCs w:val="8"/>
                <w:color w:val="auto"/>
              </w:rPr>
            </w:pPr>
          </w:p>
        </w:tc>
        <w:tc>
          <w:tcPr>
            <w:tcW w:w="2360" w:type="dxa"/>
            <w:vAlign w:val="bottom"/>
          </w:tcPr>
          <w:p>
            <w:pPr>
              <w:ind w:left="120"/>
              <w:spacing w:after="0" w:line="95" w:lineRule="exact"/>
              <w:rPr>
                <w:sz w:val="20"/>
                <w:szCs w:val="20"/>
                <w:color w:val="auto"/>
              </w:rPr>
            </w:pPr>
            <w:r>
              <w:rPr>
                <w:rFonts w:ascii="Arial" w:cs="Arial" w:eastAsia="Arial" w:hAnsi="Arial"/>
                <w:sz w:val="10"/>
                <w:szCs w:val="10"/>
                <w:color w:val="auto"/>
              </w:rPr>
              <w:t>authority</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voting</w:t>
            </w:r>
          </w:p>
        </w:tc>
        <w:tc>
          <w:tcPr>
            <w:tcW w:w="2240" w:type="dxa"/>
            <w:vAlign w:val="bottom"/>
          </w:tcPr>
          <w:p>
            <w:pPr>
              <w:spacing w:after="0"/>
              <w:rPr>
                <w:sz w:val="14"/>
                <w:szCs w:val="14"/>
                <w:color w:val="auto"/>
              </w:rPr>
            </w:pPr>
          </w:p>
        </w:tc>
        <w:tc>
          <w:tcPr>
            <w:tcW w:w="2280" w:type="dxa"/>
            <w:vAlign w:val="bottom"/>
          </w:tcPr>
          <w:p>
            <w:pPr>
              <w:ind w:left="60"/>
              <w:spacing w:after="0" w:line="162" w:lineRule="exact"/>
              <w:rPr>
                <w:sz w:val="20"/>
                <w:szCs w:val="20"/>
                <w:color w:val="auto"/>
              </w:rPr>
            </w:pPr>
            <w:r>
              <w:rPr>
                <w:rFonts w:ascii="Arial" w:cs="Arial" w:eastAsia="Arial" w:hAnsi="Arial"/>
                <w:sz w:val="16"/>
                <w:szCs w:val="16"/>
                <w:color w:val="auto"/>
              </w:rPr>
              <w:t>proxy and entitled to vote</w:t>
            </w:r>
          </w:p>
        </w:tc>
        <w:tc>
          <w:tcPr>
            <w:tcW w:w="1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E97D2E"/>
            </w:tcBorders>
          </w:tcPr>
          <w:p>
            <w:pPr>
              <w:spacing w:after="0"/>
              <w:rPr>
                <w:sz w:val="18"/>
                <w:szCs w:val="18"/>
                <w:color w:val="auto"/>
              </w:rPr>
            </w:pPr>
          </w:p>
        </w:tc>
        <w:tc>
          <w:tcPr>
            <w:tcW w:w="1420" w:type="dxa"/>
            <w:vAlign w:val="bottom"/>
            <w:tcBorders>
              <w:bottom w:val="single" w:sz="8" w:color="E97D2E"/>
            </w:tcBorders>
          </w:tcPr>
          <w:p>
            <w:pPr>
              <w:spacing w:after="0"/>
              <w:rPr>
                <w:sz w:val="18"/>
                <w:szCs w:val="18"/>
                <w:color w:val="auto"/>
              </w:rPr>
            </w:pPr>
          </w:p>
        </w:tc>
        <w:tc>
          <w:tcPr>
            <w:tcW w:w="2240" w:type="dxa"/>
            <w:vAlign w:val="bottom"/>
            <w:tcBorders>
              <w:bottom w:val="single" w:sz="8" w:color="E97D2E"/>
            </w:tcBorders>
          </w:tcPr>
          <w:p>
            <w:pPr>
              <w:spacing w:after="0"/>
              <w:rPr>
                <w:sz w:val="18"/>
                <w:szCs w:val="18"/>
                <w:color w:val="auto"/>
              </w:rPr>
            </w:pPr>
          </w:p>
        </w:tc>
        <w:tc>
          <w:tcPr>
            <w:tcW w:w="2280" w:type="dxa"/>
            <w:vAlign w:val="bottom"/>
            <w:tcBorders>
              <w:bottom w:val="single" w:sz="8" w:color="E97D2E"/>
            </w:tcBorders>
          </w:tcPr>
          <w:p>
            <w:pPr>
              <w:ind w:left="60"/>
              <w:spacing w:after="0"/>
              <w:rPr>
                <w:sz w:val="20"/>
                <w:szCs w:val="20"/>
                <w:color w:val="auto"/>
              </w:rPr>
            </w:pPr>
            <w:r>
              <w:rPr>
                <w:rFonts w:ascii="Arial" w:cs="Arial" w:eastAsia="Arial" w:hAnsi="Arial"/>
                <w:sz w:val="16"/>
                <w:szCs w:val="16"/>
                <w:color w:val="auto"/>
              </w:rPr>
              <w:t>thereon</w:t>
            </w:r>
          </w:p>
        </w:tc>
        <w:tc>
          <w:tcPr>
            <w:tcW w:w="1400" w:type="dxa"/>
            <w:vAlign w:val="bottom"/>
            <w:tcBorders>
              <w:bottom w:val="single" w:sz="8" w:color="E97D2E"/>
            </w:tcBorders>
          </w:tcPr>
          <w:p>
            <w:pPr>
              <w:spacing w:after="0"/>
              <w:rPr>
                <w:sz w:val="18"/>
                <w:szCs w:val="18"/>
                <w:color w:val="auto"/>
              </w:rPr>
            </w:pPr>
          </w:p>
        </w:tc>
        <w:tc>
          <w:tcPr>
            <w:tcW w:w="2360" w:type="dxa"/>
            <w:vAlign w:val="bottom"/>
            <w:tcBorders>
              <w:bottom w:val="single" w:sz="8" w:color="E97D2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560"/>
        <w:spacing w:after="0" w:line="278" w:lineRule="auto"/>
        <w:rPr>
          <w:sz w:val="20"/>
          <w:szCs w:val="20"/>
          <w:color w:val="auto"/>
        </w:rPr>
      </w:pPr>
      <w:r>
        <w:rPr>
          <w:rFonts w:ascii="Arial" w:cs="Arial" w:eastAsia="Arial" w:hAnsi="Arial"/>
          <w:sz w:val="25"/>
          <w:szCs w:val="25"/>
          <w:b w:val="1"/>
          <w:bCs w:val="1"/>
          <w:color w:val="465E66"/>
        </w:rPr>
        <w:t>What happens if I do not submit voting instructions for a proposal? What is discretionary voting? What is a broker non-vote?</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properly complete, sign, date and return a proxy card or voting instruction form, your shares of our common stock will be voted as you specify. If you are a stockholder of record and you make no specifications on your proxy card, your shares of our common stock will be voted in accordance with the recommendations of our Board, as provided above. If you are a beneficial owner and you do not provide voting instructions to your bank, broker, trustee or other nominee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holding shares of our common stock for you, your shares of our common stock will not be voted with respect to any proposal for which the stockholder of record does not have discretionary authority to vote. A “broker non-vote” occurs when a bank, broker, trustee or other nominee holding shares for a beneficial owner returns a valid proxy, but does not vote on a particular proposal because it does not have discretionary authority to vote on the matter and has not received voting instructions from the stockholder for whom it is holding shares. Specifically, a broker only has discretionary authority to vote, without instructions from the beneficial owner, on “routine” items such as the ratification of the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appointment of an independent registered public accounting firm. A broker would not have authority to vote on any other matter proposed in this proxy statement in the absence of instructions from the beneficial owner (resulting in a broker non-vote).</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proposal relating to the ratification, on an advisory basis, of the appointment of our independent registered public accounting firm is the only discretionary proposal. If you are a beneficial owner and you do not provide voting instructions to your bank, broker, trustee or other nominee holding shares for you, your shares may be voted with respect to the ratification, on an advisory basis, of the appointment of our independent registered public accounting firm.</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proposals relating to the election of directors, the compensation of our named executive officers and say-on-frequency are non-discretionary proposals. Accordingly, if you are a beneficial owner and you do not provide voting instructions to your bank, broker, trustee or other nominee holding shares for you, your shares will not be voted with respect to these proposals. Without your voting instructions, a broker non-vote will occur with respect to your shares on each non-discretionary proposal for which you have not provided voting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Could other matters be considered and voted upon at the annual meeting?</w:t>
      </w:r>
    </w:p>
    <w:p>
      <w:pPr>
        <w:spacing w:after="0" w:line="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than the proposals set forth in this proxy statement, we do not intend to bring, and we are not currently aware of, any other matters to be voted on at the annual meeting. In addition, pursuant to our bylaws, the time has elapsed for any stockholder to properly bring a matter before the annual meeting. If, however, other matters are properly presented at the annual meeting and you have signed and returned your proxy card, the proxies will have discretion to vote your shares on such matters to the extent authorized under the Exchange Act.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Can I revoke my proxy or change my vote after I have voted?</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may revoke your proxy at any time before it is voted by attending the annual meeting and voting in person or by submitting a written notice of revocation or a properly executed proxy bearing a later date to our Secretary at our principal executive offices, located at 5701 North Pima Road, Scottsdale, Arizona 85250.</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Who pays for soliciting proxies?</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cost of soliciting proxies will be borne by us. We have retained Georgeson LLC (Georgeson) under an agreement to assist in the solicitation of proxies for the annual meeting. We have agreed to indemnify Georgeson against certain liabilities arising out of or in</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connection with the engagement and to limit its aggregate liability for its services. The estimated cost for such services is $12,000, plus additional fees relating to telephone solicitation of proxies and upon the occurrence of certain other contingencies, as well as other customary costs. In addition to the above services, we will request brokers and other record holders to send proxies and proxy materials to the beneficial owners of the stock and secure their voting instructions, if necessary. We will reimburse such record holders for their reasonable expenses in so doing. We may also use our directors, officers and/or regular employees, who will not be specially compensated, to solicit proxies personally or by telephone, email, U.S. mail or a private delivery service.</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What happens if the annual meeting is postponed or adjourned?</w:t>
      </w:r>
    </w:p>
    <w:p>
      <w:pPr>
        <w:spacing w:after="0" w:line="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a new record date is fixed, your proxy will still be valid and may be used to vote shares of our common stock at the postponed or adjourned annual meeting. You will still be able to change or revoke your proxy until it is used to vote your shares.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Where can I find the voting results of the annual meeting?</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will report the voting results in a Current Report on Form 8-K filed with the SEC within four business days of our annual meeting, a copy of which will also be available on our website.</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E97D2E"/>
        </w:rPr>
        <w:t>64</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69" w:name="page70"/>
    <w:bookmarkEnd w:id="69"/>
    <w:p>
      <w:pPr>
        <w:ind w:left="9320"/>
        <w:spacing w:after="0"/>
        <w:rPr>
          <w:sz w:val="20"/>
          <w:szCs w:val="20"/>
          <w:color w:val="auto"/>
        </w:rPr>
      </w:pPr>
      <w:r>
        <w:rPr>
          <w:rFonts w:ascii="Arial" w:cs="Arial" w:eastAsia="Arial" w:hAnsi="Arial"/>
          <w:sz w:val="18"/>
          <w:szCs w:val="18"/>
          <w:color w:val="E97D2E"/>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E97D2E"/>
        </w:rPr>
        <w:t>MISCELLANEOUS INFORMATION</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Annual Report/Form 10-K</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Our 2023 annual report to stockholders (the annual report), which includes the Form 10-K (without certain exhibits that are excluded from the annual report pursuant to Rule 14a-3(b) of the Exchange Act), is being delivered concurrently with this proxy statement to all stockholders of record as of the record date. Those exhibits that are excluded from the annual report as described above are available for the cost of photocopying. To receive a copy, please write to: Investor Relations, ON Semiconductor Corporation, 5701 North Pima Road, Scottsdale, Arizona 85250; call: Investor Relations at (602) 244-3437; send an email to: investor@onsemi.com; or go to the Investor Relations section of our website at </w:t>
      </w:r>
      <w:r>
        <w:rPr>
          <w:rFonts w:ascii="Arial" w:cs="Arial" w:eastAsia="Arial" w:hAnsi="Arial"/>
          <w:sz w:val="18"/>
          <w:szCs w:val="18"/>
          <w:b w:val="1"/>
          <w:bCs w:val="1"/>
          <w:u w:val="single" w:color="auto"/>
          <w:color w:val="auto"/>
        </w:rPr>
        <w:t>www.onsemi.com</w:t>
      </w:r>
      <w:r>
        <w:rPr>
          <w:rFonts w:ascii="Arial" w:cs="Arial" w:eastAsia="Arial" w:hAnsi="Arial"/>
          <w:sz w:val="18"/>
          <w:szCs w:val="18"/>
          <w:b w:val="1"/>
          <w:bCs w:val="1"/>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Stockholders Sharing the Same Address</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If you hold your shares through a broker and share the same address as another stockholder, you will receive only one notice or set of proxy materials, including the annual report, unless you have provided contrary instructions. If you hold your shares in “street name” and wish to receive a separate notice or set of proxy materials, or if you share the same address as another stockholder and are receiving multiple notices or sets of proxy materials and wish to receive only one, you will need to contact your broker. Each registered holder is provided with a notice or set of proxy materials; however, if you are a registered holder and would like an additional copy or, alternatively, if you share the same address as another stockholder and (i) are receiving a single notice or set of proxy materials and wish to receive separate notices or sets or (ii) are receiving multiple notices or sets of proxy materials and wish to receive only one, please contact: Investor Relations, ON Semiconductor Corporation, 5701 North Pima Road, Scottsdale, Arizona 85250; call: Investor Relations at (602) 244-3437; send an email to: </w:t>
      </w:r>
      <w:r>
        <w:rPr>
          <w:rFonts w:ascii="Arial" w:cs="Arial" w:eastAsia="Arial" w:hAnsi="Arial"/>
          <w:sz w:val="18"/>
          <w:szCs w:val="18"/>
          <w:u w:val="single" w:color="auto"/>
          <w:color w:val="auto"/>
        </w:rPr>
        <w:t>investor@onsemi.com</w:t>
      </w:r>
      <w:r>
        <w:rPr>
          <w:rFonts w:ascii="Arial" w:cs="Arial" w:eastAsia="Arial" w:hAnsi="Arial"/>
          <w:sz w:val="18"/>
          <w:szCs w:val="18"/>
          <w:color w:val="auto"/>
        </w:rPr>
        <w:t xml:space="preserve">; or go to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 Communications with the Board of Directors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 process by which our stockholders can send communications to the Board, and every effort is made to ensure that the Board or individual directors, as applicable, hear the views of our stockholders so that appropriate responses can be provided to our stockholders in a timely manner. Any matter intended for the Board, or for any individual member or members of the Board, should be directed to our Executive Vice President, Chief Legal Officer, Chief Compliance Officer and Secretary, Pamela Tondreau, at the address of our principal executive offices, located at 5701 North Pima Road, Scottsdale, Arizona 85250, with a request to forward the same to the intended recipient.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Substantive communications will generally be forwarded to the Board.</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Stockholder Nominations and Proposals (Non-Proxy Access)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Stockholders may present, and our GS Committee will consider, proposals for action at a future meeting if they comply with our bylaws and SEC rules. Unless the Board determines otherwise, our 2025 annual meeting of stockholders will be held on May 15,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 Rule 14a-8, stockholder proposals intended for inclusion in our 2025 proxy statement and acted upon at our 2025 annual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meeting of stockholders must be received at our principal executive offices, located at 5701 North Pima Road, Scottsdale, Arizona 85250, on or prior to December 5, 2024.</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Stockholder proposals submitted for consideration at the 2025 annual meeting of stockholders but not submitted for inclusion in the proxy statement for our 2025 annual meeting, including stockholder nominations for candidates for election as directors, must be submitted in accordance with applicable advance notice provisions of our bylaws. Subject to advance notice provisions contained in our bylaws, a stockholder of record may propose the nomination of someone for election as a director at our annual meeting of stockholders by timely written notice to our Secretary. Stockholder proposals or nominations must include the specified information concerning the stockholder and the proposal or nominee as described in our bylaws.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Generally, a notice is timely if received by our Secretary not less than 90 days nor more than 120 days before the first anniversary of the date of the 2024 annual meeting of stockholders. As a result, any notice given by a stockholder pursuant to the provisions of our bylaws (other than notice pursuant to SEC Rule 14a-8 or proxy access as discussed below) must be received no earlier than January 16, 2025, and no later than February 15, 2025. However, if the date of the 2025 annual meeting occurs more than 30 days before or more than 30 days after May 16, 2025, notice by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color w:val="E97D2E"/>
        </w:rPr>
        <w:t>Miscellaneous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 of a proposal must be delivered not less than 90 days nor more than 120 days before the date of such annual meeting designated by the Board; provided, if the first public disclosure or announcement of the date of such annual meeting is less than 105 days prior to the date of such annual meeting, then not less than 15 days after such public announcement. In addition, not more than 10 days after a request from our Secretary, the nominating or sponsoring stockholder must furnish to the Secretary such additional information as the Secretary may reasonably require. A nomination or stockholder proposal that does not comply with the above procedure and other procedures described in our bylaws will be disregarded. You may contact our Secretary at the principal executive office to request a copy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relevant bylaw provisions regarding the requirements for making stockholder nominations or proposals. If any such matter is brought before an annual meeting, our management will use its discretionary authority to vote the shares subject to the proxies as the Board may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recommend, to the extent allowed by our bylaws and applicable law. In addition, stockholders who intend to solicit proxies in support of director nominees other than the Company’s nominees must comply with the additional requirements of SEC Rule 14a-19(b).</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Proxy Access Nominations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bylaws also contain a proxy access provision as follows:</w:t>
      </w:r>
    </w:p>
    <w:p>
      <w:pPr>
        <w:spacing w:after="0" w:line="50" w:lineRule="exact"/>
        <w:rPr>
          <w:sz w:val="20"/>
          <w:szCs w:val="20"/>
          <w:color w:val="auto"/>
        </w:rPr>
      </w:pPr>
    </w:p>
    <w:p>
      <w:pPr>
        <w:jc w:val="both"/>
        <w:ind w:left="520" w:right="20"/>
        <w:spacing w:after="0" w:line="227" w:lineRule="auto"/>
        <w:rPr>
          <w:sz w:val="20"/>
          <w:szCs w:val="20"/>
          <w:color w:val="auto"/>
        </w:rPr>
      </w:pPr>
      <w:r>
        <w:rPr>
          <w:rFonts w:ascii="Arial" w:cs="Arial" w:eastAsia="Arial" w:hAnsi="Arial"/>
          <w:sz w:val="18"/>
          <w:szCs w:val="18"/>
          <w:color w:val="auto"/>
        </w:rPr>
        <w:t xml:space="preserve">We permit a stockholder, or a group of up to </w:t>
      </w:r>
      <w:r>
        <w:rPr>
          <w:rFonts w:ascii="Arial" w:cs="Arial" w:eastAsia="Arial" w:hAnsi="Arial"/>
          <w:sz w:val="18"/>
          <w:szCs w:val="18"/>
          <w:color w:val="E97D2E"/>
        </w:rPr>
        <w:t>20</w:t>
      </w:r>
      <w:r>
        <w:rPr>
          <w:rFonts w:ascii="Arial" w:cs="Arial" w:eastAsia="Arial" w:hAnsi="Arial"/>
          <w:sz w:val="18"/>
          <w:szCs w:val="18"/>
          <w:color w:val="auto"/>
        </w:rPr>
        <w:t xml:space="preserve"> stockholders, owning at least </w:t>
      </w:r>
      <w:r>
        <w:rPr>
          <w:rFonts w:ascii="Arial" w:cs="Arial" w:eastAsia="Arial" w:hAnsi="Arial"/>
          <w:sz w:val="18"/>
          <w:szCs w:val="18"/>
          <w:color w:val="E97D2E"/>
        </w:rPr>
        <w:t>3%</w:t>
      </w:r>
      <w:r>
        <w:rPr>
          <w:rFonts w:ascii="Arial" w:cs="Arial" w:eastAsia="Arial" w:hAnsi="Arial"/>
          <w:sz w:val="18"/>
          <w:szCs w:val="18"/>
          <w:color w:val="auto"/>
        </w:rPr>
        <w:t xml:space="preserve"> of the Company’s outstanding shares of common stock continuously for at least </w:t>
      </w:r>
      <w:r>
        <w:rPr>
          <w:rFonts w:ascii="Arial" w:cs="Arial" w:eastAsia="Arial" w:hAnsi="Arial"/>
          <w:sz w:val="18"/>
          <w:szCs w:val="18"/>
          <w:color w:val="E97D2E"/>
        </w:rPr>
        <w:t>three</w:t>
      </w:r>
      <w:r>
        <w:rPr>
          <w:rFonts w:ascii="Arial" w:cs="Arial" w:eastAsia="Arial" w:hAnsi="Arial"/>
          <w:sz w:val="18"/>
          <w:szCs w:val="18"/>
          <w:color w:val="auto"/>
        </w:rPr>
        <w:t xml:space="preserve"> years, to nominate and include in our annual meeting proxy materials director nominees constituting up to the greater of </w:t>
      </w:r>
      <w:r>
        <w:rPr>
          <w:rFonts w:ascii="Arial" w:cs="Arial" w:eastAsia="Arial" w:hAnsi="Arial"/>
          <w:sz w:val="18"/>
          <w:szCs w:val="18"/>
          <w:color w:val="E97D2E"/>
        </w:rPr>
        <w:t>two</w:t>
      </w:r>
      <w:r>
        <w:rPr>
          <w:rFonts w:ascii="Arial" w:cs="Arial" w:eastAsia="Arial" w:hAnsi="Arial"/>
          <w:sz w:val="18"/>
          <w:szCs w:val="18"/>
          <w:color w:val="auto"/>
        </w:rPr>
        <w:t xml:space="preserve"> nominees or </w:t>
      </w:r>
      <w:r>
        <w:rPr>
          <w:rFonts w:ascii="Arial" w:cs="Arial" w:eastAsia="Arial" w:hAnsi="Arial"/>
          <w:sz w:val="18"/>
          <w:szCs w:val="18"/>
          <w:color w:val="E97D2E"/>
        </w:rPr>
        <w:t>20%</w:t>
      </w:r>
      <w:r>
        <w:rPr>
          <w:rFonts w:ascii="Arial" w:cs="Arial" w:eastAsia="Arial" w:hAnsi="Arial"/>
          <w:sz w:val="18"/>
          <w:szCs w:val="18"/>
          <w:color w:val="auto"/>
        </w:rPr>
        <w:t xml:space="preserve"> of the board, subject to the requirements specified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director nomination pursuant to our proxy access bylaw must be in writing and received by our Secretary not less than 120 days nor more than 150 days before the first anniversary of the date that this proxy statement was first sent to stockholders. As a result, any director nomination pursuant to our proxy access bylaws must be received no earlier than November 5, 2024 and no later than December 5, 2024. However, if the date of the 2025 annual meeting occurs more than 30 days before or more than 30 days after May 16, 2025, the proxy access nomination must be delivered not less than 120 days nor more than 150 days before the date of such annual meeting designated by the Board; provided, if the first public disclosure or announcement of the date of such annual meeting is less than 135 days prior to the date of such annual meeting, then not less than 15 days after such public announcement. Any stockholder submitting a nomination under our proxy access bylaw procedures must comply with the procedure, notice and information requirements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005965" cy="514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05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PAMELA TONDREAU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Officer, Chief Compliance</w:t>
      </w:r>
    </w:p>
    <w:p>
      <w:pPr>
        <w:spacing w:after="0" w:line="234" w:lineRule="auto"/>
        <w:rPr>
          <w:sz w:val="20"/>
          <w:szCs w:val="20"/>
          <w:color w:val="auto"/>
        </w:rPr>
      </w:pPr>
      <w:r>
        <w:rPr>
          <w:rFonts w:ascii="Arial" w:cs="Arial" w:eastAsia="Arial" w:hAnsi="Arial"/>
          <w:sz w:val="18"/>
          <w:szCs w:val="18"/>
          <w:color w:val="auto"/>
        </w:rPr>
        <w:t>Officer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66</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E97D2E"/>
        </w:rPr>
        <w:t>APPENDIX</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Reconciliation of Non-GAAP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82550</wp:posOffset>
            </wp:positionV>
            <wp:extent cx="5083175" cy="7235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3175" cy="723519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8"/>
          <w:szCs w:val="18"/>
          <w:color w:val="E97D2E"/>
        </w:rPr>
        <w:t>Appendix</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465E66"/>
        </w:rPr>
        <w:t>Limitations and Considerations on the Use of Non-GAAP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Gross Margin</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The use of non-GAAP gross margin allows management to evaluate, among other things, the gross margin of the Company’s core businesses and trends across different reporting periods on a consistent basis, independent of non-cash items including, generally speaking, amortization of acquisition-related intangibles, expensing of appraised inventory fair market value step-up, impact of business wind-down and non-recurring facility costs.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revenue generation performance relative to the direct costs of revenue of </w:t>
      </w:r>
      <w:r>
        <w:rPr>
          <w:rFonts w:ascii="Arial" w:cs="Arial" w:eastAsia="Arial" w:hAnsi="Arial"/>
          <w:sz w:val="22"/>
          <w:szCs w:val="22"/>
          <w:b w:val="1"/>
          <w:bCs w:val="1"/>
          <w:color w:val="auto"/>
        </w:rPr>
        <w:t>onsemi</w:t>
      </w:r>
      <w:r>
        <w:rPr>
          <w:rFonts w:ascii="Arial" w:cs="Arial" w:eastAsia="Arial" w:hAnsi="Arial"/>
          <w:sz w:val="22"/>
          <w:szCs w:val="22"/>
          <w:color w:val="auto"/>
        </w:rPr>
        <w:t>’s core businesses.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Operating Income and Operating Margin</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The use of non-GAAP operating income and operating margin allows management to evaluate, among other things, the operating margin and operating income of the Company’s core businesses and trends across different reporting periods on a consistent basis, independent of non-cash items including, generally speaking, expensing of appraised inventory fair market value step-up, impact of business wind-down, non-recurring facility costs, amortization and impairments of intangible assets, goodwill and intangible asset impairment charges, third party acquisition and divestiture-related costs, restructuring charges and certain other special items as necessary.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the Company’s revenue generation performance relative to the direct costs of operations of </w:t>
      </w:r>
      <w:r>
        <w:rPr>
          <w:rFonts w:ascii="Arial" w:cs="Arial" w:eastAsia="Arial" w:hAnsi="Arial"/>
          <w:sz w:val="22"/>
          <w:szCs w:val="22"/>
          <w:b w:val="1"/>
          <w:bCs w:val="1"/>
          <w:color w:val="auto"/>
        </w:rPr>
        <w:t>onsemi</w:t>
      </w:r>
      <w:r>
        <w:rPr>
          <w:rFonts w:ascii="Arial" w:cs="Arial" w:eastAsia="Arial" w:hAnsi="Arial"/>
          <w:sz w:val="22"/>
          <w:szCs w:val="22"/>
          <w:color w:val="auto"/>
        </w:rPr>
        <w:t>’s core businesses.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Net Income Attributable to onsemi and Non-GAAP Diluted Earnings Per Share</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The use of non-GAAP net income attributable to </w:t>
      </w:r>
      <w:r>
        <w:rPr>
          <w:rFonts w:ascii="Arial" w:cs="Arial" w:eastAsia="Arial" w:hAnsi="Arial"/>
          <w:sz w:val="21"/>
          <w:szCs w:val="21"/>
          <w:b w:val="1"/>
          <w:bCs w:val="1"/>
          <w:color w:val="auto"/>
        </w:rPr>
        <w:t>onsemi</w:t>
      </w:r>
      <w:r>
        <w:rPr>
          <w:rFonts w:ascii="Arial" w:cs="Arial" w:eastAsia="Arial" w:hAnsi="Arial"/>
          <w:sz w:val="21"/>
          <w:szCs w:val="21"/>
          <w:color w:val="auto"/>
        </w:rPr>
        <w:t xml:space="preserve"> and non-GAAP diluted earnings per share allows management to evaluate the operating results of </w:t>
      </w:r>
      <w:r>
        <w:rPr>
          <w:rFonts w:ascii="Arial" w:cs="Arial" w:eastAsia="Arial" w:hAnsi="Arial"/>
          <w:sz w:val="21"/>
          <w:szCs w:val="21"/>
          <w:b w:val="1"/>
          <w:bCs w:val="1"/>
          <w:color w:val="auto"/>
        </w:rPr>
        <w:t>onsemi</w:t>
      </w:r>
      <w:r>
        <w:rPr>
          <w:rFonts w:ascii="Arial" w:cs="Arial" w:eastAsia="Arial" w:hAnsi="Arial"/>
          <w:sz w:val="21"/>
          <w:szCs w:val="21"/>
          <w:color w:val="auto"/>
        </w:rPr>
        <w:t xml:space="preserve">’s core businesses and trends across different reporting periods on a consistent basis, independent of non-cash items including, generally, the amortization and impairments of intangible assets, goodwill and intangible asset impairment charges, expensing of appraised inventory fair market value step-up, impact of business wind-down, non-recurring facility costs, restructuring, gains and losses on debt prepayment, non-cash interest expense, actuarial (gains) losses on pension plans and other pension benefits, third party acquisition and divestiture-related costs, discrete tax items and other non-GAAP tax adjustments and certain other special items, as necessary. In addition, these items are important components of management’s internal performance measurement and incentive and reward process, as they are used to assess the current and historical financial results of the business and for strategic decision making, preparing budgets, setting targets, and forecasting future results. Management presents these non-GAAP financial measures to enable investors and analysts to understand the results of operations of </w:t>
      </w:r>
      <w:r>
        <w:rPr>
          <w:rFonts w:ascii="Arial" w:cs="Arial" w:eastAsia="Arial" w:hAnsi="Arial"/>
          <w:sz w:val="21"/>
          <w:szCs w:val="21"/>
          <w:b w:val="1"/>
          <w:bCs w:val="1"/>
          <w:color w:val="auto"/>
        </w:rPr>
        <w:t>onsemi</w:t>
      </w:r>
      <w:r>
        <w:rPr>
          <w:rFonts w:ascii="Arial" w:cs="Arial" w:eastAsia="Arial" w:hAnsi="Arial"/>
          <w:sz w:val="21"/>
          <w:szCs w:val="21"/>
          <w:color w:val="auto"/>
        </w:rPr>
        <w:t>’s core businesses and, to the extent comparable, to compare our results of operations on a more consistent basis against those of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E97D2E"/>
        </w:rPr>
        <w:t>68</w:t>
        <w:tab/>
        <w:t>onsemi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3" w:name="page74"/>
    <w:bookmarkEnd w:id="73"/>
    <w:p>
      <w:pPr>
        <w:ind w:left="10480"/>
        <w:spacing w:after="0"/>
        <w:rPr>
          <w:sz w:val="20"/>
          <w:szCs w:val="20"/>
          <w:color w:val="auto"/>
        </w:rPr>
      </w:pPr>
      <w:r>
        <w:rPr>
          <w:rFonts w:ascii="Arial" w:cs="Arial" w:eastAsia="Arial" w:hAnsi="Arial"/>
          <w:sz w:val="18"/>
          <w:szCs w:val="18"/>
          <w:color w:val="E97D2E"/>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Free Cash Flow</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The use of free cash flow allows management to evaluate, among other things, the ability of the Company to make interest or principal payments on its debt. Free cash flow is defined as the difference between cash flow from operating activities and capital expenditures disclosed under investing activities in the consolidated statement of cash flows. Free cash flow is not an alternative to cash flow from operating activities as a measure of liquidity.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revenue generation performance relative to the direct costs of operations of </w:t>
      </w:r>
      <w:r>
        <w:rPr>
          <w:rFonts w:ascii="Arial" w:cs="Arial" w:eastAsia="Arial" w:hAnsi="Arial"/>
          <w:sz w:val="22"/>
          <w:szCs w:val="22"/>
          <w:b w:val="1"/>
          <w:bCs w:val="1"/>
          <w:color w:val="auto"/>
        </w:rPr>
        <w:t>onsemi</w:t>
      </w:r>
      <w:r>
        <w:rPr>
          <w:rFonts w:ascii="Arial" w:cs="Arial" w:eastAsia="Arial" w:hAnsi="Arial"/>
          <w:sz w:val="22"/>
          <w:szCs w:val="22"/>
          <w:color w:val="auto"/>
        </w:rPr>
        <w:t>’s core businesses.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Non-GAAP Diluted Share Count</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use of non-GAAP diluted share count allows management to evaluate, among other things, the potential dilution due to the outstanding restricted stock units excluding the dilution from the convertible notes that is covered by hedging activity up to a certain threshold. In periods when the quarterly average stock price per share exceeds $52.97 for the 0% Notes and $103.87 for the 0.50% Notes, the non-GAAP diluted share count includes the anti-dilutive impact of the Company’s hedge transactions issued concurrently with the 0% Notes and the 0.50% Notes, respectively. At an average stock price per share between $52.97 and $74.34 for the 0% Notes and $103.87 and $156.78 for the 0.50% Notes, the hedging activity offsets the potentially dilutive effect of the 0% Notes and the 0.50% Notes, respectively. In periods when the quarterly average stock price per share exceeds $74.34 for the 0% Notes and $ 156.78 for the 0.50% Notes, the dilutive impact of the warrants issued concurrently with such notes are included in the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E97D2E"/>
        </w:rPr>
        <w:t>onsemi 2024 Proxy Statement</w:t>
      </w:r>
      <w:r>
        <w:rPr>
          <w:sz w:val="20"/>
          <w:szCs w:val="20"/>
          <w:color w:val="auto"/>
        </w:rPr>
        <w:tab/>
      </w:r>
      <w:r>
        <w:rPr>
          <w:rFonts w:ascii="Arial" w:cs="Arial" w:eastAsia="Arial" w:hAnsi="Arial"/>
          <w:sz w:val="17"/>
          <w:szCs w:val="17"/>
          <w:color w:val="E97D2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5934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859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706120</wp:posOffset>
            </wp:positionV>
            <wp:extent cx="6035040" cy="78181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18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2"/>
      <w:numFmt w:val="bullet"/>
      <w:start w:val="1"/>
    </w:lvl>
  </w:abstractNum>
  <w:abstractNum w:abstractNumId="6">
    <w:nsid w:val="3DC240FB"/>
    <w:multiLevelType w:val="hybridMultilevel"/>
    <w:lvl w:ilvl="0">
      <w:lvlJc w:val="left"/>
      <w:lvlText w:val="ü"/>
      <w:numFmt w:val="bullet"/>
      <w:start w:val="1"/>
    </w:lvl>
  </w:abstractNum>
  <w:abstractNum w:abstractNumId="7">
    <w:nsid w:val="1BA026FA"/>
    <w:multiLevelType w:val="hybridMultilevel"/>
    <w:lvl w:ilvl="0">
      <w:lvlJc w:val="left"/>
      <w:lvlText w:val="ü"/>
      <w:numFmt w:val="bullet"/>
      <w:start w:val="1"/>
    </w:lvl>
  </w:abstractNum>
  <w:abstractNum w:abstractNumId="8">
    <w:nsid w:val="79A1DEAA"/>
    <w:multiLevelType w:val="hybridMultilevel"/>
    <w:lvl w:ilvl="0">
      <w:lvlJc w:val="left"/>
      <w:lvlText w:val="ü"/>
      <w:numFmt w:val="bullet"/>
      <w:start w:val="1"/>
    </w:lvl>
  </w:abstractNum>
  <w:abstractNum w:abstractNumId="9">
    <w:nsid w:val="75C6C33A"/>
    <w:multiLevelType w:val="hybridMultilevel"/>
    <w:lvl w:ilvl="0">
      <w:lvlJc w:val="left"/>
      <w:lvlText w:val="4"/>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lvl w:ilvl="1">
      <w:lvlJc w:val="left"/>
      <w:lvlText w:val="\emdash "/>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lvl w:ilvl="1">
      <w:lvlJc w:val="left"/>
      <w:lvlText w:val="\emdash "/>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6"/>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lvl w:ilvl="1">
      <w:lvlJc w:val="left"/>
      <w:lvlText w:val="\emdash "/>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lvl w:ilvl="1">
      <w:lvlJc w:val="left"/>
      <w:lvlText w:val="\emdash "/>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8"/>
      <w:numFmt w:val="bullet"/>
      <w:start w:val="1"/>
    </w:lvl>
  </w:abstractNum>
  <w:abstractNum w:abstractNumId="22">
    <w:nsid w:val="47398C89"/>
    <w:multiLevelType w:val="hybridMultilevel"/>
    <w:lvl w:ilvl="0">
      <w:lvlJc w:val="left"/>
      <w:lvlText w:val="■"/>
      <w:numFmt w:val="bullet"/>
      <w:start w:val="1"/>
    </w:lvl>
    <w:lvl w:ilvl="1">
      <w:lvlJc w:val="left"/>
      <w:lvlText w:val="\emdash "/>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lvl w:ilvl="1">
      <w:lvlJc w:val="left"/>
      <w:lvlText w:val="\emdash "/>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lvl w:ilvl="1">
      <w:lvlJc w:val="left"/>
      <w:lvlText w:val="\emdash "/>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lvl w:ilvl="1">
      <w:lvlJc w:val="left"/>
      <w:lvlText w:val="\emdash "/>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ü"/>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lvl w:ilvl="1">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lvl w:ilvl="1">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lvl w:ilvl="1">
      <w:lvlJc w:val="left"/>
      <w:lvlText w:val="◦"/>
      <w:numFmt w:val="bullet"/>
      <w:start w:val="1"/>
    </w:lvl>
  </w:abstractNum>
  <w:abstractNum w:abstractNumId="55">
    <w:nsid w:val="7BD3EE7B"/>
    <w:multiLevelType w:val="hybridMultilevel"/>
    <w:lvl w:ilvl="0">
      <w:lvlJc w:val="left"/>
      <w:lvlText w:val="ü"/>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decimal"/>
      <w:start w:val="1"/>
    </w:lvl>
    <w:lvl w:ilvl="1">
      <w:lvlJc w:val="left"/>
      <w:lvlText w:val="(%2)"/>
      <w:numFmt w:val="decimal"/>
      <w:start w:val="2"/>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1)"/>
      <w:numFmt w:val="decimal"/>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3"/>
    </w:lvl>
    <w:lvl w:ilvl="1">
      <w:lvlJc w:val="left"/>
      <w:lvlText w:val="*"/>
      <w:numFmt w:val="bullet"/>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2"/>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upperLetter"/>
      <w:start w:val="1"/>
    </w:lvl>
  </w:abstractNum>
  <w:abstractNum w:abstractNumId="84">
    <w:nsid w:val="74DE0EE3"/>
    <w:multiLevelType w:val="hybridMultilevel"/>
    <w:lvl w:ilvl="0">
      <w:lvlJc w:val="left"/>
      <w:lvlText w:val="(%1)"/>
      <w:numFmt w:val="upperLetter"/>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1)"/>
      <w:numFmt w:val="lowerRoman"/>
      <w:start w:val="4"/>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2024-04-04T08:10:52Z</dcterms:created>
  <dcterms:modified xsi:type="dcterms:W3CDTF">2024-04-04T08:10:52Z</dcterms:modified>
</cp:coreProperties>
</file>