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118110</wp:posOffset>
            </wp:positionV>
            <wp:extent cx="2228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8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6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92075</wp:posOffset>
            </wp:positionV>
            <wp:extent cx="2228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20" w:right="3119" w:firstLine="6"/>
        <w:spacing w:after="0" w:line="283" w:lineRule="exact"/>
        <w:tabs>
          <w:tab w:leader="none" w:pos="6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03" w:lineRule="exact"/>
        <w:rPr>
          <w:sz w:val="24"/>
          <w:szCs w:val="24"/>
          <w:color w:val="auto"/>
        </w:rPr>
      </w:pPr>
    </w:p>
    <w:p>
      <w:pPr>
        <w:ind w:left="2920"/>
        <w:spacing w:after="0"/>
        <w:rPr>
          <w:sz w:val="20"/>
          <w:szCs w:val="20"/>
          <w:color w:val="auto"/>
        </w:rPr>
      </w:pPr>
      <w:r>
        <w:rPr>
          <w:rFonts w:ascii="Arial" w:cs="Arial" w:eastAsia="Arial" w:hAnsi="Arial"/>
          <w:sz w:val="36"/>
          <w:szCs w:val="36"/>
          <w:b w:val="1"/>
          <w:bCs w:val="1"/>
          <w:color w:val="auto"/>
        </w:rPr>
        <w:t>ON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146685</wp:posOffset>
            </wp:positionV>
            <wp:extent cx="6163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30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292100</wp:posOffset>
            </wp:positionV>
            <wp:extent cx="6163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660" w:hanging="63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660" w:hanging="63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859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593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706120</wp:posOffset>
            </wp:positionV>
            <wp:extent cx="245999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59990" cy="50609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E97D2E"/>
        </w:rPr>
        <w:t>NOTICE OF ANNUAL MEETING OF STOCKHOLDERS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2820" w:type="dxa"/>
            <w:vAlign w:val="bottom"/>
            <w:vMerge w:val="restart"/>
          </w:tcPr>
          <w:p>
            <w:pPr>
              <w:jc w:val="center"/>
              <w:ind w:right="433"/>
              <w:spacing w:after="0"/>
              <w:rPr>
                <w:sz w:val="20"/>
                <w:szCs w:val="20"/>
                <w:color w:val="auto"/>
              </w:rPr>
            </w:pPr>
            <w:r>
              <w:rPr>
                <w:rFonts w:ascii="Arial" w:cs="Arial" w:eastAsia="Arial" w:hAnsi="Arial"/>
                <w:sz w:val="16"/>
                <w:szCs w:val="16"/>
                <w:b w:val="1"/>
                <w:bCs w:val="1"/>
                <w:color w:val="auto"/>
                <w:w w:val="96"/>
              </w:rPr>
              <w:t>DATE</w:t>
            </w:r>
          </w:p>
        </w:tc>
        <w:tc>
          <w:tcPr>
            <w:tcW w:w="2520" w:type="dxa"/>
            <w:vAlign w:val="bottom"/>
            <w:vMerge w:val="restart"/>
          </w:tcPr>
          <w:p>
            <w:pPr>
              <w:jc w:val="center"/>
              <w:ind w:right="1179"/>
              <w:spacing w:after="0"/>
              <w:rPr>
                <w:sz w:val="20"/>
                <w:szCs w:val="20"/>
                <w:color w:val="auto"/>
              </w:rPr>
            </w:pPr>
            <w:r>
              <w:rPr>
                <w:rFonts w:ascii="Arial" w:cs="Arial" w:eastAsia="Arial" w:hAnsi="Arial"/>
                <w:sz w:val="16"/>
                <w:szCs w:val="16"/>
                <w:b w:val="1"/>
                <w:bCs w:val="1"/>
                <w:color w:val="auto"/>
                <w:w w:val="99"/>
              </w:rPr>
              <w:t>TIME</w:t>
            </w:r>
          </w:p>
        </w:tc>
        <w:tc>
          <w:tcPr>
            <w:tcW w:w="224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LOCATION</w:t>
            </w:r>
          </w:p>
        </w:tc>
        <w:tc>
          <w:tcPr>
            <w:tcW w:w="1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2520" w:type="dxa"/>
            <w:vAlign w:val="bottom"/>
            <w:vMerge w:val="continue"/>
          </w:tcPr>
          <w:p>
            <w:pPr>
              <w:spacing w:after="0"/>
              <w:rPr>
                <w:sz w:val="7"/>
                <w:szCs w:val="7"/>
                <w:color w:val="auto"/>
              </w:rPr>
            </w:pPr>
          </w:p>
        </w:tc>
        <w:tc>
          <w:tcPr>
            <w:tcW w:w="2240" w:type="dxa"/>
            <w:vAlign w:val="bottom"/>
            <w:gridSpan w:val="2"/>
            <w:vMerge w:val="restart"/>
          </w:tcPr>
          <w:p>
            <w:pPr>
              <w:jc w:val="center"/>
              <w:ind w:left="19"/>
              <w:spacing w:after="0" w:line="162" w:lineRule="exact"/>
              <w:rPr>
                <w:sz w:val="20"/>
                <w:szCs w:val="20"/>
                <w:color w:val="auto"/>
              </w:rPr>
            </w:pPr>
            <w:r>
              <w:rPr>
                <w:rFonts w:ascii="Arial" w:cs="Arial" w:eastAsia="Arial" w:hAnsi="Arial"/>
                <w:sz w:val="16"/>
                <w:szCs w:val="16"/>
                <w:color w:val="auto"/>
              </w:rPr>
              <w:t>Principal Executive Offices at</w:t>
            </w:r>
          </w:p>
        </w:tc>
        <w:tc>
          <w:tcPr>
            <w:tcW w:w="1680" w:type="dxa"/>
            <w:vAlign w:val="bottom"/>
          </w:tcPr>
          <w:p>
            <w:pPr>
              <w:spacing w:after="0"/>
              <w:rPr>
                <w:sz w:val="7"/>
                <w:szCs w:val="7"/>
                <w:color w:val="auto"/>
              </w:rPr>
            </w:pPr>
          </w:p>
        </w:tc>
        <w:tc>
          <w:tcPr>
            <w:tcW w:w="1480" w:type="dxa"/>
            <w:vAlign w:val="bottom"/>
            <w:gridSpan w:val="2"/>
            <w:vMerge w:val="restart"/>
          </w:tcPr>
          <w:p>
            <w:pPr>
              <w:spacing w:after="0" w:line="162" w:lineRule="exact"/>
              <w:rPr>
                <w:sz w:val="20"/>
                <w:szCs w:val="20"/>
                <w:color w:val="auto"/>
              </w:rPr>
            </w:pPr>
            <w:r>
              <w:rPr>
                <w:rFonts w:ascii="Arial" w:cs="Arial" w:eastAsia="Arial" w:hAnsi="Arial"/>
                <w:sz w:val="16"/>
                <w:szCs w:val="16"/>
                <w:b w:val="1"/>
                <w:bCs w:val="1"/>
                <w:color w:val="auto"/>
              </w:rPr>
              <w:t>RECORD DATE</w:t>
            </w: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vMerge w:val="restart"/>
          </w:tcPr>
          <w:p>
            <w:pPr>
              <w:jc w:val="center"/>
              <w:ind w:right="433"/>
              <w:spacing w:after="0" w:line="162" w:lineRule="exact"/>
              <w:rPr>
                <w:sz w:val="20"/>
                <w:szCs w:val="20"/>
                <w:color w:val="auto"/>
              </w:rPr>
            </w:pPr>
            <w:r>
              <w:rPr>
                <w:rFonts w:ascii="Arial" w:cs="Arial" w:eastAsia="Arial" w:hAnsi="Arial"/>
                <w:sz w:val="16"/>
                <w:szCs w:val="16"/>
                <w:color w:val="auto"/>
                <w:w w:val="98"/>
              </w:rPr>
              <w:t>Thursday,</w:t>
            </w:r>
          </w:p>
        </w:tc>
        <w:tc>
          <w:tcPr>
            <w:tcW w:w="2520" w:type="dxa"/>
            <w:vAlign w:val="bottom"/>
            <w:vMerge w:val="restart"/>
          </w:tcPr>
          <w:p>
            <w:pPr>
              <w:jc w:val="center"/>
              <w:ind w:right="1179"/>
              <w:spacing w:after="0" w:line="162" w:lineRule="exact"/>
              <w:rPr>
                <w:sz w:val="20"/>
                <w:szCs w:val="20"/>
                <w:color w:val="auto"/>
              </w:rPr>
            </w:pPr>
            <w:r>
              <w:rPr>
                <w:rFonts w:ascii="Arial" w:cs="Arial" w:eastAsia="Arial" w:hAnsi="Arial"/>
                <w:sz w:val="16"/>
                <w:szCs w:val="16"/>
                <w:color w:val="auto"/>
                <w:w w:val="98"/>
              </w:rPr>
              <w:t>8:00 a.m.</w:t>
            </w:r>
          </w:p>
        </w:tc>
        <w:tc>
          <w:tcPr>
            <w:tcW w:w="224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2520" w:type="dxa"/>
            <w:vAlign w:val="bottom"/>
            <w:vMerge w:val="continue"/>
          </w:tcPr>
          <w:p>
            <w:pPr>
              <w:spacing w:after="0"/>
              <w:rPr>
                <w:sz w:val="7"/>
                <w:szCs w:val="7"/>
                <w:color w:val="auto"/>
              </w:rPr>
            </w:pPr>
          </w:p>
        </w:tc>
        <w:tc>
          <w:tcPr>
            <w:tcW w:w="2240" w:type="dxa"/>
            <w:vAlign w:val="bottom"/>
            <w:gridSpan w:val="2"/>
            <w:vMerge w:val="restart"/>
          </w:tcPr>
          <w:p>
            <w:pPr>
              <w:jc w:val="center"/>
              <w:ind w:left="39"/>
              <w:spacing w:after="0" w:line="162" w:lineRule="exact"/>
              <w:rPr>
                <w:sz w:val="20"/>
                <w:szCs w:val="20"/>
                <w:color w:val="auto"/>
              </w:rPr>
            </w:pPr>
            <w:r>
              <w:rPr>
                <w:rFonts w:ascii="Arial" w:cs="Arial" w:eastAsia="Arial" w:hAnsi="Arial"/>
                <w:sz w:val="16"/>
                <w:szCs w:val="16"/>
                <w:color w:val="auto"/>
              </w:rPr>
              <w:t>5701 North Pima Road</w:t>
            </w:r>
          </w:p>
        </w:tc>
        <w:tc>
          <w:tcPr>
            <w:tcW w:w="1680" w:type="dxa"/>
            <w:vAlign w:val="bottom"/>
          </w:tcPr>
          <w:p>
            <w:pPr>
              <w:spacing w:after="0"/>
              <w:rPr>
                <w:sz w:val="7"/>
                <w:szCs w:val="7"/>
                <w:color w:val="auto"/>
              </w:rPr>
            </w:pPr>
          </w:p>
        </w:tc>
        <w:tc>
          <w:tcPr>
            <w:tcW w:w="148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March 21, 2023</w:t>
            </w: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vMerge w:val="restart"/>
          </w:tcPr>
          <w:p>
            <w:pPr>
              <w:jc w:val="center"/>
              <w:ind w:right="433"/>
              <w:spacing w:after="0"/>
              <w:rPr>
                <w:sz w:val="20"/>
                <w:szCs w:val="20"/>
                <w:color w:val="auto"/>
              </w:rPr>
            </w:pPr>
            <w:r>
              <w:rPr>
                <w:rFonts w:ascii="Arial" w:cs="Arial" w:eastAsia="Arial" w:hAnsi="Arial"/>
                <w:sz w:val="16"/>
                <w:szCs w:val="16"/>
                <w:color w:val="auto"/>
              </w:rPr>
              <w:t>May 18, 2023</w:t>
            </w:r>
          </w:p>
        </w:tc>
        <w:tc>
          <w:tcPr>
            <w:tcW w:w="2520" w:type="dxa"/>
            <w:vAlign w:val="bottom"/>
            <w:vMerge w:val="restart"/>
          </w:tcPr>
          <w:p>
            <w:pPr>
              <w:jc w:val="center"/>
              <w:ind w:right="1179"/>
              <w:spacing w:after="0"/>
              <w:rPr>
                <w:sz w:val="20"/>
                <w:szCs w:val="20"/>
                <w:color w:val="auto"/>
              </w:rPr>
            </w:pPr>
            <w:r>
              <w:rPr>
                <w:rFonts w:ascii="Arial" w:cs="Arial" w:eastAsia="Arial" w:hAnsi="Arial"/>
                <w:sz w:val="16"/>
                <w:szCs w:val="16"/>
                <w:color w:val="auto"/>
                <w:w w:val="99"/>
              </w:rPr>
              <w:t>Local Time</w:t>
            </w:r>
          </w:p>
        </w:tc>
        <w:tc>
          <w:tcPr>
            <w:tcW w:w="224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2520" w:type="dxa"/>
            <w:vAlign w:val="bottom"/>
            <w:vMerge w:val="continue"/>
          </w:tcPr>
          <w:p>
            <w:pPr>
              <w:spacing w:after="0"/>
              <w:rPr>
                <w:sz w:val="11"/>
                <w:szCs w:val="11"/>
                <w:color w:val="auto"/>
              </w:rPr>
            </w:pPr>
          </w:p>
        </w:tc>
        <w:tc>
          <w:tcPr>
            <w:tcW w:w="22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rPr>
              <w:t>Scottsdale, Arizona 85250</w:t>
            </w:r>
          </w:p>
        </w:tc>
        <w:tc>
          <w:tcPr>
            <w:tcW w:w="1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24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60" w:type="dxa"/>
            <w:vAlign w:val="bottom"/>
            <w:shd w:val="clear" w:color="auto" w:fill="465E66"/>
          </w:tcPr>
          <w:p>
            <w:pPr>
              <w:spacing w:after="0"/>
              <w:rPr>
                <w:sz w:val="24"/>
                <w:szCs w:val="24"/>
                <w:color w:val="auto"/>
              </w:rPr>
            </w:pPr>
          </w:p>
        </w:tc>
        <w:tc>
          <w:tcPr>
            <w:tcW w:w="2820" w:type="dxa"/>
            <w:vAlign w:val="bottom"/>
            <w:shd w:val="clear" w:color="auto" w:fill="465E66"/>
          </w:tcPr>
          <w:p>
            <w:pPr>
              <w:spacing w:after="0"/>
              <w:rPr>
                <w:sz w:val="24"/>
                <w:szCs w:val="24"/>
                <w:color w:val="auto"/>
              </w:rPr>
            </w:pPr>
          </w:p>
        </w:tc>
        <w:tc>
          <w:tcPr>
            <w:tcW w:w="2520" w:type="dxa"/>
            <w:vAlign w:val="bottom"/>
            <w:shd w:val="clear" w:color="auto" w:fill="465E66"/>
          </w:tcPr>
          <w:p>
            <w:pPr>
              <w:spacing w:after="0"/>
              <w:rPr>
                <w:sz w:val="24"/>
                <w:szCs w:val="24"/>
                <w:color w:val="auto"/>
              </w:rPr>
            </w:pPr>
          </w:p>
        </w:tc>
        <w:tc>
          <w:tcPr>
            <w:tcW w:w="1880" w:type="dxa"/>
            <w:vAlign w:val="bottom"/>
            <w:shd w:val="clear" w:color="auto" w:fill="465E66"/>
          </w:tcPr>
          <w:p>
            <w:pPr>
              <w:spacing w:after="0"/>
              <w:rPr>
                <w:sz w:val="24"/>
                <w:szCs w:val="24"/>
                <w:color w:val="auto"/>
              </w:rPr>
            </w:pPr>
          </w:p>
        </w:tc>
        <w:tc>
          <w:tcPr>
            <w:tcW w:w="360" w:type="dxa"/>
            <w:vAlign w:val="bottom"/>
            <w:shd w:val="clear" w:color="auto" w:fill="465E66"/>
          </w:tcPr>
          <w:p>
            <w:pPr>
              <w:spacing w:after="0"/>
              <w:rPr>
                <w:sz w:val="24"/>
                <w:szCs w:val="24"/>
                <w:color w:val="auto"/>
              </w:rPr>
            </w:pPr>
          </w:p>
        </w:tc>
        <w:tc>
          <w:tcPr>
            <w:tcW w:w="1680" w:type="dxa"/>
            <w:vAlign w:val="bottom"/>
            <w:shd w:val="clear" w:color="auto" w:fill="465E66"/>
          </w:tcPr>
          <w:p>
            <w:pPr>
              <w:spacing w:after="0"/>
              <w:rPr>
                <w:sz w:val="24"/>
                <w:szCs w:val="24"/>
                <w:color w:val="auto"/>
              </w:rPr>
            </w:pPr>
          </w:p>
        </w:tc>
        <w:tc>
          <w:tcPr>
            <w:tcW w:w="380" w:type="dxa"/>
            <w:vAlign w:val="bottom"/>
            <w:shd w:val="clear" w:color="auto" w:fill="465E66"/>
          </w:tcPr>
          <w:p>
            <w:pPr>
              <w:spacing w:after="0"/>
              <w:rPr>
                <w:sz w:val="24"/>
                <w:szCs w:val="24"/>
                <w:color w:val="auto"/>
              </w:rPr>
            </w:pPr>
          </w:p>
        </w:tc>
        <w:tc>
          <w:tcPr>
            <w:tcW w:w="1100" w:type="dxa"/>
            <w:vAlign w:val="bottom"/>
            <w:shd w:val="clear" w:color="auto" w:fill="465E6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60" w:type="dxa"/>
            <w:vAlign w:val="bottom"/>
            <w:shd w:val="clear" w:color="auto" w:fill="F9EAE1"/>
          </w:tcPr>
          <w:p>
            <w:pPr>
              <w:spacing w:after="0"/>
              <w:rPr>
                <w:sz w:val="12"/>
                <w:szCs w:val="12"/>
                <w:color w:val="auto"/>
              </w:rPr>
            </w:pPr>
          </w:p>
        </w:tc>
        <w:tc>
          <w:tcPr>
            <w:tcW w:w="1680" w:type="dxa"/>
            <w:vAlign w:val="bottom"/>
            <w:vMerge w:val="restart"/>
            <w:shd w:val="clear" w:color="auto" w:fill="F9EAE1"/>
          </w:tcPr>
          <w:p>
            <w:pPr>
              <w:jc w:val="center"/>
              <w:spacing w:after="0"/>
              <w:rPr>
                <w:sz w:val="20"/>
                <w:szCs w:val="20"/>
                <w:color w:val="auto"/>
              </w:rPr>
            </w:pPr>
            <w:r>
              <w:rPr>
                <w:rFonts w:ascii="Arial" w:cs="Arial" w:eastAsia="Arial" w:hAnsi="Arial"/>
                <w:sz w:val="14"/>
                <w:szCs w:val="14"/>
                <w:b w:val="1"/>
                <w:bCs w:val="1"/>
                <w:color w:val="auto"/>
              </w:rPr>
              <w:t>Board Recommendation</w:t>
            </w:r>
          </w:p>
        </w:tc>
        <w:tc>
          <w:tcPr>
            <w:tcW w:w="380" w:type="dxa"/>
            <w:vAlign w:val="bottom"/>
            <w:shd w:val="clear" w:color="auto" w:fill="F9EAE1"/>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460" w:type="dxa"/>
            <w:vAlign w:val="bottom"/>
            <w:tcBorders>
              <w:bottom w:val="single" w:sz="8" w:color="E97D2E"/>
            </w:tcBorders>
          </w:tcPr>
          <w:p>
            <w:pPr>
              <w:spacing w:after="0"/>
              <w:rPr>
                <w:sz w:val="16"/>
                <w:szCs w:val="16"/>
                <w:color w:val="auto"/>
              </w:rPr>
            </w:pPr>
          </w:p>
        </w:tc>
        <w:tc>
          <w:tcPr>
            <w:tcW w:w="2820" w:type="dxa"/>
            <w:vAlign w:val="bottom"/>
            <w:tcBorders>
              <w:bottom w:val="single" w:sz="8" w:color="E97D2E"/>
            </w:tcBorders>
          </w:tcPr>
          <w:p>
            <w:pPr>
              <w:spacing w:after="0"/>
              <w:rPr>
                <w:sz w:val="16"/>
                <w:szCs w:val="16"/>
                <w:color w:val="auto"/>
              </w:rPr>
            </w:pPr>
          </w:p>
        </w:tc>
        <w:tc>
          <w:tcPr>
            <w:tcW w:w="2520" w:type="dxa"/>
            <w:vAlign w:val="bottom"/>
            <w:tcBorders>
              <w:bottom w:val="single" w:sz="8" w:color="E97D2E"/>
            </w:tcBorders>
          </w:tcPr>
          <w:p>
            <w:pPr>
              <w:spacing w:after="0"/>
              <w:rPr>
                <w:sz w:val="16"/>
                <w:szCs w:val="16"/>
                <w:color w:val="auto"/>
              </w:rPr>
            </w:pPr>
          </w:p>
        </w:tc>
        <w:tc>
          <w:tcPr>
            <w:tcW w:w="1880" w:type="dxa"/>
            <w:vAlign w:val="bottom"/>
            <w:tcBorders>
              <w:bottom w:val="single" w:sz="8" w:color="E97D2E"/>
            </w:tcBorders>
          </w:tcPr>
          <w:p>
            <w:pPr>
              <w:spacing w:after="0"/>
              <w:rPr>
                <w:sz w:val="16"/>
                <w:szCs w:val="16"/>
                <w:color w:val="auto"/>
              </w:rPr>
            </w:pPr>
          </w:p>
        </w:tc>
        <w:tc>
          <w:tcPr>
            <w:tcW w:w="360" w:type="dxa"/>
            <w:vAlign w:val="bottom"/>
            <w:tcBorders>
              <w:bottom w:val="single" w:sz="8" w:color="E97D2E"/>
            </w:tcBorders>
            <w:shd w:val="clear" w:color="auto" w:fill="F9EAE1"/>
          </w:tcPr>
          <w:p>
            <w:pPr>
              <w:spacing w:after="0"/>
              <w:rPr>
                <w:sz w:val="16"/>
                <w:szCs w:val="16"/>
                <w:color w:val="auto"/>
              </w:rPr>
            </w:pPr>
          </w:p>
        </w:tc>
        <w:tc>
          <w:tcPr>
            <w:tcW w:w="1680" w:type="dxa"/>
            <w:vAlign w:val="bottom"/>
            <w:tcBorders>
              <w:bottom w:val="single" w:sz="8" w:color="E97D2E"/>
            </w:tcBorders>
            <w:vMerge w:val="continue"/>
            <w:shd w:val="clear" w:color="auto" w:fill="F9EAE1"/>
          </w:tcPr>
          <w:p>
            <w:pPr>
              <w:spacing w:after="0"/>
              <w:rPr>
                <w:sz w:val="16"/>
                <w:szCs w:val="16"/>
                <w:color w:val="auto"/>
              </w:rPr>
            </w:pPr>
          </w:p>
        </w:tc>
        <w:tc>
          <w:tcPr>
            <w:tcW w:w="380" w:type="dxa"/>
            <w:vAlign w:val="bottom"/>
            <w:tcBorders>
              <w:bottom w:val="single" w:sz="8" w:color="E97D2E"/>
            </w:tcBorders>
            <w:shd w:val="clear" w:color="auto" w:fill="F9EAE1"/>
          </w:tcPr>
          <w:p>
            <w:pPr>
              <w:spacing w:after="0"/>
              <w:rPr>
                <w:sz w:val="16"/>
                <w:szCs w:val="16"/>
                <w:color w:val="auto"/>
              </w:rPr>
            </w:pPr>
          </w:p>
        </w:tc>
        <w:tc>
          <w:tcPr>
            <w:tcW w:w="1100" w:type="dxa"/>
            <w:vAlign w:val="bottom"/>
            <w:tcBorders>
              <w:bottom w:val="single" w:sz="8" w:color="E97D2E"/>
            </w:tcBorders>
          </w:tcPr>
          <w:p>
            <w:pPr>
              <w:jc w:val="center"/>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304"/>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5"/>
                <w:szCs w:val="25"/>
                <w:b w:val="1"/>
                <w:bCs w:val="1"/>
                <w:color w:val="E97D2E"/>
              </w:rPr>
              <w:t>1</w:t>
            </w:r>
          </w:p>
        </w:tc>
        <w:tc>
          <w:tcPr>
            <w:tcW w:w="5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To elect nine directors nominated by our Board of Directors</w:t>
            </w:r>
          </w:p>
        </w:tc>
        <w:tc>
          <w:tcPr>
            <w:tcW w:w="1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shd w:val="clear" w:color="auto" w:fill="F9EAE1"/>
          </w:tcPr>
          <w:p>
            <w:pPr>
              <w:spacing w:after="0"/>
              <w:rPr>
                <w:sz w:val="24"/>
                <w:szCs w:val="24"/>
                <w:color w:val="auto"/>
              </w:rPr>
            </w:pPr>
          </w:p>
        </w:tc>
        <w:tc>
          <w:tcPr>
            <w:tcW w:w="1680" w:type="dxa"/>
            <w:vAlign w:val="bottom"/>
            <w:tcBorders>
              <w:bottom w:val="single" w:sz="8" w:color="auto"/>
            </w:tcBorders>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380" w:type="dxa"/>
            <w:vAlign w:val="bottom"/>
            <w:tcBorders>
              <w:bottom w:val="single" w:sz="8" w:color="auto"/>
            </w:tcBorders>
            <w:shd w:val="clear" w:color="auto" w:fill="F9EAE1"/>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169"/>
        </w:trPr>
        <w:tc>
          <w:tcPr>
            <w:tcW w:w="460" w:type="dxa"/>
            <w:vAlign w:val="bottom"/>
            <w:vMerge w:val="restart"/>
          </w:tcPr>
          <w:p>
            <w:pPr>
              <w:jc w:val="right"/>
              <w:spacing w:after="0"/>
              <w:rPr>
                <w:sz w:val="20"/>
                <w:szCs w:val="20"/>
                <w:color w:val="auto"/>
              </w:rPr>
            </w:pPr>
            <w:r>
              <w:rPr>
                <w:rFonts w:ascii="Arial" w:cs="Arial" w:eastAsia="Arial" w:hAnsi="Arial"/>
                <w:sz w:val="25"/>
                <w:szCs w:val="25"/>
                <w:b w:val="1"/>
                <w:bCs w:val="1"/>
                <w:color w:val="E97D2E"/>
              </w:rPr>
              <w:t>2</w:t>
            </w:r>
          </w:p>
        </w:tc>
        <w:tc>
          <w:tcPr>
            <w:tcW w:w="7220" w:type="dxa"/>
            <w:vAlign w:val="bottom"/>
            <w:gridSpan w:val="3"/>
          </w:tcPr>
          <w:p>
            <w:pPr>
              <w:ind w:left="100"/>
              <w:spacing w:after="0" w:line="169" w:lineRule="exact"/>
              <w:rPr>
                <w:sz w:val="20"/>
                <w:szCs w:val="20"/>
                <w:color w:val="auto"/>
              </w:rPr>
            </w:pPr>
            <w:r>
              <w:rPr>
                <w:rFonts w:ascii="Arial" w:cs="Arial" w:eastAsia="Arial" w:hAnsi="Arial"/>
                <w:sz w:val="18"/>
                <w:szCs w:val="18"/>
                <w:b w:val="1"/>
                <w:bCs w:val="1"/>
                <w:color w:val="auto"/>
              </w:rPr>
              <w:t>To vote on an advisory (non-binding) resolution to approve the compensation of</w:t>
            </w:r>
          </w:p>
        </w:tc>
        <w:tc>
          <w:tcPr>
            <w:tcW w:w="360" w:type="dxa"/>
            <w:vAlign w:val="bottom"/>
            <w:shd w:val="clear" w:color="auto" w:fill="F9EAE1"/>
          </w:tcPr>
          <w:p>
            <w:pPr>
              <w:spacing w:after="0"/>
              <w:rPr>
                <w:sz w:val="14"/>
                <w:szCs w:val="14"/>
                <w:color w:val="auto"/>
              </w:rPr>
            </w:pPr>
          </w:p>
        </w:tc>
        <w:tc>
          <w:tcPr>
            <w:tcW w:w="1680" w:type="dxa"/>
            <w:vAlign w:val="bottom"/>
            <w:vMerge w:val="restart"/>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380" w:type="dxa"/>
            <w:vAlign w:val="bottom"/>
            <w:shd w:val="clear" w:color="auto" w:fill="F9EAE1"/>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25</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vMerge w:val="continue"/>
          </w:tcPr>
          <w:p>
            <w:pPr>
              <w:spacing w:after="0"/>
              <w:rPr>
                <w:sz w:val="21"/>
                <w:szCs w:val="21"/>
                <w:color w:val="auto"/>
              </w:rPr>
            </w:pPr>
          </w:p>
        </w:tc>
        <w:tc>
          <w:tcPr>
            <w:tcW w:w="2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our named executive officers</w:t>
            </w:r>
          </w:p>
        </w:tc>
        <w:tc>
          <w:tcPr>
            <w:tcW w:w="25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shd w:val="clear" w:color="auto" w:fill="F9EAE1"/>
          </w:tcPr>
          <w:p>
            <w:pPr>
              <w:spacing w:after="0"/>
              <w:rPr>
                <w:sz w:val="21"/>
                <w:szCs w:val="21"/>
                <w:color w:val="auto"/>
              </w:rPr>
            </w:pPr>
          </w:p>
        </w:tc>
        <w:tc>
          <w:tcPr>
            <w:tcW w:w="1680" w:type="dxa"/>
            <w:vAlign w:val="bottom"/>
            <w:tcBorders>
              <w:bottom w:val="single" w:sz="8" w:color="auto"/>
            </w:tcBorders>
            <w:vMerge w:val="continue"/>
            <w:shd w:val="clear" w:color="auto" w:fill="F9EAE1"/>
          </w:tcPr>
          <w:p>
            <w:pPr>
              <w:spacing w:after="0"/>
              <w:rPr>
                <w:sz w:val="21"/>
                <w:szCs w:val="21"/>
                <w:color w:val="auto"/>
              </w:rPr>
            </w:pPr>
          </w:p>
        </w:tc>
        <w:tc>
          <w:tcPr>
            <w:tcW w:w="380" w:type="dxa"/>
            <w:vAlign w:val="bottom"/>
            <w:tcBorders>
              <w:bottom w:val="single" w:sz="8" w:color="auto"/>
            </w:tcBorders>
            <w:shd w:val="clear" w:color="auto" w:fill="F9EAE1"/>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5"/>
                <w:szCs w:val="25"/>
                <w:b w:val="1"/>
                <w:bCs w:val="1"/>
                <w:color w:val="E97D2E"/>
              </w:rPr>
              <w:t>3</w:t>
            </w:r>
          </w:p>
        </w:tc>
        <w:tc>
          <w:tcPr>
            <w:tcW w:w="72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To vote on the frequency of future advisory votes on executive compensation</w:t>
            </w:r>
          </w:p>
        </w:tc>
        <w:tc>
          <w:tcPr>
            <w:tcW w:w="360" w:type="dxa"/>
            <w:vAlign w:val="bottom"/>
            <w:tcBorders>
              <w:bottom w:val="single" w:sz="8" w:color="auto"/>
            </w:tcBorders>
            <w:shd w:val="clear" w:color="auto" w:fill="F9EAE1"/>
          </w:tcPr>
          <w:p>
            <w:pPr>
              <w:spacing w:after="0"/>
              <w:rPr>
                <w:sz w:val="24"/>
                <w:szCs w:val="24"/>
                <w:color w:val="auto"/>
              </w:rPr>
            </w:pPr>
          </w:p>
        </w:tc>
        <w:tc>
          <w:tcPr>
            <w:tcW w:w="1680" w:type="dxa"/>
            <w:vAlign w:val="bottom"/>
            <w:tcBorders>
              <w:bottom w:val="single" w:sz="8" w:color="auto"/>
            </w:tcBorders>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1 YEAR</w:t>
            </w:r>
          </w:p>
        </w:tc>
        <w:tc>
          <w:tcPr>
            <w:tcW w:w="380" w:type="dxa"/>
            <w:vAlign w:val="bottom"/>
            <w:tcBorders>
              <w:bottom w:val="single" w:sz="8" w:color="auto"/>
            </w:tcBorders>
            <w:shd w:val="clear" w:color="auto" w:fill="F9EAE1"/>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26</w:t>
            </w:r>
          </w:p>
        </w:tc>
        <w:tc>
          <w:tcPr>
            <w:tcW w:w="0" w:type="dxa"/>
            <w:vAlign w:val="bottom"/>
          </w:tcPr>
          <w:p>
            <w:pPr>
              <w:spacing w:after="0"/>
              <w:rPr>
                <w:sz w:val="1"/>
                <w:szCs w:val="1"/>
                <w:color w:val="auto"/>
              </w:rPr>
            </w:pPr>
          </w:p>
        </w:tc>
      </w:tr>
      <w:tr>
        <w:trPr>
          <w:trHeight w:val="169"/>
        </w:trPr>
        <w:tc>
          <w:tcPr>
            <w:tcW w:w="460" w:type="dxa"/>
            <w:vAlign w:val="bottom"/>
            <w:vMerge w:val="restart"/>
          </w:tcPr>
          <w:p>
            <w:pPr>
              <w:jc w:val="right"/>
              <w:spacing w:after="0"/>
              <w:rPr>
                <w:sz w:val="20"/>
                <w:szCs w:val="20"/>
                <w:color w:val="auto"/>
              </w:rPr>
            </w:pPr>
            <w:r>
              <w:rPr>
                <w:rFonts w:ascii="Arial" w:cs="Arial" w:eastAsia="Arial" w:hAnsi="Arial"/>
                <w:sz w:val="25"/>
                <w:szCs w:val="25"/>
                <w:b w:val="1"/>
                <w:bCs w:val="1"/>
                <w:color w:val="E97D2E"/>
              </w:rPr>
              <w:t>4</w:t>
            </w:r>
          </w:p>
        </w:tc>
        <w:tc>
          <w:tcPr>
            <w:tcW w:w="7220" w:type="dxa"/>
            <w:vAlign w:val="bottom"/>
            <w:gridSpan w:val="3"/>
          </w:tcPr>
          <w:p>
            <w:pPr>
              <w:ind w:left="100"/>
              <w:spacing w:after="0" w:line="169" w:lineRule="exact"/>
              <w:rPr>
                <w:sz w:val="20"/>
                <w:szCs w:val="20"/>
                <w:color w:val="auto"/>
              </w:rPr>
            </w:pPr>
            <w:r>
              <w:rPr>
                <w:rFonts w:ascii="Arial" w:cs="Arial" w:eastAsia="Arial" w:hAnsi="Arial"/>
                <w:sz w:val="18"/>
                <w:szCs w:val="18"/>
                <w:b w:val="1"/>
                <w:bCs w:val="1"/>
                <w:color w:val="auto"/>
              </w:rPr>
              <w:t>To ratify the selection of PricewaterhouseCoopers LLP as our independent</w:t>
            </w:r>
          </w:p>
        </w:tc>
        <w:tc>
          <w:tcPr>
            <w:tcW w:w="360" w:type="dxa"/>
            <w:vAlign w:val="bottom"/>
            <w:shd w:val="clear" w:color="auto" w:fill="F9EAE1"/>
          </w:tcPr>
          <w:p>
            <w:pPr>
              <w:spacing w:after="0"/>
              <w:rPr>
                <w:sz w:val="14"/>
                <w:szCs w:val="14"/>
                <w:color w:val="auto"/>
              </w:rPr>
            </w:pPr>
          </w:p>
        </w:tc>
        <w:tc>
          <w:tcPr>
            <w:tcW w:w="1680" w:type="dxa"/>
            <w:vAlign w:val="bottom"/>
            <w:vMerge w:val="restart"/>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380" w:type="dxa"/>
            <w:vAlign w:val="bottom"/>
            <w:shd w:val="clear" w:color="auto" w:fill="F9EAE1"/>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59</w:t>
            </w:r>
          </w:p>
        </w:tc>
        <w:tc>
          <w:tcPr>
            <w:tcW w:w="0" w:type="dxa"/>
            <w:vAlign w:val="bottom"/>
          </w:tcPr>
          <w:p>
            <w:pPr>
              <w:spacing w:after="0"/>
              <w:rPr>
                <w:sz w:val="1"/>
                <w:szCs w:val="1"/>
                <w:color w:val="auto"/>
              </w:rPr>
            </w:pPr>
          </w:p>
        </w:tc>
      </w:tr>
      <w:tr>
        <w:trPr>
          <w:trHeight w:val="243"/>
        </w:trPr>
        <w:tc>
          <w:tcPr>
            <w:tcW w:w="460" w:type="dxa"/>
            <w:vAlign w:val="bottom"/>
            <w:tcBorders>
              <w:bottom w:val="single" w:sz="8" w:color="E97D2E"/>
            </w:tcBorders>
            <w:vMerge w:val="continue"/>
          </w:tcPr>
          <w:p>
            <w:pPr>
              <w:spacing w:after="0"/>
              <w:rPr>
                <w:sz w:val="21"/>
                <w:szCs w:val="21"/>
                <w:color w:val="auto"/>
              </w:rPr>
            </w:pPr>
          </w:p>
        </w:tc>
        <w:tc>
          <w:tcPr>
            <w:tcW w:w="7220" w:type="dxa"/>
            <w:vAlign w:val="bottom"/>
            <w:tcBorders>
              <w:bottom w:val="single" w:sz="8" w:color="E97D2E"/>
            </w:tcBorders>
            <w:gridSpan w:val="3"/>
          </w:tcPr>
          <w:p>
            <w:pPr>
              <w:ind w:left="100"/>
              <w:spacing w:after="0"/>
              <w:rPr>
                <w:sz w:val="20"/>
                <w:szCs w:val="20"/>
                <w:color w:val="auto"/>
              </w:rPr>
            </w:pPr>
            <w:r>
              <w:rPr>
                <w:rFonts w:ascii="Arial" w:cs="Arial" w:eastAsia="Arial" w:hAnsi="Arial"/>
                <w:sz w:val="18"/>
                <w:szCs w:val="18"/>
                <w:b w:val="1"/>
                <w:bCs w:val="1"/>
                <w:color w:val="auto"/>
              </w:rPr>
              <w:t>registered public accounting firm for the year ending December 31, 2023</w:t>
            </w:r>
          </w:p>
        </w:tc>
        <w:tc>
          <w:tcPr>
            <w:tcW w:w="360" w:type="dxa"/>
            <w:vAlign w:val="bottom"/>
            <w:tcBorders>
              <w:bottom w:val="single" w:sz="8" w:color="E97D2E"/>
            </w:tcBorders>
            <w:shd w:val="clear" w:color="auto" w:fill="F9EAE1"/>
          </w:tcPr>
          <w:p>
            <w:pPr>
              <w:spacing w:after="0"/>
              <w:rPr>
                <w:sz w:val="21"/>
                <w:szCs w:val="21"/>
                <w:color w:val="auto"/>
              </w:rPr>
            </w:pPr>
          </w:p>
        </w:tc>
        <w:tc>
          <w:tcPr>
            <w:tcW w:w="1680" w:type="dxa"/>
            <w:vAlign w:val="bottom"/>
            <w:tcBorders>
              <w:bottom w:val="single" w:sz="8" w:color="E97D2E"/>
            </w:tcBorders>
            <w:vMerge w:val="continue"/>
            <w:shd w:val="clear" w:color="auto" w:fill="F9EAE1"/>
          </w:tcPr>
          <w:p>
            <w:pPr>
              <w:spacing w:after="0"/>
              <w:rPr>
                <w:sz w:val="21"/>
                <w:szCs w:val="21"/>
                <w:color w:val="auto"/>
              </w:rPr>
            </w:pPr>
          </w:p>
        </w:tc>
        <w:tc>
          <w:tcPr>
            <w:tcW w:w="380" w:type="dxa"/>
            <w:vAlign w:val="bottom"/>
            <w:tcBorders>
              <w:bottom w:val="single" w:sz="8" w:color="E97D2E"/>
            </w:tcBorders>
            <w:shd w:val="clear" w:color="auto" w:fill="F9EAE1"/>
          </w:tcPr>
          <w:p>
            <w:pPr>
              <w:spacing w:after="0"/>
              <w:rPr>
                <w:sz w:val="21"/>
                <w:szCs w:val="21"/>
                <w:color w:val="auto"/>
              </w:rPr>
            </w:pPr>
          </w:p>
        </w:tc>
        <w:tc>
          <w:tcPr>
            <w:tcW w:w="1100" w:type="dxa"/>
            <w:vAlign w:val="bottom"/>
            <w:tcBorders>
              <w:bottom w:val="single" w:sz="8" w:color="E97D2E"/>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-1885315</wp:posOffset>
            </wp:positionV>
            <wp:extent cx="38544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-1885315</wp:posOffset>
            </wp:positionV>
            <wp:extent cx="38608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-1885315</wp:posOffset>
            </wp:positionV>
            <wp:extent cx="38608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-1885315</wp:posOffset>
            </wp:positionV>
            <wp:extent cx="38608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28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Stockholders will also transact such other business as may properly come before the ON Semiconductor Corporation (the Company) 2023 Annual Meeting of Stockholders (the annual meeting) and any adjournment or postponement of the annual meeting. Only stockholders of record as of the close of business on March 21, 2023 (the record date) are entitled to notice of, and to vote at, the annual meeting or any adjournment or postponement of the annual meeting.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Your vote is very important to us. </w:t>
      </w:r>
      <w:r>
        <w:rPr>
          <w:rFonts w:ascii="Arial" w:cs="Arial" w:eastAsia="Arial" w:hAnsi="Arial"/>
          <w:sz w:val="17"/>
          <w:szCs w:val="17"/>
          <w:color w:val="auto"/>
        </w:rPr>
        <w:t>As in prior years, most stockholders will receive a notice with information on how to access our proxy</w:t>
      </w:r>
      <w:r>
        <w:rPr>
          <w:rFonts w:ascii="Arial" w:cs="Arial" w:eastAsia="Arial" w:hAnsi="Arial"/>
          <w:sz w:val="18"/>
          <w:szCs w:val="18"/>
          <w:b w:val="1"/>
          <w:bCs w:val="1"/>
          <w:color w:val="auto"/>
        </w:rPr>
        <w:t xml:space="preserve"> </w:t>
      </w:r>
      <w:r>
        <w:rPr>
          <w:rFonts w:ascii="Arial" w:cs="Arial" w:eastAsia="Arial" w:hAnsi="Arial"/>
          <w:sz w:val="17"/>
          <w:szCs w:val="17"/>
          <w:color w:val="auto"/>
        </w:rPr>
        <w:t xml:space="preserve">materials and vote online. You may vote online or by phone as described in your proxy card or voting instruction form. If you receive a paper copy of our proxy materials, you may also vote by returning the proxy card or voting instruction form included in those materials. </w:t>
      </w:r>
      <w:r>
        <w:rPr>
          <w:rFonts w:ascii="Arial" w:cs="Arial" w:eastAsia="Arial" w:hAnsi="Arial"/>
          <w:sz w:val="17"/>
          <w:szCs w:val="17"/>
          <w:b w:val="1"/>
          <w:bCs w:val="1"/>
          <w:color w:val="auto"/>
        </w:rPr>
        <w:t>Even if you plan to</w:t>
      </w:r>
      <w:r>
        <w:rPr>
          <w:rFonts w:ascii="Arial" w:cs="Arial" w:eastAsia="Arial" w:hAnsi="Arial"/>
          <w:sz w:val="17"/>
          <w:szCs w:val="17"/>
          <w:color w:val="auto"/>
        </w:rPr>
        <w:t xml:space="preserve"> </w:t>
      </w:r>
      <w:r>
        <w:rPr>
          <w:rFonts w:ascii="Arial" w:cs="Arial" w:eastAsia="Arial" w:hAnsi="Arial"/>
          <w:sz w:val="17"/>
          <w:szCs w:val="17"/>
          <w:b w:val="1"/>
          <w:bCs w:val="1"/>
          <w:color w:val="auto"/>
        </w:rPr>
        <w:t>attend the annual meeting in person, we encourage you to vote your shares in advance by any of the below methods to ensure that your vote will be represented.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Proxy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2220" w:type="dxa"/>
            <w:vAlign w:val="bottom"/>
            <w:gridSpan w:val="2"/>
            <w:vMerge w:val="restart"/>
          </w:tcPr>
          <w:p>
            <w:pPr>
              <w:jc w:val="center"/>
              <w:ind w:right="1220"/>
              <w:spacing w:after="0"/>
              <w:rPr>
                <w:sz w:val="20"/>
                <w:szCs w:val="20"/>
                <w:color w:val="auto"/>
              </w:rPr>
            </w:pPr>
            <w:r>
              <w:rPr>
                <w:rFonts w:ascii="Arial" w:cs="Arial" w:eastAsia="Arial" w:hAnsi="Arial"/>
                <w:sz w:val="16"/>
                <w:szCs w:val="16"/>
                <w:b w:val="1"/>
                <w:bCs w:val="1"/>
                <w:color w:val="auto"/>
                <w:w w:val="99"/>
              </w:rPr>
              <w:t>ONLINE</w:t>
            </w:r>
          </w:p>
        </w:tc>
        <w:tc>
          <w:tcPr>
            <w:tcW w:w="3960" w:type="dxa"/>
            <w:vAlign w:val="bottom"/>
          </w:tcPr>
          <w:p>
            <w:pPr>
              <w:jc w:val="center"/>
              <w:ind w:left="19"/>
              <w:spacing w:after="0"/>
              <w:rPr>
                <w:sz w:val="20"/>
                <w:szCs w:val="20"/>
                <w:color w:val="auto"/>
              </w:rPr>
            </w:pPr>
            <w:r>
              <w:rPr>
                <w:rFonts w:ascii="Arial" w:cs="Arial" w:eastAsia="Arial" w:hAnsi="Arial"/>
                <w:sz w:val="16"/>
                <w:szCs w:val="16"/>
                <w:b w:val="1"/>
                <w:bCs w:val="1"/>
                <w:color w:val="auto"/>
              </w:rPr>
              <w:t>PHONE</w:t>
            </w:r>
          </w:p>
        </w:tc>
        <w:tc>
          <w:tcPr>
            <w:tcW w:w="2920" w:type="dxa"/>
            <w:vAlign w:val="bottom"/>
          </w:tcPr>
          <w:p>
            <w:pPr>
              <w:jc w:val="center"/>
              <w:ind w:left="619"/>
              <w:spacing w:after="0"/>
              <w:rPr>
                <w:sz w:val="20"/>
                <w:szCs w:val="20"/>
                <w:color w:val="auto"/>
              </w:rPr>
            </w:pPr>
            <w:r>
              <w:rPr>
                <w:rFonts w:ascii="Arial" w:cs="Arial" w:eastAsia="Arial" w:hAnsi="Arial"/>
                <w:sz w:val="16"/>
                <w:szCs w:val="16"/>
                <w:b w:val="1"/>
                <w:bCs w:val="1"/>
                <w:color w:val="auto"/>
                <w:w w:val="97"/>
              </w:rPr>
              <w:t>MAIL</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3960" w:type="dxa"/>
            <w:vAlign w:val="bottom"/>
          </w:tcPr>
          <w:p>
            <w:pPr>
              <w:jc w:val="center"/>
              <w:ind w:left="19"/>
              <w:spacing w:after="0" w:line="162" w:lineRule="exact"/>
              <w:rPr>
                <w:sz w:val="20"/>
                <w:szCs w:val="20"/>
                <w:color w:val="auto"/>
              </w:rPr>
            </w:pPr>
            <w:r>
              <w:rPr>
                <w:rFonts w:ascii="Arial" w:cs="Arial" w:eastAsia="Arial" w:hAnsi="Arial"/>
                <w:sz w:val="16"/>
                <w:szCs w:val="16"/>
                <w:color w:val="auto"/>
              </w:rPr>
              <w:t>Call toll-free 1-800-579-1639</w:t>
            </w:r>
          </w:p>
        </w:tc>
        <w:tc>
          <w:tcPr>
            <w:tcW w:w="2920" w:type="dxa"/>
            <w:vAlign w:val="bottom"/>
          </w:tcPr>
          <w:p>
            <w:pPr>
              <w:jc w:val="center"/>
              <w:ind w:left="619"/>
              <w:spacing w:after="0" w:line="162" w:lineRule="exact"/>
              <w:rPr>
                <w:sz w:val="20"/>
                <w:szCs w:val="20"/>
                <w:color w:val="auto"/>
              </w:rPr>
            </w:pPr>
            <w:r>
              <w:rPr>
                <w:rFonts w:ascii="Arial" w:cs="Arial" w:eastAsia="Arial" w:hAnsi="Arial"/>
                <w:sz w:val="16"/>
                <w:szCs w:val="16"/>
                <w:color w:val="auto"/>
              </w:rPr>
              <w:t>Sign, date, detach and return a</w:t>
            </w:r>
          </w:p>
        </w:tc>
        <w:tc>
          <w:tcPr>
            <w:tcW w:w="0" w:type="dxa"/>
            <w:vAlign w:val="bottom"/>
          </w:tcPr>
          <w:p>
            <w:pPr>
              <w:spacing w:after="0"/>
              <w:rPr>
                <w:sz w:val="1"/>
                <w:szCs w:val="1"/>
                <w:color w:val="auto"/>
              </w:rPr>
            </w:pPr>
          </w:p>
        </w:tc>
      </w:tr>
      <w:tr>
        <w:trPr>
          <w:trHeight w:val="175"/>
        </w:trPr>
        <w:tc>
          <w:tcPr>
            <w:tcW w:w="2660" w:type="dxa"/>
            <w:vAlign w:val="bottom"/>
            <w:gridSpan w:val="3"/>
          </w:tcPr>
          <w:p>
            <w:pPr>
              <w:jc w:val="center"/>
              <w:ind w:right="780"/>
              <w:spacing w:after="0" w:line="175" w:lineRule="exact"/>
              <w:rPr>
                <w:sz w:val="20"/>
                <w:szCs w:val="20"/>
                <w:color w:val="auto"/>
              </w:rPr>
            </w:pPr>
            <w:r>
              <w:rPr>
                <w:rFonts w:ascii="Arial" w:cs="Arial" w:eastAsia="Arial" w:hAnsi="Arial"/>
                <w:sz w:val="16"/>
                <w:szCs w:val="16"/>
                <w:color w:val="auto"/>
              </w:rPr>
              <w:t>Go to www.proxyvote.com</w:t>
            </w:r>
          </w:p>
        </w:tc>
        <w:tc>
          <w:tcPr>
            <w:tcW w:w="3960" w:type="dxa"/>
            <w:vAlign w:val="bottom"/>
          </w:tcPr>
          <w:p>
            <w:pPr>
              <w:jc w:val="center"/>
              <w:spacing w:after="0" w:line="175" w:lineRule="exact"/>
              <w:rPr>
                <w:sz w:val="20"/>
                <w:szCs w:val="20"/>
                <w:color w:val="auto"/>
              </w:rPr>
            </w:pPr>
            <w:r>
              <w:rPr>
                <w:rFonts w:ascii="Arial" w:cs="Arial" w:eastAsia="Arial" w:hAnsi="Arial"/>
                <w:sz w:val="16"/>
                <w:szCs w:val="16"/>
                <w:color w:val="auto"/>
              </w:rPr>
              <w:t>within the U.S., U.S. territories and</w:t>
            </w:r>
          </w:p>
        </w:tc>
        <w:tc>
          <w:tcPr>
            <w:tcW w:w="2920" w:type="dxa"/>
            <w:vAlign w:val="bottom"/>
          </w:tcPr>
          <w:p>
            <w:pPr>
              <w:jc w:val="center"/>
              <w:ind w:left="619"/>
              <w:spacing w:after="0" w:line="175" w:lineRule="exact"/>
              <w:rPr>
                <w:sz w:val="20"/>
                <w:szCs w:val="20"/>
                <w:color w:val="auto"/>
              </w:rPr>
            </w:pPr>
            <w:r>
              <w:rPr>
                <w:rFonts w:ascii="Arial" w:cs="Arial" w:eastAsia="Arial" w:hAnsi="Arial"/>
                <w:sz w:val="16"/>
                <w:szCs w:val="16"/>
                <w:color w:val="auto"/>
              </w:rPr>
              <w:t>proxy card in the postage-paid</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9"/>
              </w:rPr>
              <w:t>Canada</w:t>
            </w:r>
          </w:p>
        </w:tc>
        <w:tc>
          <w:tcPr>
            <w:tcW w:w="2920" w:type="dxa"/>
            <w:vAlign w:val="bottom"/>
          </w:tcPr>
          <w:p>
            <w:pPr>
              <w:jc w:val="center"/>
              <w:ind w:left="619"/>
              <w:spacing w:after="0"/>
              <w:rPr>
                <w:sz w:val="20"/>
                <w:szCs w:val="20"/>
                <w:color w:val="auto"/>
              </w:rPr>
            </w:pPr>
            <w:r>
              <w:rPr>
                <w:rFonts w:ascii="Arial" w:cs="Arial" w:eastAsia="Arial" w:hAnsi="Arial"/>
                <w:sz w:val="16"/>
                <w:szCs w:val="16"/>
                <w:color w:val="auto"/>
              </w:rPr>
              <w:t>envelope provided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-375920</wp:posOffset>
            </wp:positionV>
            <wp:extent cx="385445" cy="385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5445" cy="38544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-375920</wp:posOffset>
            </wp:positionV>
            <wp:extent cx="385445"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5445" cy="3854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-375920</wp:posOffset>
            </wp:positionV>
            <wp:extent cx="386080" cy="385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6080" cy="385445"/>
                    </a:xfrm>
                    <a:prstGeom prst="rect">
                      <a:avLst/>
                    </a:prstGeom>
                    <a:noFill/>
                  </pic:spPr>
                </pic:pic>
              </a:graphicData>
            </a:graphic>
          </wp:anchor>
        </w:drawing>
      </w:r>
    </w:p>
    <w:p>
      <w:pPr>
        <w:spacing w:after="0" w:line="27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recommend that you review further information on the process for, and deadlines applicable to, voting, attending the meeting and appointing a proxy under “Questions and Answers About the Proxy Materials, Annual Meeting and Voting” beginning on page 64 of the proxy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4305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Hassane El-Khoury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788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line="215"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STOCKHOLDERS MEETING TO BE HELD ON MAY 18, 2023. Our proxy statement for the 2023 Annual Meeting of Stockholders and our annual report</w:t>
      </w:r>
    </w:p>
    <w:p>
      <w:pPr>
        <w:jc w:val="center"/>
        <w:spacing w:after="0" w:line="205" w:lineRule="auto"/>
        <w:rPr>
          <w:sz w:val="20"/>
          <w:szCs w:val="20"/>
          <w:color w:val="auto"/>
        </w:rPr>
      </w:pPr>
      <w:r>
        <w:rPr>
          <w:rFonts w:ascii="Arial" w:cs="Arial" w:eastAsia="Arial" w:hAnsi="Arial"/>
          <w:sz w:val="18"/>
          <w:szCs w:val="18"/>
          <w:b w:val="1"/>
          <w:bCs w:val="1"/>
          <w:color w:val="auto"/>
        </w:rPr>
        <w:t>to stockholders for the fiscal year ended December 31, 2022 are available at</w:t>
      </w:r>
    </w:p>
    <w:p>
      <w:pPr>
        <w:jc w:val="center"/>
        <w:spacing w:after="0"/>
        <w:rPr>
          <w:sz w:val="20"/>
          <w:szCs w:val="20"/>
          <w:color w:val="auto"/>
        </w:rPr>
      </w:pPr>
      <w:r>
        <w:rPr>
          <w:rFonts w:ascii="Arial" w:cs="Arial" w:eastAsia="Arial" w:hAnsi="Arial"/>
          <w:sz w:val="18"/>
          <w:szCs w:val="18"/>
          <w:b w:val="1"/>
          <w:bCs w:val="1"/>
          <w:u w:val="single" w:color="auto"/>
          <w:color w:val="auto"/>
        </w:rPr>
        <w:t>www.onsemi.com/annualdocs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E97D2E"/>
        </w:rPr>
        <w:t>ON SEMICONDUCTOR CORPORATION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465E6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7098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TABLE OF CONTENTS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E97D2E"/>
        </w:rPr>
        <w:t>PROXY STATEMENT SUMMARY</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2023 Annual Meeting of Stockholders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Matters to be Voted 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2022 Performance Highlights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Proxy Voting Roadmap</w:t>
      </w:r>
    </w:p>
    <w:p>
      <w:pPr>
        <w:spacing w:after="0" w:line="32" w:lineRule="exact"/>
        <w:rPr>
          <w:sz w:val="20"/>
          <w:szCs w:val="20"/>
          <w:color w:val="auto"/>
        </w:rPr>
      </w:pPr>
    </w:p>
    <w:p>
      <w:pPr>
        <w:ind w:left="20" w:right="240"/>
        <w:spacing w:after="0" w:line="261" w:lineRule="auto"/>
        <w:rPr>
          <w:sz w:val="20"/>
          <w:szCs w:val="20"/>
          <w:color w:val="auto"/>
        </w:rPr>
      </w:pPr>
      <w:r>
        <w:rPr>
          <w:rFonts w:ascii="Arial" w:cs="Arial" w:eastAsia="Arial" w:hAnsi="Arial"/>
          <w:sz w:val="16"/>
          <w:szCs w:val="16"/>
          <w:b w:val="1"/>
          <w:bCs w:val="1"/>
          <w:u w:val="single" w:color="auto"/>
          <w:color w:val="E97D2E"/>
        </w:rPr>
        <w:t>THE BOARD OF DIRECTORS AND CORPORATE GOVERNANCE</w:t>
      </w:r>
    </w:p>
    <w:p>
      <w:pPr>
        <w:spacing w:after="0" w:line="45" w:lineRule="exact"/>
        <w:rPr>
          <w:sz w:val="20"/>
          <w:szCs w:val="20"/>
          <w:color w:val="auto"/>
        </w:rPr>
      </w:pPr>
    </w:p>
    <w:p>
      <w:pPr>
        <w:ind w:left="360" w:right="1000"/>
        <w:spacing w:after="0" w:line="299" w:lineRule="auto"/>
        <w:rPr>
          <w:sz w:val="20"/>
          <w:szCs w:val="20"/>
          <w:color w:val="auto"/>
        </w:rPr>
      </w:pPr>
      <w:r>
        <w:rPr>
          <w:rFonts w:ascii="Arial" w:cs="Arial" w:eastAsia="Arial" w:hAnsi="Arial"/>
          <w:sz w:val="16"/>
          <w:szCs w:val="16"/>
          <w:u w:val="single" w:color="auto"/>
          <w:color w:val="465E66"/>
        </w:rPr>
        <w:t>Proposal No. 1: Election of Directors Our Board at a Glance</w:t>
      </w:r>
    </w:p>
    <w:p>
      <w:pPr>
        <w:spacing w:after="0" w:line="1" w:lineRule="exact"/>
        <w:rPr>
          <w:sz w:val="20"/>
          <w:szCs w:val="20"/>
          <w:color w:val="auto"/>
        </w:rPr>
      </w:pPr>
    </w:p>
    <w:p>
      <w:pPr>
        <w:ind w:left="360" w:right="80"/>
        <w:spacing w:after="0" w:line="281" w:lineRule="auto"/>
        <w:rPr>
          <w:sz w:val="20"/>
          <w:szCs w:val="20"/>
          <w:color w:val="auto"/>
        </w:rPr>
      </w:pPr>
      <w:r>
        <w:rPr>
          <w:rFonts w:ascii="Arial" w:cs="Arial" w:eastAsia="Arial" w:hAnsi="Arial"/>
          <w:sz w:val="16"/>
          <w:szCs w:val="16"/>
          <w:u w:val="single" w:color="auto"/>
          <w:color w:val="465E66"/>
        </w:rPr>
        <w:t>Overview of our Corporate Governance Practices Board Diversity and Director Qualifications</w:t>
      </w:r>
    </w:p>
    <w:p>
      <w:pPr>
        <w:spacing w:after="0" w:line="1" w:lineRule="exact"/>
        <w:rPr>
          <w:sz w:val="20"/>
          <w:szCs w:val="20"/>
          <w:color w:val="auto"/>
        </w:rPr>
      </w:pPr>
    </w:p>
    <w:p>
      <w:pPr>
        <w:ind w:left="360" w:right="760"/>
        <w:spacing w:after="0" w:line="246" w:lineRule="auto"/>
        <w:rPr>
          <w:sz w:val="20"/>
          <w:szCs w:val="20"/>
          <w:color w:val="auto"/>
        </w:rPr>
      </w:pPr>
      <w:r>
        <w:rPr>
          <w:rFonts w:ascii="Arial" w:cs="Arial" w:eastAsia="Arial" w:hAnsi="Arial"/>
          <w:sz w:val="16"/>
          <w:szCs w:val="16"/>
          <w:u w:val="single" w:color="auto"/>
          <w:color w:val="465E66"/>
        </w:rPr>
        <w:t>Board Independence and Related Party Transactions</w:t>
      </w:r>
    </w:p>
    <w:p>
      <w:pPr>
        <w:spacing w:after="0" w:line="1" w:lineRule="exact"/>
        <w:rPr>
          <w:sz w:val="20"/>
          <w:szCs w:val="20"/>
          <w:color w:val="auto"/>
        </w:rPr>
      </w:pPr>
    </w:p>
    <w:p>
      <w:pPr>
        <w:ind w:left="360" w:right="160"/>
        <w:spacing w:after="0" w:line="281" w:lineRule="auto"/>
        <w:rPr>
          <w:sz w:val="20"/>
          <w:szCs w:val="20"/>
          <w:color w:val="auto"/>
        </w:rPr>
      </w:pPr>
      <w:r>
        <w:rPr>
          <w:rFonts w:ascii="Arial" w:cs="Arial" w:eastAsia="Arial" w:hAnsi="Arial"/>
          <w:sz w:val="16"/>
          <w:szCs w:val="16"/>
          <w:u w:val="single" w:color="auto"/>
          <w:color w:val="465E66"/>
        </w:rPr>
        <w:t>Board and Committee Meetings and Attendance Committees of the Board</w:t>
      </w:r>
    </w:p>
    <w:p>
      <w:pPr>
        <w:spacing w:after="0" w:line="1" w:lineRule="exact"/>
        <w:rPr>
          <w:sz w:val="20"/>
          <w:szCs w:val="20"/>
          <w:color w:val="auto"/>
        </w:rPr>
      </w:pPr>
    </w:p>
    <w:p>
      <w:pPr>
        <w:ind w:left="360" w:right="260"/>
        <w:spacing w:after="0" w:line="281" w:lineRule="auto"/>
        <w:rPr>
          <w:sz w:val="20"/>
          <w:szCs w:val="20"/>
          <w:color w:val="auto"/>
        </w:rPr>
      </w:pPr>
      <w:r>
        <w:rPr>
          <w:rFonts w:ascii="Arial" w:cs="Arial" w:eastAsia="Arial" w:hAnsi="Arial"/>
          <w:sz w:val="16"/>
          <w:szCs w:val="16"/>
          <w:u w:val="single" w:color="auto"/>
          <w:color w:val="465E66"/>
        </w:rPr>
        <w:t>Annual Board and Committee Self-Evaluations Majority Voting for Directors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Role of the Board in Risk Oversight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Ethics and Compliance Program</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Environmental, Social and Sustainability Initiatives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Legal Compliance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2022 Compensation of Directors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E97D2E"/>
        </w:rPr>
        <w:t>COMPENSATION OF EXECUTIVE OFFICERS</w:t>
      </w:r>
    </w:p>
    <w:p>
      <w:pPr>
        <w:spacing w:after="0" w:line="39" w:lineRule="exact"/>
        <w:rPr>
          <w:sz w:val="20"/>
          <w:szCs w:val="20"/>
          <w:color w:val="auto"/>
        </w:rPr>
      </w:pPr>
    </w:p>
    <w:p>
      <w:pPr>
        <w:ind w:left="360" w:right="60"/>
        <w:spacing w:after="0" w:line="242" w:lineRule="auto"/>
        <w:rPr>
          <w:sz w:val="20"/>
          <w:szCs w:val="20"/>
          <w:color w:val="auto"/>
        </w:rPr>
      </w:pPr>
      <w:r>
        <w:rPr>
          <w:rFonts w:ascii="Arial" w:cs="Arial" w:eastAsia="Arial" w:hAnsi="Arial"/>
          <w:sz w:val="16"/>
          <w:szCs w:val="16"/>
          <w:u w:val="single" w:color="auto"/>
          <w:color w:val="465E66"/>
        </w:rPr>
        <w:t>Proposal No. 2: Advisory Vote to Approve Named Executive Officer Compensation (Say-on-Pay)</w:t>
      </w:r>
    </w:p>
    <w:p>
      <w:pPr>
        <w:ind w:left="360" w:right="240"/>
        <w:spacing w:after="0" w:line="246" w:lineRule="auto"/>
        <w:rPr>
          <w:sz w:val="20"/>
          <w:szCs w:val="20"/>
          <w:color w:val="auto"/>
        </w:rPr>
      </w:pPr>
      <w:r>
        <w:rPr>
          <w:rFonts w:ascii="Arial" w:cs="Arial" w:eastAsia="Arial" w:hAnsi="Arial"/>
          <w:sz w:val="16"/>
          <w:szCs w:val="16"/>
          <w:u w:val="single" w:color="auto"/>
          <w:color w:val="465E66"/>
        </w:rPr>
        <w:t>Proposal No. 3: Advisory Vote on Frequency of Future Say-on-Pay Votes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Compensation Discussion and Analysis</w:t>
      </w:r>
    </w:p>
    <w:p>
      <w:pPr>
        <w:spacing w:after="0" w:line="32" w:lineRule="exact"/>
        <w:rPr>
          <w:sz w:val="20"/>
          <w:szCs w:val="20"/>
          <w:color w:val="auto"/>
        </w:rPr>
      </w:pPr>
    </w:p>
    <w:p>
      <w:pPr>
        <w:ind w:left="360" w:right="300"/>
        <w:spacing w:after="0" w:line="246" w:lineRule="auto"/>
        <w:rPr>
          <w:sz w:val="20"/>
          <w:szCs w:val="20"/>
          <w:color w:val="auto"/>
        </w:rPr>
      </w:pPr>
      <w:r>
        <w:rPr>
          <w:rFonts w:ascii="Arial" w:cs="Arial" w:eastAsia="Arial" w:hAnsi="Arial"/>
          <w:sz w:val="16"/>
          <w:szCs w:val="16"/>
          <w:u w:val="single" w:color="auto"/>
          <w:color w:val="465E66"/>
        </w:rPr>
        <w:t>Human Capital and Compensation Committee Interlocks and Insider Participation</w:t>
      </w:r>
    </w:p>
    <w:p>
      <w:pPr>
        <w:spacing w:after="0" w:line="1" w:lineRule="exact"/>
        <w:rPr>
          <w:sz w:val="20"/>
          <w:szCs w:val="20"/>
          <w:color w:val="auto"/>
        </w:rPr>
      </w:pPr>
    </w:p>
    <w:p>
      <w:pPr>
        <w:ind w:left="360" w:right="900"/>
        <w:spacing w:after="0" w:line="281" w:lineRule="auto"/>
        <w:rPr>
          <w:sz w:val="20"/>
          <w:szCs w:val="20"/>
          <w:color w:val="auto"/>
        </w:rPr>
      </w:pPr>
      <w:r>
        <w:rPr>
          <w:rFonts w:ascii="Arial" w:cs="Arial" w:eastAsia="Arial" w:hAnsi="Arial"/>
          <w:sz w:val="16"/>
          <w:szCs w:val="16"/>
          <w:u w:val="single" w:color="auto"/>
          <w:color w:val="465E66"/>
        </w:rPr>
        <w:t>Compensation Committee Report Summary Compensation Table Grants of Plan-Based Awards in 2022</w:t>
      </w:r>
    </w:p>
    <w:p>
      <w:pPr>
        <w:spacing w:after="0" w:line="2" w:lineRule="exact"/>
        <w:rPr>
          <w:sz w:val="20"/>
          <w:szCs w:val="20"/>
          <w:color w:val="auto"/>
        </w:rPr>
      </w:pPr>
    </w:p>
    <w:p>
      <w:pPr>
        <w:ind w:left="360" w:right="220"/>
        <w:spacing w:after="0" w:line="234" w:lineRule="auto"/>
        <w:rPr>
          <w:sz w:val="20"/>
          <w:szCs w:val="20"/>
          <w:color w:val="auto"/>
        </w:rPr>
      </w:pPr>
      <w:r>
        <w:rPr>
          <w:rFonts w:ascii="Arial" w:cs="Arial" w:eastAsia="Arial" w:hAnsi="Arial"/>
          <w:sz w:val="16"/>
          <w:szCs w:val="16"/>
          <w:u w:val="single" w:color="auto"/>
          <w:color w:val="465E66"/>
        </w:rPr>
        <w:t>Other Material Factors — Summary Compensation Table and Grants of Plan-Based Awards in 2022 Table</w:t>
      </w:r>
    </w:p>
    <w:p>
      <w:pPr>
        <w:spacing w:after="0" w:line="2" w:lineRule="exact"/>
        <w:rPr>
          <w:sz w:val="20"/>
          <w:szCs w:val="20"/>
          <w:color w:val="auto"/>
        </w:rPr>
      </w:pPr>
    </w:p>
    <w:p>
      <w:pPr>
        <w:ind w:left="360" w:right="300"/>
        <w:spacing w:after="0" w:line="246" w:lineRule="auto"/>
        <w:rPr>
          <w:sz w:val="20"/>
          <w:szCs w:val="20"/>
          <w:color w:val="auto"/>
        </w:rPr>
      </w:pPr>
      <w:r>
        <w:rPr>
          <w:rFonts w:ascii="Arial" w:cs="Arial" w:eastAsia="Arial" w:hAnsi="Arial"/>
          <w:sz w:val="16"/>
          <w:szCs w:val="16"/>
          <w:u w:val="single" w:color="auto"/>
          <w:color w:val="465E66"/>
        </w:rPr>
        <w:t>Outstanding Equity Awards at Fiscal Year-End 2022</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465E66"/>
        </w:rPr>
        <w:t>2022 Stock Vested</w:t>
      </w:r>
    </w:p>
    <w:p>
      <w:pPr>
        <w:spacing w:after="0" w:line="32" w:lineRule="exact"/>
        <w:rPr>
          <w:sz w:val="20"/>
          <w:szCs w:val="20"/>
          <w:color w:val="auto"/>
        </w:rPr>
      </w:pPr>
    </w:p>
    <w:p>
      <w:pPr>
        <w:ind w:left="360" w:right="180"/>
        <w:spacing w:after="0" w:line="246" w:lineRule="auto"/>
        <w:rPr>
          <w:sz w:val="20"/>
          <w:szCs w:val="20"/>
          <w:color w:val="auto"/>
        </w:rPr>
      </w:pPr>
      <w:r>
        <w:rPr>
          <w:rFonts w:ascii="Arial" w:cs="Arial" w:eastAsia="Arial" w:hAnsi="Arial"/>
          <w:sz w:val="16"/>
          <w:szCs w:val="16"/>
          <w:u w:val="single" w:color="auto"/>
          <w:color w:val="465E66"/>
        </w:rPr>
        <w:t>Employment, Severance and Change in Control Agreements</w:t>
      </w:r>
    </w:p>
    <w:p>
      <w:pPr>
        <w:spacing w:after="0" w:line="1" w:lineRule="exact"/>
        <w:rPr>
          <w:sz w:val="20"/>
          <w:szCs w:val="20"/>
          <w:color w:val="auto"/>
        </w:rPr>
      </w:pPr>
    </w:p>
    <w:p>
      <w:pPr>
        <w:ind w:left="360" w:right="740"/>
        <w:spacing w:after="0" w:line="251" w:lineRule="auto"/>
        <w:rPr>
          <w:sz w:val="20"/>
          <w:szCs w:val="20"/>
          <w:color w:val="auto"/>
        </w:rPr>
      </w:pPr>
      <w:r>
        <w:rPr>
          <w:rFonts w:ascii="Arial" w:cs="Arial" w:eastAsia="Arial" w:hAnsi="Arial"/>
          <w:sz w:val="16"/>
          <w:szCs w:val="16"/>
          <w:u w:val="single" w:color="auto"/>
          <w:color w:val="465E66"/>
        </w:rPr>
        <w:t>Potential Payments upon Termination of Employment or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E97D2E"/>
        </w:rPr>
        <w:t>1</w:t>
      </w:r>
    </w:p>
    <w:p>
      <w:pPr>
        <w:spacing w:after="0" w:line="32"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465E66"/>
        </w:rPr>
        <w:t>1</w:t>
      </w:r>
    </w:p>
    <w:p>
      <w:pPr>
        <w:spacing w:after="0" w:line="32"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465E66"/>
        </w:rPr>
        <w:t>1</w:t>
      </w:r>
    </w:p>
    <w:p>
      <w:pPr>
        <w:spacing w:after="0" w:line="32"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465E66"/>
        </w:rPr>
        <w:t>1</w:t>
      </w:r>
    </w:p>
    <w:p>
      <w:pPr>
        <w:spacing w:after="0" w:line="32"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465E66"/>
        </w:rPr>
        <w:t>2</w:t>
      </w:r>
    </w:p>
    <w:p>
      <w:pPr>
        <w:spacing w:after="0" w:line="113"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E97D2E"/>
        </w:rPr>
        <w:t>4</w:t>
      </w:r>
    </w:p>
    <w:p>
      <w:pPr>
        <w:spacing w:after="0" w:line="208"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465E66"/>
        </w:rPr>
        <w:t>4</w:t>
      </w:r>
    </w:p>
    <w:p>
      <w:pPr>
        <w:spacing w:after="0" w:line="32"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465E66"/>
        </w:rPr>
        <w:t>5</w:t>
      </w:r>
    </w:p>
    <w:p>
      <w:pPr>
        <w:spacing w:after="0" w:line="32"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465E66"/>
        </w:rPr>
        <w:t>11</w:t>
      </w:r>
    </w:p>
    <w:p>
      <w:pPr>
        <w:spacing w:after="0" w:line="32"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465E66"/>
        </w:rPr>
        <w:t>13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14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E97D2E"/>
        </w:rPr>
        <w:t>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65E66"/>
        </w:rPr>
        <w:t>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41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41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43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65E66"/>
        </w:rPr>
        <w:t>44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465E66"/>
        </w:rPr>
        <w:t>44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46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46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65E66"/>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onsemi 2022 Pay Ratio Disclosure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2022 Pay versus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97D2E"/>
        </w:rPr>
        <w:t>AUDIT COMMITTEE MATTERS</w:t>
      </w:r>
    </w:p>
    <w:p>
      <w:pPr>
        <w:spacing w:after="0" w:line="39" w:lineRule="exact"/>
        <w:rPr>
          <w:sz w:val="20"/>
          <w:szCs w:val="20"/>
          <w:color w:val="auto"/>
        </w:rPr>
      </w:pPr>
    </w:p>
    <w:p>
      <w:pPr>
        <w:ind w:left="320" w:right="60"/>
        <w:spacing w:after="0" w:line="242" w:lineRule="auto"/>
        <w:rPr>
          <w:sz w:val="20"/>
          <w:szCs w:val="20"/>
          <w:color w:val="auto"/>
        </w:rPr>
      </w:pPr>
      <w:r>
        <w:rPr>
          <w:rFonts w:ascii="Arial" w:cs="Arial" w:eastAsia="Arial" w:hAnsi="Arial"/>
          <w:sz w:val="16"/>
          <w:szCs w:val="16"/>
          <w:u w:val="single" w:color="auto"/>
          <w:color w:val="465E66"/>
        </w:rPr>
        <w:t>Proposal No. 4: Ratification of Selection of Independent Registered Public Accounting Firm</w:t>
      </w:r>
    </w:p>
    <w:p>
      <w:pPr>
        <w:ind w:left="320"/>
        <w:spacing w:after="0"/>
        <w:rPr>
          <w:sz w:val="20"/>
          <w:szCs w:val="20"/>
          <w:color w:val="auto"/>
        </w:rPr>
      </w:pPr>
      <w:r>
        <w:rPr>
          <w:rFonts w:ascii="Arial" w:cs="Arial" w:eastAsia="Arial" w:hAnsi="Arial"/>
          <w:sz w:val="16"/>
          <w:szCs w:val="16"/>
          <w:u w:val="single" w:color="auto"/>
          <w:color w:val="465E66"/>
        </w:rPr>
        <w:t>Audit Committee Report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Independent Registered Public Accounting Firm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97D2E"/>
        </w:rPr>
        <w:t>STOCK OWNERSHIP</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Principal Stockholders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Share Ownership of Directors and Executive</w:t>
      </w:r>
    </w:p>
    <w:p>
      <w:pPr>
        <w:ind w:left="320"/>
        <w:spacing w:after="0"/>
        <w:rPr>
          <w:sz w:val="20"/>
          <w:szCs w:val="20"/>
          <w:color w:val="auto"/>
        </w:rPr>
      </w:pPr>
      <w:r>
        <w:rPr>
          <w:rFonts w:ascii="Arial" w:cs="Arial" w:eastAsia="Arial" w:hAnsi="Arial"/>
          <w:sz w:val="16"/>
          <w:szCs w:val="16"/>
          <w:u w:val="single" w:color="auto"/>
          <w:color w:val="465E66"/>
        </w:rPr>
        <w:t>Officers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Hedging and Pledging Restrictions</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Director and Officer Stock Ownership and</w:t>
      </w:r>
    </w:p>
    <w:p>
      <w:pPr>
        <w:ind w:left="320"/>
        <w:spacing w:after="0"/>
        <w:rPr>
          <w:sz w:val="20"/>
          <w:szCs w:val="20"/>
          <w:color w:val="auto"/>
        </w:rPr>
      </w:pPr>
      <w:r>
        <w:rPr>
          <w:rFonts w:ascii="Arial" w:cs="Arial" w:eastAsia="Arial" w:hAnsi="Arial"/>
          <w:sz w:val="16"/>
          <w:szCs w:val="16"/>
          <w:u w:val="single" w:color="auto"/>
          <w:color w:val="465E66"/>
        </w:rPr>
        <w:t>Retention Guidelines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Equity Compensation Plan Information</w:t>
      </w:r>
    </w:p>
    <w:p>
      <w:pPr>
        <w:spacing w:after="0" w:line="32"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u w:val="single" w:color="auto"/>
          <w:color w:val="E97D2E"/>
        </w:rPr>
        <w:t>QUESTIONS AND ANSWERS ABOUT THE PROXY MATERIALS, ANNUAL MEETING AND VOTING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97D2E"/>
        </w:rPr>
        <w:t>MISCELLANEOUS INFORMATION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Annual Report/Form 10-K</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Stockholders Sharing the Same Address</w:t>
      </w:r>
    </w:p>
    <w:p>
      <w:pPr>
        <w:spacing w:after="0" w:line="32" w:lineRule="exact"/>
        <w:rPr>
          <w:sz w:val="20"/>
          <w:szCs w:val="20"/>
          <w:color w:val="auto"/>
        </w:rPr>
      </w:pPr>
    </w:p>
    <w:p>
      <w:pPr>
        <w:ind w:left="320" w:right="120"/>
        <w:spacing w:after="0" w:line="246" w:lineRule="auto"/>
        <w:rPr>
          <w:sz w:val="20"/>
          <w:szCs w:val="20"/>
          <w:color w:val="auto"/>
        </w:rPr>
      </w:pPr>
      <w:r>
        <w:rPr>
          <w:rFonts w:ascii="Arial" w:cs="Arial" w:eastAsia="Arial" w:hAnsi="Arial"/>
          <w:sz w:val="16"/>
          <w:szCs w:val="16"/>
          <w:u w:val="single" w:color="auto"/>
          <w:color w:val="465E66"/>
        </w:rPr>
        <w:t>Stockholder Communications with the Board of Directors</w:t>
      </w:r>
    </w:p>
    <w:p>
      <w:pPr>
        <w:spacing w:after="0" w:line="1" w:lineRule="exact"/>
        <w:rPr>
          <w:sz w:val="20"/>
          <w:szCs w:val="20"/>
          <w:color w:val="auto"/>
        </w:rPr>
      </w:pPr>
    </w:p>
    <w:p>
      <w:pPr>
        <w:ind w:left="320" w:right="160"/>
        <w:spacing w:after="0" w:line="246" w:lineRule="auto"/>
        <w:rPr>
          <w:sz w:val="20"/>
          <w:szCs w:val="20"/>
          <w:color w:val="auto"/>
        </w:rPr>
      </w:pPr>
      <w:r>
        <w:rPr>
          <w:rFonts w:ascii="Arial" w:cs="Arial" w:eastAsia="Arial" w:hAnsi="Arial"/>
          <w:sz w:val="16"/>
          <w:szCs w:val="16"/>
          <w:u w:val="single" w:color="auto"/>
          <w:color w:val="465E66"/>
        </w:rPr>
        <w:t>Stockholder Nominations and Proposals (Non-Proxy Access)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Proxy Access Nominations</w:t>
      </w:r>
    </w:p>
    <w:p>
      <w:pPr>
        <w:spacing w:after="0" w:line="32" w:lineRule="exact"/>
        <w:rPr>
          <w:sz w:val="20"/>
          <w:szCs w:val="20"/>
          <w:color w:val="auto"/>
        </w:rPr>
      </w:pPr>
    </w:p>
    <w:p>
      <w:pPr>
        <w:ind w:right="540"/>
        <w:spacing w:after="0" w:line="261" w:lineRule="auto"/>
        <w:rPr>
          <w:sz w:val="20"/>
          <w:szCs w:val="20"/>
          <w:color w:val="auto"/>
        </w:rPr>
      </w:pPr>
      <w:r>
        <w:rPr>
          <w:rFonts w:ascii="Arial" w:cs="Arial" w:eastAsia="Arial" w:hAnsi="Arial"/>
          <w:sz w:val="16"/>
          <w:szCs w:val="16"/>
          <w:b w:val="1"/>
          <w:bCs w:val="1"/>
          <w:u w:val="single" w:color="auto"/>
          <w:color w:val="E97D2E"/>
        </w:rPr>
        <w:t>APPENDIX — Reconciliation of Non-GAAP Financial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465E66"/>
        </w:rPr>
        <w:t>55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56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E97D2E"/>
        </w:rPr>
        <w:t>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59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61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E97D2E"/>
        </w:rPr>
        <w:t>62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62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E97D2E"/>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E97D2E"/>
        </w:rPr>
        <w:t>69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69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69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65E66"/>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71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E97D2E"/>
        </w:rPr>
        <w:t>72</w:t>
      </w:r>
    </w:p>
    <w:p>
      <w:pPr>
        <w:spacing w:after="0" w:line="3708" w:lineRule="exact"/>
        <w:rPr>
          <w:sz w:val="20"/>
          <w:szCs w:val="20"/>
          <w:color w:val="auto"/>
        </w:rPr>
      </w:pPr>
    </w:p>
    <w:p>
      <w:pPr>
        <w:sectPr>
          <w:pgSz w:w="11900" w:h="16838" w:orient="portrait"/>
          <w:cols w:equalWidth="0" w:num="4">
            <w:col w:w="3960" w:space="520"/>
            <w:col w:w="700" w:space="720"/>
            <w:col w:w="3820" w:space="640"/>
            <w:col w:w="880"/>
          </w:cols>
          <w:pgMar w:left="320" w:top="11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540"/>
        <w:spacing w:after="0"/>
        <w:tabs>
          <w:tab w:leader="none" w:pos="11180" w:val="left"/>
        </w:tabs>
        <w:rPr>
          <w:sz w:val="20"/>
          <w:szCs w:val="20"/>
          <w:color w:val="auto"/>
        </w:rPr>
      </w:pPr>
      <w:r>
        <w:rPr>
          <w:rFonts w:ascii="Arial" w:cs="Arial" w:eastAsia="Arial" w:hAnsi="Arial"/>
          <w:sz w:val="18"/>
          <w:szCs w:val="18"/>
          <w:color w:val="E97D2E"/>
        </w:rPr>
        <w:t>onsemi 2023 Proxy Statement</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5"/>
          <w:szCs w:val="25"/>
          <w:b w:val="1"/>
          <w:bCs w:val="1"/>
          <w:color w:val="E97D2E"/>
        </w:rPr>
        <w:t>CAUTIONARY STATEMENT REGARDING FORWARD-LOOKING STATEMENTS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proxy statement includes “forward-looking statements,” as that term is defined in Section 27A of the Securities Act and Section 21E of the Exchange Act. All statements, other than statements of historical facts, included or referenced in this proxy statement could be deemed forward-looking statements, particularly statements about our plans, strategies and prospects. Forward-looking statements are often characterized by the use of words such as “believes,” “estimates,” “expects,” “projects,” “may,” “will,” “intends,” “plans,” “anticipates,” “should,” “commitments” or similar expressions, or by discussions of strategy, plans or intentions. All forward-looking statements in this proxy statement are made based on our current expectations, forecasts, estimates and assumptions, and involve risks, uncertainties and other factors that could cause results or events to differ materially from those expressed in the forward-looking statements.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Important factors that can cause our actual results to differ materially from those anticipated in forward-looking statements include, but are not limited to, those described in more detail under the heading “Risk Factors” in our annual report on Form 10-K for the year ended December 31, 2022, filed with the SEC. Many of the assumptions upon which such forward-looking statements are based are likely to change after the date the forward-looking statements are made. Further, we may make changes to our business plans that could affect our results. Readers are cautioned not to place undue reliance on forward-looking statements. We assume no obligation to update such information, which speak only as of the date made, except as may be required by law. This proxy statement also contains certain financial measures that are not recognized under GAAP in the United States. Please refer to the Appendix to this proxy statement for our calculation and reconciliation of certain non-GAAP financial measures and for information regarding certain limitations and considerations regarding the use of non-GAAP financial measures.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GLOSSARY OF COMMON TERMS</w:t>
      </w:r>
    </w:p>
    <w:p>
      <w:pPr>
        <w:sectPr>
          <w:pgSz w:w="11900" w:h="16838" w:orient="portrait"/>
          <w:cols w:equalWidth="0" w:num="1">
            <w:col w:w="11240"/>
          </w:cols>
          <w:pgMar w:left="320" w:top="1087"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Abbreviated Term</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CD&amp;A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Company, </w:t>
      </w:r>
      <w:r>
        <w:rPr>
          <w:rFonts w:ascii="Arial" w:cs="Arial" w:eastAsia="Arial" w:hAnsi="Arial"/>
          <w:sz w:val="17"/>
          <w:szCs w:val="17"/>
          <w:b w:val="1"/>
          <w:bCs w:val="1"/>
          <w:color w:val="auto"/>
        </w:rPr>
        <w:t>onsemi</w:t>
      </w:r>
      <w:r>
        <w:rPr>
          <w:rFonts w:ascii="Arial" w:cs="Arial" w:eastAsia="Arial" w:hAnsi="Arial"/>
          <w:sz w:val="17"/>
          <w:szCs w:val="17"/>
          <w:color w:val="auto"/>
        </w:rPr>
        <w:t>, we or us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Exchange Act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ESPP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FASB ASC</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FW Cook</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GS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HCC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LTI</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Nasdaq</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PCAOB</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PwC</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Pearl Meyer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-130175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ON Semiconductor Corporation</w:t>
      </w:r>
    </w:p>
    <w:p>
      <w:pPr>
        <w:spacing w:after="0" w:line="15" w:lineRule="exact"/>
        <w:rPr>
          <w:sz w:val="20"/>
          <w:szCs w:val="20"/>
          <w:color w:val="auto"/>
        </w:rPr>
      </w:pPr>
    </w:p>
    <w:p>
      <w:pPr>
        <w:ind w:right="2540"/>
        <w:spacing w:after="0" w:line="266" w:lineRule="auto"/>
        <w:rPr>
          <w:sz w:val="20"/>
          <w:szCs w:val="20"/>
          <w:color w:val="auto"/>
        </w:rPr>
      </w:pPr>
      <w:r>
        <w:rPr>
          <w:rFonts w:ascii="Arial" w:cs="Arial" w:eastAsia="Arial" w:hAnsi="Arial"/>
          <w:sz w:val="18"/>
          <w:szCs w:val="18"/>
          <w:color w:val="auto"/>
        </w:rPr>
        <w:t>Compensation Discussion and Analysis section of this proxy statement ON Semiconductor Corporation</w:t>
      </w:r>
    </w:p>
    <w:p>
      <w:pPr>
        <w:spacing w:after="0"/>
        <w:rPr>
          <w:sz w:val="20"/>
          <w:szCs w:val="20"/>
          <w:color w:val="auto"/>
        </w:rPr>
      </w:pPr>
      <w:r>
        <w:rPr>
          <w:rFonts w:ascii="Arial" w:cs="Arial" w:eastAsia="Arial" w:hAnsi="Arial"/>
          <w:sz w:val="18"/>
          <w:szCs w:val="18"/>
          <w:color w:val="auto"/>
        </w:rPr>
        <w:t>Securities Exchange Act of 1934, as amended</w:t>
      </w:r>
    </w:p>
    <w:p>
      <w:pPr>
        <w:spacing w:after="0" w:line="23" w:lineRule="exact"/>
        <w:rPr>
          <w:sz w:val="20"/>
          <w:szCs w:val="20"/>
          <w:color w:val="auto"/>
        </w:rPr>
      </w:pPr>
    </w:p>
    <w:p>
      <w:pPr>
        <w:ind w:right="1560"/>
        <w:spacing w:after="0" w:line="281" w:lineRule="auto"/>
        <w:rPr>
          <w:sz w:val="20"/>
          <w:szCs w:val="20"/>
          <w:color w:val="auto"/>
        </w:rPr>
      </w:pPr>
      <w:r>
        <w:rPr>
          <w:rFonts w:ascii="Arial" w:cs="Arial" w:eastAsia="Arial" w:hAnsi="Arial"/>
          <w:sz w:val="17"/>
          <w:szCs w:val="17"/>
          <w:color w:val="auto"/>
        </w:rPr>
        <w:t>ON Semiconductor Corporation 2000 Employee Stock Purchase Plan, as amended Accounting Standards Codification of the Financial Accounting Standards Board</w:t>
      </w:r>
    </w:p>
    <w:p>
      <w:pPr>
        <w:spacing w:after="0" w:line="1"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Frederic W. Cook &amp; Co., Inc., which was appointed to serve as the HCC Committee’s independent compensation consultant beginning August 2022</w:t>
      </w:r>
    </w:p>
    <w:p>
      <w:pPr>
        <w:spacing w:after="0" w:line="6" w:lineRule="exact"/>
        <w:rPr>
          <w:sz w:val="20"/>
          <w:szCs w:val="20"/>
          <w:color w:val="auto"/>
        </w:rPr>
      </w:pPr>
    </w:p>
    <w:p>
      <w:pPr>
        <w:ind w:right="3480"/>
        <w:spacing w:after="0" w:line="289" w:lineRule="auto"/>
        <w:rPr>
          <w:sz w:val="20"/>
          <w:szCs w:val="20"/>
          <w:color w:val="auto"/>
        </w:rPr>
      </w:pPr>
      <w:r>
        <w:rPr>
          <w:rFonts w:ascii="Arial" w:cs="Arial" w:eastAsia="Arial" w:hAnsi="Arial"/>
          <w:sz w:val="18"/>
          <w:szCs w:val="18"/>
          <w:color w:val="auto"/>
        </w:rPr>
        <w:t>U.S. generally accepted accounting principles Governance and Sustainability Committee of the Board Human Capital and Compensation Committee of the Board long-term incentive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Public Company Accounting Oversight Board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our independent registered public accounting firm</w:t>
      </w:r>
    </w:p>
    <w:p>
      <w:pPr>
        <w:spacing w:after="0" w:line="3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Pearl Meyer &amp; Partners, LLC, which served as the HCC Committee’s independent compensation consultant through July 2022</w:t>
      </w:r>
    </w:p>
    <w:p>
      <w:pPr>
        <w:spacing w:after="0" w:line="6" w:lineRule="exact"/>
        <w:rPr>
          <w:sz w:val="20"/>
          <w:szCs w:val="20"/>
          <w:color w:val="auto"/>
        </w:rPr>
      </w:pPr>
    </w:p>
    <w:p>
      <w:pPr>
        <w:sectPr>
          <w:pgSz w:w="11900" w:h="16838" w:orient="portrait"/>
          <w:cols w:equalWidth="0" w:num="2">
            <w:col w:w="2340" w:space="720"/>
            <w:col w:w="8180"/>
          </w:cols>
          <w:pgMar w:left="320" w:top="1087" w:right="339" w:bottom="1440" w:gutter="0" w:footer="0" w:header="0"/>
          <w:type w:val="continuous"/>
        </w:sectPr>
      </w:pPr>
    </w:p>
    <w:p>
      <w:pPr>
        <w:ind w:left="20"/>
        <w:spacing w:after="0"/>
        <w:tabs>
          <w:tab w:leader="none" w:pos="3040" w:val="left"/>
        </w:tabs>
        <w:rPr>
          <w:sz w:val="20"/>
          <w:szCs w:val="20"/>
          <w:color w:val="auto"/>
        </w:rPr>
      </w:pPr>
      <w:r>
        <w:rPr>
          <w:rFonts w:ascii="Arial" w:cs="Arial" w:eastAsia="Arial" w:hAnsi="Arial"/>
          <w:sz w:val="18"/>
          <w:szCs w:val="18"/>
          <w:color w:val="auto"/>
        </w:rPr>
        <w:t>SCT</w:t>
      </w:r>
      <w:r>
        <w:rPr>
          <w:sz w:val="20"/>
          <w:szCs w:val="20"/>
          <w:color w:val="auto"/>
        </w:rPr>
        <w:tab/>
      </w:r>
      <w:r>
        <w:rPr>
          <w:rFonts w:ascii="Arial" w:cs="Arial" w:eastAsia="Arial" w:hAnsi="Arial"/>
          <w:sz w:val="18"/>
          <w:szCs w:val="18"/>
          <w:color w:val="auto"/>
        </w:rPr>
        <w:t>Summary Compensation Table</w:t>
      </w:r>
    </w:p>
    <w:p>
      <w:pPr>
        <w:spacing w:after="0" w:line="32"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8"/>
          <w:szCs w:val="18"/>
          <w:color w:val="auto"/>
        </w:rPr>
        <w:t>SEC</w:t>
      </w:r>
      <w:r>
        <w:rPr>
          <w:sz w:val="20"/>
          <w:szCs w:val="20"/>
          <w:color w:val="auto"/>
        </w:rPr>
        <w:tab/>
      </w:r>
      <w:r>
        <w:rPr>
          <w:rFonts w:ascii="Arial" w:cs="Arial" w:eastAsia="Arial" w:hAnsi="Arial"/>
          <w:sz w:val="18"/>
          <w:szCs w:val="18"/>
          <w:color w:val="auto"/>
        </w:rPr>
        <w:t>Securities and Exchange Commission</w:t>
      </w:r>
    </w:p>
    <w:p>
      <w:pPr>
        <w:spacing w:after="0" w:line="23"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7"/>
          <w:szCs w:val="17"/>
          <w:color w:val="auto"/>
        </w:rPr>
        <w:t>SIP</w:t>
      </w:r>
      <w:r>
        <w:rPr>
          <w:sz w:val="20"/>
          <w:szCs w:val="20"/>
          <w:color w:val="auto"/>
        </w:rPr>
        <w:tab/>
      </w:r>
      <w:r>
        <w:rPr>
          <w:rFonts w:ascii="Arial" w:cs="Arial" w:eastAsia="Arial" w:hAnsi="Arial"/>
          <w:sz w:val="17"/>
          <w:szCs w:val="17"/>
          <w:color w:val="auto"/>
        </w:rPr>
        <w:t>ON Semiconductor Corporation Amended and Restated Stock Incentive Plan, as amended</w:t>
      </w:r>
    </w:p>
    <w:p>
      <w:pPr>
        <w:spacing w:after="0" w:line="34"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8"/>
          <w:szCs w:val="18"/>
          <w:color w:val="auto"/>
        </w:rPr>
        <w:t>SiC</w:t>
      </w:r>
      <w:r>
        <w:rPr>
          <w:sz w:val="20"/>
          <w:szCs w:val="20"/>
          <w:color w:val="auto"/>
        </w:rPr>
        <w:tab/>
      </w:r>
      <w:r>
        <w:rPr>
          <w:rFonts w:ascii="Arial" w:cs="Arial" w:eastAsia="Arial" w:hAnsi="Arial"/>
          <w:sz w:val="18"/>
          <w:szCs w:val="18"/>
          <w:color w:val="auto"/>
        </w:rPr>
        <w:t>Silicon carbide</w:t>
      </w:r>
    </w:p>
    <w:p>
      <w:pPr>
        <w:spacing w:after="0" w:line="23"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8"/>
          <w:szCs w:val="18"/>
          <w:color w:val="auto"/>
        </w:rPr>
        <w:t>STI</w:t>
      </w:r>
      <w:r>
        <w:rPr>
          <w:sz w:val="20"/>
          <w:szCs w:val="20"/>
          <w:color w:val="auto"/>
        </w:rPr>
        <w:tab/>
      </w:r>
      <w:r>
        <w:rPr>
          <w:rFonts w:ascii="Arial" w:cs="Arial" w:eastAsia="Arial" w:hAnsi="Arial"/>
          <w:sz w:val="18"/>
          <w:szCs w:val="18"/>
          <w:color w:val="auto"/>
        </w:rPr>
        <w:t>short-term incentive</w:t>
      </w:r>
    </w:p>
    <w:p>
      <w:pPr>
        <w:spacing w:after="0" w:line="23"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8"/>
          <w:szCs w:val="18"/>
          <w:color w:val="auto"/>
        </w:rPr>
        <w:t>Securities Act</w:t>
      </w:r>
      <w:r>
        <w:rPr>
          <w:sz w:val="20"/>
          <w:szCs w:val="20"/>
          <w:color w:val="auto"/>
        </w:rPr>
        <w:tab/>
      </w:r>
      <w:r>
        <w:rPr>
          <w:rFonts w:ascii="Arial" w:cs="Arial" w:eastAsia="Arial" w:hAnsi="Arial"/>
          <w:sz w:val="17"/>
          <w:szCs w:val="17"/>
          <w:color w:val="auto"/>
        </w:rPr>
        <w:t>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E97D2E"/>
        </w:rPr>
        <w:t>ii</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E97D2E"/>
        </w:rPr>
        <w:t>PROXY STATEMENT SUMMARY</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summary highlights selected information contained elsewhere in this proxy statement. This summary does not contain all the information that you should consider, and you should read the entire proxy statement carefully before submitting your proxy and voting instructions. For more information regarding our 2022 performance, please review our 2022 annual report to stockholders, which is being made available to stockholders together with these proxy materials on or about April 6, 2023.</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2023 Annual Meeting of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r>
        <w:rPr>
          <w:rFonts w:ascii="Arial" w:cs="Arial" w:eastAsia="Arial" w:hAnsi="Arial"/>
          <w:sz w:val="18"/>
          <w:szCs w:val="18"/>
          <w:color w:val="auto"/>
        </w:rPr>
        <w:t>: Thursday, May 18, 2023, at 8:00 a.m., local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w:t>
      </w:r>
      <w:r>
        <w:rPr>
          <w:rFonts w:ascii="Arial" w:cs="Arial" w:eastAsia="Arial" w:hAnsi="Arial"/>
          <w:sz w:val="18"/>
          <w:szCs w:val="18"/>
          <w:color w:val="auto"/>
        </w:rPr>
        <w:t>: 5701 North Pima Road, Scottsdale, Arizona 85250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r>
        <w:rPr>
          <w:rFonts w:ascii="Arial" w:cs="Arial" w:eastAsia="Arial" w:hAnsi="Arial"/>
          <w:sz w:val="18"/>
          <w:szCs w:val="18"/>
          <w:color w:val="auto"/>
        </w:rPr>
        <w:t>: March 21, 2023</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Matters to be Voted 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60" w:type="dxa"/>
            <w:vAlign w:val="bottom"/>
            <w:tcBorders>
              <w:top w:val="single" w:sz="8" w:color="E97D2E"/>
            </w:tcBorders>
          </w:tcPr>
          <w:p>
            <w:pPr>
              <w:spacing w:after="0"/>
              <w:rPr>
                <w:sz w:val="12"/>
                <w:szCs w:val="12"/>
                <w:color w:val="auto"/>
              </w:rPr>
            </w:pPr>
          </w:p>
        </w:tc>
        <w:tc>
          <w:tcPr>
            <w:tcW w:w="7220" w:type="dxa"/>
            <w:vAlign w:val="bottom"/>
            <w:tcBorders>
              <w:top w:val="single" w:sz="8" w:color="E97D2E"/>
            </w:tcBorders>
          </w:tcPr>
          <w:p>
            <w:pPr>
              <w:spacing w:after="0"/>
              <w:rPr>
                <w:sz w:val="12"/>
                <w:szCs w:val="12"/>
                <w:color w:val="auto"/>
              </w:rPr>
            </w:pPr>
          </w:p>
        </w:tc>
        <w:tc>
          <w:tcPr>
            <w:tcW w:w="2420" w:type="dxa"/>
            <w:vAlign w:val="bottom"/>
            <w:tcBorders>
              <w:top w:val="single" w:sz="8" w:color="E97D2E"/>
            </w:tcBorders>
            <w:vMerge w:val="restart"/>
            <w:shd w:val="clear" w:color="auto" w:fill="F9EAE1"/>
          </w:tcPr>
          <w:p>
            <w:pPr>
              <w:jc w:val="center"/>
              <w:spacing w:after="0"/>
              <w:rPr>
                <w:sz w:val="20"/>
                <w:szCs w:val="20"/>
                <w:color w:val="auto"/>
              </w:rPr>
            </w:pPr>
            <w:r>
              <w:rPr>
                <w:rFonts w:ascii="Arial" w:cs="Arial" w:eastAsia="Arial" w:hAnsi="Arial"/>
                <w:sz w:val="14"/>
                <w:szCs w:val="14"/>
                <w:b w:val="1"/>
                <w:bCs w:val="1"/>
                <w:color w:val="auto"/>
              </w:rPr>
              <w:t>Board Recommendation</w:t>
            </w:r>
          </w:p>
        </w:tc>
        <w:tc>
          <w:tcPr>
            <w:tcW w:w="1100" w:type="dxa"/>
            <w:vAlign w:val="bottom"/>
            <w:tcBorders>
              <w:top w:val="single" w:sz="8" w:color="E97D2E"/>
            </w:tcBorders>
          </w:tcPr>
          <w:p>
            <w:pPr>
              <w:jc w:val="center"/>
              <w:spacing w:after="0" w:line="147" w:lineRule="exact"/>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460" w:type="dxa"/>
            <w:vAlign w:val="bottom"/>
            <w:tcBorders>
              <w:bottom w:val="single" w:sz="8" w:color="E97D2E"/>
            </w:tcBorders>
          </w:tcPr>
          <w:p>
            <w:pPr>
              <w:spacing w:after="0"/>
              <w:rPr>
                <w:sz w:val="16"/>
                <w:szCs w:val="16"/>
                <w:color w:val="auto"/>
              </w:rPr>
            </w:pPr>
          </w:p>
        </w:tc>
        <w:tc>
          <w:tcPr>
            <w:tcW w:w="7220" w:type="dxa"/>
            <w:vAlign w:val="bottom"/>
            <w:tcBorders>
              <w:bottom w:val="single" w:sz="8" w:color="E97D2E"/>
            </w:tcBorders>
          </w:tcPr>
          <w:p>
            <w:pPr>
              <w:spacing w:after="0"/>
              <w:rPr>
                <w:sz w:val="16"/>
                <w:szCs w:val="16"/>
                <w:color w:val="auto"/>
              </w:rPr>
            </w:pPr>
          </w:p>
        </w:tc>
        <w:tc>
          <w:tcPr>
            <w:tcW w:w="2420" w:type="dxa"/>
            <w:vAlign w:val="bottom"/>
            <w:tcBorders>
              <w:bottom w:val="single" w:sz="8" w:color="E97D2E"/>
            </w:tcBorders>
            <w:vMerge w:val="continue"/>
            <w:shd w:val="clear" w:color="auto" w:fill="F9EAE1"/>
          </w:tcPr>
          <w:p>
            <w:pPr>
              <w:spacing w:after="0"/>
              <w:rPr>
                <w:sz w:val="16"/>
                <w:szCs w:val="16"/>
                <w:color w:val="auto"/>
              </w:rPr>
            </w:pPr>
          </w:p>
        </w:tc>
        <w:tc>
          <w:tcPr>
            <w:tcW w:w="1100" w:type="dxa"/>
            <w:vAlign w:val="bottom"/>
            <w:tcBorders>
              <w:bottom w:val="single" w:sz="8" w:color="E97D2E"/>
            </w:tcBorders>
          </w:tcPr>
          <w:p>
            <w:pPr>
              <w:jc w:val="center"/>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304"/>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5"/>
                <w:szCs w:val="25"/>
                <w:b w:val="1"/>
                <w:bCs w:val="1"/>
                <w:color w:val="E97D2E"/>
              </w:rPr>
              <w:t>1</w:t>
            </w:r>
          </w:p>
        </w:tc>
        <w:tc>
          <w:tcPr>
            <w:tcW w:w="7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 elect nine directors nominated by our Board of Directors</w:t>
            </w:r>
          </w:p>
        </w:tc>
        <w:tc>
          <w:tcPr>
            <w:tcW w:w="2420" w:type="dxa"/>
            <w:vAlign w:val="bottom"/>
            <w:tcBorders>
              <w:bottom w:val="single" w:sz="8" w:color="auto"/>
            </w:tcBorders>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169"/>
        </w:trPr>
        <w:tc>
          <w:tcPr>
            <w:tcW w:w="460" w:type="dxa"/>
            <w:vAlign w:val="bottom"/>
            <w:vMerge w:val="restart"/>
          </w:tcPr>
          <w:p>
            <w:pPr>
              <w:jc w:val="right"/>
              <w:spacing w:after="0"/>
              <w:rPr>
                <w:sz w:val="20"/>
                <w:szCs w:val="20"/>
                <w:color w:val="auto"/>
              </w:rPr>
            </w:pPr>
            <w:r>
              <w:rPr>
                <w:rFonts w:ascii="Arial" w:cs="Arial" w:eastAsia="Arial" w:hAnsi="Arial"/>
                <w:sz w:val="25"/>
                <w:szCs w:val="25"/>
                <w:b w:val="1"/>
                <w:bCs w:val="1"/>
                <w:color w:val="E97D2E"/>
              </w:rPr>
              <w:t>2</w:t>
            </w:r>
          </w:p>
        </w:tc>
        <w:tc>
          <w:tcPr>
            <w:tcW w:w="722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To vote on an advisory (non-binding) resolution to approve the compensation of</w:t>
            </w:r>
          </w:p>
        </w:tc>
        <w:tc>
          <w:tcPr>
            <w:tcW w:w="2420" w:type="dxa"/>
            <w:vAlign w:val="bottom"/>
            <w:vMerge w:val="restart"/>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25</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vMerge w:val="continue"/>
          </w:tcPr>
          <w:p>
            <w:pPr>
              <w:spacing w:after="0"/>
              <w:rPr>
                <w:sz w:val="21"/>
                <w:szCs w:val="21"/>
                <w:color w:val="auto"/>
              </w:rPr>
            </w:pPr>
          </w:p>
        </w:tc>
        <w:tc>
          <w:tcPr>
            <w:tcW w:w="7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our named executive officers</w:t>
            </w:r>
          </w:p>
        </w:tc>
        <w:tc>
          <w:tcPr>
            <w:tcW w:w="2420" w:type="dxa"/>
            <w:vAlign w:val="bottom"/>
            <w:tcBorders>
              <w:bottom w:val="single" w:sz="8" w:color="auto"/>
            </w:tcBorders>
            <w:vMerge w:val="continue"/>
            <w:shd w:val="clear" w:color="auto" w:fill="F9EAE1"/>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5"/>
                <w:szCs w:val="25"/>
                <w:b w:val="1"/>
                <w:bCs w:val="1"/>
                <w:color w:val="E97D2E"/>
              </w:rPr>
              <w:t>3</w:t>
            </w:r>
          </w:p>
        </w:tc>
        <w:tc>
          <w:tcPr>
            <w:tcW w:w="7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 vote on the frequency of future advisory votes on executive compensation</w:t>
            </w:r>
          </w:p>
        </w:tc>
        <w:tc>
          <w:tcPr>
            <w:tcW w:w="2420" w:type="dxa"/>
            <w:vAlign w:val="bottom"/>
            <w:tcBorders>
              <w:bottom w:val="single" w:sz="8" w:color="auto"/>
            </w:tcBorders>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1 YEAR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26</w:t>
            </w:r>
          </w:p>
        </w:tc>
        <w:tc>
          <w:tcPr>
            <w:tcW w:w="0" w:type="dxa"/>
            <w:vAlign w:val="bottom"/>
          </w:tcPr>
          <w:p>
            <w:pPr>
              <w:spacing w:after="0"/>
              <w:rPr>
                <w:sz w:val="1"/>
                <w:szCs w:val="1"/>
                <w:color w:val="auto"/>
              </w:rPr>
            </w:pPr>
          </w:p>
        </w:tc>
      </w:tr>
      <w:tr>
        <w:trPr>
          <w:trHeight w:val="169"/>
        </w:trPr>
        <w:tc>
          <w:tcPr>
            <w:tcW w:w="460" w:type="dxa"/>
            <w:vAlign w:val="bottom"/>
            <w:vMerge w:val="restart"/>
          </w:tcPr>
          <w:p>
            <w:pPr>
              <w:jc w:val="right"/>
              <w:spacing w:after="0"/>
              <w:rPr>
                <w:sz w:val="20"/>
                <w:szCs w:val="20"/>
                <w:color w:val="auto"/>
              </w:rPr>
            </w:pPr>
            <w:r>
              <w:rPr>
                <w:rFonts w:ascii="Arial" w:cs="Arial" w:eastAsia="Arial" w:hAnsi="Arial"/>
                <w:sz w:val="25"/>
                <w:szCs w:val="25"/>
                <w:b w:val="1"/>
                <w:bCs w:val="1"/>
                <w:color w:val="E97D2E"/>
              </w:rPr>
              <w:t>4</w:t>
            </w:r>
          </w:p>
        </w:tc>
        <w:tc>
          <w:tcPr>
            <w:tcW w:w="722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To ratify the selection of PricewaterhouseCoopers LLP as our independent</w:t>
            </w:r>
          </w:p>
        </w:tc>
        <w:tc>
          <w:tcPr>
            <w:tcW w:w="2420" w:type="dxa"/>
            <w:vAlign w:val="bottom"/>
            <w:vMerge w:val="restart"/>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59</w:t>
            </w:r>
          </w:p>
        </w:tc>
        <w:tc>
          <w:tcPr>
            <w:tcW w:w="0" w:type="dxa"/>
            <w:vAlign w:val="bottom"/>
          </w:tcPr>
          <w:p>
            <w:pPr>
              <w:spacing w:after="0"/>
              <w:rPr>
                <w:sz w:val="1"/>
                <w:szCs w:val="1"/>
                <w:color w:val="auto"/>
              </w:rPr>
            </w:pPr>
          </w:p>
        </w:tc>
      </w:tr>
      <w:tr>
        <w:trPr>
          <w:trHeight w:val="243"/>
        </w:trPr>
        <w:tc>
          <w:tcPr>
            <w:tcW w:w="460" w:type="dxa"/>
            <w:vAlign w:val="bottom"/>
            <w:tcBorders>
              <w:bottom w:val="single" w:sz="8" w:color="E97D2E"/>
            </w:tcBorders>
            <w:vMerge w:val="continue"/>
          </w:tcPr>
          <w:p>
            <w:pPr>
              <w:spacing w:after="0"/>
              <w:rPr>
                <w:sz w:val="21"/>
                <w:szCs w:val="21"/>
                <w:color w:val="auto"/>
              </w:rPr>
            </w:pPr>
          </w:p>
        </w:tc>
        <w:tc>
          <w:tcPr>
            <w:tcW w:w="7220" w:type="dxa"/>
            <w:vAlign w:val="bottom"/>
            <w:tcBorders>
              <w:bottom w:val="single" w:sz="8" w:color="E97D2E"/>
            </w:tcBorders>
          </w:tcPr>
          <w:p>
            <w:pPr>
              <w:ind w:left="100"/>
              <w:spacing w:after="0"/>
              <w:rPr>
                <w:sz w:val="20"/>
                <w:szCs w:val="20"/>
                <w:color w:val="auto"/>
              </w:rPr>
            </w:pPr>
            <w:r>
              <w:rPr>
                <w:rFonts w:ascii="Arial" w:cs="Arial" w:eastAsia="Arial" w:hAnsi="Arial"/>
                <w:sz w:val="18"/>
                <w:szCs w:val="18"/>
                <w:b w:val="1"/>
                <w:bCs w:val="1"/>
                <w:color w:val="auto"/>
              </w:rPr>
              <w:t>registered public accounting firm for the year ending December 31, 2023</w:t>
            </w:r>
          </w:p>
        </w:tc>
        <w:tc>
          <w:tcPr>
            <w:tcW w:w="2420" w:type="dxa"/>
            <w:vAlign w:val="bottom"/>
            <w:tcBorders>
              <w:bottom w:val="single" w:sz="8" w:color="E97D2E"/>
            </w:tcBorders>
            <w:vMerge w:val="continue"/>
            <w:shd w:val="clear" w:color="auto" w:fill="F9EAE1"/>
          </w:tcPr>
          <w:p>
            <w:pPr>
              <w:spacing w:after="0"/>
              <w:rPr>
                <w:sz w:val="21"/>
                <w:szCs w:val="21"/>
                <w:color w:val="auto"/>
              </w:rPr>
            </w:pPr>
          </w:p>
        </w:tc>
        <w:tc>
          <w:tcPr>
            <w:tcW w:w="1100" w:type="dxa"/>
            <w:vAlign w:val="bottom"/>
            <w:tcBorders>
              <w:bottom w:val="single" w:sz="8" w:color="E97D2E"/>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2022 Performance Highlights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onsemi </w:t>
      </w:r>
      <w:r>
        <w:rPr>
          <w:rFonts w:ascii="Arial" w:cs="Arial" w:eastAsia="Arial" w:hAnsi="Arial"/>
          <w:sz w:val="20"/>
          <w:szCs w:val="20"/>
          <w:color w:val="auto"/>
        </w:rPr>
        <w:t>is driving disruptive innovations to help build a better future. With a focus on automotive and industrial end-markets, we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are accelerating change in megatrends such as vehicle electrification and safety, sustainable energy grids, industrial automation, and 5G and cloud infrastructure. </w:t>
      </w:r>
      <w:r>
        <w:rPr>
          <w:rFonts w:ascii="Arial" w:cs="Arial" w:eastAsia="Arial" w:hAnsi="Arial"/>
          <w:sz w:val="20"/>
          <w:szCs w:val="20"/>
          <w:b w:val="1"/>
          <w:bCs w:val="1"/>
          <w:color w:val="auto"/>
        </w:rPr>
        <w:t>onsemi</w:t>
      </w:r>
      <w:r>
        <w:rPr>
          <w:rFonts w:ascii="Arial" w:cs="Arial" w:eastAsia="Arial" w:hAnsi="Arial"/>
          <w:sz w:val="20"/>
          <w:szCs w:val="20"/>
          <w:color w:val="auto"/>
        </w:rPr>
        <w:t xml:space="preserve"> offers a highly differentiated and innovative product portfolio, delivering intelligent power and sensing technologies that solve the world’s most complex challenges and leads the way to creating a safer, cleaner, and smarter world.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Fiscal 2022 was a record year for </w:t>
      </w:r>
      <w:r>
        <w:rPr>
          <w:rFonts w:ascii="Arial" w:cs="Arial" w:eastAsia="Arial" w:hAnsi="Arial"/>
          <w:sz w:val="20"/>
          <w:szCs w:val="20"/>
          <w:b w:val="1"/>
          <w:bCs w:val="1"/>
          <w:color w:val="auto"/>
        </w:rPr>
        <w:t>onsemi</w:t>
      </w:r>
      <w:r>
        <w:rPr>
          <w:rFonts w:ascii="Arial" w:cs="Arial" w:eastAsia="Arial" w:hAnsi="Arial"/>
          <w:sz w:val="20"/>
          <w:szCs w:val="20"/>
          <w:color w:val="auto"/>
        </w:rPr>
        <w:t xml:space="preserve"> on several fronts. Key highlights include: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465E66"/>
        </w:rPr>
        <w:t>Financial</w:t>
      </w:r>
    </w:p>
    <w:p>
      <w:pPr>
        <w:spacing w:after="0" w:line="3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E97D2E"/>
        </w:rPr>
        <w:t xml:space="preserve">Record </w:t>
      </w:r>
      <w:r>
        <w:rPr>
          <w:rFonts w:ascii="Arial" w:cs="Arial" w:eastAsia="Arial" w:hAnsi="Arial"/>
          <w:sz w:val="20"/>
          <w:szCs w:val="20"/>
          <w:color w:val="000000"/>
        </w:rPr>
        <w:t>revenue of</w:t>
      </w:r>
      <w:r>
        <w:rPr>
          <w:rFonts w:ascii="Arial" w:cs="Arial" w:eastAsia="Arial" w:hAnsi="Arial"/>
          <w:sz w:val="20"/>
          <w:szCs w:val="20"/>
          <w:color w:val="E97D2E"/>
        </w:rPr>
        <w:t xml:space="preserve"> $8.3 billion</w:t>
      </w:r>
      <w:r>
        <w:rPr>
          <w:rFonts w:ascii="Arial" w:cs="Arial" w:eastAsia="Arial" w:hAnsi="Arial"/>
          <w:sz w:val="20"/>
          <w:szCs w:val="20"/>
          <w:color w:val="000000"/>
        </w:rPr>
        <w:t>, representing 24% year-over-year growth</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E97D2E"/>
        </w:rPr>
        <w:t xml:space="preserve">Record </w:t>
      </w:r>
      <w:r>
        <w:rPr>
          <w:rFonts w:ascii="Arial" w:cs="Arial" w:eastAsia="Arial" w:hAnsi="Arial"/>
          <w:sz w:val="20"/>
          <w:szCs w:val="20"/>
          <w:color w:val="000000"/>
        </w:rPr>
        <w:t>automotive revenue of</w:t>
      </w:r>
      <w:r>
        <w:rPr>
          <w:rFonts w:ascii="Arial" w:cs="Arial" w:eastAsia="Arial" w:hAnsi="Arial"/>
          <w:sz w:val="20"/>
          <w:szCs w:val="20"/>
          <w:color w:val="E97D2E"/>
        </w:rPr>
        <w:t xml:space="preserve"> $3.4 billion</w:t>
      </w:r>
      <w:r>
        <w:rPr>
          <w:rFonts w:ascii="Arial" w:cs="Arial" w:eastAsia="Arial" w:hAnsi="Arial"/>
          <w:sz w:val="20"/>
          <w:szCs w:val="20"/>
          <w:color w:val="000000"/>
        </w:rPr>
        <w:t>, up 47% year-over-year</w:t>
      </w: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E97D2E"/>
        </w:rPr>
        <w:t xml:space="preserve">Record </w:t>
      </w:r>
      <w:r>
        <w:rPr>
          <w:rFonts w:ascii="Arial" w:cs="Arial" w:eastAsia="Arial" w:hAnsi="Arial"/>
          <w:sz w:val="20"/>
          <w:szCs w:val="20"/>
          <w:color w:val="000000"/>
        </w:rPr>
        <w:t>GAAP gross margin of</w:t>
      </w:r>
      <w:r>
        <w:rPr>
          <w:rFonts w:ascii="Arial" w:cs="Arial" w:eastAsia="Arial" w:hAnsi="Arial"/>
          <w:sz w:val="20"/>
          <w:szCs w:val="20"/>
          <w:color w:val="E97D2E"/>
        </w:rPr>
        <w:t xml:space="preserve"> 49.0% </w:t>
      </w:r>
      <w:r>
        <w:rPr>
          <w:rFonts w:ascii="Arial" w:cs="Arial" w:eastAsia="Arial" w:hAnsi="Arial"/>
          <w:sz w:val="20"/>
          <w:szCs w:val="20"/>
          <w:color w:val="000000"/>
        </w:rPr>
        <w:t>and record non-GAAP gross margin of 49.2%, up 880 bps year-over-year</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E97D2E"/>
        </w:rPr>
        <w:t xml:space="preserve">Record </w:t>
      </w:r>
      <w:r>
        <w:rPr>
          <w:rFonts w:ascii="Arial" w:cs="Arial" w:eastAsia="Arial" w:hAnsi="Arial"/>
          <w:sz w:val="20"/>
          <w:szCs w:val="20"/>
          <w:color w:val="000000"/>
        </w:rPr>
        <w:t>GAAP EPS of</w:t>
      </w:r>
      <w:r>
        <w:rPr>
          <w:rFonts w:ascii="Arial" w:cs="Arial" w:eastAsia="Arial" w:hAnsi="Arial"/>
          <w:sz w:val="20"/>
          <w:szCs w:val="20"/>
          <w:color w:val="E97D2E"/>
        </w:rPr>
        <w:t xml:space="preserve"> $4.25 </w:t>
      </w:r>
      <w:r>
        <w:rPr>
          <w:rFonts w:ascii="Arial" w:cs="Arial" w:eastAsia="Arial" w:hAnsi="Arial"/>
          <w:sz w:val="20"/>
          <w:szCs w:val="20"/>
          <w:color w:val="000000"/>
        </w:rPr>
        <w:t>and record non-GAAP EPS of $5.33, increasing more than three times faster than revenue</w:t>
      </w: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E97D2E"/>
        </w:rPr>
        <w:t xml:space="preserve">Record </w:t>
      </w:r>
      <w:r>
        <w:rPr>
          <w:rFonts w:ascii="Arial" w:cs="Arial" w:eastAsia="Arial" w:hAnsi="Arial"/>
          <w:sz w:val="20"/>
          <w:szCs w:val="20"/>
          <w:color w:val="000000"/>
        </w:rPr>
        <w:t>free cash flow of</w:t>
      </w:r>
      <w:r>
        <w:rPr>
          <w:rFonts w:ascii="Arial" w:cs="Arial" w:eastAsia="Arial" w:hAnsi="Arial"/>
          <w:sz w:val="20"/>
          <w:szCs w:val="20"/>
          <w:color w:val="E97D2E"/>
        </w:rPr>
        <w:t xml:space="preserve"> $1,628 million</w:t>
      </w:r>
      <w:r>
        <w:rPr>
          <w:rFonts w:ascii="Arial" w:cs="Arial" w:eastAsia="Arial" w:hAnsi="Arial"/>
          <w:sz w:val="20"/>
          <w:szCs w:val="20"/>
          <w:color w:val="000000"/>
        </w:rPr>
        <w:t>, representing 20% of revenue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 Reconciliations of GAAP to non-GAAP measures included in the proxy statement are located in the Appendix.</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465E66"/>
        </w:rPr>
        <w:t>Strategic</w:t>
      </w:r>
    </w:p>
    <w:p>
      <w:pPr>
        <w:spacing w:after="0" w:line="2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0"/>
          <w:szCs w:val="20"/>
          <w:color w:val="276990"/>
        </w:rPr>
      </w:pPr>
      <w:r>
        <w:rPr>
          <w:rFonts w:ascii="Arial" w:cs="Arial" w:eastAsia="Arial" w:hAnsi="Arial"/>
          <w:sz w:val="20"/>
          <w:szCs w:val="20"/>
          <w:color w:val="auto"/>
        </w:rPr>
        <w:t>Expanded SiC production in Hudson, New Hampshire, Roznov, Czech Republic and Bucheon, Korea</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5"/>
        </w:numPr>
        <w:rPr>
          <w:rFonts w:ascii="Arial" w:cs="Arial" w:eastAsia="Arial" w:hAnsi="Arial"/>
          <w:sz w:val="20"/>
          <w:szCs w:val="20"/>
          <w:color w:val="276990"/>
        </w:rPr>
      </w:pPr>
      <w:r>
        <w:rPr>
          <w:rFonts w:ascii="Arial" w:cs="Arial" w:eastAsia="Arial" w:hAnsi="Arial"/>
          <w:sz w:val="20"/>
          <w:szCs w:val="20"/>
          <w:color w:val="auto"/>
        </w:rPr>
        <w:t>Focus on automotive and industrial end-markets, which now represent 73% of total revenue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E97D2E"/>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0"/>
          <w:szCs w:val="20"/>
          <w:color w:val="276990"/>
        </w:rPr>
      </w:pPr>
      <w:r>
        <w:rPr>
          <w:rFonts w:ascii="Arial" w:cs="Arial" w:eastAsia="Arial" w:hAnsi="Arial"/>
          <w:sz w:val="20"/>
          <w:szCs w:val="20"/>
          <w:color w:val="auto"/>
        </w:rPr>
        <w:t>Exited 2022 with $16.6 billion total committed revenue in long-term supply agreements</w:t>
      </w:r>
    </w:p>
    <w:p>
      <w:pPr>
        <w:spacing w:after="0" w:line="31" w:lineRule="exact"/>
        <w:rPr>
          <w:rFonts w:ascii="Arial" w:cs="Arial" w:eastAsia="Arial" w:hAnsi="Arial"/>
          <w:sz w:val="20"/>
          <w:szCs w:val="20"/>
          <w:color w:val="276990"/>
        </w:rPr>
      </w:pPr>
    </w:p>
    <w:p>
      <w:pPr>
        <w:ind w:left="180" w:hanging="172"/>
        <w:spacing w:after="0"/>
        <w:tabs>
          <w:tab w:leader="none" w:pos="180" w:val="left"/>
        </w:tabs>
        <w:numPr>
          <w:ilvl w:val="0"/>
          <w:numId w:val="6"/>
        </w:numPr>
        <w:rPr>
          <w:rFonts w:ascii="Arial" w:cs="Arial" w:eastAsia="Arial" w:hAnsi="Arial"/>
          <w:sz w:val="20"/>
          <w:szCs w:val="20"/>
          <w:color w:val="276990"/>
        </w:rPr>
      </w:pPr>
      <w:r>
        <w:rPr>
          <w:rFonts w:ascii="Arial" w:cs="Arial" w:eastAsia="Arial" w:hAnsi="Arial"/>
          <w:sz w:val="20"/>
          <w:szCs w:val="20"/>
          <w:color w:val="auto"/>
        </w:rPr>
        <w:t>Divested four sub-scale fabs and closed the acquisition of 300mm fab to improve long-term cost structure</w:t>
      </w:r>
    </w:p>
    <w:p>
      <w:pPr>
        <w:ind w:left="180" w:hanging="172"/>
        <w:spacing w:after="0"/>
        <w:tabs>
          <w:tab w:leader="none" w:pos="180" w:val="left"/>
        </w:tabs>
        <w:numPr>
          <w:ilvl w:val="0"/>
          <w:numId w:val="6"/>
        </w:numPr>
        <w:rPr>
          <w:rFonts w:ascii="Arial" w:cs="Arial" w:eastAsia="Arial" w:hAnsi="Arial"/>
          <w:sz w:val="20"/>
          <w:szCs w:val="20"/>
          <w:color w:val="276990"/>
        </w:rPr>
      </w:pPr>
      <w:r>
        <w:rPr>
          <w:rFonts w:ascii="Arial" w:cs="Arial" w:eastAsia="Arial" w:hAnsi="Arial"/>
          <w:sz w:val="20"/>
          <w:szCs w:val="20"/>
          <w:color w:val="auto"/>
        </w:rPr>
        <w:t>Energy infrastructure revenue grew 75% year-over-year</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Proxy Voting Roadmap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gridSpan w:val="3"/>
            <w:shd w:val="clear" w:color="auto" w:fill="DBDBDB"/>
          </w:tcPr>
          <w:p>
            <w:pPr>
              <w:ind w:left="20"/>
              <w:spacing w:after="0"/>
              <w:rPr>
                <w:sz w:val="20"/>
                <w:szCs w:val="20"/>
                <w:color w:val="auto"/>
              </w:rPr>
            </w:pPr>
            <w:r>
              <w:rPr>
                <w:rFonts w:ascii="Arial" w:cs="Arial" w:eastAsia="Arial" w:hAnsi="Arial"/>
                <w:sz w:val="18"/>
                <w:szCs w:val="18"/>
                <w:b w:val="1"/>
                <w:bCs w:val="1"/>
                <w:color w:val="E97D2E"/>
              </w:rPr>
              <w:t>PROPOSAL NO. 1:</w:t>
            </w:r>
          </w:p>
        </w:tc>
        <w:tc>
          <w:tcPr>
            <w:tcW w:w="2240" w:type="dxa"/>
            <w:vAlign w:val="bottom"/>
            <w:shd w:val="clear" w:color="auto" w:fill="DBDBDB"/>
          </w:tcPr>
          <w:p>
            <w:pPr>
              <w:spacing w:after="0"/>
              <w:rPr>
                <w:sz w:val="23"/>
                <w:szCs w:val="23"/>
                <w:color w:val="auto"/>
              </w:rPr>
            </w:pPr>
          </w:p>
        </w:tc>
        <w:tc>
          <w:tcPr>
            <w:tcW w:w="2940" w:type="dxa"/>
            <w:vAlign w:val="bottom"/>
            <w:shd w:val="clear" w:color="auto" w:fill="DBDBDB"/>
          </w:tcPr>
          <w:p>
            <w:pPr>
              <w:spacing w:after="0"/>
              <w:rPr>
                <w:sz w:val="23"/>
                <w:szCs w:val="23"/>
                <w:color w:val="auto"/>
              </w:rPr>
            </w:pPr>
          </w:p>
        </w:tc>
      </w:tr>
      <w:tr>
        <w:trPr>
          <w:trHeight w:val="257"/>
        </w:trPr>
        <w:tc>
          <w:tcPr>
            <w:tcW w:w="6060" w:type="dxa"/>
            <w:vAlign w:val="bottom"/>
            <w:gridSpan w:val="3"/>
            <w:shd w:val="clear" w:color="auto" w:fill="DBDBDB"/>
          </w:tcPr>
          <w:p>
            <w:pPr>
              <w:ind w:left="20"/>
              <w:spacing w:after="0" w:line="257" w:lineRule="exact"/>
              <w:rPr>
                <w:sz w:val="20"/>
                <w:szCs w:val="20"/>
                <w:color w:val="auto"/>
              </w:rPr>
            </w:pPr>
            <w:r>
              <w:rPr>
                <w:rFonts w:ascii="Arial" w:cs="Arial" w:eastAsia="Arial" w:hAnsi="Arial"/>
                <w:sz w:val="25"/>
                <w:szCs w:val="25"/>
                <w:b w:val="1"/>
                <w:bCs w:val="1"/>
                <w:color w:val="auto"/>
              </w:rPr>
              <w:t>Election of Directors</w:t>
            </w:r>
          </w:p>
        </w:tc>
        <w:tc>
          <w:tcPr>
            <w:tcW w:w="2240" w:type="dxa"/>
            <w:vAlign w:val="bottom"/>
            <w:shd w:val="clear" w:color="auto" w:fill="DBDBDB"/>
          </w:tcPr>
          <w:p>
            <w:pPr>
              <w:ind w:left="2000"/>
              <w:spacing w:after="0" w:line="257" w:lineRule="exact"/>
              <w:rPr>
                <w:sz w:val="20"/>
                <w:szCs w:val="20"/>
                <w:color w:val="auto"/>
              </w:rPr>
            </w:pPr>
            <w:r>
              <w:rPr>
                <w:rFonts w:ascii="Wingdings" w:cs="Wingdings" w:eastAsia="Wingdings" w:hAnsi="Wingdings"/>
                <w:sz w:val="29"/>
                <w:szCs w:val="29"/>
                <w:b w:val="1"/>
                <w:bCs w:val="1"/>
                <w:color w:val="E97D2E"/>
              </w:rPr>
              <w:t>ü</w:t>
            </w:r>
          </w:p>
        </w:tc>
        <w:tc>
          <w:tcPr>
            <w:tcW w:w="29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Our Board recommends</w:t>
            </w:r>
          </w:p>
        </w:tc>
      </w:tr>
      <w:tr>
        <w:trPr>
          <w:trHeight w:val="148"/>
        </w:trPr>
        <w:tc>
          <w:tcPr>
            <w:tcW w:w="8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5660" w:type="dxa"/>
            <w:vAlign w:val="bottom"/>
            <w:shd w:val="clear" w:color="auto" w:fill="DBDBDB"/>
          </w:tcPr>
          <w:p>
            <w:pPr>
              <w:spacing w:after="0"/>
              <w:rPr>
                <w:sz w:val="12"/>
                <w:szCs w:val="12"/>
                <w:color w:val="auto"/>
              </w:rPr>
            </w:pPr>
          </w:p>
        </w:tc>
        <w:tc>
          <w:tcPr>
            <w:tcW w:w="2240" w:type="dxa"/>
            <w:vAlign w:val="bottom"/>
            <w:shd w:val="clear" w:color="auto" w:fill="DBDBDB"/>
          </w:tcPr>
          <w:p>
            <w:pPr>
              <w:spacing w:after="0"/>
              <w:rPr>
                <w:sz w:val="12"/>
                <w:szCs w:val="12"/>
                <w:color w:val="auto"/>
              </w:rPr>
            </w:pPr>
          </w:p>
        </w:tc>
        <w:tc>
          <w:tcPr>
            <w:tcW w:w="2940" w:type="dxa"/>
            <w:vAlign w:val="bottom"/>
            <w:shd w:val="clear" w:color="auto" w:fill="DBDBDB"/>
          </w:tcPr>
          <w:p>
            <w:pPr>
              <w:jc w:val="center"/>
              <w:spacing w:after="0" w:line="149" w:lineRule="exact"/>
              <w:rPr>
                <w:sz w:val="20"/>
                <w:szCs w:val="20"/>
                <w:color w:val="auto"/>
              </w:rPr>
            </w:pPr>
            <w:r>
              <w:rPr>
                <w:rFonts w:ascii="Arial" w:cs="Arial" w:eastAsia="Arial" w:hAnsi="Arial"/>
                <w:sz w:val="17"/>
                <w:szCs w:val="17"/>
                <w:b w:val="1"/>
                <w:bCs w:val="1"/>
                <w:color w:val="auto"/>
              </w:rPr>
              <w:t xml:space="preserve">a vote </w:t>
            </w:r>
            <w:r>
              <w:rPr>
                <w:rFonts w:ascii="Arial" w:cs="Arial" w:eastAsia="Arial" w:hAnsi="Arial"/>
                <w:sz w:val="17"/>
                <w:szCs w:val="17"/>
                <w:b w:val="1"/>
                <w:bCs w:val="1"/>
                <w:color w:val="E97D2E"/>
              </w:rPr>
              <w:t>FOR</w:t>
            </w:r>
            <w:r>
              <w:rPr>
                <w:rFonts w:ascii="Arial" w:cs="Arial" w:eastAsia="Arial" w:hAnsi="Arial"/>
                <w:sz w:val="17"/>
                <w:szCs w:val="17"/>
                <w:b w:val="1"/>
                <w:bCs w:val="1"/>
                <w:color w:val="auto"/>
              </w:rPr>
              <w:t xml:space="preserve"> each of our</w:t>
            </w:r>
          </w:p>
        </w:tc>
      </w:tr>
      <w:tr>
        <w:trPr>
          <w:trHeight w:val="247"/>
        </w:trPr>
        <w:tc>
          <w:tcPr>
            <w:tcW w:w="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5660" w:type="dxa"/>
            <w:vAlign w:val="bottom"/>
            <w:shd w:val="clear" w:color="auto" w:fill="DBDBDB"/>
          </w:tcPr>
          <w:p>
            <w:pPr>
              <w:spacing w:after="0"/>
              <w:rPr>
                <w:sz w:val="21"/>
                <w:szCs w:val="21"/>
                <w:color w:val="auto"/>
              </w:rPr>
            </w:pPr>
          </w:p>
        </w:tc>
        <w:tc>
          <w:tcPr>
            <w:tcW w:w="2240" w:type="dxa"/>
            <w:vAlign w:val="bottom"/>
            <w:shd w:val="clear" w:color="auto" w:fill="DBDBDB"/>
          </w:tcPr>
          <w:p>
            <w:pPr>
              <w:spacing w:after="0"/>
              <w:rPr>
                <w:sz w:val="21"/>
                <w:szCs w:val="21"/>
                <w:color w:val="auto"/>
              </w:rPr>
            </w:pPr>
          </w:p>
        </w:tc>
        <w:tc>
          <w:tcPr>
            <w:tcW w:w="29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nine director nominees.</w:t>
            </w:r>
          </w:p>
        </w:tc>
      </w:tr>
      <w:tr>
        <w:trPr>
          <w:trHeight w:val="185"/>
        </w:trPr>
        <w:tc>
          <w:tcPr>
            <w:tcW w:w="6060" w:type="dxa"/>
            <w:vAlign w:val="bottom"/>
            <w:gridSpan w:val="3"/>
            <w:shd w:val="clear" w:color="auto" w:fill="DBDBDB"/>
          </w:tcPr>
          <w:p>
            <w:pPr>
              <w:ind w:left="20"/>
              <w:spacing w:after="0"/>
              <w:rPr>
                <w:sz w:val="20"/>
                <w:szCs w:val="20"/>
                <w:color w:val="auto"/>
              </w:rPr>
            </w:pPr>
            <w:r>
              <w:rPr>
                <w:rFonts w:ascii="Arial" w:cs="Arial" w:eastAsia="Arial" w:hAnsi="Arial"/>
                <w:sz w:val="14"/>
                <w:szCs w:val="14"/>
                <w:color w:val="auto"/>
              </w:rPr>
              <w:t>(page 4)</w:t>
            </w:r>
          </w:p>
        </w:tc>
        <w:tc>
          <w:tcPr>
            <w:tcW w:w="2240" w:type="dxa"/>
            <w:vAlign w:val="bottom"/>
            <w:shd w:val="clear" w:color="auto" w:fill="DBDBDB"/>
          </w:tcPr>
          <w:p>
            <w:pPr>
              <w:spacing w:after="0"/>
              <w:rPr>
                <w:sz w:val="16"/>
                <w:szCs w:val="16"/>
                <w:color w:val="auto"/>
              </w:rPr>
            </w:pPr>
          </w:p>
        </w:tc>
        <w:tc>
          <w:tcPr>
            <w:tcW w:w="2940" w:type="dxa"/>
            <w:vAlign w:val="bottom"/>
            <w:shd w:val="clear" w:color="auto" w:fill="DBDBDB"/>
          </w:tcPr>
          <w:p>
            <w:pPr>
              <w:spacing w:after="0"/>
              <w:rPr>
                <w:sz w:val="16"/>
                <w:szCs w:val="16"/>
                <w:color w:val="auto"/>
              </w:rPr>
            </w:pPr>
          </w:p>
        </w:tc>
      </w:tr>
      <w:tr>
        <w:trPr>
          <w:trHeight w:val="20"/>
        </w:trPr>
        <w:tc>
          <w:tcPr>
            <w:tcW w:w="8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auto"/>
            </w:tcBorders>
            <w:shd w:val="clear" w:color="auto" w:fill="DBDBDB"/>
          </w:tcPr>
          <w:p>
            <w:pPr>
              <w:spacing w:after="0" w:line="20" w:lineRule="exact"/>
              <w:rPr>
                <w:sz w:val="1"/>
                <w:szCs w:val="1"/>
                <w:color w:val="auto"/>
              </w:rPr>
            </w:pPr>
          </w:p>
        </w:tc>
        <w:tc>
          <w:tcPr>
            <w:tcW w:w="5660" w:type="dxa"/>
            <w:vAlign w:val="bottom"/>
            <w:tcBorders>
              <w:top w:val="single" w:sz="8" w:color="DBDBDB"/>
            </w:tcBorders>
            <w:shd w:val="clear" w:color="auto" w:fill="DBDBDB"/>
          </w:tcPr>
          <w:p>
            <w:pPr>
              <w:spacing w:after="0" w:line="20" w:lineRule="exact"/>
              <w:rPr>
                <w:sz w:val="1"/>
                <w:szCs w:val="1"/>
                <w:color w:val="auto"/>
              </w:rPr>
            </w:pPr>
          </w:p>
        </w:tc>
        <w:tc>
          <w:tcPr>
            <w:tcW w:w="2240" w:type="dxa"/>
            <w:vAlign w:val="bottom"/>
            <w:tcBorders>
              <w:top w:val="single" w:sz="8" w:color="DBDBDB"/>
            </w:tcBorders>
            <w:shd w:val="clear" w:color="auto" w:fill="DBDBDB"/>
          </w:tcPr>
          <w:p>
            <w:pPr>
              <w:spacing w:after="0" w:line="20" w:lineRule="exact"/>
              <w:rPr>
                <w:sz w:val="1"/>
                <w:szCs w:val="1"/>
                <w:color w:val="auto"/>
              </w:rPr>
            </w:pPr>
          </w:p>
        </w:tc>
        <w:tc>
          <w:tcPr>
            <w:tcW w:w="2940" w:type="dxa"/>
            <w:vAlign w:val="bottom"/>
            <w:tcBorders>
              <w:top w:val="single" w:sz="8" w:color="DBDBDB"/>
            </w:tcBorders>
            <w:shd w:val="clear" w:color="auto" w:fill="DBDBDB"/>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Director Nominees Overview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00" w:type="dxa"/>
            <w:vAlign w:val="bottom"/>
            <w:vMerge w:val="restart"/>
          </w:tcPr>
          <w:p>
            <w:pPr>
              <w:spacing w:after="0"/>
              <w:rPr>
                <w:sz w:val="20"/>
                <w:szCs w:val="20"/>
                <w:color w:val="auto"/>
              </w:rPr>
            </w:pPr>
            <w:r>
              <w:rPr>
                <w:rFonts w:ascii="Arial" w:cs="Arial" w:eastAsia="Arial" w:hAnsi="Arial"/>
                <w:sz w:val="16"/>
                <w:szCs w:val="16"/>
                <w:color w:val="465E66"/>
              </w:rPr>
              <w:t>Name and Principal Occupation</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Age</w:t>
            </w:r>
          </w:p>
        </w:tc>
        <w:tc>
          <w:tcPr>
            <w:tcW w:w="820" w:type="dxa"/>
            <w:vAlign w:val="bottom"/>
          </w:tcPr>
          <w:p>
            <w:pPr>
              <w:jc w:val="center"/>
              <w:ind w:left="159"/>
              <w:spacing w:after="0"/>
              <w:rPr>
                <w:sz w:val="20"/>
                <w:szCs w:val="20"/>
                <w:color w:val="auto"/>
              </w:rPr>
            </w:pPr>
            <w:r>
              <w:rPr>
                <w:rFonts w:ascii="Arial" w:cs="Arial" w:eastAsia="Arial" w:hAnsi="Arial"/>
                <w:sz w:val="16"/>
                <w:szCs w:val="16"/>
                <w:color w:val="465E66"/>
              </w:rPr>
              <w:t>Director</w:t>
            </w:r>
          </w:p>
        </w:tc>
        <w:tc>
          <w:tcPr>
            <w:tcW w:w="0" w:type="dxa"/>
            <w:vAlign w:val="bottom"/>
          </w:tcPr>
          <w:p>
            <w:pPr>
              <w:spacing w:after="0"/>
              <w:rPr>
                <w:sz w:val="1"/>
                <w:szCs w:val="1"/>
                <w:color w:val="auto"/>
              </w:rPr>
            </w:pPr>
          </w:p>
        </w:tc>
      </w:tr>
      <w:tr>
        <w:trPr>
          <w:trHeight w:val="215"/>
        </w:trPr>
        <w:tc>
          <w:tcPr>
            <w:tcW w:w="41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20" w:type="dxa"/>
            <w:vAlign w:val="bottom"/>
          </w:tcPr>
          <w:p>
            <w:pPr>
              <w:jc w:val="center"/>
              <w:ind w:left="139"/>
              <w:spacing w:after="0"/>
              <w:rPr>
                <w:sz w:val="20"/>
                <w:szCs w:val="20"/>
                <w:color w:val="auto"/>
              </w:rPr>
            </w:pPr>
            <w:r>
              <w:rPr>
                <w:rFonts w:ascii="Arial" w:cs="Arial" w:eastAsia="Arial" w:hAnsi="Arial"/>
                <w:sz w:val="16"/>
                <w:szCs w:val="16"/>
                <w:color w:val="465E66"/>
                <w:w w:val="99"/>
              </w:rPr>
              <w:t>Since</w:t>
            </w:r>
          </w:p>
        </w:tc>
        <w:tc>
          <w:tcPr>
            <w:tcW w:w="0" w:type="dxa"/>
            <w:vAlign w:val="bottom"/>
          </w:tcPr>
          <w:p>
            <w:pPr>
              <w:spacing w:after="0"/>
              <w:rPr>
                <w:sz w:val="1"/>
                <w:szCs w:val="1"/>
                <w:color w:val="auto"/>
              </w:rPr>
            </w:pPr>
          </w:p>
        </w:tc>
      </w:tr>
      <w:tr>
        <w:trPr>
          <w:trHeight w:val="217"/>
        </w:trPr>
        <w:tc>
          <w:tcPr>
            <w:tcW w:w="4100" w:type="dxa"/>
            <w:vAlign w:val="bottom"/>
          </w:tcPr>
          <w:p>
            <w:pPr>
              <w:ind w:left="1200"/>
              <w:spacing w:after="0"/>
              <w:rPr>
                <w:sz w:val="20"/>
                <w:szCs w:val="20"/>
                <w:color w:val="auto"/>
              </w:rPr>
            </w:pPr>
            <w:r>
              <w:rPr>
                <w:rFonts w:ascii="Arial" w:cs="Arial" w:eastAsia="Arial" w:hAnsi="Arial"/>
                <w:sz w:val="16"/>
                <w:szCs w:val="16"/>
                <w:color w:val="E97D2E"/>
              </w:rPr>
              <w:t>Atsushi Abe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Managing Partner of Advanced</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100" w:type="dxa"/>
            <w:vAlign w:val="bottom"/>
          </w:tcPr>
          <w:p>
            <w:pPr>
              <w:ind w:left="1200"/>
              <w:spacing w:after="0"/>
              <w:rPr>
                <w:sz w:val="20"/>
                <w:szCs w:val="20"/>
                <w:color w:val="auto"/>
              </w:rPr>
            </w:pPr>
            <w:r>
              <w:rPr>
                <w:rFonts w:ascii="Arial" w:cs="Arial" w:eastAsia="Arial" w:hAnsi="Arial"/>
                <w:sz w:val="16"/>
                <w:szCs w:val="16"/>
                <w:color w:val="465E66"/>
              </w:rPr>
              <w:t>Solutions, Inc.</w:t>
            </w:r>
          </w:p>
        </w:tc>
        <w:tc>
          <w:tcPr>
            <w:tcW w:w="660" w:type="dxa"/>
            <w:vAlign w:val="bottom"/>
          </w:tcPr>
          <w:p>
            <w:pPr>
              <w:jc w:val="center"/>
              <w:spacing w:after="0"/>
              <w:rPr>
                <w:sz w:val="20"/>
                <w:szCs w:val="20"/>
                <w:color w:val="auto"/>
              </w:rPr>
            </w:pPr>
            <w:r>
              <w:rPr>
                <w:rFonts w:ascii="Arial" w:cs="Arial" w:eastAsia="Arial" w:hAnsi="Arial"/>
                <w:sz w:val="16"/>
                <w:szCs w:val="16"/>
                <w:color w:val="465E66"/>
              </w:rPr>
              <w:t>69</w:t>
            </w:r>
          </w:p>
        </w:tc>
        <w:tc>
          <w:tcPr>
            <w:tcW w:w="820" w:type="dxa"/>
            <w:vAlign w:val="bottom"/>
          </w:tcPr>
          <w:p>
            <w:pPr>
              <w:jc w:val="center"/>
              <w:ind w:left="159"/>
              <w:spacing w:after="0"/>
              <w:rPr>
                <w:sz w:val="20"/>
                <w:szCs w:val="20"/>
                <w:color w:val="auto"/>
              </w:rPr>
            </w:pPr>
            <w:r>
              <w:rPr>
                <w:rFonts w:ascii="Arial" w:cs="Arial" w:eastAsia="Arial" w:hAnsi="Arial"/>
                <w:sz w:val="16"/>
                <w:szCs w:val="16"/>
                <w:color w:val="465E66"/>
                <w:w w:val="95"/>
              </w:rPr>
              <w:t>2011</w:t>
            </w:r>
          </w:p>
        </w:tc>
        <w:tc>
          <w:tcPr>
            <w:tcW w:w="0" w:type="dxa"/>
            <w:vAlign w:val="bottom"/>
          </w:tcPr>
          <w:p>
            <w:pPr>
              <w:spacing w:after="0"/>
              <w:rPr>
                <w:sz w:val="1"/>
                <w:szCs w:val="1"/>
                <w:color w:val="auto"/>
              </w:rPr>
            </w:pPr>
          </w:p>
        </w:tc>
      </w:tr>
      <w:tr>
        <w:trPr>
          <w:trHeight w:val="515"/>
        </w:trPr>
        <w:tc>
          <w:tcPr>
            <w:tcW w:w="4100" w:type="dxa"/>
            <w:vAlign w:val="bottom"/>
          </w:tcPr>
          <w:p>
            <w:pPr>
              <w:ind w:left="1200"/>
              <w:spacing w:after="0"/>
              <w:rPr>
                <w:sz w:val="20"/>
                <w:szCs w:val="20"/>
                <w:color w:val="auto"/>
              </w:rPr>
            </w:pPr>
            <w:r>
              <w:rPr>
                <w:rFonts w:ascii="Arial" w:cs="Arial" w:eastAsia="Arial" w:hAnsi="Arial"/>
                <w:sz w:val="16"/>
                <w:szCs w:val="16"/>
                <w:color w:val="E97D2E"/>
              </w:rPr>
              <w:t>Alan Campbell</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Chairman of the Board</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100" w:type="dxa"/>
            <w:vAlign w:val="bottom"/>
          </w:tcPr>
          <w:p>
            <w:pPr>
              <w:ind w:left="1200"/>
              <w:spacing w:after="0" w:line="178" w:lineRule="exact"/>
              <w:rPr>
                <w:sz w:val="20"/>
                <w:szCs w:val="20"/>
                <w:color w:val="auto"/>
              </w:rPr>
            </w:pPr>
            <w:r>
              <w:rPr>
                <w:rFonts w:ascii="Arial" w:cs="Arial" w:eastAsia="Arial" w:hAnsi="Arial"/>
                <w:sz w:val="16"/>
                <w:szCs w:val="16"/>
                <w:color w:val="465E66"/>
              </w:rPr>
              <w:t>Former Chief Financial Officer of</w:t>
            </w:r>
          </w:p>
        </w:tc>
        <w:tc>
          <w:tcPr>
            <w:tcW w:w="660" w:type="dxa"/>
            <w:vAlign w:val="bottom"/>
          </w:tcPr>
          <w:p>
            <w:pPr>
              <w:jc w:val="center"/>
              <w:spacing w:after="0" w:line="178" w:lineRule="exact"/>
              <w:rPr>
                <w:sz w:val="20"/>
                <w:szCs w:val="20"/>
                <w:color w:val="auto"/>
              </w:rPr>
            </w:pPr>
            <w:r>
              <w:rPr>
                <w:rFonts w:ascii="Arial" w:cs="Arial" w:eastAsia="Arial" w:hAnsi="Arial"/>
                <w:sz w:val="16"/>
                <w:szCs w:val="16"/>
                <w:color w:val="465E66"/>
              </w:rPr>
              <w:t>65</w:t>
            </w:r>
          </w:p>
        </w:tc>
        <w:tc>
          <w:tcPr>
            <w:tcW w:w="820" w:type="dxa"/>
            <w:vAlign w:val="bottom"/>
          </w:tcPr>
          <w:p>
            <w:pPr>
              <w:jc w:val="center"/>
              <w:ind w:left="139"/>
              <w:spacing w:after="0" w:line="178" w:lineRule="exact"/>
              <w:rPr>
                <w:sz w:val="20"/>
                <w:szCs w:val="20"/>
                <w:color w:val="auto"/>
              </w:rPr>
            </w:pPr>
            <w:r>
              <w:rPr>
                <w:rFonts w:ascii="Arial" w:cs="Arial" w:eastAsia="Arial" w:hAnsi="Arial"/>
                <w:sz w:val="16"/>
                <w:szCs w:val="16"/>
                <w:color w:val="465E66"/>
              </w:rPr>
              <w:t>2015</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Freescale Semiconductor, Inc.</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00" w:type="dxa"/>
            <w:vAlign w:val="bottom"/>
          </w:tcPr>
          <w:p>
            <w:pPr>
              <w:ind w:left="1200"/>
              <w:spacing w:after="0"/>
              <w:rPr>
                <w:sz w:val="20"/>
                <w:szCs w:val="20"/>
                <w:color w:val="auto"/>
              </w:rPr>
            </w:pPr>
            <w:r>
              <w:rPr>
                <w:rFonts w:ascii="Arial" w:cs="Arial" w:eastAsia="Arial" w:hAnsi="Arial"/>
                <w:sz w:val="16"/>
                <w:szCs w:val="16"/>
                <w:color w:val="E97D2E"/>
              </w:rPr>
              <w:t>Susan K. Carter</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Former Senior Vice President and</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64</w:t>
            </w:r>
          </w:p>
        </w:tc>
        <w:tc>
          <w:tcPr>
            <w:tcW w:w="820" w:type="dxa"/>
            <w:vAlign w:val="bottom"/>
            <w:vMerge w:val="restart"/>
          </w:tcPr>
          <w:p>
            <w:pPr>
              <w:jc w:val="center"/>
              <w:ind w:left="139"/>
              <w:spacing w:after="0"/>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Chief Financial Officer of Trane</w:t>
            </w: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Technologies plc (formerly Ingersoll</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Rand plc)</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00" w:type="dxa"/>
            <w:vAlign w:val="bottom"/>
          </w:tcPr>
          <w:p>
            <w:pPr>
              <w:ind w:left="1200"/>
              <w:spacing w:after="0" w:line="164" w:lineRule="exact"/>
              <w:rPr>
                <w:sz w:val="20"/>
                <w:szCs w:val="20"/>
                <w:color w:val="auto"/>
              </w:rPr>
            </w:pPr>
            <w:r>
              <w:rPr>
                <w:rFonts w:ascii="Arial" w:cs="Arial" w:eastAsia="Arial" w:hAnsi="Arial"/>
                <w:sz w:val="16"/>
                <w:szCs w:val="16"/>
                <w:color w:val="E97D2E"/>
              </w:rPr>
              <w:t>Thomas L. Deitrich</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President and Chief Executive Officer</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100" w:type="dxa"/>
            <w:vAlign w:val="bottom"/>
          </w:tcPr>
          <w:p>
            <w:pPr>
              <w:ind w:left="1200"/>
              <w:spacing w:after="0"/>
              <w:rPr>
                <w:sz w:val="20"/>
                <w:szCs w:val="20"/>
                <w:color w:val="auto"/>
              </w:rPr>
            </w:pPr>
            <w:r>
              <w:rPr>
                <w:rFonts w:ascii="Arial" w:cs="Arial" w:eastAsia="Arial" w:hAnsi="Arial"/>
                <w:sz w:val="16"/>
                <w:szCs w:val="16"/>
                <w:color w:val="465E66"/>
              </w:rPr>
              <w:t>of Itron, Inc.</w:t>
            </w:r>
          </w:p>
        </w:tc>
        <w:tc>
          <w:tcPr>
            <w:tcW w:w="660" w:type="dxa"/>
            <w:vAlign w:val="bottom"/>
          </w:tcPr>
          <w:p>
            <w:pPr>
              <w:jc w:val="center"/>
              <w:spacing w:after="0"/>
              <w:rPr>
                <w:sz w:val="20"/>
                <w:szCs w:val="20"/>
                <w:color w:val="auto"/>
              </w:rPr>
            </w:pPr>
            <w:r>
              <w:rPr>
                <w:rFonts w:ascii="Arial" w:cs="Arial" w:eastAsia="Arial" w:hAnsi="Arial"/>
                <w:sz w:val="16"/>
                <w:szCs w:val="16"/>
                <w:color w:val="465E66"/>
              </w:rPr>
              <w:t>56</w:t>
            </w:r>
          </w:p>
        </w:tc>
        <w:tc>
          <w:tcPr>
            <w:tcW w:w="820" w:type="dxa"/>
            <w:vAlign w:val="bottom"/>
          </w:tcPr>
          <w:p>
            <w:pPr>
              <w:jc w:val="center"/>
              <w:ind w:left="139"/>
              <w:spacing w:after="0"/>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528"/>
        </w:trPr>
        <w:tc>
          <w:tcPr>
            <w:tcW w:w="4100" w:type="dxa"/>
            <w:vAlign w:val="bottom"/>
          </w:tcPr>
          <w:p>
            <w:pPr>
              <w:ind w:left="1200"/>
              <w:spacing w:after="0"/>
              <w:rPr>
                <w:sz w:val="20"/>
                <w:szCs w:val="20"/>
                <w:color w:val="auto"/>
              </w:rPr>
            </w:pPr>
            <w:r>
              <w:rPr>
                <w:rFonts w:ascii="Arial" w:cs="Arial" w:eastAsia="Arial" w:hAnsi="Arial"/>
                <w:sz w:val="16"/>
                <w:szCs w:val="16"/>
                <w:color w:val="E97D2E"/>
              </w:rPr>
              <w:t>Hassane El-Khoury</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President and Chief Executive Officer</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43</w:t>
            </w:r>
          </w:p>
        </w:tc>
        <w:tc>
          <w:tcPr>
            <w:tcW w:w="820" w:type="dxa"/>
            <w:vAlign w:val="bottom"/>
            <w:vMerge w:val="restart"/>
          </w:tcPr>
          <w:p>
            <w:pPr>
              <w:jc w:val="center"/>
              <w:ind w:left="139"/>
              <w:spacing w:after="0"/>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121"/>
        </w:trPr>
        <w:tc>
          <w:tcPr>
            <w:tcW w:w="4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8"/>
        </w:trPr>
        <w:tc>
          <w:tcPr>
            <w:tcW w:w="4100" w:type="dxa"/>
            <w:vAlign w:val="bottom"/>
          </w:tcPr>
          <w:p>
            <w:pPr>
              <w:ind w:left="1200"/>
              <w:spacing w:after="0"/>
              <w:rPr>
                <w:sz w:val="20"/>
                <w:szCs w:val="20"/>
                <w:color w:val="auto"/>
              </w:rPr>
            </w:pPr>
            <w:r>
              <w:rPr>
                <w:rFonts w:ascii="Arial" w:cs="Arial" w:eastAsia="Arial" w:hAnsi="Arial"/>
                <w:sz w:val="16"/>
                <w:szCs w:val="16"/>
                <w:color w:val="E97D2E"/>
              </w:rPr>
              <w:t>Bruce E. Kiddoo</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Former Chief Financial Officer of</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62</w:t>
            </w:r>
          </w:p>
        </w:tc>
        <w:tc>
          <w:tcPr>
            <w:tcW w:w="820" w:type="dxa"/>
            <w:vAlign w:val="bottom"/>
            <w:vMerge w:val="restart"/>
          </w:tcPr>
          <w:p>
            <w:pPr>
              <w:jc w:val="center"/>
              <w:ind w:left="139"/>
              <w:spacing w:after="0"/>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Maxim Integrated Products, Inc.</w:t>
            </w:r>
          </w:p>
        </w:tc>
        <w:tc>
          <w:tcPr>
            <w:tcW w:w="6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4100" w:type="dxa"/>
            <w:vAlign w:val="bottom"/>
          </w:tcPr>
          <w:p>
            <w:pPr>
              <w:ind w:left="1200"/>
              <w:spacing w:after="0"/>
              <w:rPr>
                <w:sz w:val="20"/>
                <w:szCs w:val="20"/>
                <w:color w:val="auto"/>
              </w:rPr>
            </w:pPr>
            <w:r>
              <w:rPr>
                <w:rFonts w:ascii="Arial" w:cs="Arial" w:eastAsia="Arial" w:hAnsi="Arial"/>
                <w:sz w:val="16"/>
                <w:szCs w:val="16"/>
                <w:color w:val="E97D2E"/>
              </w:rPr>
              <w:t>Paul A. Mascarenas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Former Chief Technical Officer of Ford</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100" w:type="dxa"/>
            <w:vAlign w:val="bottom"/>
          </w:tcPr>
          <w:p>
            <w:pPr>
              <w:ind w:left="1200"/>
              <w:spacing w:after="0"/>
              <w:rPr>
                <w:sz w:val="20"/>
                <w:szCs w:val="20"/>
                <w:color w:val="auto"/>
              </w:rPr>
            </w:pPr>
            <w:r>
              <w:rPr>
                <w:rFonts w:ascii="Arial" w:cs="Arial" w:eastAsia="Arial" w:hAnsi="Arial"/>
                <w:sz w:val="16"/>
                <w:szCs w:val="16"/>
                <w:color w:val="465E66"/>
              </w:rPr>
              <w:t>Motor Company</w:t>
            </w:r>
          </w:p>
        </w:tc>
        <w:tc>
          <w:tcPr>
            <w:tcW w:w="660" w:type="dxa"/>
            <w:vAlign w:val="bottom"/>
          </w:tcPr>
          <w:p>
            <w:pPr>
              <w:jc w:val="center"/>
              <w:spacing w:after="0"/>
              <w:rPr>
                <w:sz w:val="20"/>
                <w:szCs w:val="20"/>
                <w:color w:val="auto"/>
              </w:rPr>
            </w:pPr>
            <w:r>
              <w:rPr>
                <w:rFonts w:ascii="Arial" w:cs="Arial" w:eastAsia="Arial" w:hAnsi="Arial"/>
                <w:sz w:val="16"/>
                <w:szCs w:val="16"/>
                <w:color w:val="465E66"/>
              </w:rPr>
              <w:t>61</w:t>
            </w:r>
          </w:p>
        </w:tc>
        <w:tc>
          <w:tcPr>
            <w:tcW w:w="820" w:type="dxa"/>
            <w:vAlign w:val="bottom"/>
          </w:tcPr>
          <w:p>
            <w:pPr>
              <w:jc w:val="center"/>
              <w:ind w:left="139"/>
              <w:spacing w:after="0"/>
              <w:rPr>
                <w:sz w:val="20"/>
                <w:szCs w:val="20"/>
                <w:color w:val="auto"/>
              </w:rPr>
            </w:pPr>
            <w:r>
              <w:rPr>
                <w:rFonts w:ascii="Arial" w:cs="Arial" w:eastAsia="Arial" w:hAnsi="Arial"/>
                <w:sz w:val="16"/>
                <w:szCs w:val="16"/>
                <w:color w:val="465E66"/>
              </w:rPr>
              <w:t>2014</w:t>
            </w:r>
          </w:p>
        </w:tc>
        <w:tc>
          <w:tcPr>
            <w:tcW w:w="0" w:type="dxa"/>
            <w:vAlign w:val="bottom"/>
          </w:tcPr>
          <w:p>
            <w:pPr>
              <w:spacing w:after="0"/>
              <w:rPr>
                <w:sz w:val="1"/>
                <w:szCs w:val="1"/>
                <w:color w:val="auto"/>
              </w:rPr>
            </w:pPr>
          </w:p>
        </w:tc>
      </w:tr>
      <w:tr>
        <w:trPr>
          <w:trHeight w:val="569"/>
        </w:trPr>
        <w:tc>
          <w:tcPr>
            <w:tcW w:w="4100" w:type="dxa"/>
            <w:vAlign w:val="bottom"/>
          </w:tcPr>
          <w:p>
            <w:pPr>
              <w:ind w:left="1200"/>
              <w:spacing w:after="0"/>
              <w:rPr>
                <w:sz w:val="20"/>
                <w:szCs w:val="20"/>
                <w:color w:val="auto"/>
              </w:rPr>
            </w:pPr>
            <w:r>
              <w:rPr>
                <w:rFonts w:ascii="Arial" w:cs="Arial" w:eastAsia="Arial" w:hAnsi="Arial"/>
                <w:sz w:val="16"/>
                <w:szCs w:val="16"/>
                <w:color w:val="E97D2E"/>
              </w:rPr>
              <w:t>Gregory Waters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Former President and Chief Executive</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00" w:type="dxa"/>
            <w:vAlign w:val="bottom"/>
          </w:tcPr>
          <w:p>
            <w:pPr>
              <w:ind w:left="1200"/>
              <w:spacing w:after="0" w:line="175" w:lineRule="exact"/>
              <w:rPr>
                <w:sz w:val="20"/>
                <w:szCs w:val="20"/>
                <w:color w:val="auto"/>
              </w:rPr>
            </w:pPr>
            <w:r>
              <w:rPr>
                <w:rFonts w:ascii="Arial" w:cs="Arial" w:eastAsia="Arial" w:hAnsi="Arial"/>
                <w:sz w:val="16"/>
                <w:szCs w:val="16"/>
                <w:color w:val="465E66"/>
              </w:rPr>
              <w:t>Officer of Integrated Device</w:t>
            </w:r>
          </w:p>
        </w:tc>
        <w:tc>
          <w:tcPr>
            <w:tcW w:w="660" w:type="dxa"/>
            <w:vAlign w:val="bottom"/>
          </w:tcPr>
          <w:p>
            <w:pPr>
              <w:jc w:val="center"/>
              <w:spacing w:after="0" w:line="175" w:lineRule="exact"/>
              <w:rPr>
                <w:sz w:val="20"/>
                <w:szCs w:val="20"/>
                <w:color w:val="auto"/>
              </w:rPr>
            </w:pPr>
            <w:r>
              <w:rPr>
                <w:rFonts w:ascii="Arial" w:cs="Arial" w:eastAsia="Arial" w:hAnsi="Arial"/>
                <w:sz w:val="16"/>
                <w:szCs w:val="16"/>
                <w:color w:val="465E66"/>
              </w:rPr>
              <w:t>62</w:t>
            </w:r>
          </w:p>
        </w:tc>
        <w:tc>
          <w:tcPr>
            <w:tcW w:w="820" w:type="dxa"/>
            <w:vAlign w:val="bottom"/>
          </w:tcPr>
          <w:p>
            <w:pPr>
              <w:jc w:val="center"/>
              <w:ind w:left="139"/>
              <w:spacing w:after="0" w:line="175" w:lineRule="exact"/>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Technology, Inc.</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4100" w:type="dxa"/>
            <w:vAlign w:val="bottom"/>
          </w:tcPr>
          <w:p>
            <w:pPr>
              <w:ind w:left="1200"/>
              <w:spacing w:after="0"/>
              <w:rPr>
                <w:sz w:val="20"/>
                <w:szCs w:val="20"/>
                <w:color w:val="auto"/>
              </w:rPr>
            </w:pPr>
            <w:r>
              <w:rPr>
                <w:rFonts w:ascii="Arial" w:cs="Arial" w:eastAsia="Arial" w:hAnsi="Arial"/>
                <w:sz w:val="16"/>
                <w:szCs w:val="16"/>
                <w:color w:val="E97D2E"/>
              </w:rPr>
              <w:t>Christine Y. Yan</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100" w:type="dxa"/>
            <w:vAlign w:val="bottom"/>
          </w:tcPr>
          <w:p>
            <w:pPr>
              <w:ind w:left="1200"/>
              <w:spacing w:after="0" w:line="178" w:lineRule="exact"/>
              <w:rPr>
                <w:sz w:val="20"/>
                <w:szCs w:val="20"/>
                <w:color w:val="auto"/>
              </w:rPr>
            </w:pPr>
            <w:r>
              <w:rPr>
                <w:rFonts w:ascii="Arial" w:cs="Arial" w:eastAsia="Arial" w:hAnsi="Arial"/>
                <w:sz w:val="16"/>
                <w:szCs w:val="16"/>
                <w:color w:val="465E66"/>
              </w:rPr>
              <w:t>Former President of Asia, Stanley</w:t>
            </w:r>
          </w:p>
        </w:tc>
        <w:tc>
          <w:tcPr>
            <w:tcW w:w="660" w:type="dxa"/>
            <w:vAlign w:val="bottom"/>
          </w:tcPr>
          <w:p>
            <w:pPr>
              <w:jc w:val="center"/>
              <w:spacing w:after="0" w:line="178" w:lineRule="exact"/>
              <w:rPr>
                <w:sz w:val="20"/>
                <w:szCs w:val="20"/>
                <w:color w:val="auto"/>
              </w:rPr>
            </w:pPr>
            <w:r>
              <w:rPr>
                <w:rFonts w:ascii="Arial" w:cs="Arial" w:eastAsia="Arial" w:hAnsi="Arial"/>
                <w:sz w:val="16"/>
                <w:szCs w:val="16"/>
                <w:color w:val="465E66"/>
              </w:rPr>
              <w:t>57</w:t>
            </w:r>
          </w:p>
        </w:tc>
        <w:tc>
          <w:tcPr>
            <w:tcW w:w="820" w:type="dxa"/>
            <w:vAlign w:val="bottom"/>
          </w:tcPr>
          <w:p>
            <w:pPr>
              <w:jc w:val="center"/>
              <w:ind w:left="139"/>
              <w:spacing w:after="0" w:line="178" w:lineRule="exact"/>
              <w:rPr>
                <w:sz w:val="20"/>
                <w:szCs w:val="20"/>
                <w:color w:val="auto"/>
              </w:rPr>
            </w:pPr>
            <w:r>
              <w:rPr>
                <w:rFonts w:ascii="Arial" w:cs="Arial" w:eastAsia="Arial" w:hAnsi="Arial"/>
                <w:sz w:val="16"/>
                <w:szCs w:val="16"/>
                <w:color w:val="465E66"/>
              </w:rPr>
              <w:t>2018</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Black &amp; Decker, Inc.</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-5031740</wp:posOffset>
            </wp:positionV>
            <wp:extent cx="385445" cy="511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5445" cy="5117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00" w:type="dxa"/>
            <w:vAlign w:val="bottom"/>
            <w:tcBorders>
              <w:bottom w:val="single" w:sz="8" w:color="465E66"/>
            </w:tcBorders>
            <w:gridSpan w:val="3"/>
          </w:tcPr>
          <w:p>
            <w:pPr>
              <w:jc w:val="center"/>
              <w:spacing w:after="0"/>
              <w:rPr>
                <w:sz w:val="20"/>
                <w:szCs w:val="20"/>
                <w:color w:val="auto"/>
              </w:rPr>
            </w:pPr>
            <w:r>
              <w:rPr>
                <w:rFonts w:ascii="Arial" w:cs="Arial" w:eastAsia="Arial" w:hAnsi="Arial"/>
                <w:sz w:val="16"/>
                <w:szCs w:val="16"/>
                <w:color w:val="465E66"/>
              </w:rPr>
              <w:t>Committee Memberships</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65E66"/>
              </w:rPr>
              <w:t>Governance and</w:t>
            </w:r>
          </w:p>
        </w:tc>
        <w:tc>
          <w:tcPr>
            <w:tcW w:w="1340" w:type="dxa"/>
            <w:vAlign w:val="bottom"/>
          </w:tcPr>
          <w:p>
            <w:pPr>
              <w:jc w:val="center"/>
              <w:spacing w:after="0" w:line="157" w:lineRule="exact"/>
              <w:rPr>
                <w:sz w:val="20"/>
                <w:szCs w:val="20"/>
                <w:color w:val="auto"/>
              </w:rPr>
            </w:pPr>
            <w:r>
              <w:rPr>
                <w:rFonts w:ascii="Arial" w:cs="Arial" w:eastAsia="Arial" w:hAnsi="Arial"/>
                <w:sz w:val="16"/>
                <w:szCs w:val="16"/>
                <w:color w:val="465E66"/>
              </w:rPr>
              <w:t>Human Capital</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color w:val="465E66"/>
              </w:rPr>
              <w:t>and</w:t>
            </w:r>
          </w:p>
        </w:tc>
        <w:tc>
          <w:tcPr>
            <w:tcW w:w="0" w:type="dxa"/>
            <w:vAlign w:val="bottom"/>
          </w:tcPr>
          <w:p>
            <w:pPr>
              <w:spacing w:after="0"/>
              <w:rPr>
                <w:sz w:val="1"/>
                <w:szCs w:val="1"/>
                <w:color w:val="auto"/>
              </w:rPr>
            </w:pPr>
          </w:p>
        </w:tc>
      </w:tr>
      <w:tr>
        <w:trPr>
          <w:trHeight w:val="162"/>
        </w:trPr>
        <w:tc>
          <w:tcPr>
            <w:tcW w:w="1120" w:type="dxa"/>
            <w:vAlign w:val="bottom"/>
            <w:vMerge w:val="restart"/>
          </w:tcPr>
          <w:p>
            <w:pPr>
              <w:spacing w:after="0"/>
              <w:rPr>
                <w:sz w:val="20"/>
                <w:szCs w:val="20"/>
                <w:color w:val="auto"/>
              </w:rPr>
            </w:pPr>
            <w:r>
              <w:rPr>
                <w:rFonts w:ascii="Arial" w:cs="Arial" w:eastAsia="Arial" w:hAnsi="Arial"/>
                <w:sz w:val="16"/>
                <w:szCs w:val="16"/>
                <w:color w:val="465E66"/>
              </w:rPr>
              <w:t>Independent</w:t>
            </w:r>
          </w:p>
        </w:tc>
        <w:tc>
          <w:tcPr>
            <w:tcW w:w="1380" w:type="dxa"/>
            <w:vAlign w:val="bottom"/>
            <w:vMerge w:val="restart"/>
          </w:tcPr>
          <w:p>
            <w:pPr>
              <w:ind w:left="100"/>
              <w:spacing w:after="0"/>
              <w:rPr>
                <w:sz w:val="20"/>
                <w:szCs w:val="20"/>
                <w:color w:val="auto"/>
              </w:rPr>
            </w:pPr>
            <w:r>
              <w:rPr>
                <w:rFonts w:ascii="Arial" w:cs="Arial" w:eastAsia="Arial" w:hAnsi="Arial"/>
                <w:sz w:val="16"/>
                <w:szCs w:val="16"/>
                <w:color w:val="465E66"/>
              </w:rPr>
              <w:t>Audit Committee</w:t>
            </w:r>
          </w:p>
        </w:tc>
        <w:tc>
          <w:tcPr>
            <w:tcW w:w="1380" w:type="dxa"/>
            <w:vAlign w:val="bottom"/>
          </w:tcPr>
          <w:p>
            <w:pPr>
              <w:jc w:val="center"/>
              <w:spacing w:after="0" w:line="162" w:lineRule="exact"/>
              <w:rPr>
                <w:sz w:val="20"/>
                <w:szCs w:val="20"/>
                <w:color w:val="auto"/>
              </w:rPr>
            </w:pPr>
            <w:r>
              <w:rPr>
                <w:rFonts w:ascii="Arial" w:cs="Arial" w:eastAsia="Arial" w:hAnsi="Arial"/>
                <w:sz w:val="16"/>
                <w:szCs w:val="16"/>
                <w:color w:val="465E66"/>
              </w:rPr>
              <w:t>Sustainability</w:t>
            </w:r>
          </w:p>
        </w:tc>
        <w:tc>
          <w:tcPr>
            <w:tcW w:w="1340" w:type="dxa"/>
            <w:vAlign w:val="bottom"/>
          </w:tcPr>
          <w:p>
            <w:pPr>
              <w:jc w:val="center"/>
              <w:spacing w:after="0" w:line="162" w:lineRule="exact"/>
              <w:rPr>
                <w:sz w:val="20"/>
                <w:szCs w:val="20"/>
                <w:color w:val="auto"/>
              </w:rPr>
            </w:pPr>
            <w:r>
              <w:rPr>
                <w:rFonts w:ascii="Arial" w:cs="Arial" w:eastAsia="Arial" w:hAnsi="Arial"/>
                <w:sz w:val="16"/>
                <w:szCs w:val="16"/>
                <w:color w:val="465E66"/>
              </w:rPr>
              <w:t>Compensation</w:t>
            </w:r>
          </w:p>
        </w:tc>
        <w:tc>
          <w:tcPr>
            <w:tcW w:w="0" w:type="dxa"/>
            <w:vAlign w:val="bottom"/>
          </w:tcPr>
          <w:p>
            <w:pPr>
              <w:spacing w:after="0"/>
              <w:rPr>
                <w:sz w:val="1"/>
                <w:szCs w:val="1"/>
                <w:color w:val="auto"/>
              </w:rPr>
            </w:pPr>
          </w:p>
        </w:tc>
      </w:tr>
      <w:tr>
        <w:trPr>
          <w:trHeight w:val="215"/>
        </w:trPr>
        <w:tc>
          <w:tcPr>
            <w:tcW w:w="11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465E66"/>
              </w:rPr>
              <w:t>Committee</w:t>
            </w:r>
          </w:p>
        </w:tc>
        <w:tc>
          <w:tcPr>
            <w:tcW w:w="1340" w:type="dxa"/>
            <w:vAlign w:val="bottom"/>
          </w:tcPr>
          <w:p>
            <w:pPr>
              <w:jc w:val="center"/>
              <w:spacing w:after="0"/>
              <w:rPr>
                <w:sz w:val="20"/>
                <w:szCs w:val="20"/>
                <w:color w:val="auto"/>
              </w:rPr>
            </w:pPr>
            <w:r>
              <w:rPr>
                <w:rFonts w:ascii="Arial" w:cs="Arial" w:eastAsia="Arial" w:hAnsi="Arial"/>
                <w:sz w:val="16"/>
                <w:szCs w:val="16"/>
                <w:color w:val="465E66"/>
              </w:rPr>
              <w:t>Committee</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740" w:hanging="1405"/>
        <w:spacing w:after="0"/>
        <w:tabs>
          <w:tab w:leader="none" w:pos="1740" w:val="left"/>
        </w:tabs>
        <w:numPr>
          <w:ilvl w:val="0"/>
          <w:numId w:val="7"/>
        </w:numPr>
        <w:rPr>
          <w:rFonts w:ascii="Wingdings" w:cs="Wingdings" w:eastAsia="Wingdings" w:hAnsi="Wingdings"/>
          <w:sz w:val="29"/>
          <w:szCs w:val="29"/>
          <w:b w:val="1"/>
          <w:bCs w:val="1"/>
          <w:color w:val="E97D2E"/>
        </w:rPr>
      </w:pPr>
      <w:r>
        <w:rPr>
          <w:rFonts w:ascii="Wingdings" w:cs="Wingdings" w:eastAsia="Wingdings" w:hAnsi="Wingdings"/>
          <w:sz w:val="18"/>
          <w:szCs w:val="18"/>
          <w:b w:val="1"/>
          <w:bCs w:val="1"/>
          <w:color w:val="E97D2E"/>
        </w:rPr>
        <w:t>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322"/>
        </w:trPr>
        <w:tc>
          <w:tcPr>
            <w:tcW w:w="800" w:type="dxa"/>
            <w:vAlign w:val="bottom"/>
          </w:tcPr>
          <w:p>
            <w:pPr>
              <w:spacing w:after="0"/>
              <w:rPr>
                <w:sz w:val="20"/>
                <w:szCs w:val="20"/>
                <w:color w:val="auto"/>
              </w:rPr>
            </w:pPr>
            <w:r>
              <w:rPr>
                <w:rFonts w:ascii="Wingdings" w:cs="Wingdings" w:eastAsia="Wingdings" w:hAnsi="Wingdings"/>
                <w:sz w:val="29"/>
                <w:szCs w:val="29"/>
                <w:b w:val="1"/>
                <w:bCs w:val="1"/>
                <w:color w:val="E97D2E"/>
              </w:rPr>
              <w:t>ü</w:t>
            </w:r>
          </w:p>
        </w:tc>
        <w:tc>
          <w:tcPr>
            <w:tcW w:w="1360" w:type="dxa"/>
            <w:vAlign w:val="bottom"/>
          </w:tcPr>
          <w:p>
            <w:pPr>
              <w:ind w:left="600"/>
              <w:spacing w:after="0"/>
              <w:rPr>
                <w:sz w:val="20"/>
                <w:szCs w:val="20"/>
                <w:color w:val="auto"/>
              </w:rPr>
            </w:pPr>
            <w:r>
              <w:rPr>
                <w:rFonts w:ascii="Wingdings" w:cs="Wingdings" w:eastAsia="Wingdings" w:hAnsi="Wingdings"/>
                <w:sz w:val="18"/>
                <w:szCs w:val="18"/>
                <w:b w:val="1"/>
                <w:bCs w:val="1"/>
                <w:color w:val="E97D2E"/>
              </w:rPr>
              <w:t>l</w:t>
            </w:r>
          </w:p>
        </w:tc>
        <w:tc>
          <w:tcPr>
            <w:tcW w:w="740" w:type="dxa"/>
            <w:vAlign w:val="bottom"/>
          </w:tcPr>
          <w:p>
            <w:pPr>
              <w:ind w:left="600"/>
              <w:spacing w:after="0"/>
              <w:rPr>
                <w:sz w:val="20"/>
                <w:szCs w:val="20"/>
                <w:color w:val="auto"/>
              </w:rPr>
            </w:pPr>
            <w:r>
              <w:rPr>
                <w:rFonts w:ascii="Wingdings" w:cs="Wingdings" w:eastAsia="Wingdings" w:hAnsi="Wingdings"/>
                <w:sz w:val="18"/>
                <w:szCs w:val="18"/>
                <w:b w:val="1"/>
                <w:bCs w:val="1"/>
                <w:color w:val="E97D2E"/>
                <w:w w:val="88"/>
              </w:rPr>
              <w:t>l</w:t>
            </w:r>
          </w:p>
        </w:tc>
      </w:tr>
      <w:tr>
        <w:trPr>
          <w:trHeight w:val="931"/>
        </w:trPr>
        <w:tc>
          <w:tcPr>
            <w:tcW w:w="800" w:type="dxa"/>
            <w:vAlign w:val="bottom"/>
          </w:tcPr>
          <w:p>
            <w:pPr>
              <w:spacing w:after="0"/>
              <w:rPr>
                <w:sz w:val="20"/>
                <w:szCs w:val="20"/>
                <w:color w:val="auto"/>
              </w:rPr>
            </w:pPr>
            <w:r>
              <w:rPr>
                <w:rFonts w:ascii="Wingdings" w:cs="Wingdings" w:eastAsia="Wingdings" w:hAnsi="Wingdings"/>
                <w:sz w:val="29"/>
                <w:szCs w:val="29"/>
                <w:b w:val="1"/>
                <w:bCs w:val="1"/>
                <w:color w:val="E97D2E"/>
              </w:rPr>
              <w:t>ü</w:t>
            </w:r>
          </w:p>
        </w:tc>
        <w:tc>
          <w:tcPr>
            <w:tcW w:w="1360" w:type="dxa"/>
            <w:vAlign w:val="bottom"/>
          </w:tcPr>
          <w:p>
            <w:pPr>
              <w:ind w:left="600"/>
              <w:spacing w:after="0"/>
              <w:rPr>
                <w:sz w:val="20"/>
                <w:szCs w:val="20"/>
                <w:color w:val="auto"/>
              </w:rPr>
            </w:pPr>
            <w:r>
              <w:rPr>
                <w:rFonts w:ascii="Wingdings" w:cs="Wingdings" w:eastAsia="Wingdings" w:hAnsi="Wingdings"/>
                <w:sz w:val="18"/>
                <w:szCs w:val="18"/>
                <w:b w:val="1"/>
                <w:bCs w:val="1"/>
                <w:color w:val="E97D2E"/>
              </w:rPr>
              <w:t>µ</w:t>
            </w:r>
          </w:p>
        </w:tc>
        <w:tc>
          <w:tcPr>
            <w:tcW w:w="740" w:type="dxa"/>
            <w:vAlign w:val="bottom"/>
          </w:tcPr>
          <w:p>
            <w:pPr>
              <w:ind w:left="600"/>
              <w:spacing w:after="0"/>
              <w:rPr>
                <w:sz w:val="20"/>
                <w:szCs w:val="20"/>
                <w:color w:val="auto"/>
              </w:rPr>
            </w:pPr>
            <w:r>
              <w:rPr>
                <w:rFonts w:ascii="Wingdings" w:cs="Wingdings" w:eastAsia="Wingdings" w:hAnsi="Wingdings"/>
                <w:sz w:val="18"/>
                <w:szCs w:val="18"/>
                <w:b w:val="1"/>
                <w:bCs w:val="1"/>
                <w:color w:val="E97D2E"/>
                <w:w w:val="88"/>
              </w:rPr>
              <w:t>l</w:t>
            </w:r>
          </w:p>
        </w:tc>
      </w:tr>
      <w:tr>
        <w:trPr>
          <w:trHeight w:val="918"/>
        </w:trPr>
        <w:tc>
          <w:tcPr>
            <w:tcW w:w="800" w:type="dxa"/>
            <w:vAlign w:val="bottom"/>
          </w:tcPr>
          <w:p>
            <w:pPr>
              <w:spacing w:after="0"/>
              <w:rPr>
                <w:sz w:val="20"/>
                <w:szCs w:val="20"/>
                <w:color w:val="auto"/>
              </w:rPr>
            </w:pPr>
            <w:r>
              <w:rPr>
                <w:rFonts w:ascii="Wingdings" w:cs="Wingdings" w:eastAsia="Wingdings" w:hAnsi="Wingdings"/>
                <w:sz w:val="29"/>
                <w:szCs w:val="29"/>
                <w:b w:val="1"/>
                <w:bCs w:val="1"/>
                <w:color w:val="E97D2E"/>
              </w:rPr>
              <w:t>ü</w:t>
            </w:r>
          </w:p>
        </w:tc>
        <w:tc>
          <w:tcPr>
            <w:tcW w:w="136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Wingdings" w:cs="Wingdings" w:eastAsia="Wingdings" w:hAnsi="Wingdings"/>
                <w:sz w:val="18"/>
                <w:szCs w:val="18"/>
                <w:b w:val="1"/>
                <w:bCs w:val="1"/>
                <w:color w:val="E97D2E"/>
                <w:w w:val="88"/>
              </w:rPr>
              <w:t>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40" w:hanging="1405"/>
        <w:spacing w:after="0"/>
        <w:tabs>
          <w:tab w:leader="none" w:pos="1740" w:val="left"/>
        </w:tabs>
        <w:numPr>
          <w:ilvl w:val="0"/>
          <w:numId w:val="8"/>
        </w:numPr>
        <w:rPr>
          <w:rFonts w:ascii="Wingdings" w:cs="Wingdings" w:eastAsia="Wingdings" w:hAnsi="Wingdings"/>
          <w:sz w:val="29"/>
          <w:szCs w:val="29"/>
          <w:b w:val="1"/>
          <w:bCs w:val="1"/>
          <w:color w:val="E97D2E"/>
        </w:rPr>
      </w:pPr>
      <w:r>
        <w:rPr>
          <w:rFonts w:ascii="Wingdings" w:cs="Wingdings" w:eastAsia="Wingdings" w:hAnsi="Wingdings"/>
          <w:sz w:val="18"/>
          <w:szCs w:val="18"/>
          <w:b w:val="1"/>
          <w:bCs w:val="1"/>
          <w:color w:val="E97D2E"/>
        </w:rPr>
        <w:t>l</w:t>
      </w:r>
    </w:p>
    <w:p>
      <w:pPr>
        <w:spacing w:after="0" w:line="200" w:lineRule="exact"/>
        <w:rPr>
          <w:sz w:val="20"/>
          <w:szCs w:val="20"/>
          <w:color w:val="auto"/>
        </w:rPr>
      </w:pPr>
    </w:p>
    <w:p>
      <w:pPr>
        <w:spacing w:after="0" w:line="254" w:lineRule="exact"/>
        <w:rPr>
          <w:sz w:val="20"/>
          <w:szCs w:val="20"/>
          <w:color w:val="auto"/>
        </w:rPr>
      </w:pPr>
    </w:p>
    <w:p>
      <w:pPr>
        <w:ind w:left="340"/>
        <w:spacing w:after="0"/>
        <w:tabs>
          <w:tab w:leader="none" w:pos="3080" w:val="left"/>
          <w:tab w:leader="none" w:pos="4460" w:val="left"/>
        </w:tabs>
        <w:rPr>
          <w:sz w:val="20"/>
          <w:szCs w:val="20"/>
          <w:color w:val="auto"/>
        </w:rPr>
      </w:pPr>
      <w:r>
        <w:rPr>
          <w:rFonts w:ascii="Wingdings" w:cs="Wingdings" w:eastAsia="Wingdings" w:hAnsi="Wingdings"/>
          <w:sz w:val="29"/>
          <w:szCs w:val="29"/>
          <w:b w:val="1"/>
          <w:bCs w:val="1"/>
          <w:color w:val="E97D2E"/>
        </w:rPr>
        <w:t>ü</w:t>
      </w:r>
      <w:r>
        <w:rPr>
          <w:sz w:val="20"/>
          <w:szCs w:val="20"/>
          <w:color w:val="auto"/>
        </w:rPr>
        <w:tab/>
      </w:r>
      <w:r>
        <w:rPr>
          <w:rFonts w:ascii="Wingdings" w:cs="Wingdings" w:eastAsia="Wingdings" w:hAnsi="Wingdings"/>
          <w:sz w:val="16"/>
          <w:szCs w:val="16"/>
          <w:b w:val="1"/>
          <w:bCs w:val="1"/>
          <w:color w:val="E97D2E"/>
        </w:rPr>
        <w:t>µ</w:t>
      </w:r>
      <w:r>
        <w:rPr>
          <w:sz w:val="20"/>
          <w:szCs w:val="20"/>
          <w:color w:val="auto"/>
        </w:rPr>
        <w:tab/>
      </w:r>
      <w:r>
        <w:rPr>
          <w:rFonts w:ascii="Wingdings" w:cs="Wingdings" w:eastAsia="Wingdings" w:hAnsi="Wingdings"/>
          <w:sz w:val="16"/>
          <w:szCs w:val="16"/>
          <w:b w:val="1"/>
          <w:bCs w:val="1"/>
          <w:color w:val="E97D2E"/>
        </w:rPr>
        <w:t>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tabs>
          <w:tab w:leader="none" w:pos="4460" w:val="left"/>
        </w:tabs>
        <w:rPr>
          <w:sz w:val="20"/>
          <w:szCs w:val="20"/>
          <w:color w:val="auto"/>
        </w:rPr>
      </w:pPr>
      <w:r>
        <w:rPr>
          <w:rFonts w:ascii="Wingdings" w:cs="Wingdings" w:eastAsia="Wingdings" w:hAnsi="Wingdings"/>
          <w:sz w:val="29"/>
          <w:szCs w:val="29"/>
          <w:b w:val="1"/>
          <w:bCs w:val="1"/>
          <w:color w:val="E97D2E"/>
        </w:rPr>
        <w:t>ü</w:t>
      </w:r>
      <w:r>
        <w:rPr>
          <w:sz w:val="20"/>
          <w:szCs w:val="20"/>
          <w:color w:val="auto"/>
        </w:rPr>
        <w:tab/>
      </w:r>
      <w:r>
        <w:rPr>
          <w:rFonts w:ascii="Wingdings" w:cs="Wingdings" w:eastAsia="Wingdings" w:hAnsi="Wingdings"/>
          <w:sz w:val="18"/>
          <w:szCs w:val="18"/>
          <w:b w:val="1"/>
          <w:bCs w:val="1"/>
          <w:color w:val="E97D2E"/>
        </w:rPr>
        <w:t>l</w:t>
      </w:r>
    </w:p>
    <w:p>
      <w:pPr>
        <w:ind w:left="340"/>
        <w:spacing w:after="0" w:line="215" w:lineRule="auto"/>
        <w:tabs>
          <w:tab w:leader="none" w:pos="4440" w:val="left"/>
        </w:tabs>
        <w:rPr>
          <w:sz w:val="20"/>
          <w:szCs w:val="20"/>
          <w:color w:val="auto"/>
        </w:rPr>
      </w:pPr>
      <w:r>
        <w:rPr>
          <w:rFonts w:ascii="Wingdings" w:cs="Wingdings" w:eastAsia="Wingdings" w:hAnsi="Wingdings"/>
          <w:sz w:val="58"/>
          <w:szCs w:val="58"/>
          <w:b w:val="1"/>
          <w:bCs w:val="1"/>
          <w:color w:val="E97D2E"/>
          <w:vertAlign w:val="subscript"/>
        </w:rPr>
        <w:t>ü</w:t>
      </w:r>
      <w:r>
        <w:rPr>
          <w:sz w:val="20"/>
          <w:szCs w:val="20"/>
          <w:color w:val="auto"/>
        </w:rPr>
        <w:tab/>
      </w:r>
      <w:r>
        <w:rPr>
          <w:rFonts w:ascii="Wingdings" w:cs="Wingdings" w:eastAsia="Wingdings" w:hAnsi="Wingdings"/>
          <w:sz w:val="16"/>
          <w:szCs w:val="16"/>
          <w:b w:val="1"/>
          <w:bCs w:val="1"/>
          <w:color w:val="E97D2E"/>
        </w:rPr>
        <w:t>µ</w:t>
      </w:r>
    </w:p>
    <w:p>
      <w:pPr>
        <w:spacing w:after="0" w:line="818" w:lineRule="exact"/>
        <w:rPr>
          <w:sz w:val="20"/>
          <w:szCs w:val="20"/>
          <w:color w:val="auto"/>
        </w:rPr>
      </w:pPr>
    </w:p>
    <w:p>
      <w:pPr>
        <w:sectPr>
          <w:pgSz w:w="11900" w:h="16838" w:orient="portrait"/>
          <w:cols w:equalWidth="0" w:num="2">
            <w:col w:w="5600" w:space="420"/>
            <w:col w:w="52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7"/>
          <w:szCs w:val="17"/>
          <w:color w:val="E97D2E"/>
        </w:rPr>
      </w:pPr>
      <w:r>
        <w:rPr>
          <w:rFonts w:ascii="Arial" w:cs="Arial" w:eastAsia="Arial" w:hAnsi="Arial"/>
          <w:sz w:val="17"/>
          <w:szCs w:val="17"/>
          <w:color w:val="E97D2E"/>
        </w:rPr>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color w:val="E97D2E"/>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040" w:val="left"/>
        </w:tabs>
        <w:rPr>
          <w:sz w:val="20"/>
          <w:szCs w:val="20"/>
          <w:color w:val="auto"/>
        </w:rPr>
      </w:pPr>
      <w:r>
        <w:rPr>
          <w:rFonts w:ascii="Wingdings" w:cs="Wingdings" w:eastAsia="Wingdings" w:hAnsi="Wingdings"/>
          <w:sz w:val="18"/>
          <w:szCs w:val="18"/>
          <w:b w:val="1"/>
          <w:bCs w:val="1"/>
          <w:color w:val="E97D2E"/>
        </w:rPr>
        <w:t xml:space="preserve">l </w:t>
      </w:r>
      <w:r>
        <w:rPr>
          <w:rFonts w:ascii="Arial" w:cs="Arial" w:eastAsia="Arial" w:hAnsi="Arial"/>
          <w:sz w:val="18"/>
          <w:szCs w:val="18"/>
          <w:color w:val="465E66"/>
        </w:rPr>
        <w:t>Member</w:t>
      </w:r>
      <w:r>
        <w:rPr>
          <w:sz w:val="20"/>
          <w:szCs w:val="20"/>
          <w:color w:val="auto"/>
        </w:rPr>
        <w:tab/>
      </w:r>
      <w:r>
        <w:rPr>
          <w:rFonts w:ascii="Wingdings" w:cs="Wingdings" w:eastAsia="Wingdings" w:hAnsi="Wingdings"/>
          <w:sz w:val="16"/>
          <w:szCs w:val="16"/>
          <w:b w:val="1"/>
          <w:bCs w:val="1"/>
          <w:color w:val="E97D2E"/>
        </w:rPr>
        <w:t xml:space="preserve">µ </w:t>
      </w:r>
      <w:r>
        <w:rPr>
          <w:rFonts w:ascii="Arial" w:cs="Arial" w:eastAsia="Arial" w:hAnsi="Arial"/>
          <w:sz w:val="16"/>
          <w:szCs w:val="16"/>
          <w:color w:val="465E66"/>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728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PROPOSAL NO. 2:</w:t>
      </w:r>
    </w:p>
    <w:p>
      <w:pPr>
        <w:spacing w:after="0" w:line="57" w:lineRule="exact"/>
        <w:rPr>
          <w:sz w:val="20"/>
          <w:szCs w:val="20"/>
          <w:color w:val="auto"/>
        </w:rPr>
      </w:pPr>
    </w:p>
    <w:p>
      <w:pPr>
        <w:ind w:left="20" w:right="1193"/>
        <w:spacing w:after="0" w:line="264" w:lineRule="auto"/>
        <w:rPr>
          <w:sz w:val="20"/>
          <w:szCs w:val="20"/>
          <w:color w:val="auto"/>
        </w:rPr>
      </w:pPr>
      <w:r>
        <w:rPr>
          <w:rFonts w:ascii="Arial" w:cs="Arial" w:eastAsia="Arial" w:hAnsi="Arial"/>
          <w:sz w:val="25"/>
          <w:szCs w:val="25"/>
          <w:b w:val="1"/>
          <w:bCs w:val="1"/>
          <w:color w:val="auto"/>
        </w:rPr>
        <w:t>Advisory Vote to Approve Named Executive Officer Compensation (Say-on-Pay)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page</w:t>
      </w:r>
      <w:r>
        <w:rPr>
          <w:rFonts w:ascii="Arial" w:cs="Arial" w:eastAsia="Arial" w:hAnsi="Arial"/>
          <w:sz w:val="14"/>
          <w:szCs w:val="14"/>
          <w:color w:val="auto"/>
        </w:rPr>
        <w:t xml:space="preserve"> 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27" w:right="440" w:hanging="727"/>
        <w:spacing w:after="0" w:line="200" w:lineRule="auto"/>
        <w:tabs>
          <w:tab w:leader="none" w:pos="690" w:val="left"/>
        </w:tabs>
        <w:numPr>
          <w:ilvl w:val="0"/>
          <w:numId w:val="10"/>
        </w:numPr>
        <w:rPr>
          <w:rFonts w:ascii="Wingdings" w:cs="Wingdings" w:eastAsia="Wingdings" w:hAnsi="Wingdings"/>
          <w:sz w:val="28"/>
          <w:szCs w:val="28"/>
          <w:b w:val="1"/>
          <w:bCs w:val="1"/>
          <w:color w:val="E97D2E"/>
        </w:rPr>
      </w:pPr>
      <w:r>
        <w:rPr>
          <w:rFonts w:ascii="Arial" w:cs="Arial" w:eastAsia="Arial" w:hAnsi="Arial"/>
          <w:sz w:val="17"/>
          <w:szCs w:val="17"/>
          <w:b w:val="1"/>
          <w:bCs w:val="1"/>
          <w:color w:val="auto"/>
        </w:rPr>
        <w:t xml:space="preserve">Our Board recommends a vote </w:t>
      </w:r>
      <w:r>
        <w:rPr>
          <w:rFonts w:ascii="Arial" w:cs="Arial" w:eastAsia="Arial" w:hAnsi="Arial"/>
          <w:sz w:val="17"/>
          <w:szCs w:val="17"/>
          <w:b w:val="1"/>
          <w:bCs w:val="1"/>
          <w:color w:val="E97D2E"/>
        </w:rPr>
        <w:t>FOR</w:t>
      </w:r>
      <w:r>
        <w:rPr>
          <w:rFonts w:ascii="Arial" w:cs="Arial" w:eastAsia="Arial" w:hAnsi="Arial"/>
          <w:sz w:val="17"/>
          <w:szCs w:val="17"/>
          <w:b w:val="1"/>
          <w:bCs w:val="1"/>
          <w:color w:val="auto"/>
        </w:rPr>
        <w:t xml:space="preserve"> say-on-pay.</w:t>
      </w:r>
    </w:p>
    <w:p>
      <w:pPr>
        <w:spacing w:after="0" w:line="529" w:lineRule="exact"/>
        <w:rPr>
          <w:sz w:val="20"/>
          <w:szCs w:val="20"/>
          <w:color w:val="auto"/>
        </w:rPr>
      </w:pPr>
    </w:p>
    <w:p>
      <w:pPr>
        <w:sectPr>
          <w:pgSz w:w="11900" w:h="16838" w:orient="portrait"/>
          <w:cols w:equalWidth="0" w:num="2">
            <w:col w:w="7333" w:space="720"/>
            <w:col w:w="3187"/>
          </w:cols>
          <w:pgMar w:left="320" w:top="121" w:right="339" w:bottom="1440" w:gutter="0" w:footer="0" w:header="0"/>
          <w:type w:val="continuous"/>
        </w:sectPr>
      </w:pP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Board recommends that stockholders vote to approve, on a nonbinding, advisory basis,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728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PROPOSAL NO. 3:</w:t>
      </w:r>
    </w:p>
    <w:tbl>
      <w:tblPr>
        <w:tblLayout w:type="fixed"/>
        <w:tblInd w:w="0" w:type="dxa"/>
        <w:tblCellMar>
          <w:top w:w="0" w:type="dxa"/>
          <w:left w:w="0" w:type="dxa"/>
          <w:bottom w:w="0" w:type="dxa"/>
          <w:right w:w="0" w:type="dxa"/>
        </w:tblCellMar>
      </w:tblPr>
      <w:tr>
        <w:trPr>
          <w:trHeight w:val="81"/>
        </w:trPr>
        <w:tc>
          <w:tcPr>
            <w:tcW w:w="7640" w:type="dxa"/>
            <w:vAlign w:val="bottom"/>
            <w:gridSpan w:val="4"/>
          </w:tcPr>
          <w:p>
            <w:pPr>
              <w:ind w:left="20"/>
              <w:spacing w:after="0" w:line="81" w:lineRule="exact"/>
              <w:rPr>
                <w:sz w:val="20"/>
                <w:szCs w:val="20"/>
                <w:color w:val="auto"/>
              </w:rPr>
            </w:pPr>
            <w:r>
              <w:rPr>
                <w:rFonts w:ascii="Arial" w:cs="Arial" w:eastAsia="Arial" w:hAnsi="Arial"/>
                <w:sz w:val="9"/>
                <w:szCs w:val="9"/>
                <w:b w:val="1"/>
                <w:bCs w:val="1"/>
                <w:color w:val="auto"/>
              </w:rPr>
              <w:t>Advisory Vote on the Frequency of Future Say-on-Pay Votes</w:t>
            </w:r>
          </w:p>
        </w:tc>
        <w:tc>
          <w:tcPr>
            <w:tcW w:w="660" w:type="dxa"/>
            <w:vAlign w:val="bottom"/>
            <w:shd w:val="clear" w:color="auto" w:fill="DBDBDB"/>
          </w:tcPr>
          <w:p>
            <w:pPr>
              <w:ind w:left="420"/>
              <w:spacing w:after="0" w:line="81" w:lineRule="exact"/>
              <w:rPr>
                <w:sz w:val="20"/>
                <w:szCs w:val="20"/>
                <w:color w:val="auto"/>
              </w:rPr>
            </w:pPr>
            <w:r>
              <w:rPr>
                <w:rFonts w:ascii="Wingdings" w:cs="Wingdings" w:eastAsia="Wingdings" w:hAnsi="Wingdings"/>
                <w:sz w:val="9"/>
                <w:szCs w:val="9"/>
                <w:b w:val="1"/>
                <w:bCs w:val="1"/>
                <w:color w:val="E97D2E"/>
              </w:rPr>
              <w:t>ü</w:t>
            </w:r>
          </w:p>
        </w:tc>
        <w:tc>
          <w:tcPr>
            <w:tcW w:w="2840" w:type="dxa"/>
            <w:vAlign w:val="bottom"/>
          </w:tcPr>
          <w:p>
            <w:pPr>
              <w:jc w:val="center"/>
              <w:ind w:left="25"/>
              <w:spacing w:after="0" w:line="81" w:lineRule="exact"/>
              <w:rPr>
                <w:sz w:val="20"/>
                <w:szCs w:val="20"/>
                <w:color w:val="auto"/>
              </w:rPr>
            </w:pPr>
            <w:r>
              <w:rPr>
                <w:rFonts w:ascii="Arial" w:cs="Arial" w:eastAsia="Arial" w:hAnsi="Arial"/>
                <w:sz w:val="9"/>
                <w:szCs w:val="9"/>
                <w:b w:val="1"/>
                <w:bCs w:val="1"/>
                <w:color w:val="auto"/>
              </w:rPr>
              <w:t>a vote to hold future say-on-pay</w:t>
            </w: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2840" w:type="dxa"/>
            <w:vAlign w:val="bottom"/>
          </w:tcPr>
          <w:p>
            <w:pPr>
              <w:jc w:val="center"/>
              <w:ind w:left="25"/>
              <w:spacing w:after="0"/>
              <w:rPr>
                <w:sz w:val="20"/>
                <w:szCs w:val="20"/>
                <w:color w:val="auto"/>
              </w:rPr>
            </w:pPr>
            <w:r>
              <w:rPr>
                <w:rFonts w:ascii="Arial" w:cs="Arial" w:eastAsia="Arial" w:hAnsi="Arial"/>
                <w:sz w:val="18"/>
                <w:szCs w:val="18"/>
                <w:b w:val="1"/>
                <w:bCs w:val="1"/>
                <w:color w:val="auto"/>
                <w:w w:val="99"/>
              </w:rPr>
              <w:t>Our Board recommends</w:t>
            </w: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660" w:type="dxa"/>
            <w:vAlign w:val="bottom"/>
            <w:shd w:val="clear" w:color="auto" w:fill="DBDBDB"/>
          </w:tcPr>
          <w:p>
            <w:pPr>
              <w:spacing w:after="0"/>
              <w:rPr>
                <w:sz w:val="3"/>
                <w:szCs w:val="3"/>
                <w:color w:val="auto"/>
              </w:rPr>
            </w:pPr>
          </w:p>
        </w:tc>
        <w:tc>
          <w:tcPr>
            <w:tcW w:w="2840" w:type="dxa"/>
            <w:vAlign w:val="bottom"/>
            <w:vMerge w:val="restart"/>
          </w:tcPr>
          <w:p>
            <w:pPr>
              <w:jc w:val="center"/>
              <w:ind w:left="25"/>
              <w:spacing w:after="0"/>
              <w:rPr>
                <w:sz w:val="20"/>
                <w:szCs w:val="20"/>
                <w:color w:val="auto"/>
              </w:rPr>
            </w:pPr>
            <w:r>
              <w:rPr>
                <w:rFonts w:ascii="Arial" w:cs="Arial" w:eastAsia="Arial" w:hAnsi="Arial"/>
                <w:sz w:val="18"/>
                <w:szCs w:val="18"/>
                <w:b w:val="1"/>
                <w:bCs w:val="1"/>
                <w:color w:val="auto"/>
                <w:w w:val="99"/>
              </w:rPr>
              <w:t xml:space="preserve">votes for </w:t>
            </w:r>
            <w:r>
              <w:rPr>
                <w:rFonts w:ascii="Arial" w:cs="Arial" w:eastAsia="Arial" w:hAnsi="Arial"/>
                <w:sz w:val="18"/>
                <w:szCs w:val="18"/>
                <w:b w:val="1"/>
                <w:bCs w:val="1"/>
                <w:color w:val="E97D2E"/>
                <w:w w:val="99"/>
              </w:rPr>
              <w:t>1 YEAR</w:t>
            </w: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70"/>
        </w:trPr>
        <w:tc>
          <w:tcPr>
            <w:tcW w:w="8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4080" w:type="dxa"/>
            <w:vAlign w:val="bottom"/>
            <w:shd w:val="clear" w:color="auto" w:fill="DBDBDB"/>
          </w:tcPr>
          <w:p>
            <w:pPr>
              <w:spacing w:after="0"/>
              <w:rPr>
                <w:sz w:val="23"/>
                <w:szCs w:val="23"/>
                <w:color w:val="auto"/>
              </w:rPr>
            </w:pPr>
          </w:p>
        </w:tc>
        <w:tc>
          <w:tcPr>
            <w:tcW w:w="3160" w:type="dxa"/>
            <w:vAlign w:val="bottom"/>
          </w:tcPr>
          <w:p>
            <w:pPr>
              <w:spacing w:after="0"/>
              <w:rPr>
                <w:sz w:val="23"/>
                <w:szCs w:val="23"/>
                <w:color w:val="auto"/>
              </w:rPr>
            </w:pPr>
          </w:p>
        </w:tc>
        <w:tc>
          <w:tcPr>
            <w:tcW w:w="660" w:type="dxa"/>
            <w:vAlign w:val="bottom"/>
            <w:shd w:val="clear" w:color="auto" w:fill="DBDBDB"/>
          </w:tcPr>
          <w:p>
            <w:pPr>
              <w:spacing w:after="0"/>
              <w:rPr>
                <w:sz w:val="23"/>
                <w:szCs w:val="23"/>
                <w:color w:val="auto"/>
              </w:rPr>
            </w:pPr>
          </w:p>
        </w:tc>
        <w:tc>
          <w:tcPr>
            <w:tcW w:w="2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DBDBDB"/>
          </w:tcPr>
          <w:p>
            <w:pPr>
              <w:ind w:left="20"/>
              <w:spacing w:after="0"/>
              <w:rPr>
                <w:sz w:val="20"/>
                <w:szCs w:val="20"/>
                <w:color w:val="auto"/>
              </w:rPr>
            </w:pPr>
            <w:r>
              <w:rPr>
                <w:rFonts w:ascii="Arial" w:cs="Arial" w:eastAsia="Arial" w:hAnsi="Arial"/>
                <w:sz w:val="14"/>
                <w:szCs w:val="14"/>
                <w:color w:val="auto"/>
              </w:rPr>
              <w:t>(page 26)</w:t>
            </w:r>
          </w:p>
        </w:tc>
        <w:tc>
          <w:tcPr>
            <w:tcW w:w="316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auto"/>
            </w:tcBorders>
            <w:shd w:val="clear" w:color="auto" w:fill="DBDBDB"/>
          </w:tcPr>
          <w:p>
            <w:pPr>
              <w:spacing w:after="0" w:line="20" w:lineRule="exact"/>
              <w:rPr>
                <w:sz w:val="1"/>
                <w:szCs w:val="1"/>
                <w:color w:val="auto"/>
              </w:rPr>
            </w:pPr>
          </w:p>
        </w:tc>
        <w:tc>
          <w:tcPr>
            <w:tcW w:w="4080" w:type="dxa"/>
            <w:vAlign w:val="bottom"/>
            <w:tcBorders>
              <w:top w:val="single" w:sz="8" w:color="DBDBDB"/>
            </w:tcBorders>
            <w:shd w:val="clear" w:color="auto" w:fill="DBDBDB"/>
          </w:tcPr>
          <w:p>
            <w:pPr>
              <w:spacing w:after="0" w:line="20" w:lineRule="exact"/>
              <w:rPr>
                <w:sz w:val="1"/>
                <w:szCs w:val="1"/>
                <w:color w:val="auto"/>
              </w:rPr>
            </w:pPr>
          </w:p>
        </w:tc>
        <w:tc>
          <w:tcPr>
            <w:tcW w:w="316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Our Board recommends that stockholders vote to approve, on a nonbinding, advisory basis, holding future advisory say-on-pay votes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728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PROPOSAL NO. 4:</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20" w:type="dxa"/>
            <w:vAlign w:val="bottom"/>
            <w:gridSpan w:val="3"/>
            <w:vMerge w:val="restart"/>
          </w:tcPr>
          <w:p>
            <w:pPr>
              <w:spacing w:after="0"/>
              <w:rPr>
                <w:sz w:val="20"/>
                <w:szCs w:val="20"/>
                <w:color w:val="auto"/>
              </w:rPr>
            </w:pPr>
            <w:r>
              <w:rPr>
                <w:rFonts w:ascii="Arial" w:cs="Arial" w:eastAsia="Arial" w:hAnsi="Arial"/>
                <w:sz w:val="25"/>
                <w:szCs w:val="25"/>
                <w:b w:val="1"/>
                <w:bCs w:val="1"/>
                <w:color w:val="auto"/>
              </w:rPr>
              <w:t>Ratification of Appointment of Independent Registered Public</w:t>
            </w:r>
          </w:p>
        </w:tc>
        <w:tc>
          <w:tcPr>
            <w:tcW w:w="660" w:type="dxa"/>
            <w:vAlign w:val="bottom"/>
            <w:vMerge w:val="restart"/>
            <w:shd w:val="clear" w:color="auto" w:fill="DBDBDB"/>
          </w:tcPr>
          <w:p>
            <w:pPr>
              <w:ind w:left="420"/>
              <w:spacing w:after="0"/>
              <w:rPr>
                <w:sz w:val="20"/>
                <w:szCs w:val="20"/>
                <w:color w:val="auto"/>
              </w:rPr>
            </w:pPr>
            <w:r>
              <w:rPr>
                <w:rFonts w:ascii="Wingdings" w:cs="Wingdings" w:eastAsia="Wingdings" w:hAnsi="Wingdings"/>
                <w:sz w:val="29"/>
                <w:szCs w:val="29"/>
                <w:b w:val="1"/>
                <w:bCs w:val="1"/>
                <w:color w:val="E97D2E"/>
              </w:rPr>
              <w:t>ü</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Our Board recommends</w:t>
            </w:r>
          </w:p>
        </w:tc>
        <w:tc>
          <w:tcPr>
            <w:tcW w:w="0" w:type="dxa"/>
            <w:vAlign w:val="bottom"/>
          </w:tcPr>
          <w:p>
            <w:pPr>
              <w:spacing w:after="0"/>
              <w:rPr>
                <w:sz w:val="1"/>
                <w:szCs w:val="1"/>
                <w:color w:val="auto"/>
              </w:rPr>
            </w:pPr>
          </w:p>
        </w:tc>
      </w:tr>
      <w:tr>
        <w:trPr>
          <w:trHeight w:val="175"/>
        </w:trPr>
        <w:tc>
          <w:tcPr>
            <w:tcW w:w="7620" w:type="dxa"/>
            <w:vAlign w:val="bottom"/>
            <w:gridSpan w:val="3"/>
            <w:vMerge w:val="continue"/>
          </w:tcPr>
          <w:p>
            <w:pPr>
              <w:spacing w:after="0"/>
              <w:rPr>
                <w:sz w:val="15"/>
                <w:szCs w:val="15"/>
                <w:color w:val="auto"/>
              </w:rPr>
            </w:pPr>
          </w:p>
        </w:tc>
        <w:tc>
          <w:tcPr>
            <w:tcW w:w="660" w:type="dxa"/>
            <w:vAlign w:val="bottom"/>
            <w:vMerge w:val="continue"/>
            <w:shd w:val="clear" w:color="auto" w:fill="DBDBDB"/>
          </w:tcPr>
          <w:p>
            <w:pPr>
              <w:spacing w:after="0"/>
              <w:rPr>
                <w:sz w:val="15"/>
                <w:szCs w:val="15"/>
                <w:color w:val="auto"/>
              </w:rPr>
            </w:pPr>
          </w:p>
        </w:tc>
        <w:tc>
          <w:tcPr>
            <w:tcW w:w="2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 xml:space="preserve">a vote </w:t>
            </w:r>
            <w:r>
              <w:rPr>
                <w:rFonts w:ascii="Arial" w:cs="Arial" w:eastAsia="Arial" w:hAnsi="Arial"/>
                <w:sz w:val="18"/>
                <w:szCs w:val="18"/>
                <w:b w:val="1"/>
                <w:bCs w:val="1"/>
                <w:color w:val="E97D2E"/>
                <w:w w:val="99"/>
              </w:rPr>
              <w:t>FOR</w:t>
            </w:r>
            <w:r>
              <w:rPr>
                <w:rFonts w:ascii="Arial" w:cs="Arial" w:eastAsia="Arial" w:hAnsi="Arial"/>
                <w:sz w:val="18"/>
                <w:szCs w:val="18"/>
                <w:b w:val="1"/>
                <w:bCs w:val="1"/>
                <w:color w:val="auto"/>
                <w:w w:val="99"/>
              </w:rPr>
              <w:t xml:space="preserve"> ratification of PwC as</w:t>
            </w:r>
          </w:p>
        </w:tc>
        <w:tc>
          <w:tcPr>
            <w:tcW w:w="0" w:type="dxa"/>
            <w:vAlign w:val="bottom"/>
          </w:tcPr>
          <w:p>
            <w:pPr>
              <w:spacing w:after="0"/>
              <w:rPr>
                <w:sz w:val="1"/>
                <w:szCs w:val="1"/>
                <w:color w:val="auto"/>
              </w:rPr>
            </w:pPr>
          </w:p>
        </w:tc>
      </w:tr>
      <w:tr>
        <w:trPr>
          <w:trHeight w:val="288"/>
        </w:trPr>
        <w:tc>
          <w:tcPr>
            <w:tcW w:w="7620" w:type="dxa"/>
            <w:vAlign w:val="bottom"/>
            <w:gridSpan w:val="3"/>
          </w:tcPr>
          <w:p>
            <w:pPr>
              <w:spacing w:after="0"/>
              <w:rPr>
                <w:sz w:val="20"/>
                <w:szCs w:val="20"/>
                <w:color w:val="auto"/>
              </w:rPr>
            </w:pPr>
            <w:r>
              <w:rPr>
                <w:rFonts w:ascii="Arial" w:cs="Arial" w:eastAsia="Arial" w:hAnsi="Arial"/>
                <w:sz w:val="25"/>
                <w:szCs w:val="25"/>
                <w:b w:val="1"/>
                <w:bCs w:val="1"/>
                <w:color w:val="auto"/>
              </w:rPr>
              <w:t>Accounting Firm</w:t>
            </w:r>
          </w:p>
        </w:tc>
        <w:tc>
          <w:tcPr>
            <w:tcW w:w="660" w:type="dxa"/>
            <w:vAlign w:val="bottom"/>
            <w:shd w:val="clear" w:color="auto" w:fill="DBDBDB"/>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our auditors for 2023.</w:t>
            </w:r>
          </w:p>
        </w:tc>
        <w:tc>
          <w:tcPr>
            <w:tcW w:w="0" w:type="dxa"/>
            <w:vAlign w:val="bottom"/>
          </w:tcPr>
          <w:p>
            <w:pPr>
              <w:spacing w:after="0"/>
              <w:rPr>
                <w:sz w:val="1"/>
                <w:szCs w:val="1"/>
                <w:color w:val="auto"/>
              </w:rPr>
            </w:pPr>
          </w:p>
        </w:tc>
      </w:tr>
      <w:tr>
        <w:trPr>
          <w:trHeight w:val="158"/>
        </w:trPr>
        <w:tc>
          <w:tcPr>
            <w:tcW w:w="7620" w:type="dxa"/>
            <w:vAlign w:val="bottom"/>
            <w:gridSpan w:val="3"/>
          </w:tcPr>
          <w:p>
            <w:pPr>
              <w:spacing w:after="0" w:line="158" w:lineRule="exact"/>
              <w:rPr>
                <w:sz w:val="20"/>
                <w:szCs w:val="20"/>
                <w:color w:val="auto"/>
              </w:rPr>
            </w:pPr>
            <w:r>
              <w:rPr>
                <w:rFonts w:ascii="Arial" w:cs="Arial" w:eastAsia="Arial" w:hAnsi="Arial"/>
                <w:sz w:val="14"/>
                <w:szCs w:val="14"/>
                <w:color w:val="auto"/>
              </w:rPr>
              <w:t>(page 59)</w:t>
            </w:r>
          </w:p>
        </w:tc>
        <w:tc>
          <w:tcPr>
            <w:tcW w:w="660" w:type="dxa"/>
            <w:vAlign w:val="bottom"/>
            <w:shd w:val="clear" w:color="auto" w:fill="DBDBDB"/>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Audit Committee appointed PricewaterhouseCoopers LLP (PwC) to serve as our independent registered public accounting firm for 2023. PwC has been retained as our independent registered public accounting firm continuously since 2001. The Audit Committee and the Board</w:t>
      </w:r>
    </w:p>
    <w:p>
      <w:pPr>
        <w:spacing w:after="0" w:line="237" w:lineRule="auto"/>
        <w:rPr>
          <w:sz w:val="20"/>
          <w:szCs w:val="20"/>
          <w:color w:val="auto"/>
        </w:rPr>
      </w:pPr>
      <w:r>
        <w:rPr>
          <w:rFonts w:ascii="Arial" w:cs="Arial" w:eastAsia="Arial" w:hAnsi="Arial"/>
          <w:sz w:val="18"/>
          <w:szCs w:val="18"/>
          <w:color w:val="auto"/>
        </w:rPr>
        <w:t>believe that the continued retention of PwC as our independent registered public accounting firm is in our best interests and those of our stockholders.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E97D2E"/>
        </w:rPr>
        <w:t>THE BOARD OF DIRECTORS AND CORPORATE GOVERNANCE</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Proposal No. 1: Election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recommends a vote “FOR” each of the nine director nominees named below.</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directors are elected annually as provided in our bylaws. Once elected, directors hold office until their terms expire at the next annual meeting of stockholders and until the election of their successors (or, if earlier, upon their death, resignation or removal).</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regularly assesses its size and composition and the skill sets of each director to ensure an appropriate diversity of perspectives, viewpoints, backgrounds and skills in light of our current and future business objectives and the evolving nature of our product offerings and technology in the highly competitive semiconductor industry.</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the record date, our Board had ten directors, each of whom was elected at our 2022 annual meeting of stockholders. Considering its most recent assessment and upon the recommendation of its GS Committee, our Board has decided to decrease the number of Board seats</w:t>
      </w:r>
    </w:p>
    <w:p>
      <w:pPr>
        <w:jc w:val="both"/>
        <w:spacing w:after="0" w:line="226" w:lineRule="auto"/>
        <w:rPr>
          <w:sz w:val="20"/>
          <w:szCs w:val="20"/>
          <w:color w:val="auto"/>
        </w:rPr>
      </w:pPr>
      <w:r>
        <w:rPr>
          <w:rFonts w:ascii="Arial" w:cs="Arial" w:eastAsia="Arial" w:hAnsi="Arial"/>
          <w:sz w:val="18"/>
          <w:szCs w:val="18"/>
          <w:color w:val="auto"/>
        </w:rPr>
        <w:t>from ten to nine effective as of the annual meeting, renominating nine of our current directors — Messrs. Abe, Campbell, Deitrich, El-Khoury, Kiddoo, Mascarenas and Waters, Ms. Carter and Ms. Yan — for election to a new term. lf each of the nine nominees is elected, he or she will</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serve a term beginning at the annual meeting and expiring at our 2024 annual meeting of stockholders and until the election of his or her successor.</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nominee has consented to being named as a nominee in this proxy statement and to serve as a director if elected. The designated proxies intend to vote your proxy for the election of each such nominee, unless otherwise directed. If, contrary to our expectations, any nominee is unable to serve or for good cause will not serve, your proxy will be voted for a substitute nominee designated by the Board, or the Board may choose to reduce its size.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E97D2E"/>
        </w:rPr>
      </w:pPr>
      <w:r>
        <w:rPr>
          <w:rFonts w:ascii="Arial" w:cs="Arial" w:eastAsia="Arial" w:hAnsi="Arial"/>
          <w:sz w:val="18"/>
          <w:szCs w:val="18"/>
          <w:color w:val="E97D2E"/>
        </w:rPr>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9" w:name="page10"/>
    <w:bookmarkEnd w:id="9"/>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Our Director Nominees at a Glance</w:t>
      </w:r>
    </w:p>
    <w:p>
      <w:pPr>
        <w:spacing w:after="0" w:line="164" w:lineRule="exact"/>
        <w:rPr>
          <w:sz w:val="20"/>
          <w:szCs w:val="20"/>
          <w:color w:val="auto"/>
        </w:rPr>
      </w:pPr>
    </w:p>
    <w:p>
      <w:pPr>
        <w:ind w:left="700"/>
        <w:spacing w:after="0"/>
        <w:tabs>
          <w:tab w:leader="none" w:pos="3860" w:val="left"/>
          <w:tab w:leader="none" w:pos="6660" w:val="left"/>
          <w:tab w:leader="none" w:pos="8720" w:val="left"/>
        </w:tabs>
        <w:rPr>
          <w:sz w:val="20"/>
          <w:szCs w:val="20"/>
          <w:color w:val="auto"/>
        </w:rPr>
      </w:pPr>
      <w:r>
        <w:rPr>
          <w:rFonts w:ascii="Arial" w:cs="Arial" w:eastAsia="Arial" w:hAnsi="Arial"/>
          <w:sz w:val="18"/>
          <w:szCs w:val="18"/>
          <w:b w:val="1"/>
          <w:bCs w:val="1"/>
          <w:color w:val="auto"/>
        </w:rPr>
        <w:t>Age Distribution</w:t>
      </w:r>
      <w:r>
        <w:rPr>
          <w:sz w:val="20"/>
          <w:szCs w:val="20"/>
          <w:color w:val="auto"/>
        </w:rPr>
        <w:tab/>
      </w:r>
      <w:r>
        <w:rPr>
          <w:rFonts w:ascii="Arial" w:cs="Arial" w:eastAsia="Arial" w:hAnsi="Arial"/>
          <w:sz w:val="18"/>
          <w:szCs w:val="18"/>
          <w:b w:val="1"/>
          <w:bCs w:val="1"/>
          <w:color w:val="auto"/>
        </w:rPr>
        <w:t>Gender</w:t>
      </w:r>
      <w:r>
        <w:rPr>
          <w:sz w:val="20"/>
          <w:szCs w:val="20"/>
          <w:color w:val="auto"/>
        </w:rPr>
        <w:tab/>
      </w:r>
      <w:r>
        <w:rPr>
          <w:rFonts w:ascii="Arial" w:cs="Arial" w:eastAsia="Arial" w:hAnsi="Arial"/>
          <w:sz w:val="18"/>
          <w:szCs w:val="18"/>
          <w:b w:val="1"/>
          <w:bCs w:val="1"/>
          <w:color w:val="auto"/>
        </w:rPr>
        <w:t>Tenure</w:t>
      </w:r>
      <w:r>
        <w:rPr>
          <w:sz w:val="20"/>
          <w:szCs w:val="20"/>
          <w:color w:val="auto"/>
        </w:rPr>
        <w:tab/>
      </w:r>
      <w:r>
        <w:rPr>
          <w:rFonts w:ascii="Arial" w:cs="Arial" w:eastAsia="Arial" w:hAnsi="Arial"/>
          <w:sz w:val="17"/>
          <w:szCs w:val="17"/>
          <w:b w:val="1"/>
          <w:bCs w:val="1"/>
          <w:color w:val="auto"/>
        </w:rPr>
        <w:t>Geography/International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34925</wp:posOffset>
            </wp:positionV>
            <wp:extent cx="1259840" cy="1260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9840" cy="126047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34925</wp:posOffset>
            </wp:positionV>
            <wp:extent cx="1285875" cy="1268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5875" cy="1268730"/>
                    </a:xfrm>
                    <a:prstGeom prst="rect">
                      <a:avLst/>
                    </a:prstGeom>
                    <a:noFill/>
                  </pic:spPr>
                </pic:pic>
              </a:graphicData>
            </a:graphic>
          </wp:anchor>
        </w:drawing>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2640"/>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Board is committed to balancing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There are seven male and two female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tenure of the director nominees</w:t>
            </w:r>
          </w:p>
        </w:tc>
        <w:tc>
          <w:tcPr>
            <w:tcW w:w="2560" w:type="dxa"/>
            <w:vAlign w:val="bottom"/>
          </w:tcPr>
          <w:p>
            <w:pPr>
              <w:spacing w:after="0"/>
              <w:rPr>
                <w:sz w:val="20"/>
                <w:szCs w:val="20"/>
                <w:color w:val="auto"/>
              </w:rPr>
            </w:pPr>
            <w:r>
              <w:rPr>
                <w:rFonts w:ascii="Arial" w:cs="Arial" w:eastAsia="Arial" w:hAnsi="Arial"/>
                <w:sz w:val="16"/>
                <w:szCs w:val="16"/>
                <w:color w:val="auto"/>
              </w:rPr>
              <w:t>All nominees for director have</w:t>
            </w:r>
          </w:p>
        </w:tc>
      </w:tr>
      <w:tr>
        <w:trPr>
          <w:trHeight w:val="175"/>
        </w:trPr>
        <w:tc>
          <w:tcPr>
            <w:tcW w:w="28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the age and experience of its</w:t>
            </w:r>
          </w:p>
        </w:tc>
        <w:tc>
          <w:tcPr>
            <w:tcW w:w="28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director nominees.</w:t>
            </w:r>
          </w:p>
        </w:tc>
        <w:tc>
          <w:tcPr>
            <w:tcW w:w="28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demonstrates the Board’s</w:t>
            </w:r>
          </w:p>
        </w:tc>
        <w:tc>
          <w:tcPr>
            <w:tcW w:w="2560" w:type="dxa"/>
            <w:vAlign w:val="bottom"/>
          </w:tcPr>
          <w:p>
            <w:pPr>
              <w:spacing w:after="0" w:line="175" w:lineRule="exact"/>
              <w:rPr>
                <w:sz w:val="20"/>
                <w:szCs w:val="20"/>
                <w:color w:val="auto"/>
              </w:rPr>
            </w:pPr>
            <w:r>
              <w:rPr>
                <w:rFonts w:ascii="Arial" w:cs="Arial" w:eastAsia="Arial" w:hAnsi="Arial"/>
                <w:sz w:val="16"/>
                <w:szCs w:val="16"/>
                <w:color w:val="auto"/>
              </w:rPr>
              <w:t>international experience, and one is</w:t>
            </w:r>
          </w:p>
        </w:tc>
      </w:tr>
      <w:tr>
        <w:trPr>
          <w:trHeight w:val="189"/>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members. All directors nominees are</w:t>
            </w:r>
          </w:p>
        </w:tc>
        <w:tc>
          <w:tcPr>
            <w:tcW w:w="280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commitment to balancing experience</w:t>
            </w:r>
          </w:p>
        </w:tc>
        <w:tc>
          <w:tcPr>
            <w:tcW w:w="2560" w:type="dxa"/>
            <w:vAlign w:val="bottom"/>
          </w:tcPr>
          <w:p>
            <w:pPr>
              <w:spacing w:after="0"/>
              <w:rPr>
                <w:sz w:val="20"/>
                <w:szCs w:val="20"/>
                <w:color w:val="auto"/>
              </w:rPr>
            </w:pPr>
            <w:r>
              <w:rPr>
                <w:rFonts w:ascii="Arial" w:cs="Arial" w:eastAsia="Arial" w:hAnsi="Arial"/>
                <w:sz w:val="16"/>
                <w:szCs w:val="16"/>
                <w:color w:val="auto"/>
              </w:rPr>
              <w:t>based outside of the United States.</w:t>
            </w:r>
          </w:p>
        </w:tc>
      </w:tr>
      <w:tr>
        <w:trPr>
          <w:trHeight w:val="176"/>
        </w:trPr>
        <w:tc>
          <w:tcPr>
            <w:tcW w:w="28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below the mandatory retirement age</w:t>
            </w:r>
          </w:p>
        </w:tc>
        <w:tc>
          <w:tcPr>
            <w:tcW w:w="280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and refreshment.</w:t>
            </w:r>
          </w:p>
        </w:tc>
        <w:tc>
          <w:tcPr>
            <w:tcW w:w="2560" w:type="dxa"/>
            <w:vAlign w:val="bottom"/>
          </w:tcPr>
          <w:p>
            <w:pPr>
              <w:spacing w:after="0"/>
              <w:rPr>
                <w:sz w:val="15"/>
                <w:szCs w:val="15"/>
                <w:color w:val="auto"/>
              </w:rPr>
            </w:pPr>
          </w:p>
        </w:tc>
      </w:tr>
      <w:tr>
        <w:trPr>
          <w:trHeight w:val="230"/>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 75.</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-2159635</wp:posOffset>
            </wp:positionV>
            <wp:extent cx="6557645" cy="1491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14916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-2159635</wp:posOffset>
            </wp:positionV>
            <wp:extent cx="6557645" cy="1491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1491615"/>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our Director Nominees</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Set forth below is biographical information about each director nominee. Our Board believes that it is important that the following qualifications, attributes, skills and experience are represented on our Board because of their particular relevance to our business. In addition to the specific qualifications described below, we believe that each director nominee has the business acumen and sound judgment required for the proper functioning of our Board and the integrity, honesty and adherence to high ethical standards necessary to set the “tone at the top.” Most of our directors also have significant experience on other public company boards, which we believe broadens their knowledge of board processes, issues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31115</wp:posOffset>
            </wp:positionV>
            <wp:extent cx="386080" cy="386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31115</wp:posOffset>
            </wp:positionV>
            <wp:extent cx="386080"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31115</wp:posOffset>
            </wp:positionV>
            <wp:extent cx="386080" cy="38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2660" w:type="dxa"/>
            <w:vAlign w:val="bottom"/>
          </w:tcPr>
          <w:p>
            <w:pPr>
              <w:jc w:val="center"/>
              <w:ind w:right="330"/>
              <w:spacing w:after="0"/>
              <w:rPr>
                <w:sz w:val="20"/>
                <w:szCs w:val="20"/>
                <w:color w:val="auto"/>
              </w:rPr>
            </w:pPr>
            <w:r>
              <w:rPr>
                <w:rFonts w:ascii="Arial" w:cs="Arial" w:eastAsia="Arial" w:hAnsi="Arial"/>
                <w:sz w:val="18"/>
                <w:szCs w:val="18"/>
                <w:color w:val="auto"/>
                <w:w w:val="99"/>
              </w:rPr>
              <w:t>Semiconductor</w:t>
            </w:r>
          </w:p>
        </w:tc>
        <w:tc>
          <w:tcPr>
            <w:tcW w:w="3040" w:type="dxa"/>
            <w:vAlign w:val="bottom"/>
          </w:tcPr>
          <w:p>
            <w:pPr>
              <w:jc w:val="center"/>
              <w:spacing w:after="0"/>
              <w:rPr>
                <w:sz w:val="20"/>
                <w:szCs w:val="20"/>
                <w:color w:val="auto"/>
              </w:rPr>
            </w:pPr>
            <w:r>
              <w:rPr>
                <w:rFonts w:ascii="Arial" w:cs="Arial" w:eastAsia="Arial" w:hAnsi="Arial"/>
                <w:sz w:val="18"/>
                <w:szCs w:val="18"/>
                <w:color w:val="auto"/>
              </w:rPr>
              <w:t>Public Company</w:t>
            </w:r>
          </w:p>
        </w:tc>
        <w:tc>
          <w:tcPr>
            <w:tcW w:w="2360" w:type="dxa"/>
            <w:vAlign w:val="bottom"/>
            <w:vMerge w:val="restart"/>
          </w:tcPr>
          <w:p>
            <w:pPr>
              <w:jc w:val="center"/>
              <w:ind w:left="47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2660" w:type="dxa"/>
            <w:vAlign w:val="bottom"/>
            <w:vMerge w:val="restart"/>
          </w:tcPr>
          <w:p>
            <w:pPr>
              <w:jc w:val="center"/>
              <w:ind w:right="330"/>
              <w:spacing w:after="0"/>
              <w:rPr>
                <w:sz w:val="20"/>
                <w:szCs w:val="20"/>
                <w:color w:val="auto"/>
              </w:rPr>
            </w:pPr>
            <w:r>
              <w:rPr>
                <w:rFonts w:ascii="Arial" w:cs="Arial" w:eastAsia="Arial" w:hAnsi="Arial"/>
                <w:sz w:val="18"/>
                <w:szCs w:val="18"/>
                <w:color w:val="auto"/>
                <w:w w:val="97"/>
              </w:rPr>
              <w:t>/Technology</w:t>
            </w:r>
          </w:p>
        </w:tc>
        <w:tc>
          <w:tcPr>
            <w:tcW w:w="3040" w:type="dxa"/>
            <w:vAlign w:val="bottom"/>
            <w:vMerge w:val="restart"/>
          </w:tcPr>
          <w:p>
            <w:pPr>
              <w:jc w:val="center"/>
              <w:spacing w:after="0"/>
              <w:rPr>
                <w:sz w:val="20"/>
                <w:szCs w:val="20"/>
                <w:color w:val="auto"/>
              </w:rPr>
            </w:pPr>
            <w:r>
              <w:rPr>
                <w:rFonts w:ascii="Arial" w:cs="Arial" w:eastAsia="Arial" w:hAnsi="Arial"/>
                <w:sz w:val="18"/>
                <w:szCs w:val="18"/>
                <w:color w:val="auto"/>
                <w:w w:val="98"/>
              </w:rPr>
              <w:t>Management</w:t>
            </w: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70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0"/>
        </w:trPr>
        <w:tc>
          <w:tcPr>
            <w:tcW w:w="1700" w:type="dxa"/>
            <w:vAlign w:val="bottom"/>
          </w:tcPr>
          <w:p>
            <w:pPr>
              <w:spacing w:after="0"/>
              <w:rPr>
                <w:sz w:val="24"/>
                <w:szCs w:val="24"/>
                <w:color w:val="auto"/>
              </w:rPr>
            </w:pPr>
          </w:p>
        </w:tc>
        <w:tc>
          <w:tcPr>
            <w:tcW w:w="2660" w:type="dxa"/>
            <w:vAlign w:val="bottom"/>
          </w:tcPr>
          <w:p>
            <w:pPr>
              <w:jc w:val="center"/>
              <w:ind w:right="310"/>
              <w:spacing w:after="0"/>
              <w:rPr>
                <w:sz w:val="20"/>
                <w:szCs w:val="20"/>
                <w:color w:val="auto"/>
              </w:rPr>
            </w:pPr>
            <w:r>
              <w:rPr>
                <w:rFonts w:ascii="Arial" w:cs="Arial" w:eastAsia="Arial" w:hAnsi="Arial"/>
                <w:sz w:val="18"/>
                <w:szCs w:val="18"/>
                <w:color w:val="auto"/>
                <w:w w:val="99"/>
              </w:rPr>
              <w:t>Manufacturing</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Finance</w:t>
            </w:r>
          </w:p>
        </w:tc>
        <w:tc>
          <w:tcPr>
            <w:tcW w:w="2360" w:type="dxa"/>
            <w:vAlign w:val="bottom"/>
          </w:tcPr>
          <w:p>
            <w:pPr>
              <w:jc w:val="center"/>
              <w:ind w:left="470"/>
              <w:spacing w:after="0"/>
              <w:rPr>
                <w:sz w:val="20"/>
                <w:szCs w:val="20"/>
                <w:color w:val="auto"/>
              </w:rPr>
            </w:pPr>
            <w:r>
              <w:rPr>
                <w:rFonts w:ascii="Arial" w:cs="Arial" w:eastAsia="Arial" w:hAnsi="Arial"/>
                <w:sz w:val="18"/>
                <w:szCs w:val="18"/>
                <w:color w:val="auto"/>
              </w:rPr>
              <w:t>Compliance</w:t>
            </w:r>
          </w:p>
        </w:tc>
        <w:tc>
          <w:tcPr>
            <w:tcW w:w="0" w:type="dxa"/>
            <w:vAlign w:val="bottom"/>
          </w:tcPr>
          <w:p>
            <w:pPr>
              <w:spacing w:after="0"/>
              <w:rPr>
                <w:sz w:val="1"/>
                <w:szCs w:val="1"/>
                <w:color w:val="auto"/>
              </w:rPr>
            </w:pPr>
          </w:p>
        </w:tc>
      </w:tr>
      <w:tr>
        <w:trPr>
          <w:trHeight w:val="523"/>
        </w:trPr>
        <w:tc>
          <w:tcPr>
            <w:tcW w:w="1700" w:type="dxa"/>
            <w:vAlign w:val="bottom"/>
          </w:tcPr>
          <w:p>
            <w:pPr>
              <w:jc w:val="center"/>
              <w:spacing w:after="0"/>
              <w:rPr>
                <w:sz w:val="20"/>
                <w:szCs w:val="20"/>
                <w:color w:val="auto"/>
              </w:rPr>
            </w:pPr>
            <w:r>
              <w:rPr>
                <w:rFonts w:ascii="Arial" w:cs="Arial" w:eastAsia="Arial" w:hAnsi="Arial"/>
                <w:sz w:val="18"/>
                <w:szCs w:val="18"/>
                <w:b w:val="1"/>
                <w:bCs w:val="1"/>
                <w:color w:val="E97D2E"/>
                <w:w w:val="98"/>
              </w:rPr>
              <w:t>Key to</w:t>
            </w:r>
          </w:p>
        </w:tc>
        <w:tc>
          <w:tcPr>
            <w:tcW w:w="2660" w:type="dxa"/>
            <w:vAlign w:val="bottom"/>
          </w:tcPr>
          <w:p>
            <w:pPr>
              <w:jc w:val="center"/>
              <w:ind w:right="310"/>
              <w:spacing w:after="0"/>
              <w:rPr>
                <w:sz w:val="20"/>
                <w:szCs w:val="20"/>
                <w:color w:val="auto"/>
              </w:rPr>
            </w:pPr>
            <w:r>
              <w:rPr>
                <w:rFonts w:ascii="Arial" w:cs="Arial" w:eastAsia="Arial" w:hAnsi="Arial"/>
                <w:sz w:val="18"/>
                <w:szCs w:val="18"/>
                <w:color w:val="auto"/>
                <w:w w:val="99"/>
              </w:rPr>
              <w:t>Enterprise Risk</w:t>
            </w:r>
          </w:p>
        </w:tc>
        <w:tc>
          <w:tcPr>
            <w:tcW w:w="3040" w:type="dxa"/>
            <w:vAlign w:val="bottom"/>
            <w:vMerge w:val="restart"/>
          </w:tcPr>
          <w:p>
            <w:pPr>
              <w:jc w:val="center"/>
              <w:spacing w:after="0"/>
              <w:rPr>
                <w:sz w:val="20"/>
                <w:szCs w:val="20"/>
                <w:color w:val="auto"/>
              </w:rPr>
            </w:pPr>
            <w:r>
              <w:rPr>
                <w:rFonts w:ascii="Arial" w:cs="Arial" w:eastAsia="Arial" w:hAnsi="Arial"/>
                <w:sz w:val="18"/>
                <w:szCs w:val="18"/>
                <w:color w:val="auto"/>
                <w:w w:val="99"/>
              </w:rPr>
              <w:t>Mergers and Acquisitions</w:t>
            </w:r>
          </w:p>
        </w:tc>
        <w:tc>
          <w:tcPr>
            <w:tcW w:w="2360" w:type="dxa"/>
            <w:vAlign w:val="bottom"/>
            <w:vMerge w:val="restart"/>
          </w:tcPr>
          <w:p>
            <w:pPr>
              <w:jc w:val="center"/>
              <w:ind w:left="470"/>
              <w:spacing w:after="0"/>
              <w:rPr>
                <w:sz w:val="20"/>
                <w:szCs w:val="20"/>
                <w:color w:val="auto"/>
              </w:rPr>
            </w:pPr>
            <w:r>
              <w:rPr>
                <w:rFonts w:ascii="Arial" w:cs="Arial" w:eastAsia="Arial" w:hAnsi="Arial"/>
                <w:sz w:val="18"/>
                <w:szCs w:val="18"/>
                <w:color w:val="auto"/>
              </w:rPr>
              <w:t>Government Relations</w:t>
            </w:r>
          </w:p>
        </w:tc>
        <w:tc>
          <w:tcPr>
            <w:tcW w:w="0" w:type="dxa"/>
            <w:vAlign w:val="bottom"/>
          </w:tcPr>
          <w:p>
            <w:pPr>
              <w:spacing w:after="0"/>
              <w:rPr>
                <w:sz w:val="1"/>
                <w:szCs w:val="1"/>
                <w:color w:val="auto"/>
              </w:rPr>
            </w:pPr>
          </w:p>
        </w:tc>
      </w:tr>
      <w:tr>
        <w:trPr>
          <w:trHeight w:val="175"/>
        </w:trPr>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E97D2E"/>
                <w:w w:val="99"/>
              </w:rPr>
              <w:t>Relevant Skills and</w:t>
            </w:r>
          </w:p>
        </w:tc>
        <w:tc>
          <w:tcPr>
            <w:tcW w:w="2660" w:type="dxa"/>
            <w:vAlign w:val="bottom"/>
          </w:tcPr>
          <w:p>
            <w:pPr>
              <w:jc w:val="center"/>
              <w:ind w:right="330"/>
              <w:spacing w:after="0" w:line="176" w:lineRule="exact"/>
              <w:rPr>
                <w:sz w:val="20"/>
                <w:szCs w:val="20"/>
                <w:color w:val="auto"/>
              </w:rPr>
            </w:pPr>
            <w:r>
              <w:rPr>
                <w:rFonts w:ascii="Arial" w:cs="Arial" w:eastAsia="Arial" w:hAnsi="Arial"/>
                <w:sz w:val="18"/>
                <w:szCs w:val="18"/>
                <w:color w:val="auto"/>
                <w:w w:val="98"/>
              </w:rPr>
              <w:t>Management</w:t>
            </w:r>
          </w:p>
        </w:tc>
        <w:tc>
          <w:tcPr>
            <w:tcW w:w="304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700" w:type="dxa"/>
            <w:vAlign w:val="bottom"/>
          </w:tcPr>
          <w:p>
            <w:pPr>
              <w:jc w:val="center"/>
              <w:spacing w:after="0"/>
              <w:rPr>
                <w:sz w:val="20"/>
                <w:szCs w:val="20"/>
                <w:color w:val="auto"/>
              </w:rPr>
            </w:pPr>
            <w:r>
              <w:rPr>
                <w:rFonts w:ascii="Arial" w:cs="Arial" w:eastAsia="Arial" w:hAnsi="Arial"/>
                <w:sz w:val="18"/>
                <w:szCs w:val="18"/>
                <w:b w:val="1"/>
                <w:bCs w:val="1"/>
                <w:color w:val="E97D2E"/>
                <w:w w:val="99"/>
              </w:rPr>
              <w:t>Qualifications</w:t>
            </w:r>
          </w:p>
        </w:tc>
        <w:tc>
          <w:tcPr>
            <w:tcW w:w="2660" w:type="dxa"/>
            <w:vAlign w:val="bottom"/>
          </w:tcPr>
          <w:p>
            <w:pPr>
              <w:jc w:val="center"/>
              <w:ind w:right="330"/>
              <w:spacing w:after="0"/>
              <w:rPr>
                <w:sz w:val="20"/>
                <w:szCs w:val="20"/>
                <w:color w:val="auto"/>
              </w:rPr>
            </w:pPr>
            <w:r>
              <w:rPr>
                <w:rFonts w:ascii="Arial" w:cs="Arial" w:eastAsia="Arial" w:hAnsi="Arial"/>
                <w:sz w:val="18"/>
                <w:szCs w:val="18"/>
                <w:color w:val="auto"/>
                <w:w w:val="99"/>
              </w:rPr>
              <w:t>(ERM)</w:t>
            </w:r>
          </w:p>
        </w:tc>
        <w:tc>
          <w:tcPr>
            <w:tcW w:w="30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1700" w:type="dxa"/>
            <w:vAlign w:val="bottom"/>
          </w:tcPr>
          <w:p>
            <w:pPr>
              <w:spacing w:after="0"/>
              <w:rPr>
                <w:sz w:val="24"/>
                <w:szCs w:val="24"/>
                <w:color w:val="auto"/>
              </w:rPr>
            </w:pPr>
          </w:p>
        </w:tc>
        <w:tc>
          <w:tcPr>
            <w:tcW w:w="2660" w:type="dxa"/>
            <w:vAlign w:val="bottom"/>
          </w:tcPr>
          <w:p>
            <w:pPr>
              <w:jc w:val="center"/>
              <w:ind w:right="330"/>
              <w:spacing w:after="0"/>
              <w:rPr>
                <w:sz w:val="20"/>
                <w:szCs w:val="20"/>
                <w:color w:val="auto"/>
              </w:rPr>
            </w:pPr>
            <w:r>
              <w:rPr>
                <w:rFonts w:ascii="Arial" w:cs="Arial" w:eastAsia="Arial" w:hAnsi="Arial"/>
                <w:sz w:val="18"/>
                <w:szCs w:val="18"/>
                <w:color w:val="auto"/>
                <w:w w:val="99"/>
              </w:rPr>
              <w:t>Environmental, Social and</w:t>
            </w:r>
          </w:p>
        </w:tc>
        <w:tc>
          <w:tcPr>
            <w:tcW w:w="3040" w:type="dxa"/>
            <w:vAlign w:val="bottom"/>
            <w:vMerge w:val="restart"/>
          </w:tcPr>
          <w:p>
            <w:pPr>
              <w:jc w:val="center"/>
              <w:spacing w:after="0"/>
              <w:rPr>
                <w:sz w:val="20"/>
                <w:szCs w:val="20"/>
                <w:color w:val="auto"/>
              </w:rPr>
            </w:pPr>
            <w:r>
              <w:rPr>
                <w:rFonts w:ascii="Arial" w:cs="Arial" w:eastAsia="Arial" w:hAnsi="Arial"/>
                <w:sz w:val="18"/>
                <w:szCs w:val="18"/>
                <w:color w:val="auto"/>
                <w:w w:val="99"/>
              </w:rPr>
              <w:t>Sustainability/Climate</w:t>
            </w:r>
          </w:p>
        </w:tc>
        <w:tc>
          <w:tcPr>
            <w:tcW w:w="2360" w:type="dxa"/>
            <w:vAlign w:val="bottom"/>
          </w:tcPr>
          <w:p>
            <w:pPr>
              <w:jc w:val="center"/>
              <w:ind w:left="450"/>
              <w:spacing w:after="0"/>
              <w:rPr>
                <w:sz w:val="20"/>
                <w:szCs w:val="20"/>
                <w:color w:val="auto"/>
              </w:rPr>
            </w:pPr>
            <w:r>
              <w:rPr>
                <w:rFonts w:ascii="Arial" w:cs="Arial" w:eastAsia="Arial" w:hAnsi="Arial"/>
                <w:sz w:val="18"/>
                <w:szCs w:val="18"/>
                <w:color w:val="auto"/>
                <w:w w:val="99"/>
              </w:rPr>
              <w:t>Information</w:t>
            </w: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66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Governance (ESG)</w:t>
            </w:r>
          </w:p>
        </w:tc>
        <w:tc>
          <w:tcPr>
            <w:tcW w:w="3040" w:type="dxa"/>
            <w:vAlign w:val="bottom"/>
            <w:vMerge w:val="continue"/>
          </w:tcPr>
          <w:p>
            <w:pPr>
              <w:spacing w:after="0"/>
              <w:rPr>
                <w:sz w:val="13"/>
                <w:szCs w:val="13"/>
                <w:color w:val="auto"/>
              </w:rPr>
            </w:pPr>
          </w:p>
        </w:tc>
        <w:tc>
          <w:tcPr>
            <w:tcW w:w="2360" w:type="dxa"/>
            <w:vAlign w:val="bottom"/>
            <w:vMerge w:val="restart"/>
          </w:tcPr>
          <w:p>
            <w:pPr>
              <w:jc w:val="center"/>
              <w:ind w:left="470"/>
              <w:spacing w:after="0"/>
              <w:rPr>
                <w:sz w:val="20"/>
                <w:szCs w:val="20"/>
                <w:color w:val="auto"/>
              </w:rPr>
            </w:pPr>
            <w:r>
              <w:rPr>
                <w:rFonts w:ascii="Arial" w:cs="Arial" w:eastAsia="Arial" w:hAnsi="Arial"/>
                <w:sz w:val="18"/>
                <w:szCs w:val="18"/>
                <w:color w:val="auto"/>
                <w:w w:val="98"/>
              </w:rPr>
              <w:t>Security</w:t>
            </w:r>
          </w:p>
        </w:tc>
        <w:tc>
          <w:tcPr>
            <w:tcW w:w="0" w:type="dxa"/>
            <w:vAlign w:val="bottom"/>
          </w:tcPr>
          <w:p>
            <w:pPr>
              <w:spacing w:after="0"/>
              <w:rPr>
                <w:sz w:val="1"/>
                <w:szCs w:val="1"/>
                <w:color w:val="auto"/>
              </w:rPr>
            </w:pPr>
          </w:p>
        </w:tc>
      </w:tr>
      <w:tr>
        <w:trPr>
          <w:trHeight w:val="86"/>
        </w:trPr>
        <w:tc>
          <w:tcPr>
            <w:tcW w:w="170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0"/>
        </w:trPr>
        <w:tc>
          <w:tcPr>
            <w:tcW w:w="1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rPr>
              <w:t>Marketing</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-1733550</wp:posOffset>
            </wp:positionV>
            <wp:extent cx="386080"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-1733550</wp:posOffset>
            </wp:positionV>
            <wp:extent cx="386080"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-1733550</wp:posOffset>
            </wp:positionV>
            <wp:extent cx="386080"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-1253490</wp:posOffset>
            </wp:positionV>
            <wp:extent cx="386080" cy="386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-1253490</wp:posOffset>
            </wp:positionV>
            <wp:extent cx="386080"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-1253490</wp:posOffset>
            </wp:positionV>
            <wp:extent cx="386080"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-773430</wp:posOffset>
            </wp:positionV>
            <wp:extent cx="386080" cy="386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-773430</wp:posOffset>
            </wp:positionV>
            <wp:extent cx="386080" cy="386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-773430</wp:posOffset>
            </wp:positionV>
            <wp:extent cx="386080" cy="386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-293370</wp:posOffset>
            </wp:positionV>
            <wp:extent cx="386080" cy="386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480"/>
        <w:spacing w:after="0"/>
        <w:tabs>
          <w:tab w:leader="none" w:pos="111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0" w:name="page11"/>
    <w:bookmarkEnd w:id="10"/>
    <w:p>
      <w:pPr>
        <w:ind w:left="12"/>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445135</wp:posOffset>
            </wp:positionV>
            <wp:extent cx="713232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ectPr>
          <w:pgSz w:w="11900" w:h="16838" w:orient="portrait"/>
          <w:cols w:equalWidth="0" w:num="1">
            <w:col w:w="11152"/>
          </w:cols>
          <w:pgMar w:left="328" w:top="16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E97D2E"/>
        </w:rPr>
        <w:t>ATSUSHI 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57785</wp:posOffset>
            </wp:positionV>
            <wp:extent cx="1080135" cy="1508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013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Age 69</w:t>
      </w:r>
    </w:p>
    <w:p>
      <w:pPr>
        <w:spacing w:after="0" w:line="35"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Director since 2011</w:t>
      </w:r>
    </w:p>
    <w:p>
      <w:pPr>
        <w:spacing w:after="0" w:line="23"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Other Public Company Boards:</w:t>
      </w:r>
    </w:p>
    <w:p>
      <w:pPr>
        <w:spacing w:after="0" w:line="32" w:lineRule="exact"/>
        <w:rPr>
          <w:sz w:val="20"/>
          <w:szCs w:val="20"/>
          <w:color w:val="auto"/>
        </w:rPr>
      </w:pPr>
    </w:p>
    <w:p>
      <w:pPr>
        <w:ind w:left="252"/>
        <w:spacing w:after="0"/>
        <w:rPr>
          <w:sz w:val="20"/>
          <w:szCs w:val="20"/>
          <w:color w:val="auto"/>
        </w:rPr>
      </w:pPr>
      <w:r>
        <w:rPr>
          <w:rFonts w:ascii="Arial" w:cs="Arial" w:eastAsia="Arial" w:hAnsi="Arial"/>
          <w:sz w:val="18"/>
          <w:szCs w:val="18"/>
          <w:color w:val="auto"/>
        </w:rPr>
        <w:t>• Fujitsu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67" w:lineRule="exact"/>
        <w:rPr>
          <w:sz w:val="20"/>
          <w:szCs w:val="20"/>
          <w:color w:val="auto"/>
        </w:rPr>
      </w:pPr>
    </w:p>
    <w:p>
      <w:pPr>
        <w:ind w:left="140" w:hanging="138"/>
        <w:spacing w:after="0"/>
        <w:tabs>
          <w:tab w:leader="none" w:pos="140" w:val="left"/>
        </w:tabs>
        <w:numPr>
          <w:ilvl w:val="0"/>
          <w:numId w:val="12"/>
        </w:numPr>
        <w:rPr>
          <w:rFonts w:ascii="Arial" w:cs="Arial" w:eastAsia="Arial" w:hAnsi="Arial"/>
          <w:sz w:val="16"/>
          <w:szCs w:val="16"/>
          <w:color w:val="276990"/>
        </w:rPr>
      </w:pPr>
      <w:r>
        <w:rPr>
          <w:rFonts w:ascii="Arial" w:cs="Arial" w:eastAsia="Arial" w:hAnsi="Arial"/>
          <w:sz w:val="16"/>
          <w:szCs w:val="16"/>
          <w:b w:val="1"/>
          <w:bCs w:val="1"/>
          <w:color w:val="auto"/>
        </w:rPr>
        <w:t xml:space="preserve">Advanced Solutions, Inc. </w:t>
      </w:r>
      <w:r>
        <w:rPr>
          <w:rFonts w:ascii="Arial" w:cs="Arial" w:eastAsia="Arial" w:hAnsi="Arial"/>
          <w:sz w:val="16"/>
          <w:szCs w:val="16"/>
          <w:color w:val="auto"/>
        </w:rPr>
        <w:t>(a consulting and financial advisory firm)</w:t>
      </w:r>
      <w:r>
        <w:rPr>
          <w:rFonts w:ascii="Arial" w:cs="Arial" w:eastAsia="Arial" w:hAnsi="Arial"/>
          <w:sz w:val="16"/>
          <w:szCs w:val="16"/>
          <w:b w:val="1"/>
          <w:bCs w:val="1"/>
          <w:color w:val="auto"/>
        </w:rPr>
        <w:t>, 2022 – Present</w:t>
      </w:r>
    </w:p>
    <w:p>
      <w:pPr>
        <w:ind w:left="320"/>
        <w:spacing w:after="0"/>
        <w:rPr>
          <w:rFonts w:ascii="Arial" w:cs="Arial" w:eastAsia="Arial" w:hAnsi="Arial"/>
          <w:sz w:val="16"/>
          <w:szCs w:val="16"/>
          <w:color w:val="276990"/>
        </w:rPr>
      </w:pPr>
      <w:r>
        <w:rPr>
          <w:rFonts w:ascii="Arial" w:cs="Arial" w:eastAsia="Arial" w:hAnsi="Arial"/>
          <w:sz w:val="16"/>
          <w:szCs w:val="16"/>
          <w:color w:val="auto"/>
        </w:rPr>
        <w:t>— Managing Partner</w:t>
      </w:r>
    </w:p>
    <w:p>
      <w:pPr>
        <w:spacing w:after="0" w:line="205" w:lineRule="exact"/>
        <w:rPr>
          <w:rFonts w:ascii="Arial" w:cs="Arial" w:eastAsia="Arial" w:hAnsi="Arial"/>
          <w:sz w:val="16"/>
          <w:szCs w:val="16"/>
          <w:color w:val="276990"/>
        </w:rPr>
      </w:pPr>
    </w:p>
    <w:p>
      <w:pPr>
        <w:ind w:left="240" w:right="520" w:hanging="238"/>
        <w:spacing w:after="0" w:line="221" w:lineRule="auto"/>
        <w:tabs>
          <w:tab w:leader="none" w:pos="140" w:val="left"/>
        </w:tabs>
        <w:numPr>
          <w:ilvl w:val="0"/>
          <w:numId w:val="12"/>
        </w:numPr>
        <w:rPr>
          <w:rFonts w:ascii="Arial" w:cs="Arial" w:eastAsia="Arial" w:hAnsi="Arial"/>
          <w:sz w:val="16"/>
          <w:szCs w:val="16"/>
          <w:color w:val="276990"/>
        </w:rPr>
      </w:pPr>
      <w:r>
        <w:rPr>
          <w:rFonts w:ascii="Arial" w:cs="Arial" w:eastAsia="Arial" w:hAnsi="Arial"/>
          <w:sz w:val="16"/>
          <w:szCs w:val="16"/>
          <w:b w:val="1"/>
          <w:bCs w:val="1"/>
          <w:color w:val="auto"/>
        </w:rPr>
        <w:t xml:space="preserve">Sangyo Sosei Advisory Inc. </w:t>
      </w:r>
      <w:r>
        <w:rPr>
          <w:rFonts w:ascii="Arial" w:cs="Arial" w:eastAsia="Arial" w:hAnsi="Arial"/>
          <w:sz w:val="16"/>
          <w:szCs w:val="16"/>
          <w:color w:val="auto"/>
        </w:rPr>
        <w:t>(a technology, media and telecommunication industry-focused mergers and</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advisory firm)</w:t>
      </w:r>
      <w:r>
        <w:rPr>
          <w:rFonts w:ascii="Arial" w:cs="Arial" w:eastAsia="Arial" w:hAnsi="Arial"/>
          <w:sz w:val="16"/>
          <w:szCs w:val="16"/>
          <w:b w:val="1"/>
          <w:bCs w:val="1"/>
          <w:color w:val="auto"/>
        </w:rPr>
        <w:t>, 2009 – 2022</w:t>
      </w:r>
    </w:p>
    <w:p>
      <w:pPr>
        <w:spacing w:after="0" w:line="1" w:lineRule="exact"/>
        <w:rPr>
          <w:rFonts w:ascii="Arial" w:cs="Arial" w:eastAsia="Arial" w:hAnsi="Arial"/>
          <w:sz w:val="16"/>
          <w:szCs w:val="16"/>
          <w:color w:val="276990"/>
        </w:rPr>
      </w:pPr>
    </w:p>
    <w:p>
      <w:pPr>
        <w:ind w:left="320"/>
        <w:spacing w:after="0"/>
        <w:rPr>
          <w:rFonts w:ascii="Arial" w:cs="Arial" w:eastAsia="Arial" w:hAnsi="Arial"/>
          <w:sz w:val="16"/>
          <w:szCs w:val="16"/>
          <w:color w:val="276990"/>
        </w:rPr>
      </w:pPr>
      <w:r>
        <w:rPr>
          <w:rFonts w:ascii="Arial" w:cs="Arial" w:eastAsia="Arial" w:hAnsi="Arial"/>
          <w:sz w:val="16"/>
          <w:szCs w:val="16"/>
          <w:color w:val="auto"/>
        </w:rPr>
        <w:t>— Senior Advisor</w:t>
      </w:r>
    </w:p>
    <w:p>
      <w:pPr>
        <w:spacing w:after="0" w:line="199" w:lineRule="exact"/>
        <w:rPr>
          <w:rFonts w:ascii="Arial" w:cs="Arial" w:eastAsia="Arial" w:hAnsi="Arial"/>
          <w:sz w:val="16"/>
          <w:szCs w:val="16"/>
          <w:color w:val="276990"/>
        </w:rPr>
      </w:pPr>
    </w:p>
    <w:p>
      <w:pPr>
        <w:ind w:left="140" w:hanging="138"/>
        <w:spacing w:after="0"/>
        <w:tabs>
          <w:tab w:leader="none" w:pos="140" w:val="left"/>
        </w:tabs>
        <w:numPr>
          <w:ilvl w:val="0"/>
          <w:numId w:val="12"/>
        </w:numPr>
        <w:rPr>
          <w:rFonts w:ascii="Arial" w:cs="Arial" w:eastAsia="Arial" w:hAnsi="Arial"/>
          <w:sz w:val="16"/>
          <w:szCs w:val="16"/>
          <w:color w:val="276990"/>
        </w:rPr>
      </w:pPr>
      <w:r>
        <w:rPr>
          <w:rFonts w:ascii="Arial" w:cs="Arial" w:eastAsia="Arial" w:hAnsi="Arial"/>
          <w:sz w:val="16"/>
          <w:szCs w:val="16"/>
          <w:b w:val="1"/>
          <w:bCs w:val="1"/>
          <w:color w:val="auto"/>
        </w:rPr>
        <w:t xml:space="preserve">Unitas Capital </w:t>
      </w:r>
      <w:r>
        <w:rPr>
          <w:rFonts w:ascii="Arial" w:cs="Arial" w:eastAsia="Arial" w:hAnsi="Arial"/>
          <w:sz w:val="16"/>
          <w:szCs w:val="16"/>
          <w:color w:val="auto"/>
        </w:rPr>
        <w:t>(formerly JPMorgan Partners Asia)</w:t>
      </w:r>
      <w:r>
        <w:rPr>
          <w:rFonts w:ascii="Arial" w:cs="Arial" w:eastAsia="Arial" w:hAnsi="Arial"/>
          <w:sz w:val="16"/>
          <w:szCs w:val="16"/>
          <w:b w:val="1"/>
          <w:bCs w:val="1"/>
          <w:color w:val="auto"/>
        </w:rPr>
        <w:t>, 2004 – 2009</w:t>
      </w:r>
    </w:p>
    <w:p>
      <w:pPr>
        <w:ind w:left="320"/>
        <w:spacing w:after="0"/>
        <w:rPr>
          <w:rFonts w:ascii="Arial" w:cs="Arial" w:eastAsia="Arial" w:hAnsi="Arial"/>
          <w:sz w:val="16"/>
          <w:szCs w:val="16"/>
          <w:color w:val="276990"/>
        </w:rPr>
      </w:pPr>
      <w:r>
        <w:rPr>
          <w:rFonts w:ascii="Arial" w:cs="Arial" w:eastAsia="Arial" w:hAnsi="Arial"/>
          <w:sz w:val="16"/>
          <w:szCs w:val="16"/>
          <w:color w:val="auto"/>
        </w:rPr>
        <w:t>— Partner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Board Experience</w:t>
      </w:r>
    </w:p>
    <w:p>
      <w:pPr>
        <w:ind w:left="140" w:hanging="138"/>
        <w:spacing w:after="0"/>
        <w:tabs>
          <w:tab w:leader="none" w:pos="140" w:val="left"/>
        </w:tabs>
        <w:numPr>
          <w:ilvl w:val="0"/>
          <w:numId w:val="13"/>
        </w:numPr>
        <w:rPr>
          <w:rFonts w:ascii="Arial" w:cs="Arial" w:eastAsia="Arial" w:hAnsi="Arial"/>
          <w:sz w:val="16"/>
          <w:szCs w:val="16"/>
          <w:color w:val="276990"/>
        </w:rPr>
      </w:pPr>
      <w:r>
        <w:rPr>
          <w:rFonts w:ascii="Arial" w:cs="Arial" w:eastAsia="Arial" w:hAnsi="Arial"/>
          <w:sz w:val="16"/>
          <w:szCs w:val="16"/>
          <w:b w:val="1"/>
          <w:bCs w:val="1"/>
          <w:color w:val="auto"/>
        </w:rPr>
        <w:t>Binfinity AG, 2018 – 2022</w:t>
      </w:r>
    </w:p>
    <w:p>
      <w:pPr>
        <w:spacing w:after="0" w:line="205" w:lineRule="exact"/>
        <w:rPr>
          <w:rFonts w:ascii="Arial" w:cs="Arial" w:eastAsia="Arial" w:hAnsi="Arial"/>
          <w:sz w:val="16"/>
          <w:szCs w:val="16"/>
          <w:color w:val="276990"/>
        </w:rPr>
      </w:pPr>
    </w:p>
    <w:p>
      <w:pPr>
        <w:ind w:right="5260" w:firstLine="2"/>
        <w:spacing w:after="0" w:line="349" w:lineRule="auto"/>
        <w:tabs>
          <w:tab w:leader="none" w:pos="143" w:val="left"/>
        </w:tabs>
        <w:numPr>
          <w:ilvl w:val="0"/>
          <w:numId w:val="13"/>
        </w:numPr>
        <w:rPr>
          <w:rFonts w:ascii="Arial" w:cs="Arial" w:eastAsia="Arial" w:hAnsi="Arial"/>
          <w:sz w:val="16"/>
          <w:szCs w:val="16"/>
          <w:color w:val="276990"/>
        </w:rPr>
      </w:pPr>
      <w:r>
        <w:rPr>
          <w:rFonts w:ascii="Arial" w:cs="Arial" w:eastAsia="Arial" w:hAnsi="Arial"/>
          <w:sz w:val="16"/>
          <w:szCs w:val="16"/>
          <w:b w:val="1"/>
          <w:bCs w:val="1"/>
          <w:color w:val="auto"/>
        </w:rPr>
        <w:t xml:space="preserve">Edwards Group Limited, 2007 – 2009 </w:t>
      </w:r>
      <w:r>
        <w:rPr>
          <w:rFonts w:ascii="Arial" w:cs="Arial" w:eastAsia="Arial" w:hAnsi="Arial"/>
          <w:sz w:val="16"/>
          <w:szCs w:val="16"/>
          <w:b w:val="1"/>
          <w:bCs w:val="1"/>
          <w:color w:val="465E66"/>
        </w:rPr>
        <w:t>Relevant Skills and Qualifications</w:t>
      </w:r>
    </w:p>
    <w:p>
      <w:pPr>
        <w:spacing w:after="0" w:line="200" w:lineRule="exact"/>
        <w:rPr>
          <w:rFonts w:ascii="Arial" w:cs="Arial" w:eastAsia="Arial" w:hAnsi="Arial"/>
          <w:sz w:val="16"/>
          <w:szCs w:val="16"/>
          <w:color w:val="276990"/>
        </w:rPr>
      </w:pPr>
    </w:p>
    <w:p>
      <w:pPr>
        <w:spacing w:after="0" w:line="358" w:lineRule="exact"/>
        <w:rPr>
          <w:rFonts w:ascii="Arial" w:cs="Arial" w:eastAsia="Arial" w:hAnsi="Arial"/>
          <w:sz w:val="16"/>
          <w:szCs w:val="16"/>
          <w:color w:val="276990"/>
        </w:rPr>
      </w:pPr>
    </w:p>
    <w:p>
      <w:pPr>
        <w:ind w:left="160" w:hanging="158"/>
        <w:spacing w:after="0" w:line="280" w:lineRule="auto"/>
        <w:tabs>
          <w:tab w:leader="none" w:pos="141" w:val="left"/>
        </w:tabs>
        <w:numPr>
          <w:ilvl w:val="0"/>
          <w:numId w:val="13"/>
        </w:numPr>
        <w:rPr>
          <w:rFonts w:ascii="Arial" w:cs="Arial" w:eastAsia="Arial" w:hAnsi="Arial"/>
          <w:sz w:val="16"/>
          <w:szCs w:val="16"/>
          <w:b w:val="1"/>
          <w:bCs w:val="1"/>
          <w:color w:val="276990"/>
        </w:rPr>
      </w:pPr>
      <w:r>
        <w:rPr>
          <w:rFonts w:ascii="Arial" w:cs="Arial" w:eastAsia="Arial" w:hAnsi="Arial"/>
          <w:sz w:val="16"/>
          <w:szCs w:val="16"/>
          <w:color w:val="auto"/>
        </w:rPr>
        <w:t>Extensive experience in the investment banking and private equity industry, particularly in the area of technology, and familiarity with businesses throughout Asia, including Japan</w:t>
      </w:r>
    </w:p>
    <w:p>
      <w:pPr>
        <w:spacing w:after="0" w:line="1" w:lineRule="exact"/>
        <w:rPr>
          <w:rFonts w:ascii="Arial" w:cs="Arial" w:eastAsia="Arial" w:hAnsi="Arial"/>
          <w:sz w:val="16"/>
          <w:szCs w:val="16"/>
          <w:b w:val="1"/>
          <w:bCs w:val="1"/>
          <w:color w:val="276990"/>
        </w:rPr>
      </w:pPr>
    </w:p>
    <w:p>
      <w:pPr>
        <w:ind w:left="160" w:right="360" w:hanging="158"/>
        <w:spacing w:after="0" w:line="272" w:lineRule="auto"/>
        <w:tabs>
          <w:tab w:leader="none" w:pos="141" w:val="left"/>
        </w:tabs>
        <w:numPr>
          <w:ilvl w:val="0"/>
          <w:numId w:val="13"/>
        </w:numPr>
        <w:rPr>
          <w:rFonts w:ascii="Arial" w:cs="Arial" w:eastAsia="Arial" w:hAnsi="Arial"/>
          <w:sz w:val="16"/>
          <w:szCs w:val="16"/>
          <w:color w:val="276990"/>
        </w:rPr>
      </w:pPr>
      <w:r>
        <w:rPr>
          <w:rFonts w:ascii="Arial" w:cs="Arial" w:eastAsia="Arial" w:hAnsi="Arial"/>
          <w:sz w:val="16"/>
          <w:szCs w:val="16"/>
          <w:color w:val="auto"/>
        </w:rPr>
        <w:t>Experience in mergers and acquisitions as well as in capital markets transactions, financial transactions and negotiations</w:t>
      </w:r>
    </w:p>
    <w:p>
      <w:pPr>
        <w:spacing w:after="0" w:line="1" w:lineRule="exact"/>
        <w:rPr>
          <w:rFonts w:ascii="Arial" w:cs="Arial" w:eastAsia="Arial" w:hAnsi="Arial"/>
          <w:sz w:val="16"/>
          <w:szCs w:val="16"/>
          <w:color w:val="276990"/>
        </w:rPr>
      </w:pPr>
    </w:p>
    <w:p>
      <w:pPr>
        <w:ind w:left="140" w:hanging="138"/>
        <w:spacing w:after="0"/>
        <w:tabs>
          <w:tab w:leader="none" w:pos="140" w:val="left"/>
        </w:tabs>
        <w:numPr>
          <w:ilvl w:val="0"/>
          <w:numId w:val="13"/>
        </w:numPr>
        <w:rPr>
          <w:rFonts w:ascii="Arial" w:cs="Arial" w:eastAsia="Arial" w:hAnsi="Arial"/>
          <w:sz w:val="16"/>
          <w:szCs w:val="16"/>
          <w:b w:val="1"/>
          <w:bCs w:val="1"/>
          <w:color w:val="276990"/>
        </w:rPr>
      </w:pPr>
      <w:r>
        <w:rPr>
          <w:rFonts w:ascii="Arial" w:cs="Arial" w:eastAsia="Arial" w:hAnsi="Arial"/>
          <w:sz w:val="16"/>
          <w:szCs w:val="16"/>
          <w:color w:val="auto"/>
        </w:rPr>
        <w:t>20 years of cumulative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150495</wp:posOffset>
            </wp:positionV>
            <wp:extent cx="713232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-1031875</wp:posOffset>
            </wp:positionV>
            <wp:extent cx="217741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77415"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12" w:space="520"/>
            <w:col w:w="8220"/>
          </w:cols>
          <w:pgMar w:left="328" w:top="161" w:right="419" w:bottom="1440" w:gutter="0" w:footer="0" w:header="0"/>
          <w:type w:val="continuous"/>
        </w:sectPr>
      </w:pPr>
    </w:p>
    <w:p>
      <w:pPr>
        <w:spacing w:after="0" w:line="148"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E97D2E"/>
        </w:rPr>
        <w:t>ALAN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57785</wp:posOffset>
            </wp:positionV>
            <wp:extent cx="1200150" cy="1645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Age 65</w:t>
      </w:r>
    </w:p>
    <w:p>
      <w:pPr>
        <w:spacing w:after="0" w:line="35" w:lineRule="exact"/>
        <w:rPr>
          <w:sz w:val="20"/>
          <w:szCs w:val="20"/>
          <w:color w:val="auto"/>
        </w:rPr>
      </w:pPr>
    </w:p>
    <w:p>
      <w:pPr>
        <w:ind w:left="12" w:right="200"/>
        <w:spacing w:after="0" w:line="311" w:lineRule="auto"/>
        <w:rPr>
          <w:sz w:val="20"/>
          <w:szCs w:val="20"/>
          <w:color w:val="auto"/>
        </w:rPr>
      </w:pPr>
      <w:r>
        <w:rPr>
          <w:rFonts w:ascii="Arial" w:cs="Arial" w:eastAsia="Arial" w:hAnsi="Arial"/>
          <w:sz w:val="16"/>
          <w:szCs w:val="16"/>
          <w:b w:val="1"/>
          <w:bCs w:val="1"/>
          <w:color w:val="465E66"/>
        </w:rPr>
        <w:t>Director since 2015 Chair of Board since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86" w:lineRule="exact"/>
        <w:rPr>
          <w:sz w:val="20"/>
          <w:szCs w:val="20"/>
          <w:color w:val="auto"/>
        </w:rPr>
      </w:pPr>
    </w:p>
    <w:p>
      <w:pPr>
        <w:ind w:left="140" w:hanging="138"/>
        <w:spacing w:after="0"/>
        <w:tabs>
          <w:tab w:leader="none" w:pos="140" w:val="left"/>
        </w:tabs>
        <w:numPr>
          <w:ilvl w:val="0"/>
          <w:numId w:val="14"/>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Freescale Semiconductor, Inc. </w:t>
      </w:r>
      <w:r>
        <w:rPr>
          <w:rFonts w:ascii="Arial" w:cs="Arial" w:eastAsia="Arial" w:hAnsi="Arial"/>
          <w:sz w:val="16"/>
          <w:szCs w:val="16"/>
          <w:color w:val="auto"/>
        </w:rPr>
        <w:t>(acquired by NXP Semiconductors N.V.)</w:t>
      </w:r>
      <w:r>
        <w:rPr>
          <w:rFonts w:ascii="Arial" w:cs="Arial" w:eastAsia="Arial" w:hAnsi="Arial"/>
          <w:sz w:val="16"/>
          <w:szCs w:val="16"/>
          <w:b w:val="1"/>
          <w:bCs w:val="1"/>
          <w:color w:val="auto"/>
        </w:rPr>
        <w:t>, 2004 – 2014</w:t>
      </w:r>
    </w:p>
    <w:p>
      <w:pPr>
        <w:spacing w:after="0" w:line="38" w:lineRule="exact"/>
        <w:rPr>
          <w:rFonts w:ascii="Arial" w:cs="Arial" w:eastAsia="Arial" w:hAnsi="Arial"/>
          <w:sz w:val="16"/>
          <w:szCs w:val="16"/>
          <w:b w:val="1"/>
          <w:bCs w:val="1"/>
          <w:color w:val="276990"/>
        </w:rPr>
      </w:pPr>
    </w:p>
    <w:p>
      <w:pPr>
        <w:ind w:left="240"/>
        <w:spacing w:after="0"/>
        <w:rPr>
          <w:rFonts w:ascii="Arial" w:cs="Arial" w:eastAsia="Arial" w:hAnsi="Arial"/>
          <w:sz w:val="16"/>
          <w:szCs w:val="16"/>
          <w:b w:val="1"/>
          <w:bCs w:val="1"/>
          <w:color w:val="276990"/>
        </w:rPr>
      </w:pPr>
      <w:r>
        <w:rPr>
          <w:rFonts w:ascii="Arial" w:cs="Arial" w:eastAsia="Arial" w:hAnsi="Arial"/>
          <w:sz w:val="16"/>
          <w:szCs w:val="16"/>
          <w:color w:val="auto"/>
        </w:rPr>
        <w:t>— Chief Financial Officer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Board Experience</w:t>
      </w:r>
    </w:p>
    <w:p>
      <w:pPr>
        <w:spacing w:after="0" w:line="39" w:lineRule="exact"/>
        <w:rPr>
          <w:sz w:val="20"/>
          <w:szCs w:val="20"/>
          <w:color w:val="auto"/>
        </w:rPr>
      </w:pPr>
    </w:p>
    <w:p>
      <w:pPr>
        <w:ind w:left="140" w:hanging="138"/>
        <w:spacing w:after="0"/>
        <w:tabs>
          <w:tab w:leader="none" w:pos="140" w:val="left"/>
        </w:tabs>
        <w:numPr>
          <w:ilvl w:val="0"/>
          <w:numId w:val="15"/>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Dialog Semiconductor Plc </w:t>
      </w:r>
      <w:r>
        <w:rPr>
          <w:rFonts w:ascii="Arial" w:cs="Arial" w:eastAsia="Arial" w:hAnsi="Arial"/>
          <w:sz w:val="16"/>
          <w:szCs w:val="16"/>
          <w:color w:val="auto"/>
        </w:rPr>
        <w:t>(acquired by Renesas Electronics Corporation)</w:t>
      </w:r>
      <w:r>
        <w:rPr>
          <w:rFonts w:ascii="Arial" w:cs="Arial" w:eastAsia="Arial" w:hAnsi="Arial"/>
          <w:sz w:val="16"/>
          <w:szCs w:val="16"/>
          <w:b w:val="1"/>
          <w:bCs w:val="1"/>
          <w:color w:val="auto"/>
        </w:rPr>
        <w:t>, 2015 – 2021</w:t>
      </w:r>
    </w:p>
    <w:p>
      <w:pPr>
        <w:spacing w:after="0" w:line="65" w:lineRule="exact"/>
        <w:rPr>
          <w:rFonts w:ascii="Arial" w:cs="Arial" w:eastAsia="Arial" w:hAnsi="Arial"/>
          <w:sz w:val="16"/>
          <w:szCs w:val="16"/>
          <w:b w:val="1"/>
          <w:bCs w:val="1"/>
          <w:color w:val="276990"/>
        </w:rPr>
      </w:pPr>
    </w:p>
    <w:p>
      <w:pPr>
        <w:spacing w:after="0"/>
        <w:rPr>
          <w:rFonts w:ascii="Arial" w:cs="Arial" w:eastAsia="Arial" w:hAnsi="Arial"/>
          <w:sz w:val="16"/>
          <w:szCs w:val="16"/>
          <w:b w:val="1"/>
          <w:bCs w:val="1"/>
          <w:color w:val="276990"/>
        </w:rPr>
      </w:pPr>
      <w:r>
        <w:rPr>
          <w:rFonts w:ascii="Arial" w:cs="Arial" w:eastAsia="Arial" w:hAnsi="Arial"/>
          <w:sz w:val="16"/>
          <w:szCs w:val="16"/>
          <w:b w:val="1"/>
          <w:bCs w:val="1"/>
          <w:color w:val="465E66"/>
        </w:rPr>
        <w:t>Relevant Skills and Qualifications</w:t>
      </w:r>
    </w:p>
    <w:p>
      <w:pPr>
        <w:spacing w:after="0" w:line="200" w:lineRule="exact"/>
        <w:rPr>
          <w:rFonts w:ascii="Arial" w:cs="Arial" w:eastAsia="Arial" w:hAnsi="Arial"/>
          <w:sz w:val="16"/>
          <w:szCs w:val="16"/>
          <w:b w:val="1"/>
          <w:bCs w:val="1"/>
          <w:color w:val="276990"/>
        </w:rPr>
      </w:pPr>
    </w:p>
    <w:p>
      <w:pPr>
        <w:spacing w:after="0" w:line="200" w:lineRule="exact"/>
        <w:rPr>
          <w:rFonts w:ascii="Arial" w:cs="Arial" w:eastAsia="Arial" w:hAnsi="Arial"/>
          <w:sz w:val="16"/>
          <w:szCs w:val="16"/>
          <w:b w:val="1"/>
          <w:bCs w:val="1"/>
          <w:color w:val="276990"/>
        </w:rPr>
      </w:pPr>
    </w:p>
    <w:p>
      <w:pPr>
        <w:spacing w:after="0" w:line="280" w:lineRule="exact"/>
        <w:rPr>
          <w:rFonts w:ascii="Arial" w:cs="Arial" w:eastAsia="Arial" w:hAnsi="Arial"/>
          <w:sz w:val="16"/>
          <w:szCs w:val="16"/>
          <w:b w:val="1"/>
          <w:bCs w:val="1"/>
          <w:color w:val="276990"/>
        </w:rPr>
      </w:pPr>
    </w:p>
    <w:p>
      <w:pPr>
        <w:ind w:left="140" w:hanging="138"/>
        <w:spacing w:after="0"/>
        <w:tabs>
          <w:tab w:leader="none" w:pos="140" w:val="left"/>
        </w:tabs>
        <w:numPr>
          <w:ilvl w:val="0"/>
          <w:numId w:val="15"/>
        </w:numPr>
        <w:rPr>
          <w:rFonts w:ascii="Arial" w:cs="Arial" w:eastAsia="Arial" w:hAnsi="Arial"/>
          <w:sz w:val="16"/>
          <w:szCs w:val="16"/>
          <w:b w:val="1"/>
          <w:bCs w:val="1"/>
          <w:color w:val="276990"/>
        </w:rPr>
      </w:pPr>
      <w:r>
        <w:rPr>
          <w:rFonts w:ascii="Arial" w:cs="Arial" w:eastAsia="Arial" w:hAnsi="Arial"/>
          <w:sz w:val="16"/>
          <w:szCs w:val="16"/>
          <w:color w:val="auto"/>
        </w:rPr>
        <w:t>Extensive experience in the semiconductor industry</w:t>
      </w:r>
    </w:p>
    <w:p>
      <w:pPr>
        <w:spacing w:after="0" w:line="38" w:lineRule="exact"/>
        <w:rPr>
          <w:rFonts w:ascii="Arial" w:cs="Arial" w:eastAsia="Arial" w:hAnsi="Arial"/>
          <w:sz w:val="16"/>
          <w:szCs w:val="16"/>
          <w:b w:val="1"/>
          <w:bCs w:val="1"/>
          <w:color w:val="276990"/>
        </w:rPr>
      </w:pPr>
    </w:p>
    <w:p>
      <w:pPr>
        <w:ind w:left="140" w:hanging="138"/>
        <w:spacing w:after="0"/>
        <w:tabs>
          <w:tab w:leader="none" w:pos="140" w:val="left"/>
        </w:tabs>
        <w:numPr>
          <w:ilvl w:val="0"/>
          <w:numId w:val="15"/>
        </w:numPr>
        <w:rPr>
          <w:rFonts w:ascii="Arial" w:cs="Arial" w:eastAsia="Arial" w:hAnsi="Arial"/>
          <w:sz w:val="16"/>
          <w:szCs w:val="16"/>
          <w:b w:val="1"/>
          <w:bCs w:val="1"/>
          <w:color w:val="276990"/>
        </w:rPr>
      </w:pPr>
      <w:r>
        <w:rPr>
          <w:rFonts w:ascii="Arial" w:cs="Arial" w:eastAsia="Arial" w:hAnsi="Arial"/>
          <w:sz w:val="16"/>
          <w:szCs w:val="16"/>
          <w:color w:val="auto"/>
        </w:rPr>
        <w:t>Experience as chief financial officer of a publicly held semiconductor company</w:t>
      </w:r>
    </w:p>
    <w:p>
      <w:pPr>
        <w:spacing w:after="0" w:line="27" w:lineRule="exact"/>
        <w:rPr>
          <w:rFonts w:ascii="Arial" w:cs="Arial" w:eastAsia="Arial" w:hAnsi="Arial"/>
          <w:sz w:val="16"/>
          <w:szCs w:val="16"/>
          <w:b w:val="1"/>
          <w:bCs w:val="1"/>
          <w:color w:val="276990"/>
        </w:rPr>
      </w:pPr>
    </w:p>
    <w:p>
      <w:pPr>
        <w:ind w:left="160" w:right="220" w:hanging="158"/>
        <w:spacing w:after="0" w:line="270" w:lineRule="auto"/>
        <w:tabs>
          <w:tab w:leader="none" w:pos="141" w:val="left"/>
        </w:tabs>
        <w:numPr>
          <w:ilvl w:val="0"/>
          <w:numId w:val="15"/>
        </w:numPr>
        <w:rPr>
          <w:rFonts w:ascii="Arial" w:cs="Arial" w:eastAsia="Arial" w:hAnsi="Arial"/>
          <w:sz w:val="16"/>
          <w:szCs w:val="16"/>
          <w:b w:val="1"/>
          <w:bCs w:val="1"/>
          <w:color w:val="276990"/>
        </w:rPr>
      </w:pPr>
      <w:r>
        <w:rPr>
          <w:rFonts w:ascii="Arial" w:cs="Arial" w:eastAsia="Arial" w:hAnsi="Arial"/>
          <w:sz w:val="16"/>
          <w:szCs w:val="16"/>
          <w:color w:val="auto"/>
        </w:rPr>
        <w:t>Significant management experience and relevant knowledge of financial statement preparation and regulatory compliance</w:t>
      </w:r>
    </w:p>
    <w:p>
      <w:pPr>
        <w:ind w:left="140" w:hanging="138"/>
        <w:spacing w:after="0"/>
        <w:tabs>
          <w:tab w:leader="none" w:pos="140" w:val="left"/>
        </w:tabs>
        <w:numPr>
          <w:ilvl w:val="0"/>
          <w:numId w:val="15"/>
        </w:numPr>
        <w:rPr>
          <w:rFonts w:ascii="Arial" w:cs="Arial" w:eastAsia="Arial" w:hAnsi="Arial"/>
          <w:sz w:val="16"/>
          <w:szCs w:val="16"/>
          <w:b w:val="1"/>
          <w:bCs w:val="1"/>
          <w:color w:val="276990"/>
        </w:rPr>
      </w:pPr>
      <w:r>
        <w:rPr>
          <w:rFonts w:ascii="Arial" w:cs="Arial" w:eastAsia="Arial" w:hAnsi="Arial"/>
          <w:sz w:val="16"/>
          <w:szCs w:val="16"/>
          <w:color w:val="auto"/>
        </w:rPr>
        <w:t>Significant mergers and acquisitions and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193040</wp:posOffset>
            </wp:positionV>
            <wp:extent cx="713232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596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-1031875</wp:posOffset>
            </wp:positionV>
            <wp:extent cx="3283585"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83585"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12" w:space="720"/>
            <w:col w:w="8220"/>
          </w:cols>
          <w:pgMar w:left="328" w:top="16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52" w:hanging="352"/>
        <w:spacing w:after="0"/>
        <w:tabs>
          <w:tab w:leader="none" w:pos="352" w:val="left"/>
        </w:tabs>
        <w:numPr>
          <w:ilvl w:val="0"/>
          <w:numId w:val="16"/>
        </w:numPr>
        <w:rPr>
          <w:rFonts w:ascii="Arial" w:cs="Arial" w:eastAsia="Arial" w:hAnsi="Arial"/>
          <w:sz w:val="17"/>
          <w:szCs w:val="17"/>
          <w:color w:val="E97D2E"/>
        </w:rPr>
      </w:pPr>
      <w:r>
        <w:rPr>
          <w:rFonts w:ascii="Arial" w:cs="Arial" w:eastAsia="Arial" w:hAnsi="Arial"/>
          <w:sz w:val="17"/>
          <w:szCs w:val="17"/>
          <w:color w:val="E97D2E"/>
        </w:rPr>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61" w:right="419" w:bottom="1440" w:gutter="0" w:footer="0" w:header="0"/>
          <w:type w:val="continuous"/>
        </w:sectPr>
      </w:pPr>
    </w:p>
    <w:bookmarkStart w:id="11" w:name="page12"/>
    <w:bookmarkEnd w:id="11"/>
    <w:p>
      <w:pPr>
        <w:ind w:left="7180"/>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E97D2E"/>
        </w:rPr>
        <w:t>SUSAN K.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57785</wp:posOffset>
            </wp:positionV>
            <wp:extent cx="1139825" cy="1543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982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Age 64</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Director since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Other Public Company Boards:</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Amcor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73" w:lineRule="exact"/>
        <w:rPr>
          <w:sz w:val="20"/>
          <w:szCs w:val="20"/>
          <w:color w:val="auto"/>
        </w:rPr>
      </w:pPr>
    </w:p>
    <w:p>
      <w:pPr>
        <w:ind w:left="160" w:right="220" w:hanging="158"/>
        <w:spacing w:after="0" w:line="221" w:lineRule="auto"/>
        <w:tabs>
          <w:tab w:leader="none" w:pos="141" w:val="left"/>
        </w:tabs>
        <w:numPr>
          <w:ilvl w:val="0"/>
          <w:numId w:val="17"/>
        </w:numPr>
        <w:rPr>
          <w:rFonts w:ascii="Arial" w:cs="Arial" w:eastAsia="Arial" w:hAnsi="Arial"/>
          <w:sz w:val="16"/>
          <w:szCs w:val="16"/>
          <w:color w:val="276990"/>
        </w:rPr>
      </w:pPr>
      <w:r>
        <w:rPr>
          <w:rFonts w:ascii="Arial" w:cs="Arial" w:eastAsia="Arial" w:hAnsi="Arial"/>
          <w:sz w:val="16"/>
          <w:szCs w:val="16"/>
          <w:b w:val="1"/>
          <w:bCs w:val="1"/>
          <w:color w:val="auto"/>
        </w:rPr>
        <w:t xml:space="preserve">Ingersoll Rand plc </w:t>
      </w:r>
      <w:r>
        <w:rPr>
          <w:rFonts w:ascii="Arial" w:cs="Arial" w:eastAsia="Arial" w:hAnsi="Arial"/>
          <w:sz w:val="16"/>
          <w:szCs w:val="16"/>
          <w:color w:val="auto"/>
        </w:rPr>
        <w:t>(now known as Trane Technologies plc) (an industrial manufacturing company domiciled in</w:t>
      </w:r>
      <w:r>
        <w:rPr>
          <w:rFonts w:ascii="Arial" w:cs="Arial" w:eastAsia="Arial" w:hAnsi="Arial"/>
          <w:sz w:val="16"/>
          <w:szCs w:val="16"/>
          <w:b w:val="1"/>
          <w:bCs w:val="1"/>
          <w:color w:val="auto"/>
        </w:rPr>
        <w:t xml:space="preserve"> </w:t>
      </w:r>
      <w:r>
        <w:rPr>
          <w:rFonts w:ascii="Arial" w:cs="Arial" w:eastAsia="Arial" w:hAnsi="Arial"/>
          <w:sz w:val="16"/>
          <w:szCs w:val="16"/>
          <w:color w:val="auto"/>
        </w:rPr>
        <w:t>Ireland)</w:t>
      </w:r>
      <w:r>
        <w:rPr>
          <w:rFonts w:ascii="Arial" w:cs="Arial" w:eastAsia="Arial" w:hAnsi="Arial"/>
          <w:sz w:val="16"/>
          <w:szCs w:val="16"/>
          <w:b w:val="1"/>
          <w:bCs w:val="1"/>
          <w:color w:val="auto"/>
        </w:rPr>
        <w:t>, 2013 – 2020</w:t>
      </w:r>
    </w:p>
    <w:p>
      <w:pPr>
        <w:spacing w:after="0" w:line="1" w:lineRule="exact"/>
        <w:rPr>
          <w:rFonts w:ascii="Arial" w:cs="Arial" w:eastAsia="Arial" w:hAnsi="Arial"/>
          <w:sz w:val="16"/>
          <w:szCs w:val="16"/>
          <w:color w:val="276990"/>
        </w:rPr>
      </w:pPr>
    </w:p>
    <w:p>
      <w:pPr>
        <w:ind w:left="320"/>
        <w:spacing w:after="0"/>
        <w:rPr>
          <w:rFonts w:ascii="Arial" w:cs="Arial" w:eastAsia="Arial" w:hAnsi="Arial"/>
          <w:sz w:val="16"/>
          <w:szCs w:val="16"/>
          <w:color w:val="276990"/>
        </w:rPr>
      </w:pPr>
      <w:r>
        <w:rPr>
          <w:rFonts w:ascii="Arial" w:cs="Arial" w:eastAsia="Arial" w:hAnsi="Arial"/>
          <w:sz w:val="16"/>
          <w:szCs w:val="16"/>
          <w:color w:val="auto"/>
        </w:rPr>
        <w:t>— Senior Vice President and Chief Financial Officer</w:t>
      </w:r>
    </w:p>
    <w:p>
      <w:pPr>
        <w:spacing w:after="0" w:line="199" w:lineRule="exact"/>
        <w:rPr>
          <w:rFonts w:ascii="Arial" w:cs="Arial" w:eastAsia="Arial" w:hAnsi="Arial"/>
          <w:sz w:val="16"/>
          <w:szCs w:val="16"/>
          <w:color w:val="276990"/>
        </w:rPr>
      </w:pPr>
    </w:p>
    <w:p>
      <w:pPr>
        <w:ind w:left="140" w:hanging="138"/>
        <w:spacing w:after="0"/>
        <w:tabs>
          <w:tab w:leader="none" w:pos="140" w:val="left"/>
        </w:tabs>
        <w:numPr>
          <w:ilvl w:val="0"/>
          <w:numId w:val="17"/>
        </w:numPr>
        <w:rPr>
          <w:rFonts w:ascii="Arial" w:cs="Arial" w:eastAsia="Arial" w:hAnsi="Arial"/>
          <w:sz w:val="16"/>
          <w:szCs w:val="16"/>
          <w:color w:val="276990"/>
        </w:rPr>
      </w:pPr>
      <w:r>
        <w:rPr>
          <w:rFonts w:ascii="Arial" w:cs="Arial" w:eastAsia="Arial" w:hAnsi="Arial"/>
          <w:sz w:val="16"/>
          <w:szCs w:val="16"/>
          <w:b w:val="1"/>
          <w:bCs w:val="1"/>
          <w:color w:val="auto"/>
        </w:rPr>
        <w:t>KBR, Inc., 2009 – 2013</w:t>
      </w:r>
    </w:p>
    <w:p>
      <w:pPr>
        <w:ind w:left="320"/>
        <w:spacing w:after="0"/>
        <w:rPr>
          <w:rFonts w:ascii="Arial" w:cs="Arial" w:eastAsia="Arial" w:hAnsi="Arial"/>
          <w:sz w:val="16"/>
          <w:szCs w:val="16"/>
          <w:color w:val="276990"/>
        </w:rPr>
      </w:pPr>
      <w:r>
        <w:rPr>
          <w:rFonts w:ascii="Arial" w:cs="Arial" w:eastAsia="Arial" w:hAnsi="Arial"/>
          <w:sz w:val="16"/>
          <w:szCs w:val="16"/>
          <w:color w:val="auto"/>
        </w:rPr>
        <w:t>— Executive Vice President and Chief Financial Officer</w:t>
      </w:r>
    </w:p>
    <w:p>
      <w:pPr>
        <w:spacing w:after="0" w:line="199" w:lineRule="exact"/>
        <w:rPr>
          <w:rFonts w:ascii="Arial" w:cs="Arial" w:eastAsia="Arial" w:hAnsi="Arial"/>
          <w:sz w:val="16"/>
          <w:szCs w:val="16"/>
          <w:color w:val="276990"/>
        </w:rPr>
      </w:pPr>
    </w:p>
    <w:p>
      <w:pPr>
        <w:ind w:left="140" w:hanging="138"/>
        <w:spacing w:after="0"/>
        <w:tabs>
          <w:tab w:leader="none" w:pos="140" w:val="left"/>
        </w:tabs>
        <w:numPr>
          <w:ilvl w:val="0"/>
          <w:numId w:val="17"/>
        </w:numPr>
        <w:rPr>
          <w:rFonts w:ascii="Arial" w:cs="Arial" w:eastAsia="Arial" w:hAnsi="Arial"/>
          <w:sz w:val="16"/>
          <w:szCs w:val="16"/>
          <w:color w:val="276990"/>
        </w:rPr>
      </w:pPr>
      <w:r>
        <w:rPr>
          <w:rFonts w:ascii="Arial" w:cs="Arial" w:eastAsia="Arial" w:hAnsi="Arial"/>
          <w:sz w:val="16"/>
          <w:szCs w:val="16"/>
          <w:b w:val="1"/>
          <w:bCs w:val="1"/>
          <w:color w:val="auto"/>
        </w:rPr>
        <w:t>Lennox International, Inc., 2004 – 2009</w:t>
      </w:r>
    </w:p>
    <w:p>
      <w:pPr>
        <w:ind w:left="320"/>
        <w:spacing w:after="0"/>
        <w:rPr>
          <w:rFonts w:ascii="Arial" w:cs="Arial" w:eastAsia="Arial" w:hAnsi="Arial"/>
          <w:sz w:val="16"/>
          <w:szCs w:val="16"/>
          <w:color w:val="276990"/>
        </w:rPr>
      </w:pPr>
      <w:r>
        <w:rPr>
          <w:rFonts w:ascii="Arial" w:cs="Arial" w:eastAsia="Arial" w:hAnsi="Arial"/>
          <w:sz w:val="16"/>
          <w:szCs w:val="16"/>
          <w:color w:val="auto"/>
        </w:rPr>
        <w:t>—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Board Experience</w:t>
      </w:r>
    </w:p>
    <w:p>
      <w:pPr>
        <w:ind w:right="4640" w:firstLine="2"/>
        <w:spacing w:after="0" w:line="328" w:lineRule="auto"/>
        <w:tabs>
          <w:tab w:leader="none" w:pos="143" w:val="left"/>
        </w:tabs>
        <w:numPr>
          <w:ilvl w:val="0"/>
          <w:numId w:val="18"/>
        </w:numPr>
        <w:rPr>
          <w:rFonts w:ascii="Arial" w:cs="Arial" w:eastAsia="Arial" w:hAnsi="Arial"/>
          <w:sz w:val="16"/>
          <w:szCs w:val="16"/>
          <w:color w:val="276990"/>
        </w:rPr>
      </w:pPr>
      <w:r>
        <w:rPr>
          <w:rFonts w:ascii="Arial" w:cs="Arial" w:eastAsia="Arial" w:hAnsi="Arial"/>
          <w:sz w:val="16"/>
          <w:szCs w:val="16"/>
          <w:b w:val="1"/>
          <w:bCs w:val="1"/>
          <w:color w:val="auto"/>
        </w:rPr>
        <w:t xml:space="preserve">Air Products and Chemicals, Inc., 2011 – 2021 </w:t>
      </w:r>
      <w:r>
        <w:rPr>
          <w:rFonts w:ascii="Arial" w:cs="Arial" w:eastAsia="Arial" w:hAnsi="Arial"/>
          <w:sz w:val="16"/>
          <w:szCs w:val="16"/>
          <w:b w:val="1"/>
          <w:bCs w:val="1"/>
          <w:color w:val="465E66"/>
        </w:rPr>
        <w:t>Relevant Skills and Qualifications</w:t>
      </w:r>
    </w:p>
    <w:p>
      <w:pPr>
        <w:spacing w:after="0" w:line="200" w:lineRule="exact"/>
        <w:rPr>
          <w:rFonts w:ascii="Arial" w:cs="Arial" w:eastAsia="Arial" w:hAnsi="Arial"/>
          <w:sz w:val="16"/>
          <w:szCs w:val="16"/>
          <w:color w:val="276990"/>
        </w:rPr>
      </w:pPr>
    </w:p>
    <w:p>
      <w:pPr>
        <w:spacing w:after="0" w:line="374" w:lineRule="exact"/>
        <w:rPr>
          <w:rFonts w:ascii="Arial" w:cs="Arial" w:eastAsia="Arial" w:hAnsi="Arial"/>
          <w:sz w:val="16"/>
          <w:szCs w:val="16"/>
          <w:color w:val="276990"/>
        </w:rPr>
      </w:pPr>
    </w:p>
    <w:p>
      <w:pPr>
        <w:ind w:left="140" w:hanging="138"/>
        <w:spacing w:after="0"/>
        <w:tabs>
          <w:tab w:leader="none" w:pos="140" w:val="left"/>
        </w:tabs>
        <w:numPr>
          <w:ilvl w:val="0"/>
          <w:numId w:val="18"/>
        </w:numPr>
        <w:rPr>
          <w:rFonts w:ascii="Arial" w:cs="Arial" w:eastAsia="Arial" w:hAnsi="Arial"/>
          <w:sz w:val="16"/>
          <w:szCs w:val="16"/>
          <w:b w:val="1"/>
          <w:bCs w:val="1"/>
          <w:color w:val="276990"/>
        </w:rPr>
      </w:pPr>
      <w:r>
        <w:rPr>
          <w:rFonts w:ascii="Arial" w:cs="Arial" w:eastAsia="Arial" w:hAnsi="Arial"/>
          <w:sz w:val="16"/>
          <w:szCs w:val="16"/>
          <w:color w:val="auto"/>
        </w:rPr>
        <w:t>Experience as chief financial officer of a publicly held industrial company</w:t>
      </w:r>
    </w:p>
    <w:p>
      <w:pPr>
        <w:spacing w:after="0" w:line="38" w:lineRule="exact"/>
        <w:rPr>
          <w:rFonts w:ascii="Arial" w:cs="Arial" w:eastAsia="Arial" w:hAnsi="Arial"/>
          <w:sz w:val="16"/>
          <w:szCs w:val="16"/>
          <w:b w:val="1"/>
          <w:bCs w:val="1"/>
          <w:color w:val="276990"/>
        </w:rPr>
      </w:pPr>
    </w:p>
    <w:p>
      <w:pPr>
        <w:ind w:left="160" w:right="300" w:hanging="158"/>
        <w:spacing w:after="0" w:line="268" w:lineRule="auto"/>
        <w:tabs>
          <w:tab w:leader="none" w:pos="141" w:val="left"/>
        </w:tabs>
        <w:numPr>
          <w:ilvl w:val="0"/>
          <w:numId w:val="18"/>
        </w:numPr>
        <w:rPr>
          <w:rFonts w:ascii="Arial" w:cs="Arial" w:eastAsia="Arial" w:hAnsi="Arial"/>
          <w:sz w:val="16"/>
          <w:szCs w:val="16"/>
          <w:color w:val="276990"/>
        </w:rPr>
      </w:pPr>
      <w:r>
        <w:rPr>
          <w:rFonts w:ascii="Arial" w:cs="Arial" w:eastAsia="Arial" w:hAnsi="Arial"/>
          <w:sz w:val="16"/>
          <w:szCs w:val="16"/>
          <w:color w:val="auto"/>
        </w:rPr>
        <w:t>Significant management experience and relevant knowledge of financial statement preparation and regulatory compliance</w:t>
      </w:r>
    </w:p>
    <w:p>
      <w:pPr>
        <w:ind w:left="160" w:right="500" w:hanging="158"/>
        <w:spacing w:after="0" w:line="272" w:lineRule="auto"/>
        <w:tabs>
          <w:tab w:leader="none" w:pos="141" w:val="left"/>
        </w:tabs>
        <w:numPr>
          <w:ilvl w:val="0"/>
          <w:numId w:val="18"/>
        </w:numPr>
        <w:rPr>
          <w:rFonts w:ascii="Arial" w:cs="Arial" w:eastAsia="Arial" w:hAnsi="Arial"/>
          <w:sz w:val="16"/>
          <w:szCs w:val="16"/>
          <w:b w:val="1"/>
          <w:bCs w:val="1"/>
          <w:color w:val="276990"/>
        </w:rPr>
      </w:pPr>
      <w:r>
        <w:rPr>
          <w:rFonts w:ascii="Arial" w:cs="Arial" w:eastAsia="Arial" w:hAnsi="Arial"/>
          <w:sz w:val="16"/>
          <w:szCs w:val="16"/>
          <w:color w:val="auto"/>
        </w:rPr>
        <w:t>Significant experience in manufacturing, automotive, aerospace, defense and engineering and construction industries</w:t>
      </w:r>
    </w:p>
    <w:p>
      <w:pPr>
        <w:spacing w:after="0" w:line="1" w:lineRule="exact"/>
        <w:rPr>
          <w:rFonts w:ascii="Arial" w:cs="Arial" w:eastAsia="Arial" w:hAnsi="Arial"/>
          <w:sz w:val="16"/>
          <w:szCs w:val="16"/>
          <w:b w:val="1"/>
          <w:bCs w:val="1"/>
          <w:color w:val="276990"/>
        </w:rPr>
      </w:pPr>
    </w:p>
    <w:p>
      <w:pPr>
        <w:ind w:left="160" w:right="380" w:hanging="158"/>
        <w:spacing w:after="0" w:line="292" w:lineRule="auto"/>
        <w:tabs>
          <w:tab w:leader="none" w:pos="141" w:val="left"/>
        </w:tabs>
        <w:numPr>
          <w:ilvl w:val="0"/>
          <w:numId w:val="18"/>
        </w:numPr>
        <w:rPr>
          <w:rFonts w:ascii="Arial" w:cs="Arial" w:eastAsia="Arial" w:hAnsi="Arial"/>
          <w:sz w:val="16"/>
          <w:szCs w:val="16"/>
          <w:color w:val="276990"/>
        </w:rPr>
      </w:pPr>
      <w:r>
        <w:rPr>
          <w:rFonts w:ascii="Arial" w:cs="Arial" w:eastAsia="Arial" w:hAnsi="Arial"/>
          <w:sz w:val="16"/>
          <w:szCs w:val="16"/>
          <w:color w:val="auto"/>
        </w:rPr>
        <w:t>Extensive experience in accounting and financial reporting, international business, mergers and acquisitions, investor relations, information technology, finance and capital management, government relations and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2540</wp:posOffset>
            </wp:positionV>
            <wp:extent cx="713232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-1471295</wp:posOffset>
            </wp:positionV>
            <wp:extent cx="40208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20820" cy="30035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2420" w:space="520"/>
            <w:col w:w="8300"/>
          </w:cols>
          <w:pgMar w:left="320" w:top="161" w:right="339" w:bottom="1440" w:gutter="0" w:footer="0" w:header="0"/>
          <w:type w:val="continuous"/>
        </w:sectPr>
      </w:pPr>
    </w:p>
    <w:p>
      <w:pPr>
        <w:ind w:left="20"/>
        <w:spacing w:after="0"/>
        <w:rPr>
          <w:sz w:val="20"/>
          <w:szCs w:val="20"/>
          <w:color w:val="auto"/>
        </w:rPr>
      </w:pPr>
      <w:r>
        <w:rPr>
          <w:rFonts w:ascii="Arial" w:cs="Arial" w:eastAsia="Arial" w:hAnsi="Arial"/>
          <w:sz w:val="20"/>
          <w:szCs w:val="20"/>
          <w:b w:val="1"/>
          <w:bCs w:val="1"/>
          <w:color w:val="E97D2E"/>
        </w:rPr>
        <w:t>THOMAS L. DEITRICH</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465E66"/>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-107315</wp:posOffset>
            </wp:positionV>
            <wp:extent cx="1011555" cy="1423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11555" cy="1423035"/>
                    </a:xfrm>
                    <a:prstGeom prst="rect">
                      <a:avLst/>
                    </a:prstGeom>
                    <a:noFill/>
                  </pic:spPr>
                </pic:pic>
              </a:graphicData>
            </a:graphic>
          </wp:anchor>
        </w:drawing>
      </w:r>
    </w:p>
    <w:p>
      <w:pPr>
        <w:spacing w:after="0" w:line="47" w:lineRule="exact"/>
        <w:rPr>
          <w:sz w:val="20"/>
          <w:szCs w:val="20"/>
          <w:color w:val="auto"/>
        </w:rPr>
      </w:pPr>
    </w:p>
    <w:p>
      <w:pPr>
        <w:ind w:left="294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Itron, Inc.</w:t>
      </w:r>
      <w:r>
        <w:rPr>
          <w:rFonts w:ascii="Arial" w:cs="Arial" w:eastAsia="Arial" w:hAnsi="Arial"/>
          <w:sz w:val="16"/>
          <w:szCs w:val="16"/>
          <w:color w:val="276990"/>
        </w:rPr>
        <w:t xml:space="preserve"> </w:t>
      </w:r>
      <w:r>
        <w:rPr>
          <w:rFonts w:ascii="Arial" w:cs="Arial" w:eastAsia="Arial" w:hAnsi="Arial"/>
          <w:sz w:val="16"/>
          <w:szCs w:val="16"/>
          <w:color w:val="000000"/>
        </w:rPr>
        <w:t>(an energy and water resource management technology company)</w:t>
      </w:r>
      <w:r>
        <w:rPr>
          <w:rFonts w:ascii="Arial" w:cs="Arial" w:eastAsia="Arial" w:hAnsi="Arial"/>
          <w:sz w:val="16"/>
          <w:szCs w:val="16"/>
          <w:b w:val="1"/>
          <w:bCs w:val="1"/>
          <w:color w:val="000000"/>
        </w:rPr>
        <w:t>, 2015 – Present</w:t>
      </w:r>
    </w:p>
    <w:p>
      <w:pPr>
        <w:ind w:left="3260" w:right="3240"/>
        <w:spacing w:after="0" w:line="235" w:lineRule="auto"/>
        <w:rPr>
          <w:sz w:val="20"/>
          <w:szCs w:val="20"/>
          <w:color w:val="auto"/>
        </w:rPr>
      </w:pPr>
      <w:r>
        <w:rPr>
          <w:rFonts w:ascii="Arial" w:cs="Arial" w:eastAsia="Arial" w:hAnsi="Arial"/>
          <w:sz w:val="16"/>
          <w:szCs w:val="16"/>
          <w:color w:val="auto"/>
        </w:rPr>
        <w:t>— President, Chief Executive Officer and Director, 2019 – Present — Chief Operating Officer, 2015 – 2019</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Freescale Semiconductor, Inc.</w:t>
      </w:r>
      <w:r>
        <w:rPr>
          <w:rFonts w:ascii="Arial" w:cs="Arial" w:eastAsia="Arial" w:hAnsi="Arial"/>
          <w:sz w:val="16"/>
          <w:szCs w:val="16"/>
          <w:color w:val="276990"/>
        </w:rPr>
        <w:t xml:space="preserve"> </w:t>
      </w:r>
      <w:r>
        <w:rPr>
          <w:rFonts w:ascii="Arial" w:cs="Arial" w:eastAsia="Arial" w:hAnsi="Arial"/>
          <w:sz w:val="16"/>
          <w:szCs w:val="16"/>
          <w:color w:val="000000"/>
        </w:rPr>
        <w:t>(acquired by NXP Semiconductors N.V.)</w:t>
      </w:r>
      <w:r>
        <w:rPr>
          <w:rFonts w:ascii="Arial" w:cs="Arial" w:eastAsia="Arial" w:hAnsi="Arial"/>
          <w:sz w:val="16"/>
          <w:szCs w:val="16"/>
          <w:b w:val="1"/>
          <w:bCs w:val="1"/>
          <w:color w:val="000000"/>
        </w:rPr>
        <w:t>, 2006 – 2015</w:t>
      </w:r>
    </w:p>
    <w:p>
      <w:pPr>
        <w:ind w:left="3260"/>
        <w:spacing w:after="0"/>
        <w:rPr>
          <w:sz w:val="20"/>
          <w:szCs w:val="20"/>
          <w:color w:val="auto"/>
        </w:rPr>
      </w:pPr>
      <w:r>
        <w:rPr>
          <w:rFonts w:ascii="Arial" w:cs="Arial" w:eastAsia="Arial" w:hAnsi="Arial"/>
          <w:sz w:val="16"/>
          <w:szCs w:val="16"/>
          <w:color w:val="auto"/>
        </w:rPr>
        <w:t>— Senior Vice President and General Manager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8560" w:type="dxa"/>
            <w:vAlign w:val="bottom"/>
          </w:tcPr>
          <w:p>
            <w:pPr>
              <w:ind w:left="260"/>
              <w:spacing w:after="0"/>
              <w:rPr>
                <w:sz w:val="20"/>
                <w:szCs w:val="20"/>
                <w:color w:val="auto"/>
              </w:rPr>
            </w:pPr>
            <w:r>
              <w:rPr>
                <w:rFonts w:ascii="Arial" w:cs="Arial" w:eastAsia="Arial" w:hAnsi="Arial"/>
                <w:sz w:val="16"/>
                <w:szCs w:val="16"/>
                <w:b w:val="1"/>
                <w:bCs w:val="1"/>
                <w:color w:val="465E66"/>
              </w:rPr>
              <w:t>Other Board Experience</w:t>
            </w:r>
          </w:p>
        </w:tc>
        <w:tc>
          <w:tcPr>
            <w:tcW w:w="0" w:type="dxa"/>
            <w:vAlign w:val="bottom"/>
          </w:tcPr>
          <w:p>
            <w:pPr>
              <w:spacing w:after="0"/>
              <w:rPr>
                <w:sz w:val="1"/>
                <w:szCs w:val="1"/>
                <w:color w:val="auto"/>
              </w:rPr>
            </w:pPr>
          </w:p>
        </w:tc>
      </w:tr>
      <w:tr>
        <w:trPr>
          <w:trHeight w:val="223"/>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465E66"/>
              </w:rPr>
              <w:t>Age 56</w:t>
            </w:r>
          </w:p>
        </w:tc>
        <w:tc>
          <w:tcPr>
            <w:tcW w:w="8560" w:type="dxa"/>
            <w:vAlign w:val="bottom"/>
          </w:tcPr>
          <w:p>
            <w:pPr>
              <w:ind w:left="26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Ferric, Inc., 2016 – 2020</w:t>
            </w:r>
          </w:p>
        </w:tc>
        <w:tc>
          <w:tcPr>
            <w:tcW w:w="0" w:type="dxa"/>
            <w:vAlign w:val="bottom"/>
          </w:tcPr>
          <w:p>
            <w:pPr>
              <w:spacing w:after="0"/>
              <w:rPr>
                <w:sz w:val="1"/>
                <w:szCs w:val="1"/>
                <w:color w:val="auto"/>
              </w:rPr>
            </w:pPr>
          </w:p>
        </w:tc>
      </w:tr>
      <w:tr>
        <w:trPr>
          <w:trHeight w:val="114"/>
        </w:trPr>
        <w:tc>
          <w:tcPr>
            <w:tcW w:w="2680" w:type="dxa"/>
            <w:vAlign w:val="bottom"/>
            <w:vMerge w:val="continue"/>
          </w:tcPr>
          <w:p>
            <w:pPr>
              <w:spacing w:after="0"/>
              <w:rPr>
                <w:sz w:val="9"/>
                <w:szCs w:val="9"/>
                <w:color w:val="auto"/>
              </w:rPr>
            </w:pPr>
          </w:p>
        </w:tc>
        <w:tc>
          <w:tcPr>
            <w:tcW w:w="8560" w:type="dxa"/>
            <w:vAlign w:val="bottom"/>
            <w:vMerge w:val="restart"/>
          </w:tcPr>
          <w:p>
            <w:pPr>
              <w:ind w:left="260"/>
              <w:spacing w:after="0"/>
              <w:rPr>
                <w:sz w:val="20"/>
                <w:szCs w:val="20"/>
                <w:color w:val="auto"/>
              </w:rPr>
            </w:pPr>
            <w:r>
              <w:rPr>
                <w:rFonts w:ascii="Arial" w:cs="Arial" w:eastAsia="Arial" w:hAnsi="Arial"/>
                <w:sz w:val="16"/>
                <w:szCs w:val="16"/>
                <w:b w:val="1"/>
                <w:bCs w:val="1"/>
                <w:color w:val="465E66"/>
              </w:rPr>
              <w:t>Relevant Skills and Qualifications</w:t>
            </w:r>
          </w:p>
        </w:tc>
        <w:tc>
          <w:tcPr>
            <w:tcW w:w="0" w:type="dxa"/>
            <w:vAlign w:val="bottom"/>
          </w:tcPr>
          <w:p>
            <w:pPr>
              <w:spacing w:after="0"/>
              <w:rPr>
                <w:sz w:val="1"/>
                <w:szCs w:val="1"/>
                <w:color w:val="auto"/>
              </w:rPr>
            </w:pPr>
          </w:p>
        </w:tc>
      </w:tr>
      <w:tr>
        <w:trPr>
          <w:trHeight w:val="115"/>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465E66"/>
              </w:rPr>
              <w:t>Director since 2020</w:t>
            </w: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vMerge w:val="continue"/>
          </w:tcPr>
          <w:p>
            <w:pPr>
              <w:spacing w:after="0"/>
              <w:rPr>
                <w:sz w:val="8"/>
                <w:szCs w:val="8"/>
                <w:color w:val="auto"/>
              </w:rPr>
            </w:pPr>
          </w:p>
        </w:tc>
        <w:tc>
          <w:tcPr>
            <w:tcW w:w="8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20"/>
              <w:spacing w:after="0"/>
              <w:rPr>
                <w:sz w:val="20"/>
                <w:szCs w:val="20"/>
                <w:color w:val="auto"/>
              </w:rPr>
            </w:pPr>
            <w:r>
              <w:rPr>
                <w:rFonts w:ascii="Arial" w:cs="Arial" w:eastAsia="Arial" w:hAnsi="Arial"/>
                <w:sz w:val="16"/>
                <w:szCs w:val="16"/>
                <w:b w:val="1"/>
                <w:bCs w:val="1"/>
                <w:color w:val="465E66"/>
              </w:rPr>
              <w:t>Other Public Company Boards:</w:t>
            </w:r>
          </w:p>
        </w:tc>
        <w:tc>
          <w:tcPr>
            <w:tcW w:w="8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60"/>
              <w:spacing w:after="0"/>
              <w:rPr>
                <w:sz w:val="20"/>
                <w:szCs w:val="20"/>
                <w:color w:val="auto"/>
              </w:rPr>
            </w:pPr>
            <w:r>
              <w:rPr>
                <w:rFonts w:ascii="Arial" w:cs="Arial" w:eastAsia="Arial" w:hAnsi="Arial"/>
                <w:sz w:val="16"/>
                <w:szCs w:val="16"/>
                <w:color w:val="auto"/>
              </w:rPr>
              <w:t>• Itron, Inc.</w:t>
            </w:r>
          </w:p>
        </w:tc>
        <w:tc>
          <w:tcPr>
            <w:tcW w:w="8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2680" w:type="dxa"/>
            <w:vAlign w:val="bottom"/>
          </w:tcPr>
          <w:p>
            <w:pPr>
              <w:spacing w:after="0"/>
              <w:rPr>
                <w:sz w:val="24"/>
                <w:szCs w:val="24"/>
                <w:color w:val="auto"/>
              </w:rPr>
            </w:pPr>
          </w:p>
        </w:tc>
        <w:tc>
          <w:tcPr>
            <w:tcW w:w="8560" w:type="dxa"/>
            <w:vAlign w:val="bottom"/>
          </w:tcPr>
          <w:p>
            <w:pPr>
              <w:ind w:left="260"/>
              <w:spacing w:after="0"/>
              <w:rPr>
                <w:sz w:val="20"/>
                <w:szCs w:val="20"/>
                <w:color w:val="auto"/>
              </w:rPr>
            </w:pPr>
            <w:r>
              <w:rPr>
                <w:rFonts w:ascii="Arial" w:cs="Arial" w:eastAsia="Arial" w:hAnsi="Arial"/>
                <w:sz w:val="16"/>
                <w:szCs w:val="16"/>
                <w:b w:val="1"/>
                <w:bCs w:val="1"/>
                <w:color w:val="276990"/>
              </w:rPr>
              <w:t xml:space="preserve">■ </w:t>
            </w:r>
            <w:r>
              <w:rPr>
                <w:rFonts w:ascii="Arial" w:cs="Arial" w:eastAsia="Arial" w:hAnsi="Arial"/>
                <w:sz w:val="16"/>
                <w:szCs w:val="16"/>
                <w:color w:val="000000"/>
              </w:rPr>
              <w:t>Experience as chief executive officer of a publicly held technology company</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8560" w:type="dxa"/>
            <w:vAlign w:val="bottom"/>
          </w:tcPr>
          <w:p>
            <w:pPr>
              <w:ind w:left="26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Extensive experience in product management, research and development, supply chain management, business</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6"/>
                <w:szCs w:val="16"/>
                <w:color w:val="auto"/>
              </w:rPr>
              <w:t>development and sales</w:t>
            </w: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8560" w:type="dxa"/>
            <w:vAlign w:val="bottom"/>
          </w:tcPr>
          <w:p>
            <w:pPr>
              <w:ind w:left="26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Significant management experience and relevant knowledge in semiconductor and industrial markets served</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8560" w:type="dxa"/>
            <w:vAlign w:val="bottom"/>
          </w:tcPr>
          <w:p>
            <w:pPr>
              <w:ind w:left="26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Significant mergers and acquisitions and global experience</w:t>
            </w:r>
          </w:p>
        </w:tc>
        <w:tc>
          <w:tcPr>
            <w:tcW w:w="0" w:type="dxa"/>
            <w:vAlign w:val="bottom"/>
          </w:tcPr>
          <w:p>
            <w:pPr>
              <w:spacing w:after="0"/>
              <w:rPr>
                <w:sz w:val="1"/>
                <w:szCs w:val="1"/>
                <w:color w:val="auto"/>
              </w:rPr>
            </w:pPr>
          </w:p>
        </w:tc>
      </w:tr>
      <w:tr>
        <w:trPr>
          <w:trHeight w:val="218"/>
        </w:trPr>
        <w:tc>
          <w:tcPr>
            <w:tcW w:w="26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680" w:type="dxa"/>
            <w:vAlign w:val="bottom"/>
            <w:shd w:val="clear" w:color="auto" w:fill="465E66"/>
          </w:tcPr>
          <w:p>
            <w:pPr>
              <w:spacing w:after="0"/>
              <w:rPr>
                <w:sz w:val="8"/>
                <w:szCs w:val="8"/>
                <w:color w:val="auto"/>
              </w:rPr>
            </w:pPr>
          </w:p>
        </w:tc>
        <w:tc>
          <w:tcPr>
            <w:tcW w:w="8560" w:type="dxa"/>
            <w:vAlign w:val="bottom"/>
            <w:shd w:val="clear" w:color="auto" w:fill="465E66"/>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-1242695</wp:posOffset>
            </wp:positionV>
            <wp:extent cx="3660140"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60140" cy="3003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2" w:name="page13"/>
    <w:bookmarkEnd w:id="12"/>
    <w:p>
      <w:pPr>
        <w:ind w:left="12"/>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713232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ectPr>
          <w:pgSz w:w="11900" w:h="16838" w:orient="portrait"/>
          <w:cols w:equalWidth="0" w:num="1">
            <w:col w:w="10932"/>
          </w:cols>
          <w:pgMar w:left="328" w:top="161" w:right="6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12"/>
        <w:spacing w:after="0"/>
        <w:rPr>
          <w:sz w:val="20"/>
          <w:szCs w:val="20"/>
          <w:color w:val="auto"/>
        </w:rPr>
      </w:pPr>
      <w:r>
        <w:rPr>
          <w:rFonts w:ascii="Arial" w:cs="Arial" w:eastAsia="Arial" w:hAnsi="Arial"/>
          <w:sz w:val="19"/>
          <w:szCs w:val="19"/>
          <w:b w:val="1"/>
          <w:bCs w:val="1"/>
          <w:color w:val="E97D2E"/>
        </w:rPr>
        <w:t>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64770</wp:posOffset>
            </wp:positionV>
            <wp:extent cx="1285875" cy="14573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587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Age 43</w:t>
      </w:r>
    </w:p>
    <w:p>
      <w:pPr>
        <w:spacing w:after="0" w:line="35"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Director since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465E66"/>
        </w:rPr>
        <w:t>Career Highlights</w:t>
      </w:r>
    </w:p>
    <w:p>
      <w:pPr>
        <w:spacing w:after="0" w:line="67" w:lineRule="exact"/>
        <w:rPr>
          <w:sz w:val="20"/>
          <w:szCs w:val="20"/>
          <w:color w:val="auto"/>
        </w:rPr>
      </w:pPr>
    </w:p>
    <w:p>
      <w:pPr>
        <w:ind w:left="145" w:hanging="145"/>
        <w:spacing w:after="0"/>
        <w:tabs>
          <w:tab w:leader="none" w:pos="145" w:val="left"/>
        </w:tabs>
        <w:numPr>
          <w:ilvl w:val="0"/>
          <w:numId w:val="19"/>
        </w:numPr>
        <w:rPr>
          <w:rFonts w:ascii="Arial" w:cs="Arial" w:eastAsia="Arial" w:hAnsi="Arial"/>
          <w:sz w:val="16"/>
          <w:szCs w:val="16"/>
          <w:color w:val="276990"/>
        </w:rPr>
      </w:pPr>
      <w:r>
        <w:rPr>
          <w:rFonts w:ascii="Arial" w:cs="Arial" w:eastAsia="Arial" w:hAnsi="Arial"/>
          <w:sz w:val="16"/>
          <w:szCs w:val="16"/>
          <w:b w:val="1"/>
          <w:bCs w:val="1"/>
          <w:color w:val="auto"/>
        </w:rPr>
        <w:t>ON Semiconductor Corporation, December 2020 – Present</w:t>
      </w:r>
    </w:p>
    <w:p>
      <w:pPr>
        <w:ind w:left="325"/>
        <w:spacing w:after="0"/>
        <w:rPr>
          <w:rFonts w:ascii="Arial" w:cs="Arial" w:eastAsia="Arial" w:hAnsi="Arial"/>
          <w:sz w:val="16"/>
          <w:szCs w:val="16"/>
          <w:color w:val="276990"/>
        </w:rPr>
      </w:pPr>
      <w:r>
        <w:rPr>
          <w:rFonts w:ascii="Arial" w:cs="Arial" w:eastAsia="Arial" w:hAnsi="Arial"/>
          <w:sz w:val="16"/>
          <w:szCs w:val="16"/>
          <w:color w:val="auto"/>
        </w:rPr>
        <w:t>— President, Chief Executive Officer and Director</w:t>
      </w:r>
    </w:p>
    <w:p>
      <w:pPr>
        <w:spacing w:after="0" w:line="205" w:lineRule="exact"/>
        <w:rPr>
          <w:rFonts w:ascii="Arial" w:cs="Arial" w:eastAsia="Arial" w:hAnsi="Arial"/>
          <w:sz w:val="16"/>
          <w:szCs w:val="16"/>
          <w:color w:val="276990"/>
        </w:rPr>
      </w:pPr>
    </w:p>
    <w:p>
      <w:pPr>
        <w:ind w:left="245" w:right="40" w:hanging="245"/>
        <w:spacing w:after="0" w:line="221" w:lineRule="auto"/>
        <w:tabs>
          <w:tab w:leader="none" w:pos="145" w:val="left"/>
        </w:tabs>
        <w:numPr>
          <w:ilvl w:val="0"/>
          <w:numId w:val="19"/>
        </w:numPr>
        <w:rPr>
          <w:rFonts w:ascii="Arial" w:cs="Arial" w:eastAsia="Arial" w:hAnsi="Arial"/>
          <w:sz w:val="16"/>
          <w:szCs w:val="16"/>
          <w:color w:val="276990"/>
        </w:rPr>
      </w:pPr>
      <w:r>
        <w:rPr>
          <w:rFonts w:ascii="Arial" w:cs="Arial" w:eastAsia="Arial" w:hAnsi="Arial"/>
          <w:sz w:val="16"/>
          <w:szCs w:val="16"/>
          <w:b w:val="1"/>
          <w:bCs w:val="1"/>
          <w:color w:val="auto"/>
        </w:rPr>
        <w:t xml:space="preserve">Cypress Semiconductor Corporation </w:t>
      </w:r>
      <w:r>
        <w:rPr>
          <w:rFonts w:ascii="Arial" w:cs="Arial" w:eastAsia="Arial" w:hAnsi="Arial"/>
          <w:sz w:val="16"/>
          <w:szCs w:val="16"/>
          <w:color w:val="auto"/>
        </w:rPr>
        <w:t>(acquired by Infineon Technologies AG) (a semiconductor design and</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company)</w:t>
      </w:r>
      <w:r>
        <w:rPr>
          <w:rFonts w:ascii="Arial" w:cs="Arial" w:eastAsia="Arial" w:hAnsi="Arial"/>
          <w:sz w:val="16"/>
          <w:szCs w:val="16"/>
          <w:b w:val="1"/>
          <w:bCs w:val="1"/>
          <w:color w:val="auto"/>
        </w:rPr>
        <w:t>, 2007 – 2020</w:t>
      </w:r>
    </w:p>
    <w:p>
      <w:pPr>
        <w:spacing w:after="0" w:line="1" w:lineRule="exact"/>
        <w:rPr>
          <w:rFonts w:ascii="Arial" w:cs="Arial" w:eastAsia="Arial" w:hAnsi="Arial"/>
          <w:sz w:val="16"/>
          <w:szCs w:val="16"/>
          <w:color w:val="276990"/>
        </w:rPr>
      </w:pPr>
    </w:p>
    <w:p>
      <w:pPr>
        <w:ind w:left="325"/>
        <w:spacing w:after="0" w:line="211" w:lineRule="auto"/>
        <w:rPr>
          <w:rFonts w:ascii="Arial" w:cs="Arial" w:eastAsia="Arial" w:hAnsi="Arial"/>
          <w:sz w:val="16"/>
          <w:szCs w:val="16"/>
          <w:color w:val="276990"/>
        </w:rPr>
      </w:pPr>
      <w:r>
        <w:rPr>
          <w:rFonts w:ascii="Arial" w:cs="Arial" w:eastAsia="Arial" w:hAnsi="Arial"/>
          <w:sz w:val="16"/>
          <w:szCs w:val="16"/>
          <w:color w:val="auto"/>
        </w:rPr>
        <w:t>— President, Chief Executive Officer and Director, 2016 – 2020</w:t>
      </w:r>
    </w:p>
    <w:p>
      <w:pPr>
        <w:ind w:left="325"/>
        <w:spacing w:after="0" w:line="211" w:lineRule="auto"/>
        <w:rPr>
          <w:rFonts w:ascii="Arial" w:cs="Arial" w:eastAsia="Arial" w:hAnsi="Arial"/>
          <w:sz w:val="16"/>
          <w:szCs w:val="16"/>
          <w:color w:val="276990"/>
        </w:rPr>
      </w:pPr>
      <w:r>
        <w:rPr>
          <w:rFonts w:ascii="Arial" w:cs="Arial" w:eastAsia="Arial" w:hAnsi="Arial"/>
          <w:sz w:val="16"/>
          <w:szCs w:val="16"/>
          <w:color w:val="auto"/>
        </w:rPr>
        <w:t>— Executive Vice President, Programmable Systems Division, 2012 – 2016</w:t>
      </w:r>
    </w:p>
    <w:p>
      <w:pPr>
        <w:ind w:left="325"/>
        <w:spacing w:after="0" w:line="211" w:lineRule="auto"/>
        <w:rPr>
          <w:rFonts w:ascii="Arial" w:cs="Arial" w:eastAsia="Arial" w:hAnsi="Arial"/>
          <w:sz w:val="16"/>
          <w:szCs w:val="16"/>
          <w:color w:val="276990"/>
        </w:rPr>
      </w:pPr>
      <w:r>
        <w:rPr>
          <w:rFonts w:ascii="Arial" w:cs="Arial" w:eastAsia="Arial" w:hAnsi="Arial"/>
          <w:sz w:val="16"/>
          <w:szCs w:val="16"/>
          <w:color w:val="auto"/>
        </w:rPr>
        <w:t>— Senior Director of Automotive Business Unit, 2010 – 2012</w:t>
      </w:r>
    </w:p>
    <w:p>
      <w:pPr>
        <w:ind w:left="325"/>
        <w:spacing w:after="0" w:line="211" w:lineRule="auto"/>
        <w:rPr>
          <w:rFonts w:ascii="Arial" w:cs="Arial" w:eastAsia="Arial" w:hAnsi="Arial"/>
          <w:sz w:val="16"/>
          <w:szCs w:val="16"/>
          <w:color w:val="276990"/>
        </w:rPr>
      </w:pPr>
      <w:r>
        <w:rPr>
          <w:rFonts w:ascii="Arial" w:cs="Arial" w:eastAsia="Arial" w:hAnsi="Arial"/>
          <w:sz w:val="16"/>
          <w:szCs w:val="16"/>
          <w:color w:val="auto"/>
        </w:rPr>
        <w:t>— Senior Business Development Manager, 2008 – 2010</w:t>
      </w:r>
    </w:p>
    <w:p>
      <w:pPr>
        <w:ind w:left="325"/>
        <w:spacing w:after="0"/>
        <w:rPr>
          <w:rFonts w:ascii="Arial" w:cs="Arial" w:eastAsia="Arial" w:hAnsi="Arial"/>
          <w:sz w:val="16"/>
          <w:szCs w:val="16"/>
          <w:color w:val="276990"/>
        </w:rPr>
      </w:pPr>
      <w:r>
        <w:rPr>
          <w:rFonts w:ascii="Arial" w:cs="Arial" w:eastAsia="Arial" w:hAnsi="Arial"/>
          <w:sz w:val="16"/>
          <w:szCs w:val="16"/>
          <w:color w:val="auto"/>
        </w:rPr>
        <w:t>— Staff Application Engineer, 2007 – 2008</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465E66"/>
        </w:rPr>
        <w:t>Other Board Experience</w:t>
      </w:r>
    </w:p>
    <w:p>
      <w:pPr>
        <w:ind w:left="145" w:hanging="145"/>
        <w:spacing w:after="0"/>
        <w:tabs>
          <w:tab w:leader="none" w:pos="145" w:val="left"/>
        </w:tabs>
        <w:numPr>
          <w:ilvl w:val="0"/>
          <w:numId w:val="20"/>
        </w:numPr>
        <w:rPr>
          <w:rFonts w:ascii="Arial" w:cs="Arial" w:eastAsia="Arial" w:hAnsi="Arial"/>
          <w:sz w:val="16"/>
          <w:szCs w:val="16"/>
          <w:color w:val="276990"/>
        </w:rPr>
      </w:pPr>
      <w:r>
        <w:rPr>
          <w:rFonts w:ascii="Arial" w:cs="Arial" w:eastAsia="Arial" w:hAnsi="Arial"/>
          <w:sz w:val="16"/>
          <w:szCs w:val="16"/>
          <w:b w:val="1"/>
          <w:bCs w:val="1"/>
          <w:color w:val="auto"/>
        </w:rPr>
        <w:t>Leia, Inc.</w:t>
      </w:r>
    </w:p>
    <w:p>
      <w:pPr>
        <w:spacing w:after="0" w:line="205" w:lineRule="exact"/>
        <w:rPr>
          <w:rFonts w:ascii="Arial" w:cs="Arial" w:eastAsia="Arial" w:hAnsi="Arial"/>
          <w:sz w:val="16"/>
          <w:szCs w:val="16"/>
          <w:color w:val="276990"/>
        </w:rPr>
      </w:pPr>
    </w:p>
    <w:p>
      <w:pPr>
        <w:ind w:left="5" w:right="4920" w:hanging="5"/>
        <w:spacing w:after="0" w:line="349" w:lineRule="auto"/>
        <w:tabs>
          <w:tab w:leader="none" w:pos="148" w:val="left"/>
        </w:tabs>
        <w:numPr>
          <w:ilvl w:val="0"/>
          <w:numId w:val="20"/>
        </w:numPr>
        <w:rPr>
          <w:rFonts w:ascii="Arial" w:cs="Arial" w:eastAsia="Arial" w:hAnsi="Arial"/>
          <w:sz w:val="16"/>
          <w:szCs w:val="16"/>
          <w:color w:val="276990"/>
        </w:rPr>
      </w:pPr>
      <w:r>
        <w:rPr>
          <w:rFonts w:ascii="Arial" w:cs="Arial" w:eastAsia="Arial" w:hAnsi="Arial"/>
          <w:sz w:val="16"/>
          <w:szCs w:val="16"/>
          <w:b w:val="1"/>
          <w:bCs w:val="1"/>
          <w:color w:val="auto"/>
        </w:rPr>
        <w:t xml:space="preserve">Sakuú Corporation, 2020 – March 2023 </w:t>
      </w: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468884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8884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12" w:space="695"/>
            <w:col w:w="8025"/>
          </w:cols>
          <w:pgMar w:left="328" w:top="161" w:right="639" w:bottom="1440" w:gutter="0" w:footer="0" w:header="0"/>
          <w:type w:val="continuous"/>
        </w:sectPr>
      </w:pPr>
    </w:p>
    <w:p>
      <w:pPr>
        <w:spacing w:after="0" w:line="358" w:lineRule="exact"/>
        <w:rPr>
          <w:sz w:val="20"/>
          <w:szCs w:val="20"/>
          <w:color w:val="auto"/>
        </w:rPr>
      </w:pPr>
    </w:p>
    <w:p>
      <w:pPr>
        <w:ind w:left="2752" w:right="2220"/>
        <w:spacing w:after="0" w:line="283" w:lineRule="auto"/>
        <w:rPr>
          <w:sz w:val="20"/>
          <w:szCs w:val="20"/>
          <w:color w:val="auto"/>
        </w:rPr>
      </w:pPr>
      <w:r>
        <w:rPr>
          <w:rFonts w:ascii="Arial" w:cs="Arial" w:eastAsia="Arial" w:hAnsi="Arial"/>
          <w:sz w:val="16"/>
          <w:szCs w:val="16"/>
          <w:b w:val="1"/>
          <w:bCs w:val="1"/>
          <w:color w:val="276990"/>
        </w:rPr>
        <w:t xml:space="preserve">■ ■ </w:t>
      </w:r>
      <w:r>
        <w:rPr>
          <w:rFonts w:ascii="Arial" w:cs="Arial" w:eastAsia="Arial" w:hAnsi="Arial"/>
          <w:sz w:val="16"/>
          <w:szCs w:val="16"/>
          <w:color w:val="000000"/>
        </w:rPr>
        <w:t>Experience as chief executive officer of a publicly held semiconductor company</w:t>
      </w:r>
      <w:r>
        <w:rPr>
          <w:rFonts w:ascii="Arial" w:cs="Arial" w:eastAsia="Arial" w:hAnsi="Arial"/>
          <w:sz w:val="16"/>
          <w:szCs w:val="16"/>
          <w:b w:val="1"/>
          <w:bCs w:val="1"/>
          <w:color w:val="276990"/>
        </w:rPr>
        <w:t xml:space="preserve"> </w:t>
      </w:r>
      <w:r>
        <w:rPr>
          <w:rFonts w:ascii="Arial" w:cs="Arial" w:eastAsia="Arial" w:hAnsi="Arial"/>
          <w:sz w:val="16"/>
          <w:szCs w:val="16"/>
          <w:color w:val="276990"/>
        </w:rPr>
        <w:t xml:space="preserve">■ </w:t>
      </w:r>
      <w:r>
        <w:rPr>
          <w:rFonts w:ascii="Arial" w:cs="Arial" w:eastAsia="Arial" w:hAnsi="Arial"/>
          <w:sz w:val="16"/>
          <w:szCs w:val="16"/>
          <w:b w:val="1"/>
          <w:bCs w:val="1"/>
          <w:color w:val="276990"/>
        </w:rPr>
        <w:t>■</w:t>
      </w:r>
      <w:r>
        <w:rPr>
          <w:rFonts w:ascii="Arial" w:cs="Arial" w:eastAsia="Arial" w:hAnsi="Arial"/>
          <w:sz w:val="16"/>
          <w:szCs w:val="16"/>
          <w:color w:val="276990"/>
        </w:rPr>
        <w:t xml:space="preserve"> </w:t>
      </w:r>
      <w:r>
        <w:rPr>
          <w:rFonts w:ascii="Arial" w:cs="Arial" w:eastAsia="Arial" w:hAnsi="Arial"/>
          <w:sz w:val="16"/>
          <w:szCs w:val="16"/>
          <w:color w:val="000000"/>
        </w:rPr>
        <w:t>Extensive experience in the semiconductor and automotive industries</w:t>
      </w:r>
    </w:p>
    <w:p>
      <w:pPr>
        <w:spacing w:after="0" w:line="1" w:lineRule="exact"/>
        <w:rPr>
          <w:sz w:val="20"/>
          <w:szCs w:val="20"/>
          <w:color w:val="auto"/>
        </w:rPr>
      </w:pPr>
    </w:p>
    <w:p>
      <w:pPr>
        <w:ind w:left="2752"/>
        <w:spacing w:after="0"/>
        <w:rPr>
          <w:sz w:val="20"/>
          <w:szCs w:val="20"/>
          <w:color w:val="auto"/>
        </w:rPr>
      </w:pPr>
      <w:r>
        <w:rPr>
          <w:rFonts w:ascii="Arial" w:cs="Arial" w:eastAsia="Arial" w:hAnsi="Arial"/>
          <w:sz w:val="16"/>
          <w:szCs w:val="16"/>
          <w:b w:val="1"/>
          <w:bCs w:val="1"/>
          <w:color w:val="276990"/>
        </w:rPr>
        <w:t xml:space="preserve">■ ■ </w:t>
      </w:r>
      <w:r>
        <w:rPr>
          <w:rFonts w:ascii="Arial" w:cs="Arial" w:eastAsia="Arial" w:hAnsi="Arial"/>
          <w:sz w:val="16"/>
          <w:szCs w:val="16"/>
          <w:color w:val="000000"/>
        </w:rPr>
        <w:t>Significant management and product development experience</w:t>
      </w:r>
    </w:p>
    <w:p>
      <w:pPr>
        <w:spacing w:after="0" w:line="23" w:lineRule="exact"/>
        <w:rPr>
          <w:sz w:val="20"/>
          <w:szCs w:val="20"/>
          <w:color w:val="auto"/>
        </w:rPr>
      </w:pPr>
    </w:p>
    <w:p>
      <w:pPr>
        <w:ind w:left="2752"/>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276990"/>
        </w:rPr>
        <w:t>■</w:t>
      </w:r>
      <w:r>
        <w:rPr>
          <w:rFonts w:ascii="Arial" w:cs="Arial" w:eastAsia="Arial" w:hAnsi="Arial"/>
          <w:sz w:val="16"/>
          <w:szCs w:val="16"/>
          <w:color w:val="276990"/>
        </w:rPr>
        <w:t xml:space="preserve"> </w:t>
      </w:r>
      <w:r>
        <w:rPr>
          <w:rFonts w:ascii="Arial" w:cs="Arial" w:eastAsia="Arial" w:hAnsi="Arial"/>
          <w:sz w:val="16"/>
          <w:szCs w:val="16"/>
          <w:color w:val="000000"/>
        </w:rPr>
        <w:t>Significant mergers and acquisitions and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09803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68580"/>
                    </a:xfrm>
                    <a:prstGeom prst="rect">
                      <a:avLst/>
                    </a:prstGeom>
                    <a:noFill/>
                  </pic:spPr>
                </pic:pic>
              </a:graphicData>
            </a:graphic>
          </wp:anchor>
        </w:drawing>
      </w:r>
    </w:p>
    <w:p>
      <w:pPr>
        <w:spacing w:after="0" w:line="266"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E97D2E"/>
        </w:rPr>
        <w:t>BRUCE E. KIDDOO</w:t>
      </w:r>
    </w:p>
    <w:p>
      <w:pPr>
        <w:spacing w:after="0" w:line="77" w:lineRule="exact"/>
        <w:rPr>
          <w:sz w:val="20"/>
          <w:szCs w:val="20"/>
          <w:color w:val="auto"/>
        </w:rPr>
      </w:pPr>
    </w:p>
    <w:p>
      <w:pPr>
        <w:ind w:left="2932"/>
        <w:spacing w:after="0"/>
        <w:rPr>
          <w:sz w:val="20"/>
          <w:szCs w:val="20"/>
          <w:color w:val="auto"/>
        </w:rPr>
      </w:pPr>
      <w:r>
        <w:rPr>
          <w:rFonts w:ascii="Arial" w:cs="Arial" w:eastAsia="Arial" w:hAnsi="Arial"/>
          <w:sz w:val="16"/>
          <w:szCs w:val="16"/>
          <w:b w:val="1"/>
          <w:bCs w:val="1"/>
          <w:color w:val="465E66"/>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-107315</wp:posOffset>
            </wp:positionV>
            <wp:extent cx="1294130" cy="1448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94130" cy="1448435"/>
                    </a:xfrm>
                    <a:prstGeom prst="rect">
                      <a:avLst/>
                    </a:prstGeom>
                    <a:noFill/>
                  </pic:spPr>
                </pic:pic>
              </a:graphicData>
            </a:graphic>
          </wp:anchor>
        </w:drawing>
      </w:r>
    </w:p>
    <w:p>
      <w:pPr>
        <w:spacing w:after="0" w:line="47" w:lineRule="exact"/>
        <w:rPr>
          <w:sz w:val="20"/>
          <w:szCs w:val="20"/>
          <w:color w:val="auto"/>
        </w:rPr>
      </w:pPr>
    </w:p>
    <w:p>
      <w:pPr>
        <w:jc w:val="center"/>
        <w:ind w:left="216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Maxim Integrated Products, Inc.</w:t>
      </w:r>
      <w:r>
        <w:rPr>
          <w:rFonts w:ascii="Arial" w:cs="Arial" w:eastAsia="Arial" w:hAnsi="Arial"/>
          <w:sz w:val="16"/>
          <w:szCs w:val="16"/>
          <w:color w:val="276990"/>
        </w:rPr>
        <w:t xml:space="preserve"> </w:t>
      </w:r>
      <w:r>
        <w:rPr>
          <w:rFonts w:ascii="Arial" w:cs="Arial" w:eastAsia="Arial" w:hAnsi="Arial"/>
          <w:sz w:val="16"/>
          <w:szCs w:val="16"/>
          <w:color w:val="000000"/>
        </w:rPr>
        <w:t>(a semiconductor design and manufacturing company)</w:t>
      </w:r>
      <w:r>
        <w:rPr>
          <w:rFonts w:ascii="Arial" w:cs="Arial" w:eastAsia="Arial" w:hAnsi="Arial"/>
          <w:sz w:val="16"/>
          <w:szCs w:val="16"/>
          <w:b w:val="1"/>
          <w:bCs w:val="1"/>
          <w:color w:val="000000"/>
        </w:rPr>
        <w:t>, 2007 – 2019</w:t>
      </w:r>
    </w:p>
    <w:p>
      <w:pPr>
        <w:ind w:left="3252"/>
        <w:spacing w:after="0"/>
        <w:rPr>
          <w:sz w:val="20"/>
          <w:szCs w:val="20"/>
          <w:color w:val="auto"/>
        </w:rPr>
      </w:pPr>
      <w:r>
        <w:rPr>
          <w:rFonts w:ascii="Arial" w:cs="Arial" w:eastAsia="Arial" w:hAnsi="Arial"/>
          <w:sz w:val="16"/>
          <w:szCs w:val="16"/>
          <w:color w:val="auto"/>
        </w:rPr>
        <w:t>— Chief Financial Officer</w:t>
      </w:r>
    </w:p>
    <w:p>
      <w:pPr>
        <w:spacing w:after="0" w:line="184"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8720" w:type="dxa"/>
            <w:vAlign w:val="bottom"/>
          </w:tcPr>
          <w:p>
            <w:pPr>
              <w:ind w:left="7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Broadcom Corporation, 1999 – 2007</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720" w:type="dxa"/>
            <w:vAlign w:val="bottom"/>
          </w:tcPr>
          <w:p>
            <w:pPr>
              <w:ind w:left="1040"/>
              <w:spacing w:after="0" w:line="162" w:lineRule="exact"/>
              <w:rPr>
                <w:sz w:val="20"/>
                <w:szCs w:val="20"/>
                <w:color w:val="auto"/>
              </w:rPr>
            </w:pPr>
            <w:r>
              <w:rPr>
                <w:rFonts w:ascii="Arial" w:cs="Arial" w:eastAsia="Arial" w:hAnsi="Arial"/>
                <w:sz w:val="16"/>
                <w:szCs w:val="16"/>
                <w:color w:val="auto"/>
              </w:rPr>
              <w:t>— Vice President and Acting Chief Financial Officer, 2006 – 2007</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720" w:type="dxa"/>
            <w:vAlign w:val="bottom"/>
          </w:tcPr>
          <w:p>
            <w:pPr>
              <w:ind w:left="1040"/>
              <w:spacing w:after="0" w:line="162" w:lineRule="exact"/>
              <w:rPr>
                <w:sz w:val="20"/>
                <w:szCs w:val="20"/>
                <w:color w:val="auto"/>
              </w:rPr>
            </w:pPr>
            <w:r>
              <w:rPr>
                <w:rFonts w:ascii="Arial" w:cs="Arial" w:eastAsia="Arial" w:hAnsi="Arial"/>
                <w:sz w:val="16"/>
                <w:szCs w:val="16"/>
                <w:color w:val="auto"/>
              </w:rPr>
              <w:t>— Vice President, Finance and Corporate Controller</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8720" w:type="dxa"/>
            <w:vAlign w:val="bottom"/>
          </w:tcPr>
          <w:p>
            <w:pPr>
              <w:ind w:left="1040"/>
              <w:spacing w:after="0"/>
              <w:rPr>
                <w:sz w:val="20"/>
                <w:szCs w:val="20"/>
                <w:color w:val="auto"/>
              </w:rPr>
            </w:pPr>
            <w:r>
              <w:rPr>
                <w:rFonts w:ascii="Arial" w:cs="Arial" w:eastAsia="Arial" w:hAnsi="Arial"/>
                <w:sz w:val="16"/>
                <w:szCs w:val="16"/>
                <w:color w:val="auto"/>
              </w:rPr>
              <w:t>— Controller, Broadband Communications</w:t>
            </w:r>
          </w:p>
        </w:tc>
        <w:tc>
          <w:tcPr>
            <w:tcW w:w="0" w:type="dxa"/>
            <w:vAlign w:val="bottom"/>
          </w:tcPr>
          <w:p>
            <w:pPr>
              <w:spacing w:after="0"/>
              <w:rPr>
                <w:sz w:val="1"/>
                <w:szCs w:val="1"/>
                <w:color w:val="auto"/>
              </w:rPr>
            </w:pPr>
          </w:p>
        </w:tc>
      </w:tr>
      <w:tr>
        <w:trPr>
          <w:trHeight w:val="838"/>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465E66"/>
              </w:rPr>
              <w:t>Age 62</w:t>
            </w:r>
          </w:p>
        </w:tc>
        <w:tc>
          <w:tcPr>
            <w:tcW w:w="8720" w:type="dxa"/>
            <w:vAlign w:val="bottom"/>
          </w:tcPr>
          <w:p>
            <w:pPr>
              <w:ind w:left="720"/>
              <w:spacing w:after="0"/>
              <w:rPr>
                <w:sz w:val="20"/>
                <w:szCs w:val="20"/>
                <w:color w:val="auto"/>
              </w:rPr>
            </w:pPr>
            <w:r>
              <w:rPr>
                <w:rFonts w:ascii="Arial" w:cs="Arial" w:eastAsia="Arial" w:hAnsi="Arial"/>
                <w:sz w:val="16"/>
                <w:szCs w:val="16"/>
                <w:b w:val="1"/>
                <w:bCs w:val="1"/>
                <w:color w:val="465E66"/>
              </w:rPr>
              <w:t>Other Board Experience</w:t>
            </w:r>
          </w:p>
        </w:tc>
        <w:tc>
          <w:tcPr>
            <w:tcW w:w="0" w:type="dxa"/>
            <w:vAlign w:val="bottom"/>
          </w:tcPr>
          <w:p>
            <w:pPr>
              <w:spacing w:after="0"/>
              <w:rPr>
                <w:sz w:val="1"/>
                <w:szCs w:val="1"/>
                <w:color w:val="auto"/>
              </w:rPr>
            </w:pPr>
          </w:p>
        </w:tc>
      </w:tr>
      <w:tr>
        <w:trPr>
          <w:trHeight w:val="215"/>
        </w:trPr>
        <w:tc>
          <w:tcPr>
            <w:tcW w:w="2200" w:type="dxa"/>
            <w:vAlign w:val="bottom"/>
            <w:vMerge w:val="continue"/>
          </w:tcPr>
          <w:p>
            <w:pPr>
              <w:spacing w:after="0"/>
              <w:rPr>
                <w:sz w:val="18"/>
                <w:szCs w:val="18"/>
                <w:color w:val="auto"/>
              </w:rPr>
            </w:pPr>
          </w:p>
        </w:tc>
        <w:tc>
          <w:tcPr>
            <w:tcW w:w="8720" w:type="dxa"/>
            <w:vAlign w:val="bottom"/>
          </w:tcPr>
          <w:p>
            <w:pPr>
              <w:ind w:left="7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San Onofre Parks Foundation</w:t>
            </w: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6"/>
                <w:szCs w:val="16"/>
                <w:b w:val="1"/>
                <w:bCs w:val="1"/>
                <w:color w:val="465E66"/>
              </w:rPr>
              <w:t>Director since 2020</w:t>
            </w:r>
          </w:p>
        </w:tc>
        <w:tc>
          <w:tcPr>
            <w:tcW w:w="8720" w:type="dxa"/>
            <w:vAlign w:val="bottom"/>
          </w:tcPr>
          <w:p>
            <w:pPr>
              <w:ind w:left="720"/>
              <w:spacing w:after="0"/>
              <w:rPr>
                <w:sz w:val="20"/>
                <w:szCs w:val="20"/>
                <w:color w:val="auto"/>
              </w:rPr>
            </w:pPr>
            <w:r>
              <w:rPr>
                <w:rFonts w:ascii="Arial" w:cs="Arial" w:eastAsia="Arial" w:hAnsi="Arial"/>
                <w:sz w:val="16"/>
                <w:szCs w:val="16"/>
                <w:b w:val="1"/>
                <w:bCs w:val="1"/>
                <w:color w:val="465E66"/>
              </w:rPr>
              <w:t>Relevant Skills and Qualifications</w:t>
            </w:r>
          </w:p>
        </w:tc>
        <w:tc>
          <w:tcPr>
            <w:tcW w:w="0" w:type="dxa"/>
            <w:vAlign w:val="bottom"/>
          </w:tcPr>
          <w:p>
            <w:pPr>
              <w:spacing w:after="0"/>
              <w:rPr>
                <w:sz w:val="1"/>
                <w:szCs w:val="1"/>
                <w:color w:val="auto"/>
              </w:rPr>
            </w:pPr>
          </w:p>
        </w:tc>
      </w:tr>
      <w:tr>
        <w:trPr>
          <w:trHeight w:val="844"/>
        </w:trPr>
        <w:tc>
          <w:tcPr>
            <w:tcW w:w="2200" w:type="dxa"/>
            <w:vAlign w:val="bottom"/>
          </w:tcPr>
          <w:p>
            <w:pPr>
              <w:spacing w:after="0"/>
              <w:rPr>
                <w:sz w:val="24"/>
                <w:szCs w:val="24"/>
                <w:color w:val="auto"/>
              </w:rPr>
            </w:pPr>
          </w:p>
        </w:tc>
        <w:tc>
          <w:tcPr>
            <w:tcW w:w="8720" w:type="dxa"/>
            <w:vAlign w:val="bottom"/>
          </w:tcPr>
          <w:p>
            <w:pPr>
              <w:ind w:left="720"/>
              <w:spacing w:after="0"/>
              <w:rPr>
                <w:sz w:val="20"/>
                <w:szCs w:val="20"/>
                <w:color w:val="auto"/>
              </w:rPr>
            </w:pPr>
            <w:r>
              <w:rPr>
                <w:rFonts w:ascii="Arial" w:cs="Arial" w:eastAsia="Arial" w:hAnsi="Arial"/>
                <w:sz w:val="16"/>
                <w:szCs w:val="16"/>
                <w:b w:val="1"/>
                <w:bCs w:val="1"/>
                <w:color w:val="276990"/>
              </w:rPr>
              <w:t xml:space="preserve">■ </w:t>
            </w:r>
            <w:r>
              <w:rPr>
                <w:rFonts w:ascii="Arial" w:cs="Arial" w:eastAsia="Arial" w:hAnsi="Arial"/>
                <w:sz w:val="16"/>
                <w:szCs w:val="16"/>
                <w:color w:val="000000"/>
              </w:rPr>
              <w:t>Extensive experience in the semiconductor industry and with mergers and acquisitions</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8720" w:type="dxa"/>
            <w:vAlign w:val="bottom"/>
          </w:tcPr>
          <w:p>
            <w:pPr>
              <w:ind w:left="7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Experience as chief financial officer of a publicly held semiconductor company</w:t>
            </w:r>
          </w:p>
        </w:tc>
        <w:tc>
          <w:tcPr>
            <w:tcW w:w="0" w:type="dxa"/>
            <w:vAlign w:val="bottom"/>
          </w:tcPr>
          <w:p>
            <w:pPr>
              <w:spacing w:after="0"/>
              <w:rPr>
                <w:sz w:val="1"/>
                <w:szCs w:val="1"/>
                <w:color w:val="auto"/>
              </w:rPr>
            </w:pPr>
          </w:p>
        </w:tc>
      </w:tr>
      <w:tr>
        <w:trPr>
          <w:trHeight w:val="204"/>
        </w:trPr>
        <w:tc>
          <w:tcPr>
            <w:tcW w:w="2200" w:type="dxa"/>
            <w:vAlign w:val="bottom"/>
          </w:tcPr>
          <w:p>
            <w:pPr>
              <w:spacing w:after="0"/>
              <w:rPr>
                <w:sz w:val="17"/>
                <w:szCs w:val="17"/>
                <w:color w:val="auto"/>
              </w:rPr>
            </w:pPr>
          </w:p>
        </w:tc>
        <w:tc>
          <w:tcPr>
            <w:tcW w:w="8720" w:type="dxa"/>
            <w:vAlign w:val="bottom"/>
          </w:tcPr>
          <w:p>
            <w:pPr>
              <w:ind w:left="7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Significant management experience and relevant knowledge of financial statement preparation and regulatory</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8720" w:type="dxa"/>
            <w:vAlign w:val="bottom"/>
          </w:tcPr>
          <w:p>
            <w:pPr>
              <w:ind w:left="880"/>
              <w:spacing w:after="0"/>
              <w:rPr>
                <w:sz w:val="20"/>
                <w:szCs w:val="20"/>
                <w:color w:val="auto"/>
              </w:rPr>
            </w:pPr>
            <w:r>
              <w:rPr>
                <w:rFonts w:ascii="Arial" w:cs="Arial" w:eastAsia="Arial" w:hAnsi="Arial"/>
                <w:sz w:val="16"/>
                <w:szCs w:val="16"/>
                <w:color w:val="auto"/>
              </w:rPr>
              <w:t>compliance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09803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5969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-906780</wp:posOffset>
            </wp:positionV>
            <wp:extent cx="3771900" cy="300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719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2" w:hanging="352"/>
        <w:spacing w:after="0"/>
        <w:tabs>
          <w:tab w:leader="none" w:pos="352" w:val="left"/>
        </w:tabs>
        <w:numPr>
          <w:ilvl w:val="0"/>
          <w:numId w:val="21"/>
        </w:numPr>
        <w:rPr>
          <w:rFonts w:ascii="Arial" w:cs="Arial" w:eastAsia="Arial" w:hAnsi="Arial"/>
          <w:sz w:val="18"/>
          <w:szCs w:val="18"/>
          <w:color w:val="E97D2E"/>
        </w:rPr>
      </w:pPr>
      <w:r>
        <w:rPr>
          <w:rFonts w:ascii="Arial" w:cs="Arial" w:eastAsia="Arial" w:hAnsi="Arial"/>
          <w:sz w:val="18"/>
          <w:szCs w:val="18"/>
          <w:color w:val="E97D2E"/>
        </w:rPr>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161" w:right="639" w:bottom="1440" w:gutter="0" w:footer="0" w:header="0"/>
          <w:type w:val="continuous"/>
        </w:sectPr>
      </w:pPr>
    </w:p>
    <w:bookmarkStart w:id="13" w:name="page14"/>
    <w:bookmarkEnd w:id="13"/>
    <w:p>
      <w:pPr>
        <w:ind w:left="7160"/>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09803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68580"/>
                    </a:xfrm>
                    <a:prstGeom prst="rect">
                      <a:avLst/>
                    </a:prstGeom>
                    <a:noFill/>
                  </pic:spPr>
                </pic:pic>
              </a:graphicData>
            </a:graphic>
          </wp:anchor>
        </w:drawing>
      </w:r>
    </w:p>
    <w:p>
      <w:pPr>
        <w:sectPr>
          <w:pgSz w:w="11900" w:h="16838" w:orient="portrait"/>
          <w:cols w:equalWidth="0" w:num="1">
            <w:col w:w="11220"/>
          </w:cols>
          <w:pgMar w:left="340" w:top="161" w:right="339" w:bottom="1055"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E97D2E"/>
        </w:rPr>
        <w:t>PAUL A. MASCARENAS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57785</wp:posOffset>
            </wp:positionV>
            <wp:extent cx="1200150" cy="1645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Age 61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Director since 2014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Public Company Boards:</w:t>
      </w:r>
    </w:p>
    <w:p>
      <w:pPr>
        <w:spacing w:after="0" w:line="28" w:lineRule="exact"/>
        <w:rPr>
          <w:sz w:val="20"/>
          <w:szCs w:val="20"/>
          <w:color w:val="auto"/>
        </w:rPr>
      </w:pPr>
    </w:p>
    <w:p>
      <w:pPr>
        <w:ind w:left="400" w:hanging="151"/>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Shyft Group</w:t>
      </w:r>
    </w:p>
    <w:p>
      <w:pPr>
        <w:spacing w:after="0" w:line="16" w:lineRule="exact"/>
        <w:rPr>
          <w:rFonts w:ascii="Arial" w:cs="Arial" w:eastAsia="Arial" w:hAnsi="Arial"/>
          <w:sz w:val="16"/>
          <w:szCs w:val="16"/>
          <w:color w:val="auto"/>
        </w:rPr>
      </w:pPr>
    </w:p>
    <w:p>
      <w:pPr>
        <w:ind w:left="400" w:hanging="151"/>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United States Steel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86" w:lineRule="exact"/>
        <w:rPr>
          <w:sz w:val="20"/>
          <w:szCs w:val="20"/>
          <w:color w:val="auto"/>
        </w:rPr>
      </w:pPr>
    </w:p>
    <w:p>
      <w:pPr>
        <w:ind w:left="140" w:hanging="138"/>
        <w:spacing w:after="0"/>
        <w:tabs>
          <w:tab w:leader="none" w:pos="140" w:val="left"/>
        </w:tabs>
        <w:numPr>
          <w:ilvl w:val="0"/>
          <w:numId w:val="23"/>
        </w:numPr>
        <w:rPr>
          <w:rFonts w:ascii="Arial" w:cs="Arial" w:eastAsia="Arial" w:hAnsi="Arial"/>
          <w:sz w:val="16"/>
          <w:szCs w:val="16"/>
          <w:b w:val="1"/>
          <w:bCs w:val="1"/>
          <w:color w:val="276990"/>
        </w:rPr>
      </w:pPr>
      <w:r>
        <w:rPr>
          <w:rFonts w:ascii="Arial" w:cs="Arial" w:eastAsia="Arial" w:hAnsi="Arial"/>
          <w:sz w:val="16"/>
          <w:szCs w:val="16"/>
          <w:b w:val="1"/>
          <w:bCs w:val="1"/>
          <w:color w:val="auto"/>
        </w:rPr>
        <w:t>Ford Motor Company, 1982 – 2014</w:t>
      </w:r>
    </w:p>
    <w:p>
      <w:pPr>
        <w:spacing w:after="0" w:line="38" w:lineRule="exact"/>
        <w:rPr>
          <w:rFonts w:ascii="Arial" w:cs="Arial" w:eastAsia="Arial" w:hAnsi="Arial"/>
          <w:sz w:val="16"/>
          <w:szCs w:val="16"/>
          <w:b w:val="1"/>
          <w:bCs w:val="1"/>
          <w:color w:val="276990"/>
        </w:rPr>
      </w:pPr>
    </w:p>
    <w:p>
      <w:pPr>
        <w:ind w:left="480" w:right="2040" w:hanging="243"/>
        <w:spacing w:after="0" w:line="268" w:lineRule="auto"/>
        <w:rPr>
          <w:rFonts w:ascii="Arial" w:cs="Arial" w:eastAsia="Arial" w:hAnsi="Arial"/>
          <w:sz w:val="16"/>
          <w:szCs w:val="16"/>
          <w:b w:val="1"/>
          <w:bCs w:val="1"/>
          <w:color w:val="276990"/>
        </w:rPr>
      </w:pPr>
      <w:r>
        <w:rPr>
          <w:rFonts w:ascii="Arial" w:cs="Arial" w:eastAsia="Arial" w:hAnsi="Arial"/>
          <w:sz w:val="16"/>
          <w:szCs w:val="16"/>
          <w:color w:val="auto"/>
        </w:rPr>
        <w:t>— Vice President of Research &amp; Advanced Engineering and Chief Technical Officer, 2011 – 2014</w:t>
      </w:r>
    </w:p>
    <w:p>
      <w:pPr>
        <w:ind w:left="240"/>
        <w:spacing w:after="0"/>
        <w:rPr>
          <w:rFonts w:ascii="Arial" w:cs="Arial" w:eastAsia="Arial" w:hAnsi="Arial"/>
          <w:sz w:val="16"/>
          <w:szCs w:val="16"/>
          <w:b w:val="1"/>
          <w:bCs w:val="1"/>
          <w:color w:val="276990"/>
        </w:rPr>
      </w:pPr>
      <w:r>
        <w:rPr>
          <w:rFonts w:ascii="Arial" w:cs="Arial" w:eastAsia="Arial" w:hAnsi="Arial"/>
          <w:sz w:val="16"/>
          <w:szCs w:val="16"/>
          <w:color w:val="auto"/>
        </w:rPr>
        <w:t>— Vice President of Engineering, 2007 – 2011</w:t>
      </w:r>
    </w:p>
    <w:p>
      <w:pPr>
        <w:spacing w:after="0" w:line="30" w:lineRule="exact"/>
        <w:rPr>
          <w:rFonts w:ascii="Arial" w:cs="Arial" w:eastAsia="Arial" w:hAnsi="Arial"/>
          <w:sz w:val="16"/>
          <w:szCs w:val="16"/>
          <w:b w:val="1"/>
          <w:bCs w:val="1"/>
          <w:color w:val="276990"/>
        </w:rPr>
      </w:pPr>
    </w:p>
    <w:p>
      <w:pPr>
        <w:ind w:left="240"/>
        <w:spacing w:after="0"/>
        <w:rPr>
          <w:rFonts w:ascii="Arial" w:cs="Arial" w:eastAsia="Arial" w:hAnsi="Arial"/>
          <w:sz w:val="16"/>
          <w:szCs w:val="16"/>
          <w:b w:val="1"/>
          <w:bCs w:val="1"/>
          <w:color w:val="276990"/>
        </w:rPr>
      </w:pPr>
      <w:r>
        <w:rPr>
          <w:rFonts w:ascii="Arial" w:cs="Arial" w:eastAsia="Arial" w:hAnsi="Arial"/>
          <w:sz w:val="16"/>
          <w:szCs w:val="16"/>
          <w:color w:val="auto"/>
        </w:rPr>
        <w:t>— Vice President, North American Vehicle Programs, 2005 – 2007</w:t>
      </w:r>
    </w:p>
    <w:p>
      <w:pPr>
        <w:spacing w:after="0" w:line="19" w:lineRule="exact"/>
        <w:rPr>
          <w:rFonts w:ascii="Arial" w:cs="Arial" w:eastAsia="Arial" w:hAnsi="Arial"/>
          <w:sz w:val="16"/>
          <w:szCs w:val="16"/>
          <w:b w:val="1"/>
          <w:bCs w:val="1"/>
          <w:color w:val="276990"/>
        </w:rPr>
      </w:pPr>
    </w:p>
    <w:p>
      <w:pPr>
        <w:ind w:left="480" w:right="2220" w:hanging="243"/>
        <w:spacing w:after="0" w:line="321" w:lineRule="auto"/>
        <w:rPr>
          <w:rFonts w:ascii="Arial" w:cs="Arial" w:eastAsia="Arial" w:hAnsi="Arial"/>
          <w:sz w:val="16"/>
          <w:szCs w:val="16"/>
          <w:b w:val="1"/>
          <w:bCs w:val="1"/>
          <w:color w:val="276990"/>
        </w:rPr>
      </w:pPr>
      <w:r>
        <w:rPr>
          <w:rFonts w:ascii="Arial" w:cs="Arial" w:eastAsia="Arial" w:hAnsi="Arial"/>
          <w:sz w:val="16"/>
          <w:szCs w:val="16"/>
          <w:color w:val="auto"/>
        </w:rPr>
        <w:t>— Various positions in product development, program management and business leadership, 1982 – 2005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Board Experience</w:t>
      </w:r>
    </w:p>
    <w:p>
      <w:pPr>
        <w:spacing w:after="0" w:line="39" w:lineRule="exact"/>
        <w:rPr>
          <w:sz w:val="20"/>
          <w:szCs w:val="20"/>
          <w:color w:val="auto"/>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BorgWarner, Inc., 2018 – 2022</w:t>
      </w:r>
    </w:p>
    <w:p>
      <w:pPr>
        <w:spacing w:after="0" w:line="254"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FISITA – The International Federation of Automotive Engineering Societies, 2012 – 2021</w:t>
      </w:r>
    </w:p>
    <w:p>
      <w:pPr>
        <w:spacing w:after="0" w:line="275"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British-American Business Council, Michigan Chapter, 2015 – 2021</w:t>
      </w:r>
    </w:p>
    <w:p>
      <w:pPr>
        <w:spacing w:after="0" w:line="275"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Society of Automotive Engineers International, 2018 – 2021</w:t>
      </w:r>
    </w:p>
    <w:p>
      <w:pPr>
        <w:spacing w:after="0" w:line="261"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Mentor Graphics, 2015 –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55245</wp:posOffset>
            </wp:positionV>
            <wp:extent cx="3000375"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00375"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240"/>
            <w:col w:w="8300"/>
          </w:cols>
          <w:pgMar w:left="340" w:top="161" w:right="339" w:bottom="1055"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3060" w:hanging="138"/>
        <w:spacing w:after="0"/>
        <w:tabs>
          <w:tab w:leader="none" w:pos="3060" w:val="left"/>
        </w:tabs>
        <w:numPr>
          <w:ilvl w:val="0"/>
          <w:numId w:val="25"/>
        </w:numPr>
        <w:rPr>
          <w:rFonts w:ascii="Arial" w:cs="Arial" w:eastAsia="Arial" w:hAnsi="Arial"/>
          <w:sz w:val="16"/>
          <w:szCs w:val="16"/>
          <w:b w:val="1"/>
          <w:bCs w:val="1"/>
          <w:color w:val="276990"/>
        </w:rPr>
      </w:pPr>
      <w:r>
        <w:rPr>
          <w:rFonts w:ascii="Arial" w:cs="Arial" w:eastAsia="Arial" w:hAnsi="Arial"/>
          <w:sz w:val="16"/>
          <w:szCs w:val="16"/>
          <w:color w:val="auto"/>
        </w:rPr>
        <w:t>Extensive experience in technical strategy, planning and research and development</w:t>
      </w:r>
    </w:p>
    <w:p>
      <w:pPr>
        <w:spacing w:after="0" w:line="38" w:lineRule="exact"/>
        <w:rPr>
          <w:rFonts w:ascii="Arial" w:cs="Arial" w:eastAsia="Arial" w:hAnsi="Arial"/>
          <w:sz w:val="16"/>
          <w:szCs w:val="16"/>
          <w:b w:val="1"/>
          <w:bCs w:val="1"/>
          <w:color w:val="276990"/>
        </w:rPr>
      </w:pPr>
    </w:p>
    <w:p>
      <w:pPr>
        <w:ind w:left="3060" w:hanging="138"/>
        <w:spacing w:after="0"/>
        <w:tabs>
          <w:tab w:leader="none" w:pos="3060" w:val="left"/>
        </w:tabs>
        <w:numPr>
          <w:ilvl w:val="0"/>
          <w:numId w:val="25"/>
        </w:numPr>
        <w:rPr>
          <w:rFonts w:ascii="Arial" w:cs="Arial" w:eastAsia="Arial" w:hAnsi="Arial"/>
          <w:sz w:val="16"/>
          <w:szCs w:val="16"/>
          <w:b w:val="1"/>
          <w:bCs w:val="1"/>
          <w:color w:val="276990"/>
        </w:rPr>
      </w:pPr>
      <w:r>
        <w:rPr>
          <w:rFonts w:ascii="Arial" w:cs="Arial" w:eastAsia="Arial" w:hAnsi="Arial"/>
          <w:sz w:val="16"/>
          <w:szCs w:val="16"/>
          <w:color w:val="auto"/>
        </w:rPr>
        <w:t>Leadership and strategic planning expertise in automotive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098030" cy="60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60325"/>
                    </a:xfrm>
                    <a:prstGeom prst="rect">
                      <a:avLst/>
                    </a:prstGeom>
                    <a:noFill/>
                  </pic:spPr>
                </pic:pic>
              </a:graphicData>
            </a:graphic>
          </wp:anchor>
        </w:drawing>
      </w:r>
    </w:p>
    <w:p>
      <w:pPr>
        <w:sectPr>
          <w:pgSz w:w="11900" w:h="16838" w:orient="portrait"/>
          <w:cols w:equalWidth="0" w:num="1">
            <w:col w:w="11220"/>
          </w:cols>
          <w:pgMar w:left="340" w:top="161" w:right="339" w:bottom="1055" w:gutter="0" w:footer="0" w:header="0"/>
          <w:type w:val="continuous"/>
        </w:sect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E97D2E"/>
        </w:rPr>
        <w:t>GREGORY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57785</wp:posOffset>
            </wp:positionV>
            <wp:extent cx="994410" cy="1499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9441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Age 62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Director since 2020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Public Company Boards:</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Cyxtera Technologies,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39" w:lineRule="exact"/>
        <w:rPr>
          <w:sz w:val="20"/>
          <w:szCs w:val="20"/>
          <w:color w:val="auto"/>
        </w:rPr>
      </w:pPr>
    </w:p>
    <w:p>
      <w:pPr>
        <w:ind w:left="140" w:hanging="138"/>
        <w:spacing w:after="0"/>
        <w:tabs>
          <w:tab w:leader="none" w:pos="140" w:val="left"/>
        </w:tabs>
        <w:numPr>
          <w:ilvl w:val="0"/>
          <w:numId w:val="26"/>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MatrixSpace, Inc. </w:t>
      </w:r>
      <w:r>
        <w:rPr>
          <w:rFonts w:ascii="Arial" w:cs="Arial" w:eastAsia="Arial" w:hAnsi="Arial"/>
          <w:sz w:val="16"/>
          <w:szCs w:val="16"/>
          <w:color w:val="auto"/>
        </w:rPr>
        <w:t>(an artificial intelligence software company)</w:t>
      </w:r>
      <w:r>
        <w:rPr>
          <w:rFonts w:ascii="Arial" w:cs="Arial" w:eastAsia="Arial" w:hAnsi="Arial"/>
          <w:sz w:val="16"/>
          <w:szCs w:val="16"/>
          <w:b w:val="1"/>
          <w:bCs w:val="1"/>
          <w:color w:val="auto"/>
        </w:rPr>
        <w:t>, 2019 – Present</w:t>
      </w:r>
    </w:p>
    <w:p>
      <w:pPr>
        <w:spacing w:after="0" w:line="27" w:lineRule="exact"/>
        <w:rPr>
          <w:rFonts w:ascii="Arial" w:cs="Arial" w:eastAsia="Arial" w:hAnsi="Arial"/>
          <w:sz w:val="16"/>
          <w:szCs w:val="16"/>
          <w:b w:val="1"/>
          <w:bCs w:val="1"/>
          <w:color w:val="276990"/>
        </w:rPr>
      </w:pPr>
    </w:p>
    <w:p>
      <w:pPr>
        <w:ind w:left="320"/>
        <w:spacing w:after="0"/>
        <w:rPr>
          <w:rFonts w:ascii="Arial" w:cs="Arial" w:eastAsia="Arial" w:hAnsi="Arial"/>
          <w:sz w:val="16"/>
          <w:szCs w:val="16"/>
          <w:b w:val="1"/>
          <w:bCs w:val="1"/>
          <w:color w:val="276990"/>
        </w:rPr>
      </w:pPr>
      <w:r>
        <w:rPr>
          <w:rFonts w:ascii="Arial" w:cs="Arial" w:eastAsia="Arial" w:hAnsi="Arial"/>
          <w:sz w:val="16"/>
          <w:szCs w:val="16"/>
          <w:color w:val="auto"/>
        </w:rPr>
        <w:t>— Founder</w:t>
      </w:r>
    </w:p>
    <w:p>
      <w:pPr>
        <w:spacing w:after="0" w:line="259" w:lineRule="exact"/>
        <w:rPr>
          <w:rFonts w:ascii="Arial" w:cs="Arial" w:eastAsia="Arial" w:hAnsi="Arial"/>
          <w:sz w:val="16"/>
          <w:szCs w:val="16"/>
          <w:b w:val="1"/>
          <w:bCs w:val="1"/>
          <w:color w:val="276990"/>
        </w:rPr>
      </w:pPr>
    </w:p>
    <w:p>
      <w:pPr>
        <w:ind w:left="160" w:right="720" w:hanging="158"/>
        <w:spacing w:after="0" w:line="277" w:lineRule="auto"/>
        <w:tabs>
          <w:tab w:leader="none" w:pos="141" w:val="left"/>
        </w:tabs>
        <w:numPr>
          <w:ilvl w:val="0"/>
          <w:numId w:val="26"/>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Integrated Device Technology, Inc. </w:t>
      </w:r>
      <w:r>
        <w:rPr>
          <w:rFonts w:ascii="Arial" w:cs="Arial" w:eastAsia="Arial" w:hAnsi="Arial"/>
          <w:sz w:val="16"/>
          <w:szCs w:val="16"/>
          <w:color w:val="auto"/>
        </w:rPr>
        <w:t>(a semiconductor design and manufacturing company acquired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Renesas Electronics Corporation)</w:t>
      </w:r>
      <w:r>
        <w:rPr>
          <w:rFonts w:ascii="Arial" w:cs="Arial" w:eastAsia="Arial" w:hAnsi="Arial"/>
          <w:sz w:val="16"/>
          <w:szCs w:val="16"/>
          <w:b w:val="1"/>
          <w:bCs w:val="1"/>
          <w:color w:val="auto"/>
        </w:rPr>
        <w:t>, 2014 – 2019</w:t>
      </w:r>
    </w:p>
    <w:p>
      <w:pPr>
        <w:ind w:left="320"/>
        <w:spacing w:after="0"/>
        <w:rPr>
          <w:rFonts w:ascii="Arial" w:cs="Arial" w:eastAsia="Arial" w:hAnsi="Arial"/>
          <w:sz w:val="16"/>
          <w:szCs w:val="16"/>
          <w:b w:val="1"/>
          <w:bCs w:val="1"/>
          <w:color w:val="276990"/>
        </w:rPr>
      </w:pPr>
      <w:r>
        <w:rPr>
          <w:rFonts w:ascii="Arial" w:cs="Arial" w:eastAsia="Arial" w:hAnsi="Arial"/>
          <w:sz w:val="16"/>
          <w:szCs w:val="16"/>
          <w:color w:val="auto"/>
        </w:rPr>
        <w:t>— President, Chief Executive Officer and Director</w:t>
      </w:r>
    </w:p>
    <w:p>
      <w:pPr>
        <w:spacing w:after="0" w:line="268"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6"/>
        </w:numPr>
        <w:rPr>
          <w:rFonts w:ascii="Arial" w:cs="Arial" w:eastAsia="Arial" w:hAnsi="Arial"/>
          <w:sz w:val="16"/>
          <w:szCs w:val="16"/>
          <w:b w:val="1"/>
          <w:bCs w:val="1"/>
          <w:color w:val="276990"/>
        </w:rPr>
      </w:pPr>
      <w:r>
        <w:rPr>
          <w:rFonts w:ascii="Arial" w:cs="Arial" w:eastAsia="Arial" w:hAnsi="Arial"/>
          <w:sz w:val="16"/>
          <w:szCs w:val="16"/>
          <w:b w:val="1"/>
          <w:bCs w:val="1"/>
          <w:color w:val="auto"/>
        </w:rPr>
        <w:t>Skyworks Solutions, Inc., 2003 – 2012</w:t>
      </w:r>
    </w:p>
    <w:p>
      <w:pPr>
        <w:spacing w:after="0" w:line="34" w:lineRule="exact"/>
        <w:rPr>
          <w:rFonts w:ascii="Arial" w:cs="Arial" w:eastAsia="Arial" w:hAnsi="Arial"/>
          <w:sz w:val="16"/>
          <w:szCs w:val="16"/>
          <w:b w:val="1"/>
          <w:bCs w:val="1"/>
          <w:color w:val="276990"/>
        </w:rPr>
      </w:pPr>
    </w:p>
    <w:p>
      <w:pPr>
        <w:ind w:left="320"/>
        <w:spacing w:after="0"/>
        <w:rPr>
          <w:rFonts w:ascii="Arial" w:cs="Arial" w:eastAsia="Arial" w:hAnsi="Arial"/>
          <w:sz w:val="16"/>
          <w:szCs w:val="16"/>
          <w:b w:val="1"/>
          <w:bCs w:val="1"/>
          <w:color w:val="276990"/>
        </w:rPr>
      </w:pPr>
      <w:r>
        <w:rPr>
          <w:rFonts w:ascii="Arial" w:cs="Arial" w:eastAsia="Arial" w:hAnsi="Arial"/>
          <w:sz w:val="16"/>
          <w:szCs w:val="16"/>
          <w:color w:val="auto"/>
        </w:rPr>
        <w:t>— Executive Vice President</w:t>
      </w:r>
    </w:p>
    <w:p>
      <w:pPr>
        <w:spacing w:after="0" w:line="259"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6"/>
        </w:numPr>
        <w:rPr>
          <w:rFonts w:ascii="Arial" w:cs="Arial" w:eastAsia="Arial" w:hAnsi="Arial"/>
          <w:sz w:val="16"/>
          <w:szCs w:val="16"/>
          <w:b w:val="1"/>
          <w:bCs w:val="1"/>
          <w:color w:val="276990"/>
        </w:rPr>
      </w:pPr>
      <w:r>
        <w:rPr>
          <w:rFonts w:ascii="Arial" w:cs="Arial" w:eastAsia="Arial" w:hAnsi="Arial"/>
          <w:sz w:val="16"/>
          <w:szCs w:val="16"/>
          <w:b w:val="1"/>
          <w:bCs w:val="1"/>
          <w:color w:val="auto"/>
        </w:rPr>
        <w:t>Agere Systems, Inc., 1998 – 2003</w:t>
      </w:r>
    </w:p>
    <w:p>
      <w:pPr>
        <w:spacing w:after="0" w:line="34" w:lineRule="exact"/>
        <w:rPr>
          <w:rFonts w:ascii="Arial" w:cs="Arial" w:eastAsia="Arial" w:hAnsi="Arial"/>
          <w:sz w:val="16"/>
          <w:szCs w:val="16"/>
          <w:b w:val="1"/>
          <w:bCs w:val="1"/>
          <w:color w:val="276990"/>
        </w:rPr>
      </w:pPr>
    </w:p>
    <w:p>
      <w:pPr>
        <w:ind w:left="320"/>
        <w:spacing w:after="0"/>
        <w:rPr>
          <w:rFonts w:ascii="Arial" w:cs="Arial" w:eastAsia="Arial" w:hAnsi="Arial"/>
          <w:sz w:val="16"/>
          <w:szCs w:val="16"/>
          <w:b w:val="1"/>
          <w:bCs w:val="1"/>
          <w:color w:val="276990"/>
        </w:rPr>
      </w:pPr>
      <w:r>
        <w:rPr>
          <w:rFonts w:ascii="Arial" w:cs="Arial" w:eastAsia="Arial" w:hAnsi="Arial"/>
          <w:sz w:val="16"/>
          <w:szCs w:val="16"/>
          <w:color w:val="auto"/>
        </w:rPr>
        <w:t>— Senior Vice President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Board Experience</w:t>
      </w:r>
    </w:p>
    <w:p>
      <w:pPr>
        <w:spacing w:after="0" w:line="39" w:lineRule="exact"/>
        <w:rPr>
          <w:sz w:val="20"/>
          <w:szCs w:val="20"/>
          <w:color w:val="auto"/>
        </w:rPr>
      </w:pPr>
    </w:p>
    <w:p>
      <w:pPr>
        <w:ind w:left="140" w:hanging="138"/>
        <w:spacing w:after="0"/>
        <w:tabs>
          <w:tab w:leader="none" w:pos="140" w:val="left"/>
        </w:tabs>
        <w:numPr>
          <w:ilvl w:val="0"/>
          <w:numId w:val="27"/>
        </w:numPr>
        <w:rPr>
          <w:rFonts w:ascii="Arial" w:cs="Arial" w:eastAsia="Arial" w:hAnsi="Arial"/>
          <w:sz w:val="16"/>
          <w:szCs w:val="16"/>
          <w:b w:val="1"/>
          <w:bCs w:val="1"/>
          <w:color w:val="276990"/>
        </w:rPr>
      </w:pPr>
      <w:r>
        <w:rPr>
          <w:rFonts w:ascii="Arial" w:cs="Arial" w:eastAsia="Arial" w:hAnsi="Arial"/>
          <w:sz w:val="16"/>
          <w:szCs w:val="16"/>
          <w:b w:val="1"/>
          <w:bCs w:val="1"/>
          <w:color w:val="auto"/>
        </w:rPr>
        <w:t>Mythic Inc., 2020 – 2023</w:t>
      </w:r>
    </w:p>
    <w:p>
      <w:pPr>
        <w:spacing w:after="0" w:line="254"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7"/>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Sierra Wireless, Inc. </w:t>
      </w:r>
      <w:r>
        <w:rPr>
          <w:rFonts w:ascii="Arial" w:cs="Arial" w:eastAsia="Arial" w:hAnsi="Arial"/>
          <w:sz w:val="16"/>
          <w:szCs w:val="16"/>
          <w:color w:val="auto"/>
        </w:rPr>
        <w:t>(acquired by Semtech Corporation)</w:t>
      </w:r>
      <w:r>
        <w:rPr>
          <w:rFonts w:ascii="Arial" w:cs="Arial" w:eastAsia="Arial" w:hAnsi="Arial"/>
          <w:sz w:val="16"/>
          <w:szCs w:val="16"/>
          <w:b w:val="1"/>
          <w:bCs w:val="1"/>
          <w:color w:val="auto"/>
        </w:rPr>
        <w:t>, 2020 – 2023</w:t>
      </w:r>
    </w:p>
    <w:p>
      <w:pPr>
        <w:spacing w:after="0" w:line="275"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7"/>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Mellanox Technologies Ltd. </w:t>
      </w:r>
      <w:r>
        <w:rPr>
          <w:rFonts w:ascii="Arial" w:cs="Arial" w:eastAsia="Arial" w:hAnsi="Arial"/>
          <w:sz w:val="16"/>
          <w:szCs w:val="16"/>
          <w:color w:val="auto"/>
        </w:rPr>
        <w:t>(acquired by NVIDIA Corporation)</w:t>
      </w:r>
      <w:r>
        <w:rPr>
          <w:rFonts w:ascii="Arial" w:cs="Arial" w:eastAsia="Arial" w:hAnsi="Arial"/>
          <w:sz w:val="16"/>
          <w:szCs w:val="16"/>
          <w:b w:val="1"/>
          <w:bCs w:val="1"/>
          <w:color w:val="auto"/>
        </w:rPr>
        <w:t>, 2018 – 2020</w:t>
      </w:r>
    </w:p>
    <w:p>
      <w:pPr>
        <w:spacing w:after="0" w:line="261"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7"/>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Sand 9 Inc. </w:t>
      </w:r>
      <w:r>
        <w:rPr>
          <w:rFonts w:ascii="Arial" w:cs="Arial" w:eastAsia="Arial" w:hAnsi="Arial"/>
          <w:sz w:val="16"/>
          <w:szCs w:val="16"/>
          <w:color w:val="auto"/>
        </w:rPr>
        <w:t>(acquired by Analog Devices Inc.)</w:t>
      </w:r>
      <w:r>
        <w:rPr>
          <w:rFonts w:ascii="Arial" w:cs="Arial" w:eastAsia="Arial" w:hAnsi="Arial"/>
          <w:sz w:val="16"/>
          <w:szCs w:val="16"/>
          <w:b w:val="1"/>
          <w:bCs w:val="1"/>
          <w:color w:val="auto"/>
        </w:rPr>
        <w:t>, 2011 – 2014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414909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490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hanging="138"/>
        <w:spacing w:after="0"/>
        <w:tabs>
          <w:tab w:leader="none" w:pos="140" w:val="left"/>
        </w:tabs>
        <w:numPr>
          <w:ilvl w:val="0"/>
          <w:numId w:val="28"/>
        </w:numPr>
        <w:rPr>
          <w:rFonts w:ascii="Arial" w:cs="Arial" w:eastAsia="Arial" w:hAnsi="Arial"/>
          <w:sz w:val="16"/>
          <w:szCs w:val="16"/>
          <w:color w:val="276990"/>
        </w:rPr>
      </w:pPr>
      <w:r>
        <w:rPr>
          <w:rFonts w:ascii="Arial" w:cs="Arial" w:eastAsia="Arial" w:hAnsi="Arial"/>
          <w:sz w:val="16"/>
          <w:szCs w:val="16"/>
          <w:color w:val="auto"/>
        </w:rPr>
        <w:t>Extensive experience with device technology companies</w:t>
      </w:r>
    </w:p>
    <w:p>
      <w:pPr>
        <w:spacing w:after="0" w:line="32" w:lineRule="exact"/>
        <w:rPr>
          <w:rFonts w:ascii="Arial" w:cs="Arial" w:eastAsia="Arial" w:hAnsi="Arial"/>
          <w:sz w:val="16"/>
          <w:szCs w:val="16"/>
          <w:color w:val="276990"/>
        </w:rPr>
      </w:pPr>
    </w:p>
    <w:p>
      <w:pPr>
        <w:ind w:left="140" w:hanging="138"/>
        <w:spacing w:after="0"/>
        <w:tabs>
          <w:tab w:leader="none" w:pos="140" w:val="left"/>
        </w:tabs>
        <w:numPr>
          <w:ilvl w:val="0"/>
          <w:numId w:val="28"/>
        </w:numPr>
        <w:rPr>
          <w:rFonts w:ascii="Arial" w:cs="Arial" w:eastAsia="Arial" w:hAnsi="Arial"/>
          <w:sz w:val="16"/>
          <w:szCs w:val="16"/>
          <w:color w:val="276990"/>
        </w:rPr>
      </w:pPr>
      <w:r>
        <w:rPr>
          <w:rFonts w:ascii="Arial" w:cs="Arial" w:eastAsia="Arial" w:hAnsi="Arial"/>
          <w:sz w:val="16"/>
          <w:szCs w:val="16"/>
          <w:color w:val="auto"/>
        </w:rPr>
        <w:t>Experience as chief executive officer of a publicly held technology company</w:t>
      </w:r>
    </w:p>
    <w:p>
      <w:pPr>
        <w:spacing w:after="0" w:line="30" w:lineRule="exact"/>
        <w:rPr>
          <w:rFonts w:ascii="Arial" w:cs="Arial" w:eastAsia="Arial" w:hAnsi="Arial"/>
          <w:sz w:val="16"/>
          <w:szCs w:val="16"/>
          <w:color w:val="276990"/>
        </w:rPr>
      </w:pPr>
    </w:p>
    <w:p>
      <w:pPr>
        <w:ind w:left="160" w:right="300" w:hanging="158"/>
        <w:spacing w:after="0" w:line="305" w:lineRule="auto"/>
        <w:tabs>
          <w:tab w:leader="none" w:pos="141" w:val="left"/>
        </w:tabs>
        <w:numPr>
          <w:ilvl w:val="0"/>
          <w:numId w:val="28"/>
        </w:numPr>
        <w:rPr>
          <w:rFonts w:ascii="Arial" w:cs="Arial" w:eastAsia="Arial" w:hAnsi="Arial"/>
          <w:sz w:val="16"/>
          <w:szCs w:val="16"/>
          <w:b w:val="1"/>
          <w:bCs w:val="1"/>
          <w:color w:val="276990"/>
        </w:rPr>
      </w:pPr>
      <w:r>
        <w:rPr>
          <w:rFonts w:ascii="Arial" w:cs="Arial" w:eastAsia="Arial" w:hAnsi="Arial"/>
          <w:sz w:val="16"/>
          <w:szCs w:val="16"/>
          <w:color w:val="auto"/>
        </w:rPr>
        <w:t>Significant management experience and relevant knowledge of financial statement preparation and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-12065</wp:posOffset>
            </wp:positionV>
            <wp:extent cx="709803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520"/>
            <w:col w:w="8300"/>
          </w:cols>
          <w:pgMar w:left="340" w:top="161" w:right="339" w:bottom="1055" w:gutter="0" w:footer="0" w:header="0"/>
          <w:type w:val="continuous"/>
        </w:sectPr>
      </w:pPr>
    </w:p>
    <w:p>
      <w:pPr>
        <w:spacing w:after="0" w:line="382" w:lineRule="exact"/>
        <w:rPr>
          <w:sz w:val="20"/>
          <w:szCs w:val="20"/>
          <w:color w:val="auto"/>
        </w:rPr>
      </w:pPr>
    </w:p>
    <w:p>
      <w:pPr>
        <w:ind w:left="8460"/>
        <w:spacing w:after="0"/>
        <w:tabs>
          <w:tab w:leader="none" w:pos="1110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61" w:right="339" w:bottom="1055"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E97D2E"/>
        </w:rPr>
        <w:t>CHRISTINE Y.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40640</wp:posOffset>
            </wp:positionV>
            <wp:extent cx="1251585" cy="1791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5158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Age 57</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Director since 2018</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Other Public Company Boards:</w:t>
      </w:r>
    </w:p>
    <w:p>
      <w:pPr>
        <w:spacing w:after="0" w:line="23" w:lineRule="exact"/>
        <w:rPr>
          <w:sz w:val="20"/>
          <w:szCs w:val="20"/>
          <w:color w:val="auto"/>
        </w:rPr>
      </w:pPr>
    </w:p>
    <w:p>
      <w:pPr>
        <w:ind w:left="420" w:hanging="151"/>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Ansell Limited</w:t>
      </w:r>
    </w:p>
    <w:p>
      <w:pPr>
        <w:spacing w:after="0" w:line="24" w:lineRule="exact"/>
        <w:rPr>
          <w:rFonts w:ascii="Arial" w:cs="Arial" w:eastAsia="Arial" w:hAnsi="Arial"/>
          <w:sz w:val="16"/>
          <w:szCs w:val="16"/>
          <w:color w:val="auto"/>
        </w:rPr>
      </w:pPr>
    </w:p>
    <w:p>
      <w:pPr>
        <w:ind w:left="420" w:hanging="151"/>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Cabot Corporation</w:t>
      </w:r>
    </w:p>
    <w:p>
      <w:pPr>
        <w:spacing w:after="0" w:line="19" w:lineRule="exact"/>
        <w:rPr>
          <w:rFonts w:ascii="Arial" w:cs="Arial" w:eastAsia="Arial" w:hAnsi="Arial"/>
          <w:sz w:val="16"/>
          <w:szCs w:val="16"/>
          <w:color w:val="auto"/>
        </w:rPr>
      </w:pPr>
    </w:p>
    <w:p>
      <w:pPr>
        <w:ind w:left="420" w:hanging="151"/>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Modine Manufacturing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208" w:lineRule="exact"/>
        <w:rPr>
          <w:sz w:val="20"/>
          <w:szCs w:val="20"/>
          <w:color w:val="auto"/>
        </w:rPr>
      </w:pPr>
    </w:p>
    <w:p>
      <w:pPr>
        <w:ind w:left="240" w:right="40" w:hanging="238"/>
        <w:spacing w:after="0" w:line="221" w:lineRule="auto"/>
        <w:tabs>
          <w:tab w:leader="none" w:pos="140" w:val="left"/>
        </w:tabs>
        <w:numPr>
          <w:ilvl w:val="0"/>
          <w:numId w:val="30"/>
        </w:numPr>
        <w:rPr>
          <w:rFonts w:ascii="Arial" w:cs="Arial" w:eastAsia="Arial" w:hAnsi="Arial"/>
          <w:sz w:val="16"/>
          <w:szCs w:val="16"/>
          <w:color w:val="276990"/>
        </w:rPr>
      </w:pPr>
      <w:r>
        <w:rPr>
          <w:rFonts w:ascii="Arial" w:cs="Arial" w:eastAsia="Arial" w:hAnsi="Arial"/>
          <w:sz w:val="16"/>
          <w:szCs w:val="16"/>
          <w:b w:val="1"/>
          <w:bCs w:val="1"/>
          <w:color w:val="auto"/>
        </w:rPr>
        <w:t xml:space="preserve">Stanley Black &amp; Decker, Inc. </w:t>
      </w:r>
      <w:r>
        <w:rPr>
          <w:rFonts w:ascii="Arial" w:cs="Arial" w:eastAsia="Arial" w:hAnsi="Arial"/>
          <w:sz w:val="16"/>
          <w:szCs w:val="16"/>
          <w:color w:val="auto"/>
        </w:rPr>
        <w:t>(leading global provider of innovative tools and solutions for industrial,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DIY markets)</w:t>
      </w:r>
      <w:r>
        <w:rPr>
          <w:rFonts w:ascii="Arial" w:cs="Arial" w:eastAsia="Arial" w:hAnsi="Arial"/>
          <w:sz w:val="16"/>
          <w:szCs w:val="16"/>
          <w:b w:val="1"/>
          <w:bCs w:val="1"/>
          <w:color w:val="auto"/>
        </w:rPr>
        <w:t>, 1989 – November 2018</w:t>
      </w:r>
    </w:p>
    <w:p>
      <w:pPr>
        <w:spacing w:after="0" w:line="1" w:lineRule="exact"/>
        <w:rPr>
          <w:rFonts w:ascii="Arial" w:cs="Arial" w:eastAsia="Arial" w:hAnsi="Arial"/>
          <w:sz w:val="16"/>
          <w:szCs w:val="16"/>
          <w:color w:val="276990"/>
        </w:rPr>
      </w:pP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Vice President, Integration, January 2018 – November 2018</w:t>
      </w: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President, Asia, 2014 – January 2018</w:t>
      </w: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President, Stanley Storage and Workspace Systems, 2013 – 2014</w:t>
      </w: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President, Americas, Stanley Engineered Fastening, 2008 – 2013</w:t>
      </w: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President, Global Automotive, Stanley Engineered Fastening, 2006 – 2008</w:t>
      </w:r>
    </w:p>
    <w:p>
      <w:pPr>
        <w:ind w:left="320"/>
        <w:spacing w:after="0"/>
        <w:rPr>
          <w:rFonts w:ascii="Arial" w:cs="Arial" w:eastAsia="Arial" w:hAnsi="Arial"/>
          <w:sz w:val="16"/>
          <w:szCs w:val="16"/>
          <w:color w:val="276990"/>
        </w:rPr>
      </w:pPr>
      <w:r>
        <w:rPr>
          <w:rFonts w:ascii="Arial" w:cs="Arial" w:eastAsia="Arial" w:hAnsi="Arial"/>
          <w:sz w:val="16"/>
          <w:szCs w:val="16"/>
          <w:color w:val="auto"/>
        </w:rPr>
        <w:t>— Various roles in sales and marketing, engineering and research and development, 1989 – 2006</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55245</wp:posOffset>
            </wp:positionV>
            <wp:extent cx="288036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803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right="520" w:hanging="238"/>
        <w:spacing w:after="0" w:line="272" w:lineRule="auto"/>
        <w:tabs>
          <w:tab w:leader="none" w:pos="140" w:val="left"/>
        </w:tabs>
        <w:numPr>
          <w:ilvl w:val="0"/>
          <w:numId w:val="31"/>
        </w:numPr>
        <w:rPr>
          <w:rFonts w:ascii="Arial" w:cs="Arial" w:eastAsia="Arial" w:hAnsi="Arial"/>
          <w:sz w:val="16"/>
          <w:szCs w:val="16"/>
          <w:b w:val="1"/>
          <w:bCs w:val="1"/>
          <w:color w:val="276990"/>
        </w:rPr>
      </w:pPr>
      <w:r>
        <w:rPr>
          <w:rFonts w:ascii="Arial" w:cs="Arial" w:eastAsia="Arial" w:hAnsi="Arial"/>
          <w:sz w:val="16"/>
          <w:szCs w:val="16"/>
          <w:color w:val="auto"/>
        </w:rPr>
        <w:t>Extensive commercial, technology and operations management experience, including as member of senior management team of a Fortune 500 company</w:t>
      </w:r>
    </w:p>
    <w:p>
      <w:pPr>
        <w:spacing w:after="0" w:line="1"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1"/>
        </w:numPr>
        <w:rPr>
          <w:rFonts w:ascii="Arial" w:cs="Arial" w:eastAsia="Arial" w:hAnsi="Arial"/>
          <w:sz w:val="16"/>
          <w:szCs w:val="16"/>
          <w:color w:val="276990"/>
        </w:rPr>
      </w:pPr>
      <w:r>
        <w:rPr>
          <w:rFonts w:ascii="Arial" w:cs="Arial" w:eastAsia="Arial" w:hAnsi="Arial"/>
          <w:sz w:val="16"/>
          <w:szCs w:val="16"/>
          <w:color w:val="auto"/>
        </w:rPr>
        <w:t>Deep experience running global businesses, especially emerging markets</w:t>
      </w:r>
    </w:p>
    <w:p>
      <w:pPr>
        <w:spacing w:after="0" w:line="30" w:lineRule="exact"/>
        <w:rPr>
          <w:rFonts w:ascii="Arial" w:cs="Arial" w:eastAsia="Arial" w:hAnsi="Arial"/>
          <w:sz w:val="16"/>
          <w:szCs w:val="16"/>
          <w:color w:val="276990"/>
        </w:rPr>
      </w:pPr>
    </w:p>
    <w:p>
      <w:pPr>
        <w:ind w:left="140" w:hanging="138"/>
        <w:spacing w:after="0"/>
        <w:tabs>
          <w:tab w:leader="none" w:pos="140" w:val="left"/>
        </w:tabs>
        <w:numPr>
          <w:ilvl w:val="0"/>
          <w:numId w:val="31"/>
        </w:numPr>
        <w:rPr>
          <w:rFonts w:ascii="Arial" w:cs="Arial" w:eastAsia="Arial" w:hAnsi="Arial"/>
          <w:sz w:val="16"/>
          <w:szCs w:val="16"/>
          <w:b w:val="1"/>
          <w:bCs w:val="1"/>
          <w:color w:val="276990"/>
        </w:rPr>
      </w:pPr>
      <w:r>
        <w:rPr>
          <w:rFonts w:ascii="Arial" w:cs="Arial" w:eastAsia="Arial" w:hAnsi="Arial"/>
          <w:sz w:val="16"/>
          <w:szCs w:val="16"/>
          <w:color w:val="auto"/>
        </w:rPr>
        <w:t>Significant mergers and acquisitions experience</w:t>
      </w:r>
    </w:p>
    <w:p>
      <w:pPr>
        <w:spacing w:after="0" w:line="26"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1"/>
        </w:numPr>
        <w:rPr>
          <w:rFonts w:ascii="Arial" w:cs="Arial" w:eastAsia="Arial" w:hAnsi="Arial"/>
          <w:sz w:val="16"/>
          <w:szCs w:val="16"/>
          <w:color w:val="276990"/>
        </w:rPr>
      </w:pPr>
      <w:r>
        <w:rPr>
          <w:rFonts w:ascii="Arial" w:cs="Arial" w:eastAsia="Arial" w:hAnsi="Arial"/>
          <w:sz w:val="16"/>
          <w:szCs w:val="16"/>
          <w:color w:val="auto"/>
        </w:rPr>
        <w:t>Extensive management experience in the automotive, industrial and consumer markets</w:t>
      </w:r>
    </w:p>
    <w:p>
      <w:pPr>
        <w:spacing w:after="0" w:line="25" w:lineRule="exact"/>
        <w:rPr>
          <w:rFonts w:ascii="Arial" w:cs="Arial" w:eastAsia="Arial" w:hAnsi="Arial"/>
          <w:sz w:val="16"/>
          <w:szCs w:val="16"/>
          <w:color w:val="276990"/>
        </w:rPr>
      </w:pPr>
    </w:p>
    <w:p>
      <w:pPr>
        <w:ind w:left="140" w:hanging="138"/>
        <w:spacing w:after="0"/>
        <w:tabs>
          <w:tab w:leader="none" w:pos="140" w:val="left"/>
        </w:tabs>
        <w:numPr>
          <w:ilvl w:val="0"/>
          <w:numId w:val="31"/>
        </w:numPr>
        <w:rPr>
          <w:rFonts w:ascii="Arial" w:cs="Arial" w:eastAsia="Arial" w:hAnsi="Arial"/>
          <w:sz w:val="16"/>
          <w:szCs w:val="16"/>
          <w:color w:val="276990"/>
        </w:rPr>
      </w:pPr>
      <w:r>
        <w:rPr>
          <w:rFonts w:ascii="Arial" w:cs="Arial" w:eastAsia="Arial" w:hAnsi="Arial"/>
          <w:sz w:val="16"/>
          <w:szCs w:val="16"/>
          <w:color w:val="auto"/>
        </w:rPr>
        <w:t>Corporate governance and ESG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372110</wp:posOffset>
            </wp:positionV>
            <wp:extent cx="7132320" cy="603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60325"/>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2760" w:space="180"/>
            <w:col w:w="8300"/>
          </w:cols>
          <w:pgMar w:left="320" w:top="161"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Additional information regarding our Board, its committees, director compensation, and our corporate governance practices may be found immediately following this Proposal.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to Elect Nine Directors Nominated by our Board of Directors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an uncontested election (meaning, the number of director nominees does not exceed the number of open seats), each director nominee must receive a majority of the votes cast by holders of shares entitled to vote at the annual meeting in order to be duly elected, which means that the number of votes cast “FOR” such director must exceed the number of votes cast “AGAINST” him or her. Abstentions and broker non-votes are not treated as votes cast and, therefore, will have no effect on the outcome of the election of any director nominee. For information regarding the voting standard in a contested election, please see the section titled “Majority Voting for Directors” below.</w:t>
      </w:r>
    </w:p>
    <w:p>
      <w:pPr>
        <w:spacing w:after="0" w:line="200" w:lineRule="exact"/>
        <w:rPr>
          <w:sz w:val="20"/>
          <w:szCs w:val="20"/>
          <w:color w:val="auto"/>
        </w:rPr>
      </w:pP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10</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5" w:name="page16"/>
    <w:bookmarkEnd w:id="15"/>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Overview of our Corporate Governance Practices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has adopted corporate governance practices designed to aid the Board and management in the fulfillment of their duties and responsibilities to our stockholders. The following chart highlights certain corporate governance practices, many of which are discussed in greater detail elsewhere in this proxy statement.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shd w:val="clear" w:color="auto" w:fill="465E66"/>
          </w:tcPr>
          <w:p>
            <w:pPr>
              <w:spacing w:after="0"/>
              <w:rPr>
                <w:sz w:val="19"/>
                <w:szCs w:val="19"/>
                <w:color w:val="auto"/>
              </w:rPr>
            </w:pPr>
          </w:p>
        </w:tc>
        <w:tc>
          <w:tcPr>
            <w:tcW w:w="5240" w:type="dxa"/>
            <w:vAlign w:val="bottom"/>
            <w:shd w:val="clear" w:color="auto" w:fill="465E66"/>
          </w:tcPr>
          <w:p>
            <w:pPr>
              <w:ind w:left="2040"/>
              <w:spacing w:after="0"/>
              <w:rPr>
                <w:sz w:val="20"/>
                <w:szCs w:val="20"/>
                <w:color w:val="auto"/>
              </w:rPr>
            </w:pPr>
            <w:r>
              <w:rPr>
                <w:rFonts w:ascii="Arial" w:cs="Arial" w:eastAsia="Arial" w:hAnsi="Arial"/>
                <w:sz w:val="18"/>
                <w:szCs w:val="18"/>
                <w:b w:val="1"/>
                <w:bCs w:val="1"/>
                <w:color w:val="FFFFFF"/>
              </w:rPr>
              <w:t>WHAT WE DO</w:t>
            </w:r>
          </w:p>
        </w:tc>
        <w:tc>
          <w:tcPr>
            <w:tcW w:w="5620" w:type="dxa"/>
            <w:vAlign w:val="bottom"/>
            <w:shd w:val="clear" w:color="auto" w:fill="E97D2E"/>
          </w:tcPr>
          <w:p>
            <w:pPr>
              <w:ind w:left="2060"/>
              <w:spacing w:after="0"/>
              <w:rPr>
                <w:sz w:val="20"/>
                <w:szCs w:val="20"/>
                <w:color w:val="auto"/>
              </w:rPr>
            </w:pPr>
            <w:r>
              <w:rPr>
                <w:rFonts w:ascii="Arial" w:cs="Arial" w:eastAsia="Arial" w:hAnsi="Arial"/>
                <w:sz w:val="18"/>
                <w:szCs w:val="18"/>
                <w:b w:val="1"/>
                <w:bCs w:val="1"/>
                <w:color w:val="FFFFFF"/>
              </w:rPr>
              <w:t>WHAT WE DO NOT DO</w:t>
            </w:r>
          </w:p>
        </w:tc>
        <w:tc>
          <w:tcPr>
            <w:tcW w:w="0" w:type="dxa"/>
            <w:vAlign w:val="bottom"/>
          </w:tcPr>
          <w:p>
            <w:pPr>
              <w:spacing w:after="0"/>
              <w:rPr>
                <w:sz w:val="1"/>
                <w:szCs w:val="1"/>
                <w:color w:val="auto"/>
              </w:rPr>
            </w:pPr>
          </w:p>
        </w:tc>
      </w:tr>
      <w:tr>
        <w:trPr>
          <w:trHeight w:val="162"/>
        </w:trPr>
        <w:tc>
          <w:tcPr>
            <w:tcW w:w="380" w:type="dxa"/>
            <w:vAlign w:val="bottom"/>
            <w:vMerge w:val="restart"/>
            <w:shd w:val="clear" w:color="auto" w:fill="DBDBDB"/>
          </w:tcPr>
          <w:p>
            <w:pPr>
              <w:ind w:left="100"/>
              <w:spacing w:after="0"/>
              <w:rPr>
                <w:sz w:val="20"/>
                <w:szCs w:val="20"/>
                <w:color w:val="auto"/>
              </w:rPr>
            </w:pPr>
            <w:r>
              <w:rPr>
                <w:rFonts w:ascii="Wingdings" w:cs="Wingdings" w:eastAsia="Wingdings" w:hAnsi="Wingdings"/>
                <w:sz w:val="29"/>
                <w:szCs w:val="29"/>
                <w:b w:val="1"/>
                <w:bCs w:val="1"/>
                <w:color w:val="465E66"/>
              </w:rPr>
              <w:t>ü</w:t>
            </w:r>
          </w:p>
        </w:tc>
        <w:tc>
          <w:tcPr>
            <w:tcW w:w="524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b w:val="1"/>
                <w:bCs w:val="1"/>
                <w:i w:val="1"/>
                <w:iCs w:val="1"/>
                <w:color w:val="auto"/>
              </w:rPr>
              <w:t xml:space="preserve">Independent Board Chair: </w:t>
            </w:r>
            <w:r>
              <w:rPr>
                <w:rFonts w:ascii="Arial" w:cs="Arial" w:eastAsia="Arial" w:hAnsi="Arial"/>
                <w:sz w:val="16"/>
                <w:szCs w:val="16"/>
                <w:color w:val="auto"/>
              </w:rPr>
              <w:t>We separate the roles of Chief Executive</w:t>
            </w:r>
          </w:p>
        </w:tc>
        <w:tc>
          <w:tcPr>
            <w:tcW w:w="5620" w:type="dxa"/>
            <w:vAlign w:val="bottom"/>
            <w:shd w:val="clear" w:color="auto" w:fill="DBDBDB"/>
          </w:tcPr>
          <w:p>
            <w:pPr>
              <w:ind w:left="440"/>
              <w:spacing w:after="0" w:line="162" w:lineRule="exact"/>
              <w:rPr>
                <w:sz w:val="20"/>
                <w:szCs w:val="20"/>
                <w:color w:val="auto"/>
              </w:rPr>
            </w:pPr>
            <w:r>
              <w:rPr>
                <w:rFonts w:ascii="Arial" w:cs="Arial" w:eastAsia="Arial" w:hAnsi="Arial"/>
                <w:sz w:val="16"/>
                <w:szCs w:val="16"/>
                <w:b w:val="1"/>
                <w:bCs w:val="1"/>
                <w:i w:val="1"/>
                <w:iCs w:val="1"/>
                <w:color w:val="auto"/>
              </w:rPr>
              <w:t xml:space="preserve">No Classified Board: </w:t>
            </w:r>
            <w:r>
              <w:rPr>
                <w:rFonts w:ascii="Arial" w:cs="Arial" w:eastAsia="Arial" w:hAnsi="Arial"/>
                <w:sz w:val="16"/>
                <w:szCs w:val="16"/>
                <w:color w:val="auto"/>
              </w:rPr>
              <w:t>All of our directors are elected by our</w:t>
            </w:r>
          </w:p>
        </w:tc>
        <w:tc>
          <w:tcPr>
            <w:tcW w:w="0" w:type="dxa"/>
            <w:vAlign w:val="bottom"/>
          </w:tcPr>
          <w:p>
            <w:pPr>
              <w:spacing w:after="0"/>
              <w:rPr>
                <w:sz w:val="1"/>
                <w:szCs w:val="1"/>
                <w:color w:val="auto"/>
              </w:rPr>
            </w:pPr>
          </w:p>
        </w:tc>
      </w:tr>
      <w:tr>
        <w:trPr>
          <w:trHeight w:val="177"/>
        </w:trPr>
        <w:tc>
          <w:tcPr>
            <w:tcW w:w="380" w:type="dxa"/>
            <w:vAlign w:val="bottom"/>
            <w:vMerge w:val="continue"/>
            <w:shd w:val="clear" w:color="auto" w:fill="DBDBDB"/>
          </w:tcPr>
          <w:p>
            <w:pPr>
              <w:spacing w:after="0"/>
              <w:rPr>
                <w:sz w:val="15"/>
                <w:szCs w:val="15"/>
                <w:color w:val="auto"/>
              </w:rPr>
            </w:pPr>
          </w:p>
        </w:tc>
        <w:tc>
          <w:tcPr>
            <w:tcW w:w="5240" w:type="dxa"/>
            <w:vAlign w:val="bottom"/>
            <w:shd w:val="clear" w:color="auto" w:fill="DBDBDB"/>
          </w:tcPr>
          <w:p>
            <w:pPr>
              <w:ind w:left="60"/>
              <w:spacing w:after="0" w:line="178" w:lineRule="exact"/>
              <w:rPr>
                <w:sz w:val="20"/>
                <w:szCs w:val="20"/>
                <w:color w:val="auto"/>
              </w:rPr>
            </w:pPr>
            <w:r>
              <w:rPr>
                <w:rFonts w:ascii="Arial" w:cs="Arial" w:eastAsia="Arial" w:hAnsi="Arial"/>
                <w:sz w:val="16"/>
                <w:szCs w:val="16"/>
                <w:color w:val="auto"/>
              </w:rPr>
              <w:t>Officer (CEO) and Chair of the Board to ensure that Board leadership is</w:t>
            </w:r>
          </w:p>
        </w:tc>
        <w:tc>
          <w:tcPr>
            <w:tcW w:w="5620" w:type="dxa"/>
            <w:vAlign w:val="bottom"/>
            <w:shd w:val="clear" w:color="auto" w:fill="DBDBDB"/>
          </w:tcPr>
          <w:p>
            <w:pPr>
              <w:ind w:left="80"/>
              <w:spacing w:after="0" w:line="178" w:lineRule="exact"/>
              <w:rPr>
                <w:sz w:val="20"/>
                <w:szCs w:val="20"/>
                <w:color w:val="auto"/>
              </w:rPr>
            </w:pPr>
            <w:r>
              <w:rPr>
                <w:rFonts w:ascii="MS PGothic" w:cs="MS PGothic" w:eastAsia="MS PGothic" w:hAnsi="MS PGothic"/>
                <w:sz w:val="20"/>
                <w:szCs w:val="20"/>
                <w:color w:val="E97D2E"/>
              </w:rPr>
              <w:t>☒</w:t>
            </w:r>
            <w:r>
              <w:rPr>
                <w:rFonts w:ascii="Arial" w:cs="Arial" w:eastAsia="Arial" w:hAnsi="Arial"/>
                <w:sz w:val="12"/>
                <w:szCs w:val="12"/>
                <w:color w:val="auto"/>
              </w:rPr>
              <w:t xml:space="preserve"> stockholders on an annual basis using a majority voting standard for</w:t>
            </w:r>
          </w:p>
        </w:tc>
        <w:tc>
          <w:tcPr>
            <w:tcW w:w="0" w:type="dxa"/>
            <w:vAlign w:val="bottom"/>
          </w:tcPr>
          <w:p>
            <w:pPr>
              <w:spacing w:after="0"/>
              <w:rPr>
                <w:sz w:val="1"/>
                <w:szCs w:val="1"/>
                <w:color w:val="auto"/>
              </w:rPr>
            </w:pPr>
          </w:p>
        </w:tc>
      </w:tr>
      <w:tr>
        <w:trPr>
          <w:trHeight w:val="201"/>
        </w:trPr>
        <w:tc>
          <w:tcPr>
            <w:tcW w:w="380" w:type="dxa"/>
            <w:vAlign w:val="bottom"/>
            <w:shd w:val="clear" w:color="auto" w:fill="DBDBDB"/>
          </w:tcPr>
          <w:p>
            <w:pPr>
              <w:spacing w:after="0"/>
              <w:rPr>
                <w:sz w:val="17"/>
                <w:szCs w:val="17"/>
                <w:color w:val="auto"/>
              </w:rPr>
            </w:pPr>
          </w:p>
        </w:tc>
        <w:tc>
          <w:tcPr>
            <w:tcW w:w="5240" w:type="dxa"/>
            <w:vAlign w:val="bottom"/>
            <w:shd w:val="clear" w:color="auto" w:fill="DBDBDB"/>
          </w:tcPr>
          <w:p>
            <w:pPr>
              <w:ind w:left="60"/>
              <w:spacing w:after="0"/>
              <w:rPr>
                <w:sz w:val="20"/>
                <w:szCs w:val="20"/>
                <w:color w:val="auto"/>
              </w:rPr>
            </w:pPr>
            <w:r>
              <w:rPr>
                <w:rFonts w:ascii="Arial" w:cs="Arial" w:eastAsia="Arial" w:hAnsi="Arial"/>
                <w:sz w:val="16"/>
                <w:szCs w:val="16"/>
                <w:color w:val="auto"/>
              </w:rPr>
              <w:t>independent from management.</w:t>
            </w:r>
          </w:p>
        </w:tc>
        <w:tc>
          <w:tcPr>
            <w:tcW w:w="56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uncontested elections.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61" w:right="339" w:bottom="1440" w:gutter="0" w:footer="0" w:header="0"/>
        </w:sectPr>
      </w:pPr>
    </w:p>
    <w:p>
      <w:pPr>
        <w:jc w:val="center"/>
        <w:ind w:left="80"/>
        <w:spacing w:after="0" w:line="231" w:lineRule="auto"/>
        <w:rPr>
          <w:sz w:val="20"/>
          <w:szCs w:val="20"/>
          <w:color w:val="auto"/>
        </w:rPr>
      </w:pPr>
      <w:r>
        <w:rPr>
          <w:rFonts w:ascii="Arial" w:cs="Arial" w:eastAsia="Arial" w:hAnsi="Arial"/>
          <w:sz w:val="16"/>
          <w:szCs w:val="16"/>
          <w:b w:val="1"/>
          <w:bCs w:val="1"/>
          <w:i w:val="1"/>
          <w:iCs w:val="1"/>
          <w:color w:val="auto"/>
        </w:rPr>
        <w:t>Annual Committee, Board and Individual Director Evaluations:</w:t>
      </w:r>
    </w:p>
    <w:p>
      <w:pPr>
        <w:jc w:val="both"/>
        <w:ind w:left="440" w:right="100" w:hanging="336"/>
        <w:spacing w:after="0"/>
        <w:tabs>
          <w:tab w:leader="none" w:pos="440" w:val="left"/>
        </w:tabs>
        <w:numPr>
          <w:ilvl w:val="0"/>
          <w:numId w:val="32"/>
        </w:numPr>
        <w:rPr>
          <w:rFonts w:ascii="Wingdings" w:cs="Wingdings" w:eastAsia="Wingdings" w:hAnsi="Wingdings"/>
          <w:sz w:val="33"/>
          <w:szCs w:val="33"/>
          <w:b w:val="1"/>
          <w:bCs w:val="1"/>
          <w:color w:val="465E66"/>
          <w:vertAlign w:val="subscript"/>
        </w:rPr>
      </w:pPr>
      <w:r>
        <w:rPr>
          <w:rFonts w:ascii="Arial" w:cs="Arial" w:eastAsia="Arial" w:hAnsi="Arial"/>
          <w:sz w:val="13"/>
          <w:szCs w:val="13"/>
          <w:color w:val="auto"/>
        </w:rPr>
        <w:t>Each committee and the Board as a whole conduct a self-evaluation at least annually, and each director’s individual performance is evaluated annually by other directors.</w:t>
      </w:r>
    </w:p>
    <w:p>
      <w:pPr>
        <w:spacing w:after="0" w:line="8" w:lineRule="exact"/>
        <w:rPr>
          <w:rFonts w:ascii="Wingdings" w:cs="Wingdings" w:eastAsia="Wingdings" w:hAnsi="Wingdings"/>
          <w:sz w:val="33"/>
          <w:szCs w:val="33"/>
          <w:b w:val="1"/>
          <w:bCs w:val="1"/>
          <w:color w:val="465E66"/>
          <w:vertAlign w:val="subscript"/>
        </w:rPr>
      </w:pPr>
    </w:p>
    <w:p>
      <w:pPr>
        <w:ind w:left="440" w:right="40"/>
        <w:spacing w:after="0" w:line="221" w:lineRule="auto"/>
        <w:rPr>
          <w:rFonts w:ascii="Wingdings" w:cs="Wingdings" w:eastAsia="Wingdings" w:hAnsi="Wingdings"/>
          <w:sz w:val="33"/>
          <w:szCs w:val="33"/>
          <w:b w:val="1"/>
          <w:bCs w:val="1"/>
          <w:color w:val="465E66"/>
          <w:vertAlign w:val="subscript"/>
        </w:rPr>
      </w:pPr>
      <w:r>
        <w:rPr>
          <w:rFonts w:ascii="Arial" w:cs="Arial" w:eastAsia="Arial" w:hAnsi="Arial"/>
          <w:sz w:val="16"/>
          <w:szCs w:val="16"/>
          <w:b w:val="1"/>
          <w:bCs w:val="1"/>
          <w:i w:val="1"/>
          <w:iCs w:val="1"/>
          <w:color w:val="auto"/>
        </w:rPr>
        <w:t xml:space="preserve">Stockholder Proxy Access: </w:t>
      </w:r>
      <w:r>
        <w:rPr>
          <w:rFonts w:ascii="Arial" w:cs="Arial" w:eastAsia="Arial" w:hAnsi="Arial"/>
          <w:sz w:val="16"/>
          <w:szCs w:val="16"/>
          <w:color w:val="auto"/>
        </w:rPr>
        <w:t>We permit a stockholder, or a group of 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20 stockholders, owning at least 3% of the Company’s outstanding</w:t>
      </w:r>
    </w:p>
    <w:p>
      <w:pPr>
        <w:spacing w:after="0" w:line="1" w:lineRule="exact"/>
        <w:rPr>
          <w:rFonts w:ascii="Wingdings" w:cs="Wingdings" w:eastAsia="Wingdings" w:hAnsi="Wingdings"/>
          <w:sz w:val="33"/>
          <w:szCs w:val="33"/>
          <w:b w:val="1"/>
          <w:bCs w:val="1"/>
          <w:color w:val="465E66"/>
          <w:vertAlign w:val="subscript"/>
        </w:rPr>
      </w:pPr>
    </w:p>
    <w:p>
      <w:pPr>
        <w:ind w:left="440" w:right="120" w:hanging="336"/>
        <w:spacing w:after="0" w:line="181" w:lineRule="auto"/>
        <w:tabs>
          <w:tab w:leader="none" w:pos="440" w:val="left"/>
        </w:tabs>
        <w:numPr>
          <w:ilvl w:val="0"/>
          <w:numId w:val="32"/>
        </w:numPr>
        <w:rPr>
          <w:rFonts w:ascii="Wingdings" w:cs="Wingdings" w:eastAsia="Wingdings" w:hAnsi="Wingdings"/>
          <w:sz w:val="38"/>
          <w:szCs w:val="38"/>
          <w:b w:val="1"/>
          <w:bCs w:val="1"/>
          <w:color w:val="465E66"/>
          <w:vertAlign w:val="subscript"/>
        </w:rPr>
      </w:pPr>
      <w:r>
        <w:rPr>
          <w:rFonts w:ascii="Arial" w:cs="Arial" w:eastAsia="Arial" w:hAnsi="Arial"/>
          <w:sz w:val="14"/>
          <w:szCs w:val="14"/>
          <w:color w:val="auto"/>
        </w:rPr>
        <w:t>shares of common stock continuously for at least three years, to nominate and include in our annual meeting proxy materials director nominees constituting up to the greater of two nominees or 20% of the board, subject to the requirements specified in our bylaws.</w:t>
      </w:r>
    </w:p>
    <w:p>
      <w:pPr>
        <w:spacing w:after="0" w:line="2" w:lineRule="exact"/>
        <w:rPr>
          <w:rFonts w:ascii="Wingdings" w:cs="Wingdings" w:eastAsia="Wingdings" w:hAnsi="Wingdings"/>
          <w:sz w:val="38"/>
          <w:szCs w:val="38"/>
          <w:b w:val="1"/>
          <w:bCs w:val="1"/>
          <w:color w:val="465E66"/>
          <w:vertAlign w:val="subscript"/>
        </w:rPr>
      </w:pPr>
    </w:p>
    <w:p>
      <w:pPr>
        <w:ind w:left="440"/>
        <w:spacing w:after="0" w:line="234" w:lineRule="auto"/>
        <w:rPr>
          <w:rFonts w:ascii="Wingdings" w:cs="Wingdings" w:eastAsia="Wingdings" w:hAnsi="Wingdings"/>
          <w:sz w:val="38"/>
          <w:szCs w:val="38"/>
          <w:b w:val="1"/>
          <w:bCs w:val="1"/>
          <w:color w:val="465E66"/>
          <w:vertAlign w:val="subscript"/>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In order to align the interests and</w:t>
      </w:r>
    </w:p>
    <w:p>
      <w:pPr>
        <w:ind w:left="440" w:hanging="336"/>
        <w:spacing w:after="0" w:line="180" w:lineRule="auto"/>
        <w:tabs>
          <w:tab w:leader="none" w:pos="440" w:val="left"/>
        </w:tabs>
        <w:numPr>
          <w:ilvl w:val="0"/>
          <w:numId w:val="32"/>
        </w:numPr>
        <w:rPr>
          <w:rFonts w:ascii="Wingdings" w:cs="Wingdings" w:eastAsia="Wingdings" w:hAnsi="Wingdings"/>
          <w:sz w:val="47"/>
          <w:szCs w:val="47"/>
          <w:b w:val="1"/>
          <w:bCs w:val="1"/>
          <w:color w:val="465E66"/>
          <w:vertAlign w:val="subscript"/>
        </w:rPr>
      </w:pPr>
      <w:r>
        <w:rPr>
          <w:rFonts w:ascii="Arial" w:cs="Arial" w:eastAsia="Arial" w:hAnsi="Arial"/>
          <w:sz w:val="15"/>
          <w:szCs w:val="15"/>
          <w:color w:val="auto"/>
        </w:rPr>
        <w:t>objectives of our directors, executive officers and stockholders, we have established competitive guidelines for our stock ownership and retention.</w:t>
      </w:r>
    </w:p>
    <w:p>
      <w:pPr>
        <w:spacing w:after="0" w:line="78" w:lineRule="exact"/>
        <w:rPr>
          <w:rFonts w:ascii="Wingdings" w:cs="Wingdings" w:eastAsia="Wingdings" w:hAnsi="Wingdings"/>
          <w:sz w:val="47"/>
          <w:szCs w:val="47"/>
          <w:b w:val="1"/>
          <w:bCs w:val="1"/>
          <w:color w:val="465E66"/>
          <w:vertAlign w:val="subscript"/>
        </w:rPr>
      </w:pPr>
    </w:p>
    <w:p>
      <w:pPr>
        <w:ind w:left="440"/>
        <w:spacing w:after="0"/>
        <w:rPr>
          <w:rFonts w:ascii="Wingdings" w:cs="Wingdings" w:eastAsia="Wingdings" w:hAnsi="Wingdings"/>
          <w:sz w:val="47"/>
          <w:szCs w:val="47"/>
          <w:b w:val="1"/>
          <w:bCs w:val="1"/>
          <w:color w:val="465E66"/>
          <w:vertAlign w:val="subscript"/>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We have a clawback policy that allows us to recoup</w:t>
      </w:r>
    </w:p>
    <w:p>
      <w:pPr>
        <w:ind w:left="440" w:right="260" w:hanging="336"/>
        <w:spacing w:after="0" w:line="183" w:lineRule="auto"/>
        <w:tabs>
          <w:tab w:leader="none" w:pos="440" w:val="left"/>
        </w:tabs>
        <w:numPr>
          <w:ilvl w:val="0"/>
          <w:numId w:val="32"/>
        </w:numPr>
        <w:rPr>
          <w:rFonts w:ascii="Wingdings" w:cs="Wingdings" w:eastAsia="Wingdings" w:hAnsi="Wingdings"/>
          <w:sz w:val="27"/>
          <w:szCs w:val="27"/>
          <w:b w:val="1"/>
          <w:bCs w:val="1"/>
          <w:color w:val="465E66"/>
        </w:rPr>
      </w:pPr>
      <w:r>
        <w:rPr>
          <w:rFonts w:ascii="Arial" w:cs="Arial" w:eastAsia="Arial" w:hAnsi="Arial"/>
          <w:sz w:val="15"/>
          <w:szCs w:val="15"/>
          <w:color w:val="auto"/>
        </w:rPr>
        <w:t>compensation awards paid to NEOs who engage in certain acts detrimental to our interests or in the event of a financial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651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454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362" w:right="20" w:hanging="362"/>
        <w:spacing w:after="0" w:line="190" w:lineRule="auto"/>
        <w:tabs>
          <w:tab w:leader="none" w:pos="362" w:val="left"/>
        </w:tabs>
        <w:numPr>
          <w:ilvl w:val="0"/>
          <w:numId w:val="33"/>
        </w:numPr>
        <w:rPr>
          <w:rFonts w:ascii="MS PGothic" w:cs="MS PGothic" w:eastAsia="MS PGothic" w:hAnsi="MS PGothic"/>
          <w:sz w:val="29"/>
          <w:szCs w:val="29"/>
          <w:color w:val="E97D2E"/>
        </w:rPr>
      </w:pPr>
      <w:r>
        <w:rPr>
          <w:rFonts w:ascii="Arial" w:cs="Arial" w:eastAsia="Arial" w:hAnsi="Arial"/>
          <w:sz w:val="16"/>
          <w:szCs w:val="16"/>
          <w:color w:val="auto"/>
        </w:rPr>
        <w:t>have the authority to remove any Director from office without cause by a majority vote.</w:t>
      </w:r>
    </w:p>
    <w:p>
      <w:pPr>
        <w:spacing w:after="0" w:line="200" w:lineRule="exact"/>
        <w:rPr>
          <w:rFonts w:ascii="MS PGothic" w:cs="MS PGothic" w:eastAsia="MS PGothic" w:hAnsi="MS PGothic"/>
          <w:sz w:val="29"/>
          <w:szCs w:val="29"/>
          <w:color w:val="E97D2E"/>
        </w:rPr>
      </w:pPr>
    </w:p>
    <w:p>
      <w:pPr>
        <w:spacing w:after="0" w:line="207" w:lineRule="exact"/>
        <w:rPr>
          <w:rFonts w:ascii="MS PGothic" w:cs="MS PGothic" w:eastAsia="MS PGothic" w:hAnsi="MS PGothic"/>
          <w:sz w:val="29"/>
          <w:szCs w:val="29"/>
          <w:color w:val="E97D2E"/>
        </w:rPr>
      </w:pPr>
    </w:p>
    <w:p>
      <w:pPr>
        <w:ind w:left="362" w:right="120" w:hanging="362"/>
        <w:spacing w:after="0" w:line="180" w:lineRule="auto"/>
        <w:tabs>
          <w:tab w:leader="none" w:pos="362" w:val="left"/>
        </w:tabs>
        <w:numPr>
          <w:ilvl w:val="0"/>
          <w:numId w:val="33"/>
        </w:numPr>
        <w:rPr>
          <w:rFonts w:ascii="MS PGothic" w:cs="MS PGothic" w:eastAsia="MS PGothic" w:hAnsi="MS PGothic"/>
          <w:sz w:val="34"/>
          <w:szCs w:val="34"/>
          <w:color w:val="E97D2E"/>
          <w:vertAlign w:val="subscript"/>
        </w:rPr>
      </w:pPr>
      <w:r>
        <w:rPr>
          <w:rFonts w:ascii="Arial" w:cs="Arial" w:eastAsia="Arial" w:hAnsi="Arial"/>
          <w:sz w:val="14"/>
          <w:szCs w:val="14"/>
          <w:b w:val="1"/>
          <w:bCs w:val="1"/>
          <w:i w:val="1"/>
          <w:iCs w:val="1"/>
          <w:color w:val="auto"/>
        </w:rPr>
        <w:t xml:space="preserve">No Excise Tax Gross-ups: </w:t>
      </w:r>
      <w:r>
        <w:rPr>
          <w:rFonts w:ascii="Arial" w:cs="Arial" w:eastAsia="Arial" w:hAnsi="Arial"/>
          <w:sz w:val="14"/>
          <w:szCs w:val="14"/>
          <w:color w:val="auto"/>
        </w:rPr>
        <w:t>We do not provide excise tax gross-ups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named executive officers (our NEOs) or directors.</w:t>
      </w:r>
    </w:p>
    <w:p>
      <w:pPr>
        <w:spacing w:after="0" w:line="200" w:lineRule="exact"/>
        <w:rPr>
          <w:rFonts w:ascii="MS PGothic" w:cs="MS PGothic" w:eastAsia="MS PGothic" w:hAnsi="MS PGothic"/>
          <w:sz w:val="34"/>
          <w:szCs w:val="34"/>
          <w:color w:val="E97D2E"/>
          <w:vertAlign w:val="subscript"/>
        </w:rPr>
      </w:pPr>
    </w:p>
    <w:p>
      <w:pPr>
        <w:spacing w:after="0" w:line="288" w:lineRule="exact"/>
        <w:rPr>
          <w:rFonts w:ascii="MS PGothic" w:cs="MS PGothic" w:eastAsia="MS PGothic" w:hAnsi="MS PGothic"/>
          <w:sz w:val="34"/>
          <w:szCs w:val="34"/>
          <w:color w:val="E97D2E"/>
          <w:vertAlign w:val="subscript"/>
        </w:rPr>
      </w:pPr>
    </w:p>
    <w:p>
      <w:pPr>
        <w:ind w:left="362" w:right="120" w:hanging="362"/>
        <w:spacing w:after="0" w:line="180" w:lineRule="auto"/>
        <w:tabs>
          <w:tab w:leader="none" w:pos="362" w:val="left"/>
        </w:tabs>
        <w:numPr>
          <w:ilvl w:val="0"/>
          <w:numId w:val="33"/>
        </w:numPr>
        <w:rPr>
          <w:rFonts w:ascii="MS PGothic" w:cs="MS PGothic" w:eastAsia="MS PGothic" w:hAnsi="MS PGothic"/>
          <w:sz w:val="34"/>
          <w:szCs w:val="34"/>
          <w:color w:val="E97D2E"/>
          <w:vertAlign w:val="subscript"/>
        </w:rPr>
      </w:pPr>
      <w:r>
        <w:rPr>
          <w:rFonts w:ascii="Arial" w:cs="Arial" w:eastAsia="Arial" w:hAnsi="Arial"/>
          <w:sz w:val="14"/>
          <w:szCs w:val="14"/>
          <w:b w:val="1"/>
          <w:bCs w:val="1"/>
          <w:i w:val="1"/>
          <w:iCs w:val="1"/>
          <w:color w:val="auto"/>
        </w:rPr>
        <w:t xml:space="preserve">No “Single-Trigger” Change in Control Arrangements: </w:t>
      </w:r>
      <w:r>
        <w:rPr>
          <w:rFonts w:ascii="Arial" w:cs="Arial" w:eastAsia="Arial" w:hAnsi="Arial"/>
          <w:sz w:val="14"/>
          <w:szCs w:val="14"/>
          <w:color w:val="auto"/>
        </w:rPr>
        <w:t>None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NEOs will receive payments solely on account of a change in control.</w:t>
      </w:r>
    </w:p>
    <w:p>
      <w:pPr>
        <w:spacing w:after="0" w:line="158" w:lineRule="exact"/>
        <w:rPr>
          <w:rFonts w:ascii="MS PGothic" w:cs="MS PGothic" w:eastAsia="MS PGothic" w:hAnsi="MS PGothic"/>
          <w:sz w:val="34"/>
          <w:szCs w:val="34"/>
          <w:color w:val="E97D2E"/>
          <w:vertAlign w:val="subscript"/>
        </w:rPr>
      </w:pPr>
    </w:p>
    <w:p>
      <w:pPr>
        <w:ind w:left="362"/>
        <w:spacing w:after="0"/>
        <w:rPr>
          <w:rFonts w:ascii="MS PGothic" w:cs="MS PGothic" w:eastAsia="MS PGothic" w:hAnsi="MS PGothic"/>
          <w:sz w:val="34"/>
          <w:szCs w:val="34"/>
          <w:color w:val="E97D2E"/>
          <w:vertAlign w:val="subscript"/>
        </w:rPr>
      </w:pPr>
      <w:r>
        <w:rPr>
          <w:rFonts w:ascii="Arial" w:cs="Arial" w:eastAsia="Arial" w:hAnsi="Arial"/>
          <w:sz w:val="16"/>
          <w:szCs w:val="16"/>
          <w:b w:val="1"/>
          <w:bCs w:val="1"/>
          <w:i w:val="1"/>
          <w:iCs w:val="1"/>
          <w:color w:val="auto"/>
        </w:rPr>
        <w:t xml:space="preserve">No Hedging or Pledging: </w:t>
      </w:r>
      <w:r>
        <w:rPr>
          <w:rFonts w:ascii="Arial" w:cs="Arial" w:eastAsia="Arial" w:hAnsi="Arial"/>
          <w:sz w:val="16"/>
          <w:szCs w:val="16"/>
          <w:color w:val="auto"/>
        </w:rPr>
        <w:t>Our NEOs and directors are prohibited from</w:t>
      </w:r>
    </w:p>
    <w:p>
      <w:pPr>
        <w:jc w:val="both"/>
        <w:ind w:left="362" w:right="140" w:hanging="362"/>
        <w:spacing w:after="0" w:line="180" w:lineRule="auto"/>
        <w:tabs>
          <w:tab w:leader="none" w:pos="362" w:val="left"/>
        </w:tabs>
        <w:numPr>
          <w:ilvl w:val="0"/>
          <w:numId w:val="33"/>
        </w:numPr>
        <w:rPr>
          <w:rFonts w:ascii="MS PGothic" w:cs="MS PGothic" w:eastAsia="MS PGothic" w:hAnsi="MS PGothic"/>
          <w:sz w:val="28"/>
          <w:szCs w:val="28"/>
          <w:color w:val="E97D2E"/>
          <w:vertAlign w:val="subscript"/>
        </w:rPr>
      </w:pPr>
      <w:r>
        <w:rPr>
          <w:rFonts w:ascii="Arial" w:cs="Arial" w:eastAsia="Arial" w:hAnsi="Arial"/>
          <w:sz w:val="13"/>
          <w:szCs w:val="13"/>
          <w:color w:val="auto"/>
        </w:rPr>
        <w:t xml:space="preserve">engaging in hedging transactions with our stock and from pledging our stock as collateral for a loan. Other employees are also encouraged to </w:t>
      </w:r>
      <w:r>
        <w:rPr>
          <w:rFonts w:ascii="Arial" w:cs="Arial" w:eastAsia="Arial" w:hAnsi="Arial"/>
          <w:sz w:val="18"/>
          <w:szCs w:val="18"/>
          <w:color w:val="auto"/>
          <w:vertAlign w:val="subscript"/>
        </w:rPr>
        <w:t>adhere to these rules.</w:t>
      </w:r>
      <w:r>
        <w:rPr>
          <w:rFonts w:ascii="Arial" w:cs="Arial" w:eastAsia="Arial" w:hAnsi="Arial"/>
          <w:sz w:val="13"/>
          <w:szCs w:val="13"/>
          <w:b w:val="1"/>
          <w:bCs w:val="1"/>
          <w:i w:val="1"/>
          <w:iCs w:val="1"/>
          <w:color w:val="auto"/>
        </w:rPr>
        <w:t xml:space="preserve">NoBurdensomeDirector Removal Restrictions: </w:t>
      </w:r>
      <w:r>
        <w:rPr>
          <w:rFonts w:ascii="Arial" w:cs="Arial" w:eastAsia="Arial" w:hAnsi="Arial"/>
          <w:sz w:val="13"/>
          <w:szCs w:val="13"/>
          <w:color w:val="auto"/>
        </w:rPr>
        <w:t>Our stockholders</w:t>
      </w:r>
    </w:p>
    <w:p>
      <w:pPr>
        <w:spacing w:after="0" w:line="200" w:lineRule="exact"/>
        <w:rPr>
          <w:sz w:val="20"/>
          <w:szCs w:val="20"/>
          <w:color w:val="auto"/>
        </w:rPr>
      </w:pPr>
    </w:p>
    <w:p>
      <w:pPr>
        <w:sectPr>
          <w:pgSz w:w="11900" w:h="16838" w:orient="portrait"/>
          <w:cols w:equalWidth="0" w:num="2">
            <w:col w:w="5600" w:space="98"/>
            <w:col w:w="5542"/>
          </w:cols>
          <w:pgMar w:left="320" w:top="161" w:right="3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Principles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Board has adopted Corporate Governance Principles, which, together with our certificate of incorporation, bylaws, and committee charters, form the framework for our governance practices. The GS Committee reviews these principles at least annually to assess the continued appropriateness of those guidelines in light of any new regulatory requirements and evolving corporate governance practices. After this review, the GS committee recommends any proposed changes to principles to the Board for its consideration and approval.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Role of the Board and Management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Our business is conducted by our employees and officers, under the direction of the CEO and the oversight of the Board, to enhance long-term value for our stockholders. Both our Board and management recognize that the long-term interests of stockholders are advanced by responsibly addressing the concerns of other stakeholders and interested parties, including employees, recruits, customers, suppliers, creditors,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communities, government officials and the public at large.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Leadership Structure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separate the roles of CEO and Chair of the Board. Our Board believes that, at this time, our current leadership structure best</w:t>
      </w:r>
    </w:p>
    <w:p>
      <w:pPr>
        <w:spacing w:after="0" w:line="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serves the interests of our Company and our stockholders by clearly allocating responsibilities between the two offices. As our President and CEO, Mr. El-Khoury is primarily responsible for managing the day-to-day business and developing and implementing our business strategy with the oversight of, and input from, the Board. As our Chair, Mr. Campbell is primarily responsible for leading the Board in its responsibilities of providing guidance to,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6"/>
          <w:szCs w:val="16"/>
          <w:color w:val="E97D2E"/>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oversight of, management. Our Chair works closely with our CEO and Chief Legal Officer to set the agendas for meetings, facilitate information flow between the Board and management and gain the benefit of the CEO’s company-specific knowledge and expertise.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Functions of the Board</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Board has at least four regularly-scheduled meetings per year at which it reviews and discusses reports by management on our performance, plans and prospects and immediate issues. The Board may choose to schedule additional meetings in accordance with our bylaws. In addition to general oversight of management, the Board, acting directly or through its various committees, also performs specific</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functions, including, among other things: (i) selecting, evaluating and compensating the CEO and other senior executives and overseeing CEO succession planning; (ii) reviewing, monitoring and, where appropriate, approving fundamental financial and business strategies and</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major corporate actions; (iii) providing oversight for our ERM Program, including the establishment of corporate risk appetite parameters and management’s implementation of processes for assessing and managing risks; (iv) ensuring that processes are in place for maintaining the integrity of our financial statements, compliance with law and ethics, relationships with customers and suppliers and relationships with other stakeholders; (v) overseeing climate, sustainability and other ESG-related initiatives; and (vi) performing such other functions as are prescribed by law or our bylaws.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 Code of Business Conduct, which sets forth principles of ethical and legal conduct to be followed by our directors,</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officers and employees. As described in greater detail below under “Ethics and Compliance Program,” this code requires anyone who reasonably believes or suspects that any director, officer or employee has violated the code, company policy or applicable law to report such activities to his or her supervisor or to our Chief Compliance Officer, either directly or anonymously.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Availability of Corporate Governance Materials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You may access our certificate of incorporation, our bylaws, our Corporate Governance Principles, our Code of Business Conduct, and all committee charters in the Investor Relations section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or a paper copy is available upon request by (i) writing</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to our Investor Relations Department, ON Semiconductor Corporation, 5701 North Pima Road, Scottsdale, Arizona 85250, (ii) calling our Investor Relations Department at (602) 244-3437 or (iii) emailing your request to investor@onsemi.com.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12</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7" w:name="page18"/>
    <w:bookmarkEnd w:id="17"/>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Board Diversity and Director Qualifications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240" w:type="dxa"/>
            <w:vAlign w:val="bottom"/>
            <w:shd w:val="clear" w:color="auto" w:fill="465E66"/>
          </w:tcPr>
          <w:p>
            <w:pPr>
              <w:spacing w:after="0"/>
              <w:rPr>
                <w:sz w:val="23"/>
                <w:szCs w:val="23"/>
                <w:color w:val="auto"/>
              </w:rPr>
            </w:pPr>
          </w:p>
        </w:tc>
        <w:tc>
          <w:tcPr>
            <w:tcW w:w="4540" w:type="dxa"/>
            <w:vAlign w:val="bottom"/>
            <w:shd w:val="clear" w:color="auto" w:fill="465E66"/>
          </w:tcPr>
          <w:p>
            <w:pPr>
              <w:ind w:left="360"/>
              <w:spacing w:after="0"/>
              <w:rPr>
                <w:sz w:val="20"/>
                <w:szCs w:val="20"/>
                <w:color w:val="auto"/>
              </w:rPr>
            </w:pPr>
            <w:r>
              <w:rPr>
                <w:rFonts w:ascii="Arial" w:cs="Arial" w:eastAsia="Arial" w:hAnsi="Arial"/>
                <w:sz w:val="18"/>
                <w:szCs w:val="18"/>
                <w:b w:val="1"/>
                <w:bCs w:val="1"/>
                <w:color w:val="FFFFFF"/>
              </w:rPr>
              <w:t>Board Diversity Matrix (as of January 26, 2023)*</w:t>
            </w:r>
          </w:p>
        </w:tc>
        <w:tc>
          <w:tcPr>
            <w:tcW w:w="800" w:type="dxa"/>
            <w:vAlign w:val="bottom"/>
            <w:shd w:val="clear" w:color="auto" w:fill="465E66"/>
          </w:tcPr>
          <w:p>
            <w:pPr>
              <w:spacing w:after="0"/>
              <w:rPr>
                <w:sz w:val="23"/>
                <w:szCs w:val="23"/>
                <w:color w:val="auto"/>
              </w:rPr>
            </w:pPr>
          </w:p>
        </w:tc>
        <w:tc>
          <w:tcPr>
            <w:tcW w:w="1460" w:type="dxa"/>
            <w:vAlign w:val="bottom"/>
            <w:shd w:val="clear" w:color="auto" w:fill="465E66"/>
          </w:tcPr>
          <w:p>
            <w:pPr>
              <w:spacing w:after="0"/>
              <w:rPr>
                <w:sz w:val="23"/>
                <w:szCs w:val="23"/>
                <w:color w:val="auto"/>
              </w:rPr>
            </w:pPr>
          </w:p>
        </w:tc>
        <w:tc>
          <w:tcPr>
            <w:tcW w:w="1200" w:type="dxa"/>
            <w:vAlign w:val="bottom"/>
            <w:vMerge w:val="restart"/>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Did Not</w:t>
            </w:r>
          </w:p>
        </w:tc>
        <w:tc>
          <w:tcPr>
            <w:tcW w:w="0" w:type="dxa"/>
            <w:vAlign w:val="bottom"/>
          </w:tcPr>
          <w:p>
            <w:pPr>
              <w:spacing w:after="0"/>
              <w:rPr>
                <w:sz w:val="1"/>
                <w:szCs w:val="1"/>
                <w:color w:val="auto"/>
              </w:rPr>
            </w:pPr>
          </w:p>
        </w:tc>
      </w:tr>
      <w:tr>
        <w:trPr>
          <w:trHeight w:val="146"/>
        </w:trPr>
        <w:tc>
          <w:tcPr>
            <w:tcW w:w="3240" w:type="dxa"/>
            <w:vAlign w:val="bottom"/>
            <w:shd w:val="clear" w:color="auto" w:fill="465E66"/>
          </w:tcPr>
          <w:p>
            <w:pPr>
              <w:spacing w:after="0"/>
              <w:rPr>
                <w:sz w:val="12"/>
                <w:szCs w:val="12"/>
                <w:color w:val="auto"/>
              </w:rPr>
            </w:pPr>
          </w:p>
        </w:tc>
        <w:tc>
          <w:tcPr>
            <w:tcW w:w="4540" w:type="dxa"/>
            <w:vAlign w:val="bottom"/>
            <w:shd w:val="clear" w:color="auto" w:fill="465E66"/>
          </w:tcPr>
          <w:p>
            <w:pPr>
              <w:spacing w:after="0"/>
              <w:rPr>
                <w:sz w:val="12"/>
                <w:szCs w:val="12"/>
                <w:color w:val="auto"/>
              </w:rPr>
            </w:pPr>
          </w:p>
        </w:tc>
        <w:tc>
          <w:tcPr>
            <w:tcW w:w="800" w:type="dxa"/>
            <w:vAlign w:val="bottom"/>
            <w:shd w:val="clear" w:color="auto" w:fill="465E66"/>
          </w:tcPr>
          <w:p>
            <w:pPr>
              <w:spacing w:after="0"/>
              <w:rPr>
                <w:sz w:val="12"/>
                <w:szCs w:val="12"/>
                <w:color w:val="auto"/>
              </w:rPr>
            </w:pPr>
          </w:p>
        </w:tc>
        <w:tc>
          <w:tcPr>
            <w:tcW w:w="1460" w:type="dxa"/>
            <w:vAlign w:val="bottom"/>
            <w:shd w:val="clear" w:color="auto" w:fill="465E66"/>
          </w:tcPr>
          <w:p>
            <w:pPr>
              <w:spacing w:after="0"/>
              <w:rPr>
                <w:sz w:val="12"/>
                <w:szCs w:val="12"/>
                <w:color w:val="auto"/>
              </w:rPr>
            </w:pPr>
          </w:p>
        </w:tc>
        <w:tc>
          <w:tcPr>
            <w:tcW w:w="120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40" w:type="dxa"/>
            <w:vAlign w:val="bottom"/>
            <w:shd w:val="clear" w:color="auto" w:fill="465E66"/>
          </w:tcPr>
          <w:p>
            <w:pPr>
              <w:spacing w:after="0"/>
              <w:rPr>
                <w:sz w:val="15"/>
                <w:szCs w:val="15"/>
                <w:color w:val="auto"/>
              </w:rPr>
            </w:pPr>
          </w:p>
        </w:tc>
        <w:tc>
          <w:tcPr>
            <w:tcW w:w="4540" w:type="dxa"/>
            <w:vAlign w:val="bottom"/>
            <w:vMerge w:val="restart"/>
            <w:shd w:val="clear" w:color="auto" w:fill="465E66"/>
          </w:tcPr>
          <w:p>
            <w:pPr>
              <w:jc w:val="center"/>
              <w:ind w:left="2590"/>
              <w:spacing w:after="0"/>
              <w:rPr>
                <w:sz w:val="20"/>
                <w:szCs w:val="20"/>
                <w:color w:val="auto"/>
              </w:rPr>
            </w:pPr>
            <w:r>
              <w:rPr>
                <w:rFonts w:ascii="Arial" w:cs="Arial" w:eastAsia="Arial" w:hAnsi="Arial"/>
                <w:sz w:val="18"/>
                <w:szCs w:val="18"/>
                <w:b w:val="1"/>
                <w:bCs w:val="1"/>
                <w:color w:val="FFFFFF"/>
                <w:w w:val="99"/>
              </w:rPr>
              <w:t>Female</w:t>
            </w:r>
          </w:p>
        </w:tc>
        <w:tc>
          <w:tcPr>
            <w:tcW w:w="800" w:type="dxa"/>
            <w:vAlign w:val="bottom"/>
            <w:vMerge w:val="restart"/>
            <w:shd w:val="clear" w:color="auto" w:fill="465E66"/>
          </w:tcPr>
          <w:p>
            <w:pPr>
              <w:jc w:val="center"/>
              <w:ind w:right="70"/>
              <w:spacing w:after="0"/>
              <w:rPr>
                <w:sz w:val="20"/>
                <w:szCs w:val="20"/>
                <w:color w:val="auto"/>
              </w:rPr>
            </w:pPr>
            <w:r>
              <w:rPr>
                <w:rFonts w:ascii="Arial" w:cs="Arial" w:eastAsia="Arial" w:hAnsi="Arial"/>
                <w:sz w:val="18"/>
                <w:szCs w:val="18"/>
                <w:b w:val="1"/>
                <w:bCs w:val="1"/>
                <w:color w:val="FFFFFF"/>
                <w:w w:val="99"/>
              </w:rPr>
              <w:t>Male</w:t>
            </w:r>
          </w:p>
        </w:tc>
        <w:tc>
          <w:tcPr>
            <w:tcW w:w="1460" w:type="dxa"/>
            <w:vAlign w:val="bottom"/>
            <w:vMerge w:val="restart"/>
            <w:shd w:val="clear" w:color="auto" w:fill="465E66"/>
          </w:tcPr>
          <w:p>
            <w:pPr>
              <w:ind w:left="300"/>
              <w:spacing w:after="0"/>
              <w:rPr>
                <w:sz w:val="20"/>
                <w:szCs w:val="20"/>
                <w:color w:val="auto"/>
              </w:rPr>
            </w:pPr>
            <w:r>
              <w:rPr>
                <w:rFonts w:ascii="Arial" w:cs="Arial" w:eastAsia="Arial" w:hAnsi="Arial"/>
                <w:sz w:val="18"/>
                <w:szCs w:val="18"/>
                <w:b w:val="1"/>
                <w:bCs w:val="1"/>
                <w:color w:val="FFFFFF"/>
              </w:rPr>
              <w:t>Non-Binary</w:t>
            </w:r>
          </w:p>
        </w:tc>
        <w:tc>
          <w:tcPr>
            <w:tcW w:w="1200" w:type="dxa"/>
            <w:vAlign w:val="bottom"/>
            <w:shd w:val="clear" w:color="auto" w:fill="465E66"/>
          </w:tcPr>
          <w:p>
            <w:pPr>
              <w:jc w:val="center"/>
              <w:spacing w:after="0" w:line="181" w:lineRule="exact"/>
              <w:rPr>
                <w:sz w:val="20"/>
                <w:szCs w:val="20"/>
                <w:color w:val="auto"/>
              </w:rPr>
            </w:pPr>
            <w:r>
              <w:rPr>
                <w:rFonts w:ascii="Arial" w:cs="Arial" w:eastAsia="Arial" w:hAnsi="Arial"/>
                <w:sz w:val="18"/>
                <w:szCs w:val="18"/>
                <w:b w:val="1"/>
                <w:bCs w:val="1"/>
                <w:color w:val="FFFFFF"/>
                <w:w w:val="99"/>
              </w:rPr>
              <w:t>Disclose</w:t>
            </w:r>
          </w:p>
        </w:tc>
        <w:tc>
          <w:tcPr>
            <w:tcW w:w="0" w:type="dxa"/>
            <w:vAlign w:val="bottom"/>
          </w:tcPr>
          <w:p>
            <w:pPr>
              <w:spacing w:after="0"/>
              <w:rPr>
                <w:sz w:val="1"/>
                <w:szCs w:val="1"/>
                <w:color w:val="auto"/>
              </w:rPr>
            </w:pPr>
          </w:p>
        </w:tc>
      </w:tr>
      <w:tr>
        <w:trPr>
          <w:trHeight w:val="247"/>
        </w:trPr>
        <w:tc>
          <w:tcPr>
            <w:tcW w:w="3240" w:type="dxa"/>
            <w:vAlign w:val="bottom"/>
            <w:vMerge w:val="restart"/>
            <w:shd w:val="clear" w:color="auto" w:fill="465E66"/>
          </w:tcPr>
          <w:p>
            <w:pPr>
              <w:ind w:left="20"/>
              <w:spacing w:after="0"/>
              <w:rPr>
                <w:sz w:val="20"/>
                <w:szCs w:val="20"/>
                <w:color w:val="auto"/>
              </w:rPr>
            </w:pPr>
            <w:r>
              <w:rPr>
                <w:rFonts w:ascii="Arial" w:cs="Arial" w:eastAsia="Arial" w:hAnsi="Arial"/>
                <w:sz w:val="18"/>
                <w:szCs w:val="18"/>
                <w:b w:val="1"/>
                <w:bCs w:val="1"/>
                <w:color w:val="FFFFFF"/>
              </w:rPr>
              <w:t>Part I. Gender Identity</w:t>
            </w:r>
          </w:p>
        </w:tc>
        <w:tc>
          <w:tcPr>
            <w:tcW w:w="4540" w:type="dxa"/>
            <w:vAlign w:val="bottom"/>
            <w:vMerge w:val="continue"/>
            <w:shd w:val="clear" w:color="auto" w:fill="465E66"/>
          </w:tcPr>
          <w:p>
            <w:pPr>
              <w:spacing w:after="0"/>
              <w:rPr>
                <w:sz w:val="21"/>
                <w:szCs w:val="21"/>
                <w:color w:val="auto"/>
              </w:rPr>
            </w:pPr>
          </w:p>
        </w:tc>
        <w:tc>
          <w:tcPr>
            <w:tcW w:w="800" w:type="dxa"/>
            <w:vAlign w:val="bottom"/>
            <w:vMerge w:val="continue"/>
            <w:shd w:val="clear" w:color="auto" w:fill="465E66"/>
          </w:tcPr>
          <w:p>
            <w:pPr>
              <w:spacing w:after="0"/>
              <w:rPr>
                <w:sz w:val="21"/>
                <w:szCs w:val="21"/>
                <w:color w:val="auto"/>
              </w:rPr>
            </w:pPr>
          </w:p>
        </w:tc>
        <w:tc>
          <w:tcPr>
            <w:tcW w:w="1460" w:type="dxa"/>
            <w:vAlign w:val="bottom"/>
            <w:vMerge w:val="continue"/>
            <w:shd w:val="clear" w:color="auto" w:fill="465E66"/>
          </w:tcPr>
          <w:p>
            <w:pPr>
              <w:spacing w:after="0"/>
              <w:rPr>
                <w:sz w:val="21"/>
                <w:szCs w:val="21"/>
                <w:color w:val="auto"/>
              </w:rPr>
            </w:pPr>
          </w:p>
        </w:tc>
        <w:tc>
          <w:tcPr>
            <w:tcW w:w="120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8"/>
              </w:rPr>
              <w:t>Gender</w:t>
            </w:r>
          </w:p>
        </w:tc>
        <w:tc>
          <w:tcPr>
            <w:tcW w:w="0" w:type="dxa"/>
            <w:vAlign w:val="bottom"/>
          </w:tcPr>
          <w:p>
            <w:pPr>
              <w:spacing w:after="0"/>
              <w:rPr>
                <w:sz w:val="1"/>
                <w:szCs w:val="1"/>
                <w:color w:val="auto"/>
              </w:rPr>
            </w:pPr>
          </w:p>
        </w:tc>
      </w:tr>
      <w:tr>
        <w:trPr>
          <w:trHeight w:val="212"/>
        </w:trPr>
        <w:tc>
          <w:tcPr>
            <w:tcW w:w="3240" w:type="dxa"/>
            <w:vAlign w:val="bottom"/>
            <w:vMerge w:val="continue"/>
            <w:shd w:val="clear" w:color="auto" w:fill="465E66"/>
          </w:tcPr>
          <w:p>
            <w:pPr>
              <w:spacing w:after="0"/>
              <w:rPr>
                <w:sz w:val="18"/>
                <w:szCs w:val="18"/>
                <w:color w:val="auto"/>
              </w:rPr>
            </w:pPr>
          </w:p>
        </w:tc>
        <w:tc>
          <w:tcPr>
            <w:tcW w:w="4540" w:type="dxa"/>
            <w:vAlign w:val="bottom"/>
            <w:shd w:val="clear" w:color="auto" w:fill="465E66"/>
          </w:tcPr>
          <w:p>
            <w:pPr>
              <w:spacing w:after="0"/>
              <w:rPr>
                <w:sz w:val="18"/>
                <w:szCs w:val="18"/>
                <w:color w:val="auto"/>
              </w:rPr>
            </w:pPr>
          </w:p>
        </w:tc>
        <w:tc>
          <w:tcPr>
            <w:tcW w:w="800" w:type="dxa"/>
            <w:vAlign w:val="bottom"/>
            <w:shd w:val="clear" w:color="auto" w:fill="465E66"/>
          </w:tcPr>
          <w:p>
            <w:pPr>
              <w:spacing w:after="0"/>
              <w:rPr>
                <w:sz w:val="18"/>
                <w:szCs w:val="18"/>
                <w:color w:val="auto"/>
              </w:rPr>
            </w:pPr>
          </w:p>
        </w:tc>
        <w:tc>
          <w:tcPr>
            <w:tcW w:w="1460" w:type="dxa"/>
            <w:vAlign w:val="bottom"/>
            <w:shd w:val="clear" w:color="auto" w:fill="465E66"/>
          </w:tcPr>
          <w:p>
            <w:pPr>
              <w:spacing w:after="0"/>
              <w:rPr>
                <w:sz w:val="18"/>
                <w:szCs w:val="18"/>
                <w:color w:val="auto"/>
              </w:rPr>
            </w:pPr>
          </w:p>
        </w:tc>
        <w:tc>
          <w:tcPr>
            <w:tcW w:w="1200" w:type="dxa"/>
            <w:vAlign w:val="bottom"/>
            <w:shd w:val="clear" w:color="auto" w:fill="465E66"/>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Directors</w:t>
            </w:r>
          </w:p>
        </w:tc>
        <w:tc>
          <w:tcPr>
            <w:tcW w:w="4540" w:type="dxa"/>
            <w:vAlign w:val="bottom"/>
          </w:tcPr>
          <w:p>
            <w:pPr>
              <w:jc w:val="center"/>
              <w:ind w:left="2590"/>
              <w:spacing w:after="0"/>
              <w:rPr>
                <w:sz w:val="20"/>
                <w:szCs w:val="20"/>
                <w:color w:val="auto"/>
              </w:rPr>
            </w:pPr>
            <w:r>
              <w:rPr>
                <w:rFonts w:ascii="Arial" w:cs="Arial" w:eastAsia="Arial" w:hAnsi="Arial"/>
                <w:sz w:val="18"/>
                <w:szCs w:val="18"/>
                <w:color w:val="auto"/>
                <w:w w:val="99"/>
              </w:rPr>
              <w:t>2</w:t>
            </w:r>
          </w:p>
        </w:tc>
        <w:tc>
          <w:tcPr>
            <w:tcW w:w="800" w:type="dxa"/>
            <w:vAlign w:val="bottom"/>
          </w:tcPr>
          <w:p>
            <w:pPr>
              <w:jc w:val="center"/>
              <w:ind w:right="50"/>
              <w:spacing w:after="0"/>
              <w:rPr>
                <w:sz w:val="20"/>
                <w:szCs w:val="20"/>
                <w:color w:val="auto"/>
              </w:rPr>
            </w:pPr>
            <w:r>
              <w:rPr>
                <w:rFonts w:ascii="Arial" w:cs="Arial" w:eastAsia="Arial" w:hAnsi="Arial"/>
                <w:sz w:val="18"/>
                <w:szCs w:val="18"/>
                <w:color w:val="auto"/>
                <w:w w:val="99"/>
              </w:rPr>
              <w:t>8</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465E66"/>
          </w:tcPr>
          <w:p>
            <w:pPr>
              <w:ind w:left="20"/>
              <w:spacing w:after="0"/>
              <w:rPr>
                <w:sz w:val="20"/>
                <w:szCs w:val="20"/>
                <w:color w:val="auto"/>
              </w:rPr>
            </w:pPr>
            <w:r>
              <w:rPr>
                <w:rFonts w:ascii="Arial" w:cs="Arial" w:eastAsia="Arial" w:hAnsi="Arial"/>
                <w:sz w:val="18"/>
                <w:szCs w:val="18"/>
                <w:b w:val="1"/>
                <w:bCs w:val="1"/>
                <w:color w:val="FFFFFF"/>
              </w:rPr>
              <w:t>Part II. Demographic Background</w:t>
            </w:r>
          </w:p>
        </w:tc>
        <w:tc>
          <w:tcPr>
            <w:tcW w:w="4540" w:type="dxa"/>
            <w:vAlign w:val="bottom"/>
            <w:shd w:val="clear" w:color="auto" w:fill="465E66"/>
          </w:tcPr>
          <w:p>
            <w:pPr>
              <w:spacing w:after="0"/>
              <w:rPr>
                <w:sz w:val="19"/>
                <w:szCs w:val="19"/>
                <w:color w:val="auto"/>
              </w:rPr>
            </w:pPr>
          </w:p>
        </w:tc>
        <w:tc>
          <w:tcPr>
            <w:tcW w:w="800" w:type="dxa"/>
            <w:vAlign w:val="bottom"/>
            <w:shd w:val="clear" w:color="auto" w:fill="465E66"/>
          </w:tcPr>
          <w:p>
            <w:pPr>
              <w:spacing w:after="0"/>
              <w:rPr>
                <w:sz w:val="19"/>
                <w:szCs w:val="19"/>
                <w:color w:val="auto"/>
              </w:rPr>
            </w:pPr>
          </w:p>
        </w:tc>
        <w:tc>
          <w:tcPr>
            <w:tcW w:w="1460" w:type="dxa"/>
            <w:vAlign w:val="bottom"/>
            <w:shd w:val="clear" w:color="auto" w:fill="465E66"/>
          </w:tcPr>
          <w:p>
            <w:pPr>
              <w:spacing w:after="0"/>
              <w:rPr>
                <w:sz w:val="19"/>
                <w:szCs w:val="19"/>
                <w:color w:val="auto"/>
              </w:rPr>
            </w:pPr>
          </w:p>
        </w:tc>
        <w:tc>
          <w:tcPr>
            <w:tcW w:w="1200" w:type="dxa"/>
            <w:vAlign w:val="bottom"/>
            <w:shd w:val="clear" w:color="auto" w:fill="465E66"/>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40" w:type="dxa"/>
            <w:vAlign w:val="bottom"/>
          </w:tcPr>
          <w:p>
            <w:pPr>
              <w:ind w:left="20"/>
              <w:spacing w:after="0"/>
              <w:rPr>
                <w:sz w:val="20"/>
                <w:szCs w:val="20"/>
                <w:color w:val="auto"/>
              </w:rPr>
            </w:pPr>
            <w:r>
              <w:rPr>
                <w:rFonts w:ascii="Arial" w:cs="Arial" w:eastAsia="Arial" w:hAnsi="Arial"/>
                <w:sz w:val="18"/>
                <w:szCs w:val="18"/>
                <w:color w:val="auto"/>
              </w:rPr>
              <w:t>African American or Black</w:t>
            </w:r>
          </w:p>
        </w:tc>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Alaskan Native or Native American</w:t>
            </w:r>
          </w:p>
        </w:tc>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Asian</w:t>
            </w:r>
          </w:p>
        </w:tc>
        <w:tc>
          <w:tcPr>
            <w:tcW w:w="454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800" w:type="dxa"/>
            <w:vAlign w:val="bottom"/>
          </w:tcPr>
          <w:p>
            <w:pPr>
              <w:jc w:val="center"/>
              <w:ind w:right="50"/>
              <w:spacing w:after="0"/>
              <w:rPr>
                <w:sz w:val="20"/>
                <w:szCs w:val="20"/>
                <w:color w:val="auto"/>
              </w:rPr>
            </w:pPr>
            <w:r>
              <w:rPr>
                <w:rFonts w:ascii="Arial" w:cs="Arial" w:eastAsia="Arial" w:hAnsi="Arial"/>
                <w:sz w:val="18"/>
                <w:szCs w:val="18"/>
                <w:color w:val="auto"/>
                <w:w w:val="99"/>
              </w:rPr>
              <w:t>1</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Hispanic or Latinx</w:t>
            </w:r>
          </w:p>
        </w:tc>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Native Hawaiian or Pacific Islander</w:t>
            </w:r>
          </w:p>
        </w:tc>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White</w:t>
            </w:r>
          </w:p>
        </w:tc>
        <w:tc>
          <w:tcPr>
            <w:tcW w:w="454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800" w:type="dxa"/>
            <w:vAlign w:val="bottom"/>
          </w:tcPr>
          <w:p>
            <w:pPr>
              <w:jc w:val="center"/>
              <w:ind w:right="50"/>
              <w:spacing w:after="0"/>
              <w:rPr>
                <w:sz w:val="20"/>
                <w:szCs w:val="20"/>
                <w:color w:val="auto"/>
              </w:rPr>
            </w:pPr>
            <w:r>
              <w:rPr>
                <w:rFonts w:ascii="Arial" w:cs="Arial" w:eastAsia="Arial" w:hAnsi="Arial"/>
                <w:sz w:val="18"/>
                <w:szCs w:val="18"/>
                <w:color w:val="auto"/>
                <w:w w:val="99"/>
              </w:rPr>
              <w:t>7</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Two or More Races or Ethnicities</w:t>
            </w:r>
          </w:p>
        </w:tc>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Arial" w:cs="Arial" w:eastAsia="Arial" w:hAnsi="Arial"/>
                <w:sz w:val="18"/>
                <w:szCs w:val="18"/>
                <w:color w:val="auto"/>
              </w:rPr>
              <w:t>LGBTQ+</w:t>
            </w:r>
          </w:p>
        </w:tc>
        <w:tc>
          <w:tcPr>
            <w:tcW w:w="4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Did Not Disclose Demographic Background</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each of our director nominees is elected to a new term, these demographics will change immediately following the annual meeting. Our</w:t>
      </w:r>
    </w:p>
    <w:p>
      <w:pPr>
        <w:ind w:left="20" w:right="120"/>
        <w:spacing w:after="0" w:line="229" w:lineRule="auto"/>
        <w:rPr>
          <w:sz w:val="20"/>
          <w:szCs w:val="20"/>
          <w:color w:val="auto"/>
        </w:rPr>
      </w:pPr>
      <w:r>
        <w:rPr>
          <w:rFonts w:ascii="Arial" w:cs="Arial" w:eastAsia="Arial" w:hAnsi="Arial"/>
          <w:sz w:val="18"/>
          <w:szCs w:val="18"/>
          <w:color w:val="auto"/>
        </w:rPr>
        <w:t>slate of nine nominees consists of two female and seven male directors, two directors who identify as Asian (one female and one male) and seven directors who identify as white (one female and six male).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Diversity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endeavor to have a Board representing diverse experiences in areas that are relevant to our global activities. In particular, we value international business experience and, as such, our directorship mix reflects that emphasis. With respect to traditional diversity concepts, two of our Board members self-identify as women and two Board members self-identify as Asian. Our non-employee directors who have been nominated for re-election to the Board have a balance of tenure (average tenure of less than 6 years), age (average age of 62 years) and racial, ethnic and gender diversity (approximately one-third of our independent directors), which provides our Board with an effective mix of experience and fresh perspectives. The Board will continue to evaluate from time to time the composition of the Board, including additions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Board of any director candidate that may complement the knowledge, skills and experience possessed by the nominees for director to ensure that the composition of the Board appropriately reflects changes in our evolving business. The Board is committed to, over time,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expanding the racial, ethnic and gender diversity composition of the Board.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Qualifications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GS Committee is required to develop and periodically review criteria for nominees for director. When the GS Committee considers diversity, as it did in connection with the Board’s 2022 self-evaluation process, it considers diversity of experience, thought, skills and viewpoints, as well as diversity concepts, such as race, ethnicity or gender identification, as it deems appropriate. Among other matters, the GS Committee may consider the following nomination criteria regarding Board membership:</w:t>
      </w:r>
    </w:p>
    <w:p>
      <w:pPr>
        <w:spacing w:after="0" w:line="20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appropriate size of the Board;</w:t>
      </w:r>
    </w:p>
    <w:p>
      <w:pPr>
        <w:spacing w:after="0" w:line="13"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nominee’s knowledge, skills and experience, including, without limitation, experience in finance and accounting, general business management, the semiconductor industry and semiconductor technology, international business, sales and marketing, corporate governance and compliance and intellectual property;</w:t>
      </w:r>
    </w:p>
    <w:p>
      <w:pPr>
        <w:spacing w:after="0" w:line="2"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needs of the Company with respect to particular skills and experience;</w:t>
      </w: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nominee’s experience leading and supporting ESG criteria, sustainability initiatives and civic responsibility;</w:t>
      </w: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nominee’s independence as defined in Nasdaq and SEC rules and regulations;</w:t>
      </w: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diversity, which fosters diversity of thinking;</w:t>
      </w: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nominee’s age and tenure; and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desire to balance the benefit of continuity with the periodic injection of fresh perspectives provided by new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Board’s goal is to assemble a diverse set of directors who bring together a variety of perspectives and skills derived from high-quality business, professional and personal experiences. Directors must be willing to devote sufficient time to carrying out their duties and responsibilities effectively and should be committed to serve on the Board for an extended period of time. Current members of the Board with skills and experience that are relevant to our business and who are willing to continue in service are considered for re-nomination. If any member of the Board does not wish to continue in service, if the GS Committee decides not to re-nominate a member for re-election or determines to replace that director or if the Board considers increasing the size of the Board, the Board identifies the desired skills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experience for a new nominee in light of the criteria described above. Pursuant to its charter, if a stockholder nominates a director in accordance with the director nomination procedures described in the bylaws, the GS Committee will consider that nomination and evaluate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such stockholder nomination in the same manner as it evaluates other nominees. Additionally, as part of the bylaws amendments approved by the Board in 2022, certain eligible stockholders may include one or more director nominees in our proxy statement without the GS Committee’s approval of such nominees, provided that the stockholders comply with certain disclosure requirements and notification procedures as described in greater detail in our bylaws.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Board Independence and Related Party Transactions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Independence Determination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Corporate Governance Principles require that we seek to have, at a minimum, a sufficient number of independent directors to comply at all times with relevant and applicable SEC, Nasdaq and other rules and regulations. Currently, the Board has affirmatively determined that each member of our Board, other than our President and CEO, Mr. El-Khoury, is an independent director. The Audit, HCC and GS Committees are composed entirely of independent directors, in each case under the Nasdaq listing standard’s independence definition.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and Relationships Considered in Independence Determinations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To determine independence, the Nasdaq listing standard’s definition employs a series of objective tests, which include that the director is not an </w:t>
      </w:r>
      <w:r>
        <w:rPr>
          <w:rFonts w:ascii="Arial" w:cs="Arial" w:eastAsia="Arial" w:hAnsi="Arial"/>
          <w:sz w:val="18"/>
          <w:szCs w:val="18"/>
          <w:b w:val="1"/>
          <w:bCs w:val="1"/>
          <w:color w:val="auto"/>
        </w:rPr>
        <w:t>onsemi</w:t>
      </w:r>
      <w:r>
        <w:rPr>
          <w:rFonts w:ascii="Arial" w:cs="Arial" w:eastAsia="Arial" w:hAnsi="Arial"/>
          <w:sz w:val="18"/>
          <w:szCs w:val="18"/>
          <w:color w:val="auto"/>
        </w:rPr>
        <w:t xml:space="preserve"> employee and that the director must not have engaged in certain types of business dealings with us. Additionally, the Board has made a subjective determination that no relationship exists with respect to each non-employee director which, in the opinion of the Board, would interfere with his or her exercise of independent judgment in carrying out the responsibilities of a director. In making such determinations, the Board reviewed and discussed information provided by the directors and our Law Department with regard to each director’s business and other outside activities as they may relate to us and our management. This information included commercial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transactions that we entered into, or proposed entering into, in fiscal year 2022 with Fujitsu Ltd., BorgWarner Inc., Itron, Inc., Sierra Wireless, Inc. and the Semiconductor Industry Association. Certain of our non-employee directors or their immediate family members have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relationships with these companies. We consider each of these transactions to be at arm's-length and in the ordinary course of business and, as discussed in greater detail below, none are related party transactions requiring disclosure under SEC rules. Based on this review and consistent with our independence criteria, the Board has affirmatively determined that each of our current non-employee directors, all but one of whom are standing for re-election to our Board, is independent.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 written policy on related party transactions to which all employees and our non-employee directors are required to adhere. This policy provides for review and oversight requirements and related procedures with respect to transactions in which: (i) we were, are or will be a participant; (ii) the amount involved exceeds $120,000; and (iii) any related party had, has or will have a direct or indirect material interest. Our related party transaction policy defines “related party” more broadly than SEC rules. As set forth in the Audit Committee’s charter, certain related party transactions are submitted to the Audit Committee (or another independent body of the Board) for review and oversight. In addition, all related party transactions must be reviewed by our Corporate Controller’s Office, in conjunction with our Law Department, for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potential conflict of interest situations and related matters on an ongoing basis. When review and oversight by the Audit Committee (or other independent body) is required, the reviewing body must be provided the details of such transactions, including, but not limited to, the terms of</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transaction, the business purpose of the transaction and the benefits to us and to the other party. Our internal review process seeks to ensure that any related party transactions are conducted on an arm’s-length basis and on terms that are fair and in the best interests of our stockholders. Since January 1, 2022, there have been no related party transactions required to be reported as such under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14</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9" w:name="page20"/>
    <w:bookmarkEnd w:id="19"/>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Board and Committee Meetings and Attendance</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met seven times in 2022, and its committees, including any special committees, held a total of 22 meetings. In 2022, each director attended at least 75% of all meetings of the Board and any committees on which he or she served. While we do not have a formal policy requiring director attendance at annual meetings, our practice is to schedule Board and committee meetings on the same day in order to facilitate director attendance at the annual meeting. Nine of our 10 directors attended our 2022 annual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Committees of the Board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Board has four standing committees, with membership as follows:</w:t>
      </w:r>
    </w:p>
    <w:p>
      <w:pPr>
        <w:spacing w:after="0" w:line="3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060" w:type="dxa"/>
            <w:vAlign w:val="bottom"/>
            <w:shd w:val="clear" w:color="auto" w:fill="465E66"/>
          </w:tcPr>
          <w:p>
            <w:pPr>
              <w:spacing w:after="0"/>
              <w:rPr>
                <w:sz w:val="17"/>
                <w:szCs w:val="17"/>
                <w:color w:val="auto"/>
              </w:rPr>
            </w:pPr>
          </w:p>
        </w:tc>
        <w:tc>
          <w:tcPr>
            <w:tcW w:w="2140" w:type="dxa"/>
            <w:vAlign w:val="bottom"/>
            <w:shd w:val="clear" w:color="auto" w:fill="465E66"/>
          </w:tcPr>
          <w:p>
            <w:pPr>
              <w:spacing w:after="0"/>
              <w:rPr>
                <w:sz w:val="17"/>
                <w:szCs w:val="17"/>
                <w:color w:val="auto"/>
              </w:rPr>
            </w:pPr>
          </w:p>
        </w:tc>
        <w:tc>
          <w:tcPr>
            <w:tcW w:w="2280" w:type="dxa"/>
            <w:vAlign w:val="bottom"/>
            <w:shd w:val="clear" w:color="auto" w:fill="465E66"/>
          </w:tcPr>
          <w:p>
            <w:pPr>
              <w:spacing w:after="0"/>
              <w:rPr>
                <w:sz w:val="17"/>
                <w:szCs w:val="17"/>
                <w:color w:val="auto"/>
              </w:rPr>
            </w:pPr>
          </w:p>
        </w:tc>
        <w:tc>
          <w:tcPr>
            <w:tcW w:w="192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Governance and</w:t>
            </w:r>
          </w:p>
        </w:tc>
        <w:tc>
          <w:tcPr>
            <w:tcW w:w="214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rPr>
              <w:t>Human Capital and</w:t>
            </w:r>
          </w:p>
        </w:tc>
        <w:tc>
          <w:tcPr>
            <w:tcW w:w="0" w:type="dxa"/>
            <w:vAlign w:val="bottom"/>
          </w:tcPr>
          <w:p>
            <w:pPr>
              <w:spacing w:after="0"/>
              <w:rPr>
                <w:sz w:val="1"/>
                <w:szCs w:val="1"/>
                <w:color w:val="auto"/>
              </w:rPr>
            </w:pPr>
          </w:p>
        </w:tc>
      </w:tr>
      <w:tr>
        <w:trPr>
          <w:trHeight w:val="181"/>
        </w:trPr>
        <w:tc>
          <w:tcPr>
            <w:tcW w:w="2060" w:type="dxa"/>
            <w:vAlign w:val="bottom"/>
            <w:vMerge w:val="restart"/>
            <w:shd w:val="clear" w:color="auto" w:fill="465E66"/>
          </w:tcPr>
          <w:p>
            <w:pPr>
              <w:ind w:left="20"/>
              <w:spacing w:after="0"/>
              <w:rPr>
                <w:sz w:val="20"/>
                <w:szCs w:val="20"/>
                <w:color w:val="auto"/>
              </w:rPr>
            </w:pPr>
            <w:r>
              <w:rPr>
                <w:rFonts w:ascii="Arial" w:cs="Arial" w:eastAsia="Arial" w:hAnsi="Arial"/>
                <w:sz w:val="18"/>
                <w:szCs w:val="18"/>
                <w:b w:val="1"/>
                <w:bCs w:val="1"/>
                <w:color w:val="FFFFFF"/>
              </w:rPr>
              <w:t>Director</w:t>
            </w:r>
          </w:p>
        </w:tc>
        <w:tc>
          <w:tcPr>
            <w:tcW w:w="2140" w:type="dxa"/>
            <w:vAlign w:val="bottom"/>
            <w:vMerge w:val="restart"/>
            <w:shd w:val="clear" w:color="auto" w:fill="465E66"/>
          </w:tcPr>
          <w:p>
            <w:pPr>
              <w:jc w:val="center"/>
              <w:ind w:left="148"/>
              <w:spacing w:after="0"/>
              <w:rPr>
                <w:sz w:val="20"/>
                <w:szCs w:val="20"/>
                <w:color w:val="auto"/>
              </w:rPr>
            </w:pPr>
            <w:r>
              <w:rPr>
                <w:rFonts w:ascii="Arial" w:cs="Arial" w:eastAsia="Arial" w:hAnsi="Arial"/>
                <w:sz w:val="18"/>
                <w:szCs w:val="18"/>
                <w:b w:val="1"/>
                <w:bCs w:val="1"/>
                <w:color w:val="FFFFFF"/>
                <w:w w:val="99"/>
              </w:rPr>
              <w:t>Audit Committee</w:t>
            </w:r>
          </w:p>
        </w:tc>
        <w:tc>
          <w:tcPr>
            <w:tcW w:w="2280" w:type="dxa"/>
            <w:vAlign w:val="bottom"/>
            <w:vMerge w:val="restart"/>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Executive Committee</w:t>
            </w:r>
          </w:p>
        </w:tc>
        <w:tc>
          <w:tcPr>
            <w:tcW w:w="1920" w:type="dxa"/>
            <w:vAlign w:val="bottom"/>
            <w:shd w:val="clear" w:color="auto" w:fill="465E66"/>
          </w:tcPr>
          <w:p>
            <w:pPr>
              <w:jc w:val="center"/>
              <w:spacing w:after="0" w:line="181" w:lineRule="exact"/>
              <w:rPr>
                <w:sz w:val="20"/>
                <w:szCs w:val="20"/>
                <w:color w:val="auto"/>
              </w:rPr>
            </w:pPr>
            <w:r>
              <w:rPr>
                <w:rFonts w:ascii="Arial" w:cs="Arial" w:eastAsia="Arial" w:hAnsi="Arial"/>
                <w:sz w:val="18"/>
                <w:szCs w:val="18"/>
                <w:b w:val="1"/>
                <w:bCs w:val="1"/>
                <w:color w:val="FFFFFF"/>
                <w:w w:val="99"/>
              </w:rPr>
              <w:t>Sustainability</w:t>
            </w:r>
          </w:p>
        </w:tc>
        <w:tc>
          <w:tcPr>
            <w:tcW w:w="2140" w:type="dxa"/>
            <w:vAlign w:val="bottom"/>
            <w:shd w:val="clear" w:color="auto" w:fill="465E66"/>
          </w:tcPr>
          <w:p>
            <w:pPr>
              <w:jc w:val="center"/>
              <w:spacing w:after="0" w:line="181" w:lineRule="exact"/>
              <w:rPr>
                <w:sz w:val="20"/>
                <w:szCs w:val="20"/>
                <w:color w:val="auto"/>
              </w:rPr>
            </w:pPr>
            <w:r>
              <w:rPr>
                <w:rFonts w:ascii="Arial" w:cs="Arial" w:eastAsia="Arial" w:hAnsi="Arial"/>
                <w:sz w:val="18"/>
                <w:szCs w:val="18"/>
                <w:b w:val="1"/>
                <w:bCs w:val="1"/>
                <w:color w:val="FFFFFF"/>
                <w:w w:val="99"/>
              </w:rPr>
              <w:t>Compensation</w:t>
            </w:r>
          </w:p>
        </w:tc>
        <w:tc>
          <w:tcPr>
            <w:tcW w:w="0" w:type="dxa"/>
            <w:vAlign w:val="bottom"/>
          </w:tcPr>
          <w:p>
            <w:pPr>
              <w:spacing w:after="0"/>
              <w:rPr>
                <w:sz w:val="1"/>
                <w:szCs w:val="1"/>
                <w:color w:val="auto"/>
              </w:rPr>
            </w:pPr>
          </w:p>
        </w:tc>
      </w:tr>
      <w:tr>
        <w:trPr>
          <w:trHeight w:val="229"/>
        </w:trPr>
        <w:tc>
          <w:tcPr>
            <w:tcW w:w="2060" w:type="dxa"/>
            <w:vAlign w:val="bottom"/>
            <w:vMerge w:val="continue"/>
            <w:shd w:val="clear" w:color="auto" w:fill="465E66"/>
          </w:tcPr>
          <w:p>
            <w:pPr>
              <w:spacing w:after="0"/>
              <w:rPr>
                <w:sz w:val="19"/>
                <w:szCs w:val="19"/>
                <w:color w:val="auto"/>
              </w:rPr>
            </w:pPr>
          </w:p>
        </w:tc>
        <w:tc>
          <w:tcPr>
            <w:tcW w:w="2140" w:type="dxa"/>
            <w:vAlign w:val="bottom"/>
            <w:vMerge w:val="continue"/>
            <w:shd w:val="clear" w:color="auto" w:fill="465E66"/>
          </w:tcPr>
          <w:p>
            <w:pPr>
              <w:spacing w:after="0"/>
              <w:rPr>
                <w:sz w:val="19"/>
                <w:szCs w:val="19"/>
                <w:color w:val="auto"/>
              </w:rPr>
            </w:pPr>
          </w:p>
        </w:tc>
        <w:tc>
          <w:tcPr>
            <w:tcW w:w="2280" w:type="dxa"/>
            <w:vAlign w:val="bottom"/>
            <w:vMerge w:val="continue"/>
            <w:shd w:val="clear" w:color="auto" w:fill="465E66"/>
          </w:tcPr>
          <w:p>
            <w:pPr>
              <w:spacing w:after="0"/>
              <w:rPr>
                <w:sz w:val="19"/>
                <w:szCs w:val="19"/>
                <w:color w:val="auto"/>
              </w:rPr>
            </w:pPr>
          </w:p>
        </w:tc>
        <w:tc>
          <w:tcPr>
            <w:tcW w:w="192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214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0" w:type="dxa"/>
            <w:vAlign w:val="bottom"/>
          </w:tcPr>
          <w:p>
            <w:pPr>
              <w:spacing w:after="0"/>
              <w:rPr>
                <w:sz w:val="1"/>
                <w:szCs w:val="1"/>
                <w:color w:val="auto"/>
              </w:rPr>
            </w:pPr>
          </w:p>
        </w:tc>
      </w:tr>
      <w:tr>
        <w:trPr>
          <w:trHeight w:val="291"/>
        </w:trPr>
        <w:tc>
          <w:tcPr>
            <w:tcW w:w="2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Atsushi Abe</w:t>
            </w:r>
          </w:p>
        </w:tc>
        <w:tc>
          <w:tcPr>
            <w:tcW w:w="2140" w:type="dxa"/>
            <w:vAlign w:val="bottom"/>
            <w:tcBorders>
              <w:bottom w:val="single" w:sz="8" w:color="DBDBDB"/>
            </w:tcBorders>
            <w:shd w:val="clear" w:color="auto" w:fill="DBDBDB"/>
          </w:tcPr>
          <w:p>
            <w:pPr>
              <w:jc w:val="center"/>
              <w:ind w:left="148"/>
              <w:spacing w:after="0"/>
              <w:rPr>
                <w:sz w:val="20"/>
                <w:szCs w:val="20"/>
                <w:color w:val="auto"/>
              </w:rPr>
            </w:pPr>
            <w:r>
              <w:rPr>
                <w:rFonts w:ascii="Wingdings" w:cs="Wingdings" w:eastAsia="Wingdings" w:hAnsi="Wingdings"/>
                <w:sz w:val="25"/>
                <w:szCs w:val="25"/>
                <w:b w:val="1"/>
                <w:bCs w:val="1"/>
                <w:color w:val="auto"/>
              </w:rPr>
              <w:t>ü</w:t>
            </w:r>
          </w:p>
        </w:tc>
        <w:tc>
          <w:tcPr>
            <w:tcW w:w="2280" w:type="dxa"/>
            <w:vAlign w:val="bottom"/>
            <w:tcBorders>
              <w:bottom w:val="single" w:sz="8" w:color="DBDBDB"/>
            </w:tcBorders>
            <w:shd w:val="clear" w:color="auto" w:fill="DBDBDB"/>
          </w:tcPr>
          <w:p>
            <w:pPr>
              <w:spacing w:after="0"/>
              <w:rPr>
                <w:sz w:val="24"/>
                <w:szCs w:val="24"/>
                <w:color w:val="auto"/>
              </w:rPr>
            </w:pPr>
          </w:p>
        </w:tc>
        <w:tc>
          <w:tcPr>
            <w:tcW w:w="1920" w:type="dxa"/>
            <w:vAlign w:val="bottom"/>
            <w:tcBorders>
              <w:bottom w:val="single" w:sz="8" w:color="DBDBDB"/>
            </w:tcBorders>
            <w:shd w:val="clear" w:color="auto" w:fill="DBDBDB"/>
          </w:tcPr>
          <w:p>
            <w:pPr>
              <w:spacing w:after="0"/>
              <w:rPr>
                <w:sz w:val="24"/>
                <w:szCs w:val="24"/>
                <w:color w:val="auto"/>
              </w:rPr>
            </w:pPr>
          </w:p>
        </w:tc>
        <w:tc>
          <w:tcPr>
            <w:tcW w:w="214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60" w:type="dxa"/>
            <w:vAlign w:val="bottom"/>
          </w:tcPr>
          <w:p>
            <w:pPr>
              <w:ind w:left="20"/>
              <w:spacing w:after="0"/>
              <w:rPr>
                <w:sz w:val="20"/>
                <w:szCs w:val="20"/>
                <w:color w:val="auto"/>
              </w:rPr>
            </w:pPr>
            <w:r>
              <w:rPr>
                <w:rFonts w:ascii="Arial" w:cs="Arial" w:eastAsia="Arial" w:hAnsi="Arial"/>
                <w:sz w:val="18"/>
                <w:szCs w:val="18"/>
                <w:color w:val="auto"/>
              </w:rPr>
              <w:t>Alan Campbell</w:t>
            </w:r>
          </w:p>
        </w:tc>
        <w:tc>
          <w:tcPr>
            <w:tcW w:w="2140" w:type="dxa"/>
            <w:vAlign w:val="bottom"/>
          </w:tcPr>
          <w:p>
            <w:pPr>
              <w:jc w:val="center"/>
              <w:ind w:left="148"/>
              <w:spacing w:after="0"/>
              <w:rPr>
                <w:sz w:val="20"/>
                <w:szCs w:val="20"/>
                <w:color w:val="auto"/>
              </w:rPr>
            </w:pPr>
            <w:r>
              <w:rPr>
                <w:rFonts w:ascii="Wingdings" w:cs="Wingdings" w:eastAsia="Wingdings" w:hAnsi="Wingdings"/>
                <w:sz w:val="25"/>
                <w:szCs w:val="25"/>
                <w:b w:val="1"/>
                <w:bCs w:val="1"/>
                <w:color w:val="auto"/>
              </w:rPr>
              <w:t>ü</w:t>
            </w:r>
          </w:p>
        </w:tc>
        <w:tc>
          <w:tcPr>
            <w:tcW w:w="2280" w:type="dxa"/>
            <w:vAlign w:val="bottom"/>
          </w:tcPr>
          <w:p>
            <w:pPr>
              <w:jc w:val="center"/>
              <w:spacing w:after="0"/>
              <w:rPr>
                <w:sz w:val="20"/>
                <w:szCs w:val="20"/>
                <w:color w:val="auto"/>
              </w:rPr>
            </w:pPr>
            <w:r>
              <w:rPr>
                <w:rFonts w:ascii="Arial" w:cs="Arial" w:eastAsia="Arial" w:hAnsi="Arial"/>
                <w:sz w:val="18"/>
                <w:szCs w:val="18"/>
                <w:color w:val="auto"/>
              </w:rPr>
              <w:t>Chair</w:t>
            </w:r>
          </w:p>
        </w:tc>
        <w:tc>
          <w:tcPr>
            <w:tcW w:w="1920" w:type="dxa"/>
            <w:vAlign w:val="bottom"/>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Susan K. Carter</w:t>
            </w:r>
          </w:p>
        </w:tc>
        <w:tc>
          <w:tcPr>
            <w:tcW w:w="2140" w:type="dxa"/>
            <w:vAlign w:val="bottom"/>
            <w:tcBorders>
              <w:bottom w:val="single" w:sz="8" w:color="DBDBDB"/>
            </w:tcBorders>
            <w:shd w:val="clear" w:color="auto" w:fill="DBDBDB"/>
          </w:tcPr>
          <w:p>
            <w:pPr>
              <w:jc w:val="center"/>
              <w:ind w:left="148"/>
              <w:spacing w:after="0"/>
              <w:rPr>
                <w:sz w:val="20"/>
                <w:szCs w:val="20"/>
                <w:color w:val="auto"/>
              </w:rPr>
            </w:pPr>
            <w:r>
              <w:rPr>
                <w:rFonts w:ascii="Arial" w:cs="Arial" w:eastAsia="Arial" w:hAnsi="Arial"/>
                <w:sz w:val="18"/>
                <w:szCs w:val="18"/>
                <w:color w:val="auto"/>
              </w:rPr>
              <w:t>Chair</w:t>
            </w:r>
          </w:p>
        </w:tc>
        <w:tc>
          <w:tcPr>
            <w:tcW w:w="2280" w:type="dxa"/>
            <w:vAlign w:val="bottom"/>
            <w:tcBorders>
              <w:bottom w:val="single" w:sz="8" w:color="DBDBDB"/>
            </w:tcBorders>
            <w:shd w:val="clear" w:color="auto" w:fill="DBDBDB"/>
          </w:tcPr>
          <w:p>
            <w:pPr>
              <w:spacing w:after="0"/>
              <w:rPr>
                <w:sz w:val="24"/>
                <w:szCs w:val="24"/>
                <w:color w:val="auto"/>
              </w:rPr>
            </w:pPr>
          </w:p>
        </w:tc>
        <w:tc>
          <w:tcPr>
            <w:tcW w:w="1920" w:type="dxa"/>
            <w:vAlign w:val="bottom"/>
            <w:tcBorders>
              <w:bottom w:val="single" w:sz="8" w:color="DBDBDB"/>
            </w:tcBorders>
            <w:shd w:val="clear" w:color="auto" w:fill="DBDBDB"/>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14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60" w:type="dxa"/>
            <w:vAlign w:val="bottom"/>
          </w:tcPr>
          <w:p>
            <w:pPr>
              <w:ind w:left="20"/>
              <w:spacing w:after="0"/>
              <w:rPr>
                <w:sz w:val="20"/>
                <w:szCs w:val="20"/>
                <w:color w:val="auto"/>
              </w:rPr>
            </w:pPr>
            <w:r>
              <w:rPr>
                <w:rFonts w:ascii="Arial" w:cs="Arial" w:eastAsia="Arial" w:hAnsi="Arial"/>
                <w:sz w:val="18"/>
                <w:szCs w:val="18"/>
                <w:color w:val="auto"/>
              </w:rPr>
              <w:t>Thomas L. Deitrich</w:t>
            </w:r>
          </w:p>
        </w:tc>
        <w:tc>
          <w:tcPr>
            <w:tcW w:w="2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Gilles Delfassy</w:t>
            </w:r>
          </w:p>
        </w:tc>
        <w:tc>
          <w:tcPr>
            <w:tcW w:w="2140" w:type="dxa"/>
            <w:vAlign w:val="bottom"/>
            <w:tcBorders>
              <w:bottom w:val="single" w:sz="8" w:color="DBDBDB"/>
            </w:tcBorders>
            <w:shd w:val="clear" w:color="auto" w:fill="DBDBDB"/>
          </w:tcPr>
          <w:p>
            <w:pPr>
              <w:spacing w:after="0"/>
              <w:rPr>
                <w:sz w:val="24"/>
                <w:szCs w:val="24"/>
                <w:color w:val="auto"/>
              </w:rPr>
            </w:pPr>
          </w:p>
        </w:tc>
        <w:tc>
          <w:tcPr>
            <w:tcW w:w="2280" w:type="dxa"/>
            <w:vAlign w:val="bottom"/>
            <w:tcBorders>
              <w:bottom w:val="single" w:sz="8" w:color="DBDBDB"/>
            </w:tcBorders>
            <w:shd w:val="clear" w:color="auto" w:fill="DBDBDB"/>
          </w:tcPr>
          <w:p>
            <w:pPr>
              <w:spacing w:after="0"/>
              <w:rPr>
                <w:sz w:val="24"/>
                <w:szCs w:val="24"/>
                <w:color w:val="auto"/>
              </w:rPr>
            </w:pPr>
          </w:p>
        </w:tc>
        <w:tc>
          <w:tcPr>
            <w:tcW w:w="1920" w:type="dxa"/>
            <w:vAlign w:val="bottom"/>
            <w:tcBorders>
              <w:bottom w:val="single" w:sz="8" w:color="DBDBDB"/>
            </w:tcBorders>
            <w:shd w:val="clear" w:color="auto" w:fill="DBDBDB"/>
          </w:tcPr>
          <w:p>
            <w:pPr>
              <w:spacing w:after="0"/>
              <w:rPr>
                <w:sz w:val="24"/>
                <w:szCs w:val="24"/>
                <w:color w:val="auto"/>
              </w:rPr>
            </w:pPr>
          </w:p>
        </w:tc>
        <w:tc>
          <w:tcPr>
            <w:tcW w:w="2140" w:type="dxa"/>
            <w:vAlign w:val="bottom"/>
            <w:tcBorders>
              <w:bottom w:val="single" w:sz="8" w:color="DBDBDB"/>
            </w:tcBorders>
            <w:shd w:val="clear" w:color="auto" w:fill="DBDBDB"/>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281"/>
        </w:trPr>
        <w:tc>
          <w:tcPr>
            <w:tcW w:w="2060" w:type="dxa"/>
            <w:vAlign w:val="bottom"/>
          </w:tcPr>
          <w:p>
            <w:pPr>
              <w:ind w:left="20"/>
              <w:spacing w:after="0"/>
              <w:rPr>
                <w:sz w:val="20"/>
                <w:szCs w:val="20"/>
                <w:color w:val="auto"/>
              </w:rPr>
            </w:pPr>
            <w:r>
              <w:rPr>
                <w:rFonts w:ascii="Arial" w:cs="Arial" w:eastAsia="Arial" w:hAnsi="Arial"/>
                <w:sz w:val="18"/>
                <w:szCs w:val="18"/>
                <w:color w:val="auto"/>
              </w:rPr>
              <w:t>Hassane El-Khoury</w:t>
            </w:r>
          </w:p>
        </w:tc>
        <w:tc>
          <w:tcPr>
            <w:tcW w:w="21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1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Bruce E. Kiddoo</w:t>
            </w:r>
          </w:p>
        </w:tc>
        <w:tc>
          <w:tcPr>
            <w:tcW w:w="2140" w:type="dxa"/>
            <w:vAlign w:val="bottom"/>
            <w:shd w:val="clear" w:color="auto" w:fill="DBDBDB"/>
          </w:tcPr>
          <w:p>
            <w:pPr>
              <w:jc w:val="center"/>
              <w:ind w:left="148"/>
              <w:spacing w:after="0"/>
              <w:rPr>
                <w:sz w:val="20"/>
                <w:szCs w:val="20"/>
                <w:color w:val="auto"/>
              </w:rPr>
            </w:pPr>
            <w:r>
              <w:rPr>
                <w:rFonts w:ascii="Wingdings" w:cs="Wingdings" w:eastAsia="Wingdings" w:hAnsi="Wingdings"/>
                <w:sz w:val="25"/>
                <w:szCs w:val="25"/>
                <w:b w:val="1"/>
                <w:bCs w:val="1"/>
                <w:color w:val="auto"/>
              </w:rPr>
              <w:t>ü</w:t>
            </w:r>
          </w:p>
        </w:tc>
        <w:tc>
          <w:tcPr>
            <w:tcW w:w="2280" w:type="dxa"/>
            <w:vAlign w:val="bottom"/>
            <w:shd w:val="clear" w:color="auto" w:fill="DBDBDB"/>
          </w:tcPr>
          <w:p>
            <w:pPr>
              <w:spacing w:after="0"/>
              <w:rPr>
                <w:sz w:val="24"/>
                <w:szCs w:val="24"/>
                <w:color w:val="auto"/>
              </w:rPr>
            </w:pPr>
          </w:p>
        </w:tc>
        <w:tc>
          <w:tcPr>
            <w:tcW w:w="1920" w:type="dxa"/>
            <w:vAlign w:val="bottom"/>
            <w:shd w:val="clear" w:color="auto" w:fill="DBDBDB"/>
          </w:tcPr>
          <w:p>
            <w:pPr>
              <w:spacing w:after="0"/>
              <w:rPr>
                <w:sz w:val="24"/>
                <w:szCs w:val="24"/>
                <w:color w:val="auto"/>
              </w:rPr>
            </w:pPr>
          </w:p>
        </w:tc>
        <w:tc>
          <w:tcPr>
            <w:tcW w:w="21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60" w:type="dxa"/>
            <w:vAlign w:val="bottom"/>
            <w:shd w:val="clear" w:color="auto" w:fill="DBDBDB"/>
          </w:tcPr>
          <w:p>
            <w:pPr>
              <w:spacing w:after="0"/>
              <w:rPr>
                <w:sz w:val="2"/>
                <w:szCs w:val="2"/>
                <w:color w:val="auto"/>
              </w:rPr>
            </w:pPr>
          </w:p>
        </w:tc>
        <w:tc>
          <w:tcPr>
            <w:tcW w:w="2140" w:type="dxa"/>
            <w:vAlign w:val="bottom"/>
            <w:shd w:val="clear" w:color="auto" w:fill="DBDBDB"/>
          </w:tcPr>
          <w:p>
            <w:pPr>
              <w:spacing w:after="0"/>
              <w:rPr>
                <w:sz w:val="2"/>
                <w:szCs w:val="2"/>
                <w:color w:val="auto"/>
              </w:rPr>
            </w:pPr>
          </w:p>
        </w:tc>
        <w:tc>
          <w:tcPr>
            <w:tcW w:w="228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21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61" w:right="339" w:bottom="1440" w:gutter="0" w:footer="0" w:header="0"/>
        </w:sectPr>
      </w:pP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Paul A. Mascarenas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Gregory Waters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Christine Y. Yan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25"/>
          <w:szCs w:val="25"/>
          <w:b w:val="1"/>
          <w:bCs w:val="1"/>
          <w:color w:val="auto"/>
        </w:rPr>
        <w:t>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19050</wp:posOffset>
            </wp:positionV>
            <wp:extent cx="669480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94805" cy="1968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Wingdings" w:cs="Wingdings" w:eastAsia="Wingdings" w:hAnsi="Wingdings"/>
          <w:sz w:val="25"/>
          <w:szCs w:val="25"/>
          <w:b w:val="1"/>
          <w:bCs w:val="1"/>
          <w:color w:val="auto"/>
        </w:rPr>
        <w:t>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164465</wp:posOffset>
            </wp:positionV>
            <wp:extent cx="66948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260" w:val="left"/>
        </w:tabs>
        <w:rPr>
          <w:sz w:val="20"/>
          <w:szCs w:val="20"/>
          <w:color w:val="auto"/>
        </w:rPr>
      </w:pPr>
      <w:r>
        <w:rPr>
          <w:rFonts w:ascii="Arial" w:cs="Arial" w:eastAsia="Arial" w:hAnsi="Arial"/>
          <w:sz w:val="18"/>
          <w:szCs w:val="18"/>
          <w:color w:val="auto"/>
        </w:rPr>
        <w:t>Chair</w:t>
      </w:r>
      <w:r>
        <w:rPr>
          <w:sz w:val="20"/>
          <w:szCs w:val="20"/>
          <w:color w:val="auto"/>
        </w:rPr>
        <w:tab/>
      </w:r>
      <w:r>
        <w:rPr>
          <w:rFonts w:ascii="Wingdings" w:cs="Wingdings" w:eastAsia="Wingdings" w:hAnsi="Wingdings"/>
          <w:sz w:val="25"/>
          <w:szCs w:val="25"/>
          <w:b w:val="1"/>
          <w:bCs w:val="1"/>
          <w:color w:val="auto"/>
        </w:rPr>
        <w:t>ü</w:t>
      </w:r>
    </w:p>
    <w:p>
      <w:pPr>
        <w:spacing w:after="0" w:line="33" w:lineRule="exact"/>
        <w:rPr>
          <w:sz w:val="20"/>
          <w:szCs w:val="20"/>
          <w:color w:val="auto"/>
        </w:rPr>
      </w:pPr>
    </w:p>
    <w:p>
      <w:pPr>
        <w:jc w:val="right"/>
        <w:ind w:right="1280"/>
        <w:spacing w:after="0"/>
        <w:rPr>
          <w:sz w:val="20"/>
          <w:szCs w:val="20"/>
          <w:color w:val="auto"/>
        </w:rPr>
      </w:pPr>
      <w:r>
        <w:rPr>
          <w:rFonts w:ascii="Wingdings" w:cs="Wingdings" w:eastAsia="Wingdings" w:hAnsi="Wingdings"/>
          <w:sz w:val="25"/>
          <w:szCs w:val="25"/>
          <w:b w:val="1"/>
          <w:bCs w:val="1"/>
          <w:color w:val="auto"/>
        </w:rPr>
        <w:t>ü</w:t>
      </w:r>
    </w:p>
    <w:p>
      <w:pPr>
        <w:spacing w:after="0" w:line="25"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ectPr>
          <w:pgSz w:w="11900" w:h="16838" w:orient="portrait"/>
          <w:cols w:equalWidth="0" w:num="3">
            <w:col w:w="4880" w:space="720"/>
            <w:col w:w="1160" w:space="720"/>
            <w:col w:w="3760"/>
          </w:cols>
          <w:pgMar w:left="320" w:top="161" w:right="339" w:bottom="1440" w:gutter="0" w:footer="0" w:header="0"/>
          <w:type w:val="continuous"/>
        </w:sectPr>
      </w:pP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Each of our Board’s standing committees has a formal written charter, and copies of the charters for the Audit, HCC and GS Committee are available in the Investor Relations section of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The Audit, HCC and GS Committees review their charters at least annually. Below is an overview of the functions served by each standing committee, including highlights from that committee’s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496570</wp:posOffset>
            </wp:positionV>
            <wp:extent cx="7115175" cy="603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6032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465E66"/>
        </w:rPr>
        <w:t>AUDIT COMMITTEE</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E97D2E"/>
        </w:rPr>
        <w:t xml:space="preserve">9 </w:t>
      </w:r>
      <w:r>
        <w:rPr>
          <w:rFonts w:ascii="Arial" w:cs="Arial" w:eastAsia="Arial" w:hAnsi="Arial"/>
          <w:sz w:val="18"/>
          <w:szCs w:val="18"/>
          <w:color w:val="000000"/>
        </w:rPr>
        <w:t>meetings in</w:t>
      </w:r>
      <w:r>
        <w:rPr>
          <w:rFonts w:ascii="Arial" w:cs="Arial" w:eastAsia="Arial" w:hAnsi="Arial"/>
          <w:sz w:val="18"/>
          <w:szCs w:val="18"/>
          <w:b w:val="1"/>
          <w:bCs w:val="1"/>
          <w:color w:val="E97D2E"/>
        </w:rPr>
        <w:t xml:space="preserve"> 2022</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465E66"/>
        </w:rPr>
        <w:t>Members</w:t>
      </w:r>
      <w:r>
        <w:rPr>
          <w:rFonts w:ascii="Arial" w:cs="Arial" w:eastAsia="Arial" w:hAnsi="Arial"/>
          <w:sz w:val="18"/>
          <w:szCs w:val="18"/>
          <w:color w:val="000000"/>
        </w:rPr>
        <w:t>:</w:t>
      </w:r>
    </w:p>
    <w:p>
      <w:pPr>
        <w:ind w:left="40"/>
        <w:spacing w:after="0" w:line="232" w:lineRule="auto"/>
        <w:rPr>
          <w:sz w:val="20"/>
          <w:szCs w:val="20"/>
          <w:color w:val="auto"/>
        </w:rPr>
      </w:pPr>
      <w:r>
        <w:rPr>
          <w:rFonts w:ascii="Arial" w:cs="Arial" w:eastAsia="Arial" w:hAnsi="Arial"/>
          <w:sz w:val="17"/>
          <w:szCs w:val="17"/>
          <w:color w:val="auto"/>
        </w:rPr>
        <w:t>Susan K. Carter, Chair</w:t>
      </w:r>
    </w:p>
    <w:p>
      <w:pPr>
        <w:ind w:left="40"/>
        <w:spacing w:after="0" w:line="203" w:lineRule="auto"/>
        <w:rPr>
          <w:sz w:val="20"/>
          <w:szCs w:val="20"/>
          <w:color w:val="auto"/>
        </w:rPr>
      </w:pPr>
      <w:r>
        <w:rPr>
          <w:rFonts w:ascii="Arial" w:cs="Arial" w:eastAsia="Arial" w:hAnsi="Arial"/>
          <w:sz w:val="18"/>
          <w:szCs w:val="18"/>
          <w:color w:val="auto"/>
        </w:rPr>
        <w:t>Atsushi Abe</w:t>
      </w:r>
    </w:p>
    <w:p>
      <w:pPr>
        <w:ind w:left="40"/>
        <w:spacing w:after="0" w:line="204" w:lineRule="auto"/>
        <w:rPr>
          <w:sz w:val="20"/>
          <w:szCs w:val="20"/>
          <w:color w:val="auto"/>
        </w:rPr>
      </w:pPr>
      <w:r>
        <w:rPr>
          <w:rFonts w:ascii="Arial" w:cs="Arial" w:eastAsia="Arial" w:hAnsi="Arial"/>
          <w:sz w:val="18"/>
          <w:szCs w:val="18"/>
          <w:color w:val="auto"/>
        </w:rPr>
        <w:t>Alan Campbell</w:t>
      </w:r>
    </w:p>
    <w:p>
      <w:pPr>
        <w:ind w:left="40"/>
        <w:spacing w:after="0"/>
        <w:rPr>
          <w:sz w:val="20"/>
          <w:szCs w:val="20"/>
          <w:color w:val="auto"/>
        </w:rPr>
      </w:pPr>
      <w:r>
        <w:rPr>
          <w:rFonts w:ascii="Arial" w:cs="Arial" w:eastAsia="Arial" w:hAnsi="Arial"/>
          <w:sz w:val="18"/>
          <w:szCs w:val="18"/>
          <w:color w:val="auto"/>
        </w:rPr>
        <w:t>Bruce E. Kiddoo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465E66"/>
        </w:rPr>
        <w:t>Primary Responsibilities</w:t>
      </w:r>
    </w:p>
    <w:p>
      <w:pPr>
        <w:ind w:left="248" w:right="280" w:hanging="248"/>
        <w:spacing w:after="0" w:line="211" w:lineRule="auto"/>
        <w:tabs>
          <w:tab w:leader="none" w:pos="163"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Monitor the integrity of the Company’s corporate accounting and financial reporting processes and the audits of financial statements</w:t>
      </w:r>
    </w:p>
    <w:p>
      <w:pPr>
        <w:ind w:left="168" w:hanging="168"/>
        <w:spacing w:after="0" w:line="203" w:lineRule="auto"/>
        <w:tabs>
          <w:tab w:leader="none" w:pos="168"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Appoint, determine funding for and oversee our independent registered public accounting firm</w:t>
      </w:r>
    </w:p>
    <w:p>
      <w:pPr>
        <w:ind w:left="168" w:hanging="168"/>
        <w:spacing w:after="0" w:line="219" w:lineRule="auto"/>
        <w:tabs>
          <w:tab w:leader="none" w:pos="168"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Review the independence, qualifications and performance of our internal and independent auditors</w:t>
      </w:r>
    </w:p>
    <w:p>
      <w:pPr>
        <w:ind w:left="248" w:right="40" w:hanging="248"/>
        <w:spacing w:after="0" w:line="207" w:lineRule="auto"/>
        <w:tabs>
          <w:tab w:leader="none" w:pos="163"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Pursuant to SEC rules,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 w:lineRule="exact"/>
        <w:rPr>
          <w:rFonts w:ascii="Arial" w:cs="Arial" w:eastAsia="Arial" w:hAnsi="Arial"/>
          <w:sz w:val="18"/>
          <w:szCs w:val="18"/>
          <w:color w:val="276990"/>
        </w:rPr>
      </w:pPr>
    </w:p>
    <w:p>
      <w:pPr>
        <w:ind w:left="248" w:right="520" w:hanging="248"/>
        <w:spacing w:after="0" w:line="211" w:lineRule="auto"/>
        <w:tabs>
          <w:tab w:leader="none" w:pos="163"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Discuss with management the Company’s major financial risk exposures and processes in place to monitor and control such exposures</w:t>
      </w:r>
    </w:p>
    <w:p>
      <w:pPr>
        <w:ind w:left="248" w:right="420" w:hanging="248"/>
        <w:spacing w:after="0" w:line="203" w:lineRule="auto"/>
        <w:tabs>
          <w:tab w:leader="none" w:pos="163"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Review insurance coverage for directors and officers, and make recommendations to the Board with respect to such insurance</w:t>
      </w:r>
    </w:p>
    <w:p>
      <w:pPr>
        <w:ind w:left="248" w:right="720" w:hanging="248"/>
        <w:spacing w:after="0" w:line="211" w:lineRule="auto"/>
        <w:tabs>
          <w:tab w:leader="none" w:pos="163"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Oversee the Company’s cybersecurity posture and actions remediating any issues related to the protection or privacy of the Company’s data</w:t>
      </w:r>
    </w:p>
    <w:p>
      <w:pPr>
        <w:ind w:left="168" w:hanging="168"/>
        <w:spacing w:after="0" w:line="203" w:lineRule="auto"/>
        <w:tabs>
          <w:tab w:leader="none" w:pos="168"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Review and oversee related party transactions in accordance with applicable securities laws</w:t>
      </w:r>
    </w:p>
    <w:p>
      <w:pPr>
        <w:ind w:left="248" w:right="260" w:hanging="248"/>
        <w:spacing w:after="0" w:line="211" w:lineRule="auto"/>
        <w:tabs>
          <w:tab w:leader="none" w:pos="163"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Review, discuss and recommend the Company’s quarterly and annual audited financial statements for inclusion in the Company’s quarterly reports and annual report, respectively</w:t>
      </w:r>
    </w:p>
    <w:p>
      <w:pPr>
        <w:ind w:left="168" w:hanging="168"/>
        <w:spacing w:after="0" w:line="203" w:lineRule="auto"/>
        <w:tabs>
          <w:tab w:leader="none" w:pos="168"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Periodically review the tax strategy of the Company</w:t>
      </w:r>
    </w:p>
    <w:p>
      <w:pPr>
        <w:ind w:left="248" w:right="200" w:hanging="248"/>
        <w:spacing w:after="0" w:line="221" w:lineRule="auto"/>
        <w:tabs>
          <w:tab w:leader="none" w:pos="163" w:val="left"/>
        </w:tabs>
        <w:numPr>
          <w:ilvl w:val="0"/>
          <w:numId w:val="35"/>
        </w:numPr>
        <w:rPr>
          <w:rFonts w:ascii="Arial" w:cs="Arial" w:eastAsia="Arial" w:hAnsi="Arial"/>
          <w:sz w:val="17"/>
          <w:szCs w:val="17"/>
          <w:color w:val="276990"/>
        </w:rPr>
      </w:pPr>
      <w:r>
        <w:rPr>
          <w:rFonts w:ascii="Arial" w:cs="Arial" w:eastAsia="Arial" w:hAnsi="Arial"/>
          <w:sz w:val="17"/>
          <w:szCs w:val="17"/>
          <w:color w:val="auto"/>
        </w:rPr>
        <w:t>Oversee the effectiveness of the Company’s legal compliance policies and programs, as well as the handling of (i) any known material non-compliance with applicable regulations or (ii) other legal and regulatory matters that may have a material impact on the Company’s finances or compliance policies</w:t>
      </w:r>
    </w:p>
    <w:p>
      <w:pPr>
        <w:ind w:left="248" w:right="200" w:hanging="248"/>
        <w:spacing w:after="0" w:line="237" w:lineRule="auto"/>
        <w:tabs>
          <w:tab w:leader="none" w:pos="163" w:val="left"/>
        </w:tabs>
        <w:numPr>
          <w:ilvl w:val="0"/>
          <w:numId w:val="35"/>
        </w:numPr>
        <w:rPr>
          <w:rFonts w:ascii="Arial" w:cs="Arial" w:eastAsia="Arial" w:hAnsi="Arial"/>
          <w:sz w:val="18"/>
          <w:szCs w:val="18"/>
          <w:color w:val="276990"/>
        </w:rPr>
      </w:pPr>
      <w:r>
        <w:rPr>
          <w:rFonts w:ascii="Arial" w:cs="Arial" w:eastAsia="Arial" w:hAnsi="Arial"/>
          <w:sz w:val="18"/>
          <w:szCs w:val="18"/>
          <w:color w:val="auto"/>
        </w:rPr>
        <w:t>Provide guidance for the Company’s ERM Program and review and oversee the Company’s ethics and compliance program</w:t>
      </w:r>
    </w:p>
    <w:p>
      <w:pPr>
        <w:spacing w:after="0" w:line="200" w:lineRule="exact"/>
        <w:rPr>
          <w:sz w:val="20"/>
          <w:szCs w:val="20"/>
          <w:color w:val="auto"/>
        </w:rPr>
      </w:pPr>
    </w:p>
    <w:p>
      <w:pPr>
        <w:sectPr>
          <w:pgSz w:w="11900" w:h="16838" w:orient="portrait"/>
          <w:cols w:equalWidth="0" w:num="2">
            <w:col w:w="1992" w:space="720"/>
            <w:col w:w="8528"/>
          </w:cols>
          <w:pgMar w:left="320" w:top="161" w:right="339" w:bottom="1440" w:gutter="0" w:footer="0" w:header="0"/>
          <w:type w:val="continuous"/>
        </w:sectPr>
      </w:pP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required by SEC rules, the Audit Committee prepares a report that is included in our proxy statement. This report may be found immediately following Proposal No. 4.</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determined that each member of the Audit Committee is independent within the meaning of applicable SEC rules and Nasdaq listing standards for director independence generally and for audit committee service specifically and that each of them is financially competent under the current Nasdaq listing standards. The Board has also determined that three current members of this committee — Alan Campbell, Susan K. Carter and Bruce E. Kiddoo — meet the qualifications of an “audit committee financial expert” in accordance with SEC rules and similar financial sophistication rules under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603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16</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1" w:name="page22"/>
    <w:bookmarkEnd w:id="21"/>
    <w:p>
      <w:pPr>
        <w:jc w:val="right"/>
        <w:ind w:right="20"/>
        <w:spacing w:after="0"/>
        <w:rPr>
          <w:sz w:val="20"/>
          <w:szCs w:val="20"/>
          <w:color w:val="auto"/>
        </w:rPr>
      </w:pPr>
      <w:r>
        <w:rPr>
          <w:rFonts w:ascii="Arial" w:cs="Arial" w:eastAsia="Arial" w:hAnsi="Arial"/>
          <w:sz w:val="18"/>
          <w:szCs w:val="18"/>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15175" cy="603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GOVERNANCE AND SUSTAINABILITY COMMITTEE</w:t>
      </w:r>
    </w:p>
    <w:p>
      <w:pPr>
        <w:sectPr>
          <w:pgSz w:w="11900" w:h="16838" w:orient="portrait"/>
          <w:cols w:equalWidth="0" w:num="1">
            <w:col w:w="11240"/>
          </w:cols>
          <w:pgMar w:left="320" w:top="161"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 xml:space="preserve">5 </w:t>
      </w:r>
      <w:r>
        <w:rPr>
          <w:rFonts w:ascii="Arial" w:cs="Arial" w:eastAsia="Arial" w:hAnsi="Arial"/>
          <w:sz w:val="18"/>
          <w:szCs w:val="18"/>
          <w:color w:val="000000"/>
        </w:rPr>
        <w:t>meetings in</w:t>
      </w:r>
      <w:r>
        <w:rPr>
          <w:rFonts w:ascii="Arial" w:cs="Arial" w:eastAsia="Arial" w:hAnsi="Arial"/>
          <w:sz w:val="18"/>
          <w:szCs w:val="18"/>
          <w:b w:val="1"/>
          <w:bCs w:val="1"/>
          <w:color w:val="E97D2E"/>
        </w:rPr>
        <w:t xml:space="preserve">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Members</w:t>
      </w:r>
      <w:r>
        <w:rPr>
          <w:rFonts w:ascii="Arial" w:cs="Arial" w:eastAsia="Arial" w:hAnsi="Arial"/>
          <w:sz w:val="18"/>
          <w:szCs w:val="18"/>
          <w:color w:val="000000"/>
        </w:rPr>
        <w:t>:</w:t>
      </w:r>
    </w:p>
    <w:p>
      <w:pPr>
        <w:ind w:left="20"/>
        <w:spacing w:after="0" w:line="232" w:lineRule="auto"/>
        <w:rPr>
          <w:sz w:val="20"/>
          <w:szCs w:val="20"/>
          <w:color w:val="auto"/>
        </w:rPr>
      </w:pPr>
      <w:r>
        <w:rPr>
          <w:rFonts w:ascii="Arial" w:cs="Arial" w:eastAsia="Arial" w:hAnsi="Arial"/>
          <w:sz w:val="17"/>
          <w:szCs w:val="17"/>
          <w:color w:val="auto"/>
        </w:rPr>
        <w:t>Paul A. Mascarenas, Chair</w:t>
      </w:r>
    </w:p>
    <w:p>
      <w:pPr>
        <w:ind w:left="20" w:right="620"/>
        <w:spacing w:after="0" w:line="221" w:lineRule="auto"/>
        <w:rPr>
          <w:sz w:val="20"/>
          <w:szCs w:val="20"/>
          <w:color w:val="auto"/>
        </w:rPr>
      </w:pPr>
      <w:r>
        <w:rPr>
          <w:rFonts w:ascii="Arial" w:cs="Arial" w:eastAsia="Arial" w:hAnsi="Arial"/>
          <w:sz w:val="18"/>
          <w:szCs w:val="18"/>
          <w:color w:val="auto"/>
        </w:rPr>
        <w:t>Alan Campbell Susan K. Carter Thomas L. Deitrich</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65E66"/>
        </w:rPr>
        <w:t>Primary Responsibilities</w:t>
      </w:r>
    </w:p>
    <w:p>
      <w:pPr>
        <w:ind w:left="161" w:hanging="161"/>
        <w:spacing w:after="0" w:line="219" w:lineRule="auto"/>
        <w:tabs>
          <w:tab w:leader="none" w:pos="161"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Identify qualified individuals to become Board members</w:t>
      </w:r>
    </w:p>
    <w:p>
      <w:pPr>
        <w:ind w:left="161" w:hanging="161"/>
        <w:spacing w:after="0" w:line="203" w:lineRule="auto"/>
        <w:tabs>
          <w:tab w:leader="none" w:pos="161"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Consider and make recommendations with respect to Board composition and committees</w:t>
      </w:r>
    </w:p>
    <w:p>
      <w:pPr>
        <w:ind w:left="161" w:hanging="161"/>
        <w:spacing w:after="0" w:line="203" w:lineRule="auto"/>
        <w:tabs>
          <w:tab w:leader="none" w:pos="161"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Monitor the process to assess Board effectiveness</w:t>
      </w:r>
    </w:p>
    <w:p>
      <w:pPr>
        <w:ind w:left="161" w:hanging="161"/>
        <w:spacing w:after="0" w:line="219" w:lineRule="auto"/>
        <w:tabs>
          <w:tab w:leader="none" w:pos="161"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Develop and implement the Company’s corporate governance principles</w:t>
      </w:r>
    </w:p>
    <w:p>
      <w:pPr>
        <w:ind w:left="161" w:hanging="161"/>
        <w:spacing w:after="0" w:line="203" w:lineRule="auto"/>
        <w:tabs>
          <w:tab w:leader="none" w:pos="161"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Develop and periodically review criteria for nominees for director</w:t>
      </w:r>
    </w:p>
    <w:p>
      <w:pPr>
        <w:ind w:left="241" w:right="100" w:hanging="241"/>
        <w:spacing w:after="0" w:line="211" w:lineRule="auto"/>
        <w:tabs>
          <w:tab w:leader="none" w:pos="156"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Oversee the director orientation program and others designed to improve directors’ understanding of the Company</w:t>
      </w:r>
    </w:p>
    <w:p>
      <w:pPr>
        <w:ind w:left="241" w:right="120" w:hanging="241"/>
        <w:spacing w:after="0" w:line="203" w:lineRule="auto"/>
        <w:tabs>
          <w:tab w:leader="none" w:pos="156"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Oversee climate-related and sustainability-related initiatives and other Company actions associated with the environment</w:t>
      </w:r>
    </w:p>
    <w:p>
      <w:pPr>
        <w:ind w:left="241" w:right="360" w:hanging="241"/>
        <w:spacing w:after="0" w:line="211" w:lineRule="auto"/>
        <w:tabs>
          <w:tab w:leader="none" w:pos="156"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Review and oversee matters related to environmental, health and safety, and ESG topics and related Code of Business Conduct provisions</w:t>
      </w:r>
    </w:p>
    <w:p>
      <w:pPr>
        <w:ind w:left="241" w:right="220" w:hanging="241"/>
        <w:spacing w:after="0" w:line="211" w:lineRule="auto"/>
        <w:tabs>
          <w:tab w:leader="none" w:pos="156"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Oversee succession planning for the CEO and coordinate with the HCC Committee regarding potential succession candidates identified internally</w:t>
      </w:r>
    </w:p>
    <w:p>
      <w:pPr>
        <w:ind w:left="241" w:right="740" w:hanging="241"/>
        <w:spacing w:after="0" w:line="229" w:lineRule="auto"/>
        <w:tabs>
          <w:tab w:leader="none" w:pos="156" w:val="left"/>
        </w:tabs>
        <w:numPr>
          <w:ilvl w:val="0"/>
          <w:numId w:val="36"/>
        </w:numPr>
        <w:rPr>
          <w:rFonts w:ascii="Arial" w:cs="Arial" w:eastAsia="Arial" w:hAnsi="Arial"/>
          <w:sz w:val="18"/>
          <w:szCs w:val="18"/>
          <w:color w:val="276990"/>
        </w:rPr>
      </w:pPr>
      <w:r>
        <w:rPr>
          <w:rFonts w:ascii="Arial" w:cs="Arial" w:eastAsia="Arial" w:hAnsi="Arial"/>
          <w:sz w:val="18"/>
          <w:szCs w:val="18"/>
          <w:color w:val="auto"/>
        </w:rPr>
        <w:t>Review and make recommendations to the Board regarding matters of corporate governance as requested by the Board or as otherwise deemed appropriate</w:t>
      </w:r>
    </w:p>
    <w:p>
      <w:pPr>
        <w:spacing w:after="0" w:line="200" w:lineRule="exact"/>
        <w:rPr>
          <w:sz w:val="20"/>
          <w:szCs w:val="20"/>
          <w:color w:val="auto"/>
        </w:rPr>
      </w:pPr>
    </w:p>
    <w:p>
      <w:pPr>
        <w:sectPr>
          <w:pgSz w:w="11900" w:h="16838" w:orient="portrait"/>
          <w:cols w:equalWidth="0" w:num="2">
            <w:col w:w="2160" w:space="539"/>
            <w:col w:w="8541"/>
          </w:cols>
          <w:pgMar w:left="320" w:top="161" w:right="339" w:bottom="1440" w:gutter="0" w:footer="0" w:header="0"/>
          <w:type w:val="continuous"/>
        </w:sectPr>
      </w:pPr>
    </w:p>
    <w:p>
      <w:pPr>
        <w:spacing w:after="0" w:line="13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The GS Committee may engage in research to identify qualified individuals for potential Board service, which may include engaging a professional search firm from time to time.</w:t>
      </w:r>
    </w:p>
    <w:p>
      <w:pPr>
        <w:spacing w:after="0" w:line="18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Board has determined that each member of the GS Committee is independent within the meaning of applicable SEC rules and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517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59690"/>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HUMAN CAPITAL AND COMPENSATION COMMITTEE</w:t>
      </w:r>
    </w:p>
    <w:p>
      <w:pPr>
        <w:sectPr>
          <w:pgSz w:w="11900" w:h="16838" w:orient="portrait"/>
          <w:cols w:equalWidth="0" w:num="1">
            <w:col w:w="11240"/>
          </w:cols>
          <w:pgMar w:left="320" w:top="161" w:right="339" w:bottom="1440" w:gutter="0" w:footer="0" w:header="0"/>
          <w:type w:val="continuous"/>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 xml:space="preserve">6 </w:t>
      </w:r>
      <w:r>
        <w:rPr>
          <w:rFonts w:ascii="Arial" w:cs="Arial" w:eastAsia="Arial" w:hAnsi="Arial"/>
          <w:sz w:val="18"/>
          <w:szCs w:val="18"/>
          <w:color w:val="000000"/>
        </w:rPr>
        <w:t>meetings in</w:t>
      </w:r>
      <w:r>
        <w:rPr>
          <w:rFonts w:ascii="Arial" w:cs="Arial" w:eastAsia="Arial" w:hAnsi="Arial"/>
          <w:sz w:val="18"/>
          <w:szCs w:val="18"/>
          <w:b w:val="1"/>
          <w:bCs w:val="1"/>
          <w:color w:val="E97D2E"/>
        </w:rPr>
        <w:t xml:space="preserve"> 2022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Members</w:t>
      </w:r>
      <w:r>
        <w:rPr>
          <w:rFonts w:ascii="Arial" w:cs="Arial" w:eastAsia="Arial" w:hAnsi="Arial"/>
          <w:sz w:val="18"/>
          <w:szCs w:val="18"/>
          <w:color w:val="000000"/>
        </w:rPr>
        <w:t>:</w:t>
      </w:r>
    </w:p>
    <w:p>
      <w:pPr>
        <w:ind w:left="20" w:right="159"/>
        <w:spacing w:after="0" w:line="208" w:lineRule="auto"/>
        <w:rPr>
          <w:sz w:val="20"/>
          <w:szCs w:val="20"/>
          <w:color w:val="auto"/>
        </w:rPr>
      </w:pPr>
      <w:r>
        <w:rPr>
          <w:rFonts w:ascii="Arial" w:cs="Arial" w:eastAsia="Arial" w:hAnsi="Arial"/>
          <w:sz w:val="18"/>
          <w:szCs w:val="18"/>
          <w:color w:val="auto"/>
        </w:rPr>
        <w:t>Christine Y. Yan, Chair Gilles Delfassy Paul A. Mascarenas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Waters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65E66"/>
        </w:rPr>
        <w:t>Primary Responsibilities</w:t>
      </w:r>
    </w:p>
    <w:p>
      <w:pPr>
        <w:ind w:left="241" w:right="740" w:hanging="241"/>
        <w:spacing w:after="0" w:line="203" w:lineRule="auto"/>
        <w:tabs>
          <w:tab w:leader="none" w:pos="156" w:val="left"/>
        </w:tabs>
        <w:numPr>
          <w:ilvl w:val="0"/>
          <w:numId w:val="37"/>
        </w:numPr>
        <w:rPr>
          <w:rFonts w:ascii="Arial" w:cs="Arial" w:eastAsia="Arial" w:hAnsi="Arial"/>
          <w:sz w:val="18"/>
          <w:szCs w:val="18"/>
          <w:color w:val="276990"/>
        </w:rPr>
      </w:pPr>
      <w:r>
        <w:rPr>
          <w:rFonts w:ascii="Arial" w:cs="Arial" w:eastAsia="Arial" w:hAnsi="Arial"/>
          <w:sz w:val="18"/>
          <w:szCs w:val="18"/>
          <w:color w:val="auto"/>
        </w:rPr>
        <w:t>Discharge the Board’s responsibilities relating to the application of compensation policies and all elements of the compensation of our non-employee directors, CEO and other key officers</w:t>
      </w:r>
    </w:p>
    <w:p>
      <w:pPr>
        <w:ind w:left="241" w:right="60" w:hanging="241"/>
        <w:spacing w:after="0" w:line="211" w:lineRule="auto"/>
        <w:tabs>
          <w:tab w:leader="none" w:pos="156" w:val="left"/>
        </w:tabs>
        <w:numPr>
          <w:ilvl w:val="0"/>
          <w:numId w:val="37"/>
        </w:numPr>
        <w:rPr>
          <w:rFonts w:ascii="Arial" w:cs="Arial" w:eastAsia="Arial" w:hAnsi="Arial"/>
          <w:sz w:val="18"/>
          <w:szCs w:val="18"/>
          <w:color w:val="276990"/>
        </w:rPr>
      </w:pPr>
      <w:r>
        <w:rPr>
          <w:rFonts w:ascii="Arial" w:cs="Arial" w:eastAsia="Arial" w:hAnsi="Arial"/>
          <w:sz w:val="18"/>
          <w:szCs w:val="18"/>
          <w:color w:val="auto"/>
        </w:rPr>
        <w:t>Administer the Company’s equity-based plans, all other STI and LTI plans and all deferred compensation programs</w:t>
      </w:r>
    </w:p>
    <w:p>
      <w:pPr>
        <w:ind w:left="241" w:right="460" w:hanging="241"/>
        <w:spacing w:after="0" w:line="211" w:lineRule="auto"/>
        <w:tabs>
          <w:tab w:leader="none" w:pos="157" w:val="left"/>
        </w:tabs>
        <w:numPr>
          <w:ilvl w:val="0"/>
          <w:numId w:val="37"/>
        </w:numPr>
        <w:rPr>
          <w:rFonts w:ascii="Arial" w:cs="Arial" w:eastAsia="Arial" w:hAnsi="Arial"/>
          <w:sz w:val="18"/>
          <w:szCs w:val="18"/>
          <w:color w:val="276990"/>
        </w:rPr>
      </w:pPr>
      <w:r>
        <w:rPr>
          <w:rFonts w:ascii="Arial" w:cs="Arial" w:eastAsia="Arial" w:hAnsi="Arial"/>
          <w:sz w:val="18"/>
          <w:szCs w:val="18"/>
          <w:color w:val="auto"/>
        </w:rPr>
        <w:t>Review and approve, or recommend to the Board for approval, any employment agreement with the CEO or any other senior executive</w:t>
      </w:r>
    </w:p>
    <w:p>
      <w:pPr>
        <w:ind w:left="241" w:right="60" w:hanging="241"/>
        <w:spacing w:after="0" w:line="208" w:lineRule="auto"/>
        <w:tabs>
          <w:tab w:leader="none" w:pos="156" w:val="left"/>
        </w:tabs>
        <w:numPr>
          <w:ilvl w:val="0"/>
          <w:numId w:val="37"/>
        </w:numPr>
        <w:rPr>
          <w:rFonts w:ascii="Arial" w:cs="Arial" w:eastAsia="Arial" w:hAnsi="Arial"/>
          <w:sz w:val="18"/>
          <w:szCs w:val="18"/>
          <w:color w:val="276990"/>
        </w:rPr>
      </w:pPr>
      <w:r>
        <w:rPr>
          <w:rFonts w:ascii="Arial" w:cs="Arial" w:eastAsia="Arial" w:hAnsi="Arial"/>
          <w:sz w:val="18"/>
          <w:szCs w:val="18"/>
          <w:color w:val="auto"/>
        </w:rPr>
        <w:t>Retain or terminate any compensation consultants or other advisors, or obtain the advice of such persons in accordance with applicable securities laws and Nasdaq rules, to assist in the discharge of its duties; and approve the fees paid to such consultants or advisors</w:t>
      </w:r>
    </w:p>
    <w:p>
      <w:pPr>
        <w:spacing w:after="0" w:line="1" w:lineRule="exact"/>
        <w:rPr>
          <w:rFonts w:ascii="Arial" w:cs="Arial" w:eastAsia="Arial" w:hAnsi="Arial"/>
          <w:sz w:val="18"/>
          <w:szCs w:val="18"/>
          <w:color w:val="276990"/>
        </w:rPr>
      </w:pPr>
    </w:p>
    <w:p>
      <w:pPr>
        <w:ind w:left="241" w:right="100" w:hanging="241"/>
        <w:spacing w:after="0" w:line="215" w:lineRule="auto"/>
        <w:tabs>
          <w:tab w:leader="none" w:pos="157" w:val="left"/>
        </w:tabs>
        <w:numPr>
          <w:ilvl w:val="0"/>
          <w:numId w:val="37"/>
        </w:numPr>
        <w:rPr>
          <w:rFonts w:ascii="Arial" w:cs="Arial" w:eastAsia="Arial" w:hAnsi="Arial"/>
          <w:sz w:val="17"/>
          <w:szCs w:val="17"/>
          <w:color w:val="276990"/>
        </w:rPr>
      </w:pPr>
      <w:r>
        <w:rPr>
          <w:rFonts w:ascii="Arial" w:cs="Arial" w:eastAsia="Arial" w:hAnsi="Arial"/>
          <w:sz w:val="17"/>
          <w:szCs w:val="17"/>
          <w:color w:val="auto"/>
        </w:rPr>
        <w:t>Develop policies and procedures for (i) succession planning for senior executives aside from the CEO and (ii) the development of certain senior executives identified as potential CEO succession candidates</w:t>
      </w:r>
    </w:p>
    <w:p>
      <w:pPr>
        <w:ind w:left="161" w:hanging="161"/>
        <w:spacing w:after="0" w:line="219" w:lineRule="auto"/>
        <w:tabs>
          <w:tab w:leader="none" w:pos="161" w:val="left"/>
        </w:tabs>
        <w:numPr>
          <w:ilvl w:val="0"/>
          <w:numId w:val="37"/>
        </w:numPr>
        <w:rPr>
          <w:rFonts w:ascii="Arial" w:cs="Arial" w:eastAsia="Arial" w:hAnsi="Arial"/>
          <w:sz w:val="18"/>
          <w:szCs w:val="18"/>
          <w:color w:val="276990"/>
        </w:rPr>
      </w:pPr>
      <w:r>
        <w:rPr>
          <w:rFonts w:ascii="Arial" w:cs="Arial" w:eastAsia="Arial" w:hAnsi="Arial"/>
          <w:sz w:val="18"/>
          <w:szCs w:val="18"/>
          <w:color w:val="auto"/>
        </w:rPr>
        <w:t>Oversee compensation risk management</w:t>
      </w:r>
    </w:p>
    <w:p>
      <w:pPr>
        <w:ind w:left="161" w:hanging="161"/>
        <w:spacing w:after="0"/>
        <w:tabs>
          <w:tab w:leader="none" w:pos="161" w:val="left"/>
        </w:tabs>
        <w:numPr>
          <w:ilvl w:val="0"/>
          <w:numId w:val="37"/>
        </w:numPr>
        <w:rPr>
          <w:rFonts w:ascii="Arial" w:cs="Arial" w:eastAsia="Arial" w:hAnsi="Arial"/>
          <w:sz w:val="18"/>
          <w:szCs w:val="18"/>
          <w:color w:val="276990"/>
        </w:rPr>
      </w:pPr>
      <w:r>
        <w:rPr>
          <w:rFonts w:ascii="Arial" w:cs="Arial" w:eastAsia="Arial" w:hAnsi="Arial"/>
          <w:sz w:val="18"/>
          <w:szCs w:val="18"/>
          <w:color w:val="auto"/>
        </w:rPr>
        <w:t>Oversee human capital policies regarding diversity, equity, inclusion and talent management</w:t>
      </w:r>
    </w:p>
    <w:p>
      <w:pPr>
        <w:spacing w:after="0" w:line="200" w:lineRule="exact"/>
        <w:rPr>
          <w:sz w:val="20"/>
          <w:szCs w:val="20"/>
          <w:color w:val="auto"/>
        </w:rPr>
      </w:pPr>
    </w:p>
    <w:p>
      <w:pPr>
        <w:sectPr>
          <w:pgSz w:w="11900" w:h="16838" w:orient="portrait"/>
          <w:cols w:equalWidth="0" w:num="2">
            <w:col w:w="1979" w:space="720"/>
            <w:col w:w="8541"/>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required by SEC rules, the HCC Committee prepares a report that is included in our proxy statement. This report may be found immediately following the CD&amp;A.</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Board has determined that each member of the HCC Committee is independent within the meaning of applicable SEC rules and Nasdaq listing standards for director independence generally and for compensation committee service specifically.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603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15175" cy="603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6032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EXECUTIVE COMMITTEE</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 xml:space="preserve">2 </w:t>
      </w:r>
      <w:r>
        <w:rPr>
          <w:rFonts w:ascii="Arial" w:cs="Arial" w:eastAsia="Arial" w:hAnsi="Arial"/>
          <w:sz w:val="18"/>
          <w:szCs w:val="18"/>
          <w:color w:val="000000"/>
        </w:rPr>
        <w:t>meetings in</w:t>
      </w:r>
      <w:r>
        <w:rPr>
          <w:rFonts w:ascii="Arial" w:cs="Arial" w:eastAsia="Arial" w:hAnsi="Arial"/>
          <w:sz w:val="18"/>
          <w:szCs w:val="18"/>
          <w:b w:val="1"/>
          <w:bCs w:val="1"/>
          <w:color w:val="E97D2E"/>
        </w:rPr>
        <w:t xml:space="preserve">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Members</w:t>
      </w:r>
      <w:r>
        <w:rPr>
          <w:rFonts w:ascii="Arial" w:cs="Arial" w:eastAsia="Arial" w:hAnsi="Arial"/>
          <w:sz w:val="18"/>
          <w:szCs w:val="18"/>
          <w:color w:val="000000"/>
        </w:rPr>
        <w:t>:</w:t>
      </w:r>
    </w:p>
    <w:p>
      <w:pPr>
        <w:ind w:left="20"/>
        <w:spacing w:after="0" w:line="219" w:lineRule="auto"/>
        <w:rPr>
          <w:sz w:val="20"/>
          <w:szCs w:val="20"/>
          <w:color w:val="auto"/>
        </w:rPr>
      </w:pPr>
      <w:r>
        <w:rPr>
          <w:rFonts w:ascii="Arial" w:cs="Arial" w:eastAsia="Arial" w:hAnsi="Arial"/>
          <w:sz w:val="18"/>
          <w:szCs w:val="18"/>
          <w:color w:val="auto"/>
        </w:rPr>
        <w:t>Alan Campbell, Chair</w:t>
      </w:r>
    </w:p>
    <w:p>
      <w:pPr>
        <w:jc w:val="both"/>
        <w:ind w:left="20" w:right="540"/>
        <w:spacing w:after="0" w:line="221" w:lineRule="auto"/>
        <w:rPr>
          <w:sz w:val="20"/>
          <w:szCs w:val="20"/>
          <w:color w:val="auto"/>
        </w:rPr>
      </w:pPr>
      <w:r>
        <w:rPr>
          <w:rFonts w:ascii="Arial" w:cs="Arial" w:eastAsia="Arial" w:hAnsi="Arial"/>
          <w:sz w:val="18"/>
          <w:szCs w:val="18"/>
          <w:color w:val="auto"/>
        </w:rPr>
        <w:t>Hassane El-Khoury Paul A. Mascarenas Gregory Waters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65E66"/>
        </w:rPr>
        <w:t>Primary Responsibilities</w:t>
      </w:r>
    </w:p>
    <w:p>
      <w:pPr>
        <w:ind w:left="241" w:right="100" w:hanging="241"/>
        <w:spacing w:after="0" w:line="208" w:lineRule="auto"/>
        <w:tabs>
          <w:tab w:leader="none" w:pos="156" w:val="left"/>
        </w:tabs>
        <w:numPr>
          <w:ilvl w:val="0"/>
          <w:numId w:val="38"/>
        </w:numPr>
        <w:rPr>
          <w:rFonts w:ascii="Arial" w:cs="Arial" w:eastAsia="Arial" w:hAnsi="Arial"/>
          <w:sz w:val="18"/>
          <w:szCs w:val="18"/>
          <w:color w:val="276990"/>
        </w:rPr>
      </w:pPr>
      <w:r>
        <w:rPr>
          <w:rFonts w:ascii="Arial" w:cs="Arial" w:eastAsia="Arial" w:hAnsi="Arial"/>
          <w:sz w:val="18"/>
          <w:szCs w:val="18"/>
          <w:color w:val="auto"/>
        </w:rPr>
        <w:t>Exercise between meetings of the Board all the delegable powers and authority of the Board regarding the management of the business and affairs of the Company (subject to legal limitations), excluding the following matters:</w:t>
      </w:r>
    </w:p>
    <w:p>
      <w:pPr>
        <w:spacing w:after="0" w:line="1" w:lineRule="exact"/>
        <w:rPr>
          <w:rFonts w:ascii="Arial" w:cs="Arial" w:eastAsia="Arial" w:hAnsi="Arial"/>
          <w:sz w:val="18"/>
          <w:szCs w:val="18"/>
          <w:color w:val="276990"/>
        </w:rPr>
      </w:pPr>
    </w:p>
    <w:p>
      <w:pPr>
        <w:ind w:left="401" w:hanging="158"/>
        <w:spacing w:after="0" w:line="219" w:lineRule="auto"/>
        <w:tabs>
          <w:tab w:leader="none" w:pos="401" w:val="left"/>
        </w:tabs>
        <w:numPr>
          <w:ilvl w:val="1"/>
          <w:numId w:val="38"/>
        </w:numPr>
        <w:rPr>
          <w:rFonts w:ascii="Arial" w:cs="Arial" w:eastAsia="Arial" w:hAnsi="Arial"/>
          <w:sz w:val="18"/>
          <w:szCs w:val="18"/>
          <w:color w:val="276990"/>
        </w:rPr>
      </w:pPr>
      <w:r>
        <w:rPr>
          <w:rFonts w:ascii="Arial" w:cs="Arial" w:eastAsia="Arial" w:hAnsi="Arial"/>
          <w:sz w:val="18"/>
          <w:szCs w:val="18"/>
          <w:color w:val="auto"/>
        </w:rPr>
        <w:t>Any matters expressly delegated to other committees</w:t>
      </w:r>
    </w:p>
    <w:p>
      <w:pPr>
        <w:ind w:left="401" w:hanging="158"/>
        <w:spacing w:after="0" w:line="203" w:lineRule="auto"/>
        <w:tabs>
          <w:tab w:leader="none" w:pos="401" w:val="left"/>
        </w:tabs>
        <w:numPr>
          <w:ilvl w:val="1"/>
          <w:numId w:val="38"/>
        </w:numPr>
        <w:rPr>
          <w:rFonts w:ascii="Arial" w:cs="Arial" w:eastAsia="Arial" w:hAnsi="Arial"/>
          <w:sz w:val="18"/>
          <w:szCs w:val="18"/>
          <w:color w:val="276990"/>
        </w:rPr>
      </w:pPr>
      <w:r>
        <w:rPr>
          <w:rFonts w:ascii="Arial" w:cs="Arial" w:eastAsia="Arial" w:hAnsi="Arial"/>
          <w:sz w:val="18"/>
          <w:szCs w:val="18"/>
          <w:color w:val="auto"/>
        </w:rPr>
        <w:t>Making any changes to the Company’s certificate of incorporation or bylaws</w:t>
      </w:r>
    </w:p>
    <w:p>
      <w:pPr>
        <w:ind w:left="401" w:right="220" w:hanging="158"/>
        <w:spacing w:after="0" w:line="211" w:lineRule="auto"/>
        <w:tabs>
          <w:tab w:leader="none" w:pos="397" w:val="left"/>
        </w:tabs>
        <w:numPr>
          <w:ilvl w:val="1"/>
          <w:numId w:val="38"/>
        </w:numPr>
        <w:rPr>
          <w:rFonts w:ascii="Arial" w:cs="Arial" w:eastAsia="Arial" w:hAnsi="Arial"/>
          <w:sz w:val="18"/>
          <w:szCs w:val="18"/>
          <w:color w:val="276990"/>
        </w:rPr>
      </w:pPr>
      <w:r>
        <w:rPr>
          <w:rFonts w:ascii="Arial" w:cs="Arial" w:eastAsia="Arial" w:hAnsi="Arial"/>
          <w:sz w:val="18"/>
          <w:szCs w:val="18"/>
          <w:color w:val="auto"/>
        </w:rPr>
        <w:t>Approving the merger, consolidation, or dissolution of the Company or the sale of substantially all of its assets</w:t>
      </w:r>
    </w:p>
    <w:p>
      <w:pPr>
        <w:ind w:left="401" w:hanging="158"/>
        <w:spacing w:after="0" w:line="203" w:lineRule="auto"/>
        <w:tabs>
          <w:tab w:leader="none" w:pos="401" w:val="left"/>
        </w:tabs>
        <w:numPr>
          <w:ilvl w:val="1"/>
          <w:numId w:val="38"/>
        </w:numPr>
        <w:rPr>
          <w:rFonts w:ascii="Arial" w:cs="Arial" w:eastAsia="Arial" w:hAnsi="Arial"/>
          <w:sz w:val="18"/>
          <w:szCs w:val="18"/>
          <w:color w:val="276990"/>
        </w:rPr>
      </w:pPr>
      <w:r>
        <w:rPr>
          <w:rFonts w:ascii="Arial" w:cs="Arial" w:eastAsia="Arial" w:hAnsi="Arial"/>
          <w:sz w:val="18"/>
          <w:szCs w:val="18"/>
          <w:color w:val="auto"/>
        </w:rPr>
        <w:t>Causing the Company to declare any dividends</w:t>
      </w:r>
    </w:p>
    <w:p>
      <w:pPr>
        <w:ind w:left="401" w:right="200" w:hanging="158"/>
        <w:spacing w:after="0" w:line="211" w:lineRule="auto"/>
        <w:tabs>
          <w:tab w:leader="none" w:pos="398" w:val="left"/>
        </w:tabs>
        <w:numPr>
          <w:ilvl w:val="1"/>
          <w:numId w:val="38"/>
        </w:numPr>
        <w:rPr>
          <w:rFonts w:ascii="Arial" w:cs="Arial" w:eastAsia="Arial" w:hAnsi="Arial"/>
          <w:sz w:val="18"/>
          <w:szCs w:val="18"/>
          <w:color w:val="276990"/>
        </w:rPr>
      </w:pPr>
      <w:r>
        <w:rPr>
          <w:rFonts w:ascii="Arial" w:cs="Arial" w:eastAsia="Arial" w:hAnsi="Arial"/>
          <w:sz w:val="18"/>
          <w:szCs w:val="18"/>
          <w:color w:val="auto"/>
        </w:rPr>
        <w:t>Amending or repealing any resolution of the Board which, by its express terms, is not so amendable or repealable</w:t>
      </w:r>
    </w:p>
    <w:p>
      <w:pPr>
        <w:ind w:left="401" w:right="380" w:hanging="158"/>
        <w:spacing w:after="0" w:line="208" w:lineRule="auto"/>
        <w:tabs>
          <w:tab w:leader="none" w:pos="397" w:val="left"/>
        </w:tabs>
        <w:numPr>
          <w:ilvl w:val="1"/>
          <w:numId w:val="38"/>
        </w:numPr>
        <w:rPr>
          <w:rFonts w:ascii="Arial" w:cs="Arial" w:eastAsia="Arial" w:hAnsi="Arial"/>
          <w:sz w:val="18"/>
          <w:szCs w:val="18"/>
          <w:color w:val="276990"/>
        </w:rPr>
      </w:pPr>
      <w:r>
        <w:rPr>
          <w:rFonts w:ascii="Arial" w:cs="Arial" w:eastAsia="Arial" w:hAnsi="Arial"/>
          <w:sz w:val="18"/>
          <w:szCs w:val="18"/>
          <w:color w:val="auto"/>
        </w:rPr>
        <w:t>Appointing other committees of the Board or the members of such committees or amending or revising their duties and responsibilities or their charters (the Executive Committee may, however, appoint and delegate to subcommittees as permitted under applicable law)</w:t>
      </w:r>
    </w:p>
    <w:p>
      <w:pPr>
        <w:spacing w:after="0" w:line="1" w:lineRule="exact"/>
        <w:rPr>
          <w:rFonts w:ascii="Arial" w:cs="Arial" w:eastAsia="Arial" w:hAnsi="Arial"/>
          <w:sz w:val="18"/>
          <w:szCs w:val="18"/>
          <w:color w:val="276990"/>
        </w:rPr>
      </w:pPr>
    </w:p>
    <w:p>
      <w:pPr>
        <w:ind w:left="401" w:hanging="158"/>
        <w:spacing w:after="0" w:line="203" w:lineRule="auto"/>
        <w:tabs>
          <w:tab w:leader="none" w:pos="401" w:val="left"/>
        </w:tabs>
        <w:numPr>
          <w:ilvl w:val="1"/>
          <w:numId w:val="38"/>
        </w:numPr>
        <w:rPr>
          <w:rFonts w:ascii="Arial" w:cs="Arial" w:eastAsia="Arial" w:hAnsi="Arial"/>
          <w:sz w:val="18"/>
          <w:szCs w:val="18"/>
          <w:color w:val="276990"/>
        </w:rPr>
      </w:pPr>
      <w:r>
        <w:rPr>
          <w:rFonts w:ascii="Arial" w:cs="Arial" w:eastAsia="Arial" w:hAnsi="Arial"/>
          <w:sz w:val="18"/>
          <w:szCs w:val="18"/>
          <w:color w:val="auto"/>
        </w:rPr>
        <w:t>Appointing or removing the Chair of the Board, the President or the CEO</w:t>
      </w:r>
    </w:p>
    <w:p>
      <w:pPr>
        <w:ind w:left="401" w:right="140" w:hanging="158"/>
        <w:spacing w:after="0" w:line="220" w:lineRule="auto"/>
        <w:tabs>
          <w:tab w:leader="none" w:pos="398" w:val="left"/>
        </w:tabs>
        <w:numPr>
          <w:ilvl w:val="1"/>
          <w:numId w:val="38"/>
        </w:numPr>
        <w:rPr>
          <w:rFonts w:ascii="Arial" w:cs="Arial" w:eastAsia="Arial" w:hAnsi="Arial"/>
          <w:sz w:val="18"/>
          <w:szCs w:val="18"/>
          <w:color w:val="276990"/>
        </w:rPr>
      </w:pPr>
      <w:r>
        <w:rPr>
          <w:rFonts w:ascii="Arial" w:cs="Arial" w:eastAsia="Arial" w:hAnsi="Arial"/>
          <w:sz w:val="18"/>
          <w:szCs w:val="18"/>
          <w:color w:val="auto"/>
        </w:rPr>
        <w:t>Authorizing (i) any single purchase or related series of transactions relating to an acquisition, (ii) any single sale or related series of transactions relating to a disposition, or (iii) any investment transactions or other strategic Company actions, in which the consideration expended or received by the Company exceeds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204470</wp:posOffset>
            </wp:positionV>
            <wp:extent cx="7115175"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519"/>
            <w:col w:w="8541"/>
          </w:cols>
          <w:pgMar w:left="320" w:top="161"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Annual Board and Committee Self-Evaluations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Process and Principles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believes that having good governance principles and practices improves the effectiveness of the Board and contributes to the creation of stockholder value. To measure its own performance against such principles and practices and to identify and act on areas for improvement, each of the Board and its committees performs an annual self-evaluation. The GS Committee is charged with overseeing these self-evaluations and, in 2022, the GS Committee used the following process to conduct the Board’s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147955</wp:posOffset>
            </wp:positionV>
            <wp:extent cx="6172200" cy="1371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 the Board self-evaluation process, topics and questions for 2022 were grouped into seven categories:</w:t>
      </w:r>
    </w:p>
    <w:p>
      <w:pPr>
        <w:spacing w:after="0" w:line="50"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ind w:left="120"/>
              <w:spacing w:after="0"/>
              <w:rPr>
                <w:sz w:val="20"/>
                <w:szCs w:val="20"/>
                <w:color w:val="auto"/>
              </w:rPr>
            </w:pPr>
            <w:r>
              <w:rPr>
                <w:rFonts w:ascii="Arial" w:cs="Arial" w:eastAsia="Arial" w:hAnsi="Arial"/>
                <w:sz w:val="18"/>
                <w:szCs w:val="18"/>
                <w:color w:val="auto"/>
              </w:rPr>
              <w:t>Strategy</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3420" w:type="dxa"/>
            <w:vAlign w:val="bottom"/>
          </w:tcPr>
          <w:p>
            <w:pPr>
              <w:ind w:left="140"/>
              <w:spacing w:after="0"/>
              <w:rPr>
                <w:sz w:val="20"/>
                <w:szCs w:val="20"/>
                <w:color w:val="auto"/>
              </w:rPr>
            </w:pPr>
            <w:r>
              <w:rPr>
                <w:rFonts w:ascii="Arial" w:cs="Arial" w:eastAsia="Arial" w:hAnsi="Arial"/>
                <w:sz w:val="18"/>
                <w:szCs w:val="18"/>
                <w:color w:val="auto"/>
              </w:rPr>
              <w:t>ERM</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   Culture of Compliance and Ethics</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3420" w:type="dxa"/>
            <w:vAlign w:val="bottom"/>
          </w:tcPr>
          <w:p>
            <w:pPr>
              <w:ind w:left="140"/>
              <w:spacing w:after="0"/>
              <w:rPr>
                <w:sz w:val="20"/>
                <w:szCs w:val="20"/>
                <w:color w:val="auto"/>
              </w:rPr>
            </w:pPr>
            <w:r>
              <w:rPr>
                <w:rFonts w:ascii="Arial" w:cs="Arial" w:eastAsia="Arial" w:hAnsi="Arial"/>
                <w:sz w:val="18"/>
                <w:szCs w:val="18"/>
                <w:color w:val="auto"/>
              </w:rPr>
              <w:t>Mergers and Acquisitions</w:t>
            </w:r>
          </w:p>
        </w:tc>
      </w:tr>
      <w:tr>
        <w:trPr>
          <w:trHeight w:val="23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ind w:left="120"/>
              <w:spacing w:after="0"/>
              <w:rPr>
                <w:sz w:val="20"/>
                <w:szCs w:val="20"/>
                <w:color w:val="auto"/>
              </w:rPr>
            </w:pPr>
            <w:r>
              <w:rPr>
                <w:rFonts w:ascii="Arial" w:cs="Arial" w:eastAsia="Arial" w:hAnsi="Arial"/>
                <w:sz w:val="18"/>
                <w:szCs w:val="18"/>
                <w:color w:val="auto"/>
              </w:rPr>
              <w:t>Executive Evaluation and Succession Planning</w:t>
            </w:r>
          </w:p>
        </w:tc>
        <w:tc>
          <w:tcPr>
            <w:tcW w:w="4160" w:type="dxa"/>
            <w:vAlign w:val="bottom"/>
            <w:gridSpan w:val="2"/>
          </w:tcPr>
          <w:p>
            <w:pPr>
              <w:ind w:left="560"/>
              <w:spacing w:after="0"/>
              <w:rPr>
                <w:sz w:val="20"/>
                <w:szCs w:val="20"/>
                <w:color w:val="auto"/>
              </w:rPr>
            </w:pPr>
            <w:r>
              <w:rPr>
                <w:rFonts w:ascii="Arial" w:cs="Arial" w:eastAsia="Arial" w:hAnsi="Arial"/>
                <w:sz w:val="18"/>
                <w:szCs w:val="18"/>
                <w:color w:val="auto"/>
              </w:rPr>
              <w:t>•   Financial Reporting and Other Disclosure</w:t>
            </w:r>
          </w:p>
        </w:tc>
      </w:tr>
    </w:tbl>
    <w:p>
      <w:pPr>
        <w:ind w:left="660" w:hanging="310"/>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Corporate Governance</w:t>
      </w:r>
    </w:p>
    <w:p>
      <w:pPr>
        <w:spacing w:after="0" w:line="3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Prior to launching this process, the GS Committee and the Board consider the tools, processes, topics and questions for the self-evaluation as warranted, including whether to retain an independent third party to facilitate the Board’s self-evaluation. In 2022, the self-evaluation of the committees generally followed the process used by the Board in prior years, except that results were sent to committee chairs (as opposed to the Chair of the GS Committee), and committee chairs led the discussions for their respective committees with the Board in executive session.</w:t>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18</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3" w:name="page24"/>
    <w:bookmarkEnd w:id="23"/>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Peer-to-Peer Evaluations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believes that each of our directors can and does benefit from candid feedback received from fellow directors about his or her individual performance. Accordingly, we conduct annual peer evaluations to obtain information about each director’s individual performance, contributions and effectiveness. These director peer evaluations are critical tools that promote more authentic board collaboration, improve the skills and perspectives of our directors and allow them to receive constructive feedback from respected colleagues.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Majority Voting for Directors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our bylaws, in uncontested elections, directors are elected by a majority of the votes cast, meaning a candidate for director is elected if the votes in favor of his or her election exceed the votes against his or her election. In contested elections where the number of nominees exceeds the number of open seats, directors are elected by a plurality vote, meaning that the director nominees who receive the most votes up to the number of open seats will be elected.</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an uncontested election, any nominee for director who fails to receive a majority of the votes cast in such election will be required to promptly tender his or her resignation to the Board. The GS Committee, or such other committee designated by the Board for this purpose,</w:t>
      </w:r>
    </w:p>
    <w:p>
      <w:pPr>
        <w:jc w:val="both"/>
        <w:spacing w:after="0" w:line="226" w:lineRule="auto"/>
        <w:rPr>
          <w:sz w:val="20"/>
          <w:szCs w:val="20"/>
          <w:color w:val="auto"/>
        </w:rPr>
      </w:pPr>
      <w:r>
        <w:rPr>
          <w:rFonts w:ascii="Arial" w:cs="Arial" w:eastAsia="Arial" w:hAnsi="Arial"/>
          <w:sz w:val="18"/>
          <w:szCs w:val="18"/>
          <w:color w:val="auto"/>
        </w:rPr>
        <w:t>will recommend to the Board whether to accept or reject the tendered resignation. The Board will review the GS Committee’s recommendation, decide to accept or reject such resignation or whether other action should be taken and publicly disclose its decision within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90 days from the date of the annual meeting of stockholders. Any director who tenders his or her resignation will not participate in the committee’s recommendation or the Board action regarding whether to accept or reject the tendered resignation. Any vacancies on the Board may be filled by a majority of the directors then in office or those directors, by majority vote, may choose to decrease the number of board seats. Each director elected in this manner will hold office until the next annual meeting and until his or her successor is elected and duly qualified.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“Questions and Answers About the Proxy Materials, Annual Meeting and Voting” for more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Role of the Board in Risk Oversight</w:t>
      </w:r>
    </w:p>
    <w:p>
      <w:pPr>
        <w:spacing w:after="0" w:line="1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management is responsible for the day-to-day management of our risk, the Board plays an ongoing and active role in the oversight of such risk by regularly reviewing and discussing with management areas of material risk and mitigation measures being taken to address such risks. During the 2022 fiscal year, the Board and its committees regularly discussed, among other things, the ongoing impacts of the COVID-19 pandemic, rising inflationary pressures, supply chain issues, geopolitical risk and macroeconomic uncertainty across the globe. While the Board has primary responsibility for risk oversight, each of its committees support this effort by regularly addressing risks in their respective areas of oversight. Specifically, the Audit Committee’s charter requires the Audit Committee to discuss with management our major financial and cybersecurity risk exposures. The Audit Committee also has primary oversight over the ERM Program and provides guidance to the Board regarding its risk oversight responsibilities. In addition, the HCC Committee’s charter requires it to consider and discuss with management whether compensation arrangements for our employees incentivize unnecessary and excessive risk-taking and, in designing our compensation programs and structuring awards, the HCC Committee considers the likelihood of undue risk-taking and the</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impact that such compensation decisions may have on our risk profile. The chair of the relevant committee then reports on risk discussions to the full Board to the extent appropriate. This combination of direct Board and targeted committee oversight is intended to ensure a thorough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assessment and foster a fulsome discussion between management and the Board of risks we face.</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Risk Evaluations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its review of our material areas of risk, the full Board meets with representatives from the ERM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annually to discuss areas of material risk in light of our strategy and evolving business plans. Individuals from across all </w:t>
      </w:r>
      <w:r>
        <w:rPr>
          <w:rFonts w:ascii="Arial" w:cs="Arial" w:eastAsia="Arial" w:hAnsi="Arial"/>
          <w:sz w:val="18"/>
          <w:szCs w:val="18"/>
          <w:b w:val="1"/>
          <w:bCs w:val="1"/>
          <w:color w:val="auto"/>
        </w:rPr>
        <w:t>onsemi</w:t>
      </w:r>
      <w:r>
        <w:rPr>
          <w:rFonts w:ascii="Arial" w:cs="Arial" w:eastAsia="Arial" w:hAnsi="Arial"/>
          <w:sz w:val="18"/>
          <w:szCs w:val="18"/>
          <w:color w:val="auto"/>
        </w:rPr>
        <w:t>, including business unit leaders and the heads of certain administrative function groups, are interviewed by representatives of the ERM Program to illuminate and prioritize the most pressing and material risks we face. These interviews include risk evaluation and assessment as a matter of course. At least annually, our Board reviews how risk is being managed and reported to the Board and its committees, along with areas where the Board would like additional analysis or discussion. Comprehensive risk analysis is a significant part of such planning.</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Information Security Risk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the Board consider and evaluate from time to time the risk of cybersecurity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breaches and vulnerabilities and how best to mitigate such risks. Under its charter, the Audit Committee has the responsibility for overseeing our cybersecurity posture, risk assessment, strategy and mitigation and making recommendations as to how to address and resolve any breaches or issues related to the protection or privacy of our data. The Audit Committee receives regular reports from our Corporate Internal</w:t>
      </w:r>
    </w:p>
    <w:p>
      <w:pPr>
        <w:jc w:val="both"/>
        <w:spacing w:after="0" w:line="237" w:lineRule="auto"/>
        <w:rPr>
          <w:sz w:val="20"/>
          <w:szCs w:val="20"/>
          <w:color w:val="auto"/>
        </w:rPr>
      </w:pPr>
      <w:r>
        <w:rPr>
          <w:rFonts w:ascii="Arial" w:cs="Arial" w:eastAsia="Arial" w:hAnsi="Arial"/>
          <w:sz w:val="18"/>
          <w:szCs w:val="18"/>
          <w:color w:val="auto"/>
        </w:rPr>
        <w:t>Audit Department on internal audit matters and receives reports at least quarterly from our Chief Information Officer and/or Chief Information Security Officer and our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Chief Privacy Officer on information security and data privacy and protection, including trends in cyber threats and the status of initiatives intended to bolster our security systems and employees’ cyber readiness. Additionally, under our Insider Trading Policy, our Securities Compliance Officer may impose a black-out on securities trading in the event of a cybersecurity breach or attack. In those circumstances, as a further measure to promote compliance with the trading black-out, the Insider Trading Policy also imposes a duty upon the Securities Compliance Officer to notify the CEO and our Chief Financial Officer (the CFO) of the black-out at or before the time it is imposed.</w:t>
      </w:r>
    </w:p>
    <w:p>
      <w:pPr>
        <w:spacing w:after="0" w:line="2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onsemi </w:t>
      </w:r>
      <w:r>
        <w:rPr>
          <w:rFonts w:ascii="Arial" w:cs="Arial" w:eastAsia="Arial" w:hAnsi="Arial"/>
          <w:sz w:val="18"/>
          <w:szCs w:val="18"/>
          <w:color w:val="auto"/>
        </w:rPr>
        <w:t>adopted the National Institute of Standards and Technology (NIST) Cybersecurity Framework in 2014. The NIST Cybersecurity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Framework provides an intuitive and comprehensive set of control objectives that align with a number of other standard frameworks such as ISO 27001:2013 and COBIT 5. We have implemented a number of methods to train employees and management on data protection and malware detection, including a robust information security training and compliance program. As part of this program, we regularly send artificially created phishing emails that test employees’ understanding of the tactics commonly used by scammers and hackers. This effort to increase employee information security proficiency has occurred in tandem with an enhancement in our system-wide security measures. No identified information security breaches were reported in 2022 despite the turbulent data landscape, nor has any such breach occurred in the last three years. Additionally, our Information Security team has collaborated with our Treasury Department to obtain cybersecurity insurance, which would reimburse us for certain costs that may be incurred in the event that we were required to respond to and recover from a data breach. Our Information Security Program has also established a Cyber Incident Response Team comprised of subject matter experts from our global IT team, which is tasked with preparing and executing a timely initial response to any serious or material data breach. We have also contracted with an experienced third-party provider to provide security and forensic expertise in the case of such an event. Finally, our Information Security Risk team updates its strategy each year to align with developments in our business strategy and by considering and adapting to the legal and regulatory mandates relevant to the business and countries in which we operate.</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Ethics and Compliance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strive to comply with the law and have adopted policies and practices that go beyond what the law requires to foster an ethical culture. To</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that end, within our Law Department, we have established an ethics and compliance program designed to prevent, detect and respond to violations of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Code of Business Conduct, related policies, procedures, other standards of conduct and the law. A major goal of our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ethics and compliance program is to promote an organizational culture that aligns with our core values while encouraging ethical conduct and a commitment to compliance.</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established reporting channels for external parties to raise ethics and compliance concerns regarding our employees, directors and other third parties doing business with us. Reports may be made directly or anonymously, where allowed by local law, via any of the methods outlined in our Code of Business Conduct, which include:</w:t>
      </w:r>
    </w:p>
    <w:p>
      <w:pPr>
        <w:spacing w:after="0" w:line="196" w:lineRule="exact"/>
        <w:rPr>
          <w:sz w:val="20"/>
          <w:szCs w:val="20"/>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visiting the Helpline website at </w:t>
      </w:r>
      <w:r>
        <w:rPr>
          <w:rFonts w:ascii="Arial" w:cs="Arial" w:eastAsia="Arial" w:hAnsi="Arial"/>
          <w:sz w:val="18"/>
          <w:szCs w:val="18"/>
          <w:u w:val="single" w:color="auto"/>
          <w:color w:val="auto"/>
        </w:rPr>
        <w:t>helpline.onsemi.com</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mailing the Chief Compliance Officer at </w:t>
      </w:r>
      <w:r>
        <w:rPr>
          <w:rFonts w:ascii="Arial" w:cs="Arial" w:eastAsia="Arial" w:hAnsi="Arial"/>
          <w:sz w:val="18"/>
          <w:szCs w:val="18"/>
          <w:b w:val="1"/>
          <w:bCs w:val="1"/>
          <w:color w:val="auto"/>
        </w:rPr>
        <w:t>onsemi</w:t>
      </w:r>
      <w:r>
        <w:rPr>
          <w:rFonts w:ascii="Arial" w:cs="Arial" w:eastAsia="Arial" w:hAnsi="Arial"/>
          <w:sz w:val="18"/>
          <w:szCs w:val="18"/>
          <w:color w:val="auto"/>
        </w:rPr>
        <w:t>, 5701 North Pima Road, Scottsdale, AZ 85250;</w:t>
      </w:r>
    </w:p>
    <w:p>
      <w:pPr>
        <w:spacing w:after="0" w:line="238" w:lineRule="exact"/>
        <w:rPr>
          <w:rFonts w:ascii="Arial" w:cs="Arial" w:eastAsia="Arial" w:hAnsi="Arial"/>
          <w:sz w:val="18"/>
          <w:szCs w:val="18"/>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emailing the Chief Compliance Officer at </w:t>
      </w:r>
      <w:r>
        <w:rPr>
          <w:rFonts w:ascii="Arial" w:cs="Arial" w:eastAsia="Arial" w:hAnsi="Arial"/>
          <w:sz w:val="18"/>
          <w:szCs w:val="18"/>
          <w:u w:val="single" w:color="auto"/>
          <w:color w:val="auto"/>
        </w:rPr>
        <w:t>CCO@onsemi.com</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emailing </w:t>
      </w:r>
      <w:r>
        <w:rPr>
          <w:rFonts w:ascii="Arial" w:cs="Arial" w:eastAsia="Arial" w:hAnsi="Arial"/>
          <w:sz w:val="18"/>
          <w:szCs w:val="18"/>
          <w:u w:val="single" w:color="auto"/>
          <w:color w:val="auto"/>
        </w:rPr>
        <w:t>ethics@onsemi.com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legal.compliance@onsemi.com</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do not tolerate retaliation of any kind against any person who, in good faith, reports any known or suspected improper activities pursuant to our Code of Business Conduct or assists with any ensuing investigation.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Environmental, Social and Sustainability Initiatives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Environmental, Social and Sustainability Initiatives</w:t>
      </w:r>
    </w:p>
    <w:p>
      <w:pPr>
        <w:spacing w:after="0" w:line="23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In addition to the information contained in this proxy statement, we publish an annual Sustainability Report detailing </w:t>
      </w:r>
      <w:r>
        <w:rPr>
          <w:rFonts w:ascii="Arial" w:cs="Arial" w:eastAsia="Arial" w:hAnsi="Arial"/>
          <w:sz w:val="18"/>
          <w:szCs w:val="18"/>
          <w:b w:val="1"/>
          <w:bCs w:val="1"/>
          <w:color w:val="auto"/>
        </w:rPr>
        <w:t>onsemi</w:t>
      </w:r>
      <w:r>
        <w:rPr>
          <w:rFonts w:ascii="Arial" w:cs="Arial" w:eastAsia="Arial" w:hAnsi="Arial"/>
          <w:sz w:val="18"/>
          <w:szCs w:val="18"/>
          <w:color w:val="auto"/>
        </w:rPr>
        <w:t xml:space="preserve">’s social and sustainability initiatives, accomplishments and objectives. The Sustainability Report is available on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We expect to publish our next annual Sustainability Report in June 2023. Although we reference our website and Sustainability Reports in this</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proxy statement, information on the website and in those Sustainability Reports is not a part of, and not incorporated into, this proxy statement.</w:t>
      </w:r>
    </w:p>
    <w:p>
      <w:pPr>
        <w:spacing w:after="0" w:line="19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Given the ESG goals that we have set for ourselves (as discussed in greater detail below), we have Board-level oversight and support for our ESG initiatives. Under its charter, our GS Committee has the primary responsibility of overseeing</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20</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5" w:name="page26"/>
    <w:bookmarkEnd w:id="25"/>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matters related to ESG, except for any ESG initiatives that are expressly assigned to another committee. Under its charter, the HCC Committee has the responsibility of overseeing our policies and strategies regarding human capital, including those focused on diversity, equity and inclusion.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Below are a few of the highlights of our social and sustainability practices and policies:</w:t>
      </w:r>
    </w:p>
    <w:p>
      <w:pPr>
        <w:spacing w:after="0" w:line="239" w:lineRule="exact"/>
        <w:rPr>
          <w:sz w:val="20"/>
          <w:szCs w:val="20"/>
          <w:color w:val="auto"/>
        </w:rPr>
      </w:pPr>
    </w:p>
    <w:p>
      <w:pPr>
        <w:jc w:val="both"/>
        <w:ind w:left="660" w:right="20" w:hanging="328"/>
        <w:spacing w:after="0" w:line="236"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Business Alliance Member and RBA Code of Conduct: </w:t>
      </w:r>
      <w:r>
        <w:rPr>
          <w:rFonts w:ascii="Arial" w:cs="Arial" w:eastAsia="Arial" w:hAnsi="Arial"/>
          <w:sz w:val="18"/>
          <w:szCs w:val="18"/>
          <w:color w:val="auto"/>
        </w:rPr>
        <w:t>We are a full member of the Responsible Business Alliance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RBA), an international industry organization committed to supporting workers’ rights, and have adopted the RBA Code of Conduct covering labor, the environment, health and safety, ethics and management systems (the RBA Code).</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Minerals Initiative – Full Member: </w:t>
      </w:r>
      <w:r>
        <w:rPr>
          <w:rFonts w:ascii="Arial" w:cs="Arial" w:eastAsia="Arial" w:hAnsi="Arial"/>
          <w:sz w:val="18"/>
          <w:szCs w:val="18"/>
          <w:color w:val="auto"/>
        </w:rPr>
        <w:t>As a full member of the Responsible Minerals Initiative, we are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heightened measures beyond the requirements under U.S. and European Union regulations to ensure responsible sourcing within our supply chains.</w:t>
      </w:r>
    </w:p>
    <w:p>
      <w:pPr>
        <w:spacing w:after="0" w:line="2"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Human Rights Policy and UN Global Compact: </w:t>
      </w:r>
      <w:r>
        <w:rPr>
          <w:rFonts w:ascii="Arial" w:cs="Arial" w:eastAsia="Arial" w:hAnsi="Arial"/>
          <w:sz w:val="18"/>
          <w:szCs w:val="18"/>
          <w:color w:val="auto"/>
        </w:rPr>
        <w:t>Our Human Rights Policy, which applies to all of our employees and suppliers,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codifies our commitment to social justice, environmental stewardship, anti-corruption, and the prevention of human trafficking, child labor and related human rights violations. Additionally, we are a signatory to the United Nations Global Compact, which requires signatories to commit to 10 principles covering human rights, the environment, anti-corruption and related matters.</w:t>
      </w:r>
    </w:p>
    <w:p>
      <w:pPr>
        <w:spacing w:after="0" w:line="2"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Impact through Giving and Volunteering Programs: </w:t>
      </w:r>
      <w:r>
        <w:rPr>
          <w:rFonts w:ascii="Arial" w:cs="Arial" w:eastAsia="Arial" w:hAnsi="Arial"/>
          <w:sz w:val="18"/>
          <w:szCs w:val="18"/>
          <w:color w:val="auto"/>
        </w:rPr>
        <w:t>We encourage social responsibility and charitable giving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social impact initiatives, which include a paid employee volunteer program and our “Giving Now” program. Giving Now provides our employees with an opportunity to support charitable organizations and educational institutions through company-matched donations. Additionally, we support other charitable initiatives (such as disaster relief efforts) through grants.</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Recognition: </w:t>
      </w:r>
      <w:r>
        <w:rPr>
          <w:rFonts w:ascii="Arial" w:cs="Arial" w:eastAsia="Arial" w:hAnsi="Arial"/>
          <w:sz w:val="18"/>
          <w:szCs w:val="18"/>
          <w:color w:val="auto"/>
        </w:rPr>
        <w:t>Examples of recent social and sustainability-related accomplishments and recognition include:</w:t>
      </w:r>
    </w:p>
    <w:p>
      <w:pPr>
        <w:ind w:left="1300" w:hanging="320"/>
        <w:spacing w:after="0" w:line="219"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North America Dow Jones Sustainability Index (one of six semiconductor companies);</w:t>
      </w:r>
    </w:p>
    <w:p>
      <w:pPr>
        <w:ind w:left="1300" w:hanging="320"/>
        <w:spacing w:after="0" w:line="23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Barron’s </w:t>
      </w:r>
      <w:r>
        <w:rPr>
          <w:rFonts w:ascii="Arial" w:cs="Arial" w:eastAsia="Arial" w:hAnsi="Arial"/>
          <w:sz w:val="18"/>
          <w:szCs w:val="18"/>
          <w:i w:val="1"/>
          <w:iCs w:val="1"/>
          <w:color w:val="auto"/>
        </w:rPr>
        <w:t>100 Most Sustainable Companies in the U.S</w:t>
      </w:r>
      <w:r>
        <w:rPr>
          <w:rFonts w:ascii="Arial" w:cs="Arial" w:eastAsia="Arial" w:hAnsi="Arial"/>
          <w:sz w:val="18"/>
          <w:szCs w:val="18"/>
          <w:color w:val="auto"/>
        </w:rPr>
        <w:t>. for the sixth consecutive year;</w:t>
      </w:r>
    </w:p>
    <w:p>
      <w:pPr>
        <w:ind w:left="1300" w:hanging="320"/>
        <w:spacing w:after="0" w:line="23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EcoVadis “Platinum” score for corporate social responsibility management quality (Top 1% - electronics manufacturers);</w:t>
      </w:r>
    </w:p>
    <w:p>
      <w:pPr>
        <w:ind w:left="1300" w:hanging="320"/>
        <w:spacing w:after="0" w:line="23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ISS-Oekom “Prime” designation for ESG performance;</w:t>
      </w:r>
    </w:p>
    <w:p>
      <w:pPr>
        <w:ind w:left="1300" w:hanging="320"/>
        <w:spacing w:after="0" w:line="23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World Finance Magazine </w:t>
      </w:r>
      <w:r>
        <w:rPr>
          <w:rFonts w:ascii="Arial" w:cs="Arial" w:eastAsia="Arial" w:hAnsi="Arial"/>
          <w:sz w:val="18"/>
          <w:szCs w:val="18"/>
          <w:i w:val="1"/>
          <w:iCs w:val="1"/>
          <w:color w:val="auto"/>
        </w:rPr>
        <w:t>Most Sustainable Company in the Semiconductor Industry</w:t>
      </w:r>
      <w:r>
        <w:rPr>
          <w:rFonts w:ascii="Arial" w:cs="Arial" w:eastAsia="Arial" w:hAnsi="Arial"/>
          <w:sz w:val="18"/>
          <w:szCs w:val="18"/>
          <w:color w:val="auto"/>
        </w:rPr>
        <w:t xml:space="preserve"> in 2022;</w:t>
      </w:r>
    </w:p>
    <w:p>
      <w:pPr>
        <w:ind w:left="1300" w:hanging="320"/>
        <w:spacing w:after="0" w:line="234" w:lineRule="auto"/>
        <w:tabs>
          <w:tab w:leader="none" w:pos="131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Investor’s Business Daily </w:t>
      </w:r>
      <w:r>
        <w:rPr>
          <w:rFonts w:ascii="Arial" w:cs="Arial" w:eastAsia="Arial" w:hAnsi="Arial"/>
          <w:sz w:val="18"/>
          <w:szCs w:val="18"/>
          <w:i w:val="1"/>
          <w:iCs w:val="1"/>
          <w:color w:val="auto"/>
        </w:rPr>
        <w:t>100 Best ESG Companies</w:t>
      </w:r>
      <w:r>
        <w:rPr>
          <w:rFonts w:ascii="Arial" w:cs="Arial" w:eastAsia="Arial" w:hAnsi="Arial"/>
          <w:sz w:val="18"/>
          <w:szCs w:val="18"/>
          <w:color w:val="auto"/>
        </w:rPr>
        <w:t xml:space="preserve"> (identifying companies with a favorable mix of profitability and ethical and social responsibility); and</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Six of our manufacturing facilities received a perfect score on their remote initial audits, resulting in recognition by the RBA.</w:t>
      </w:r>
    </w:p>
    <w:p>
      <w:pPr>
        <w:jc w:val="both"/>
        <w:ind w:left="660" w:hanging="328"/>
        <w:spacing w:after="0" w:line="23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Sustainability: </w:t>
      </w:r>
      <w:r>
        <w:rPr>
          <w:rFonts w:ascii="Arial" w:cs="Arial" w:eastAsia="Arial" w:hAnsi="Arial"/>
          <w:sz w:val="18"/>
          <w:szCs w:val="18"/>
          <w:color w:val="auto"/>
        </w:rPr>
        <w:t>In 2022, we became one of the founding members of the Semiconductor Climate Consortium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SCC), the first global collaborative of companies across the semiconductor value chain, aimed at accelerating the semiconductor ecosystem’s reduction of greenhouse gas emissions. All SCC members are committed to:</w:t>
      </w:r>
    </w:p>
    <w:p>
      <w:pPr>
        <w:spacing w:after="0" w:line="2"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collaborating through common approaches, technology innovations, and communications channels;</w:t>
      </w:r>
    </w:p>
    <w:p>
      <w:pPr>
        <w:ind w:left="1300" w:hanging="320"/>
        <w:spacing w:after="0" w:line="23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publicly reporting progress on Scope 1, 2 and 3 emissions annually; and</w:t>
      </w:r>
    </w:p>
    <w:p>
      <w:pPr>
        <w:ind w:left="1300" w:hanging="320"/>
        <w:spacing w:after="0" w:line="219"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setting near- and long-term decarbonization targets with the goal of achieving net zero emissions by 2050 (or sooner).</w:t>
      </w:r>
    </w:p>
    <w:p>
      <w:pPr>
        <w:jc w:val="both"/>
        <w:ind w:left="660"/>
        <w:spacing w:after="0" w:line="234" w:lineRule="auto"/>
        <w:rPr>
          <w:sz w:val="20"/>
          <w:szCs w:val="20"/>
          <w:color w:val="auto"/>
        </w:rPr>
      </w:pPr>
      <w:r>
        <w:rPr>
          <w:rFonts w:ascii="Arial" w:cs="Arial" w:eastAsia="Arial" w:hAnsi="Arial"/>
          <w:sz w:val="18"/>
          <w:szCs w:val="18"/>
          <w:color w:val="auto"/>
        </w:rPr>
        <w:t xml:space="preserve">In 2021, we committed to becoming net zero by 2040. This is an ambitious goal that would put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ahead of the timeline established by the Paris Agreement in reducing greenhouse gas emissions and limiting climate change around the globe. The plan for this goal will be accomplished by prioritizing the deep decarbonization of our operations through approaches such as swaps of selected high “global warming potential” process gases prior to purchasing certified carbon removal and offsets, as well as adopting energy conservation and efficiency measures prior to making investments in renewable energy. Through these activities, we are working to ensure a pathway to net zero that also enables operational resilience, cost efficiency, and, therefore, value creation.</w:t>
      </w:r>
    </w:p>
    <w:p>
      <w:pPr>
        <w:spacing w:after="0" w:line="4" w:lineRule="exact"/>
        <w:rPr>
          <w:sz w:val="20"/>
          <w:szCs w:val="20"/>
          <w:color w:val="auto"/>
        </w:rPr>
      </w:pPr>
    </w:p>
    <w:p>
      <w:pPr>
        <w:jc w:val="both"/>
        <w:ind w:left="660" w:hanging="328"/>
        <w:spacing w:after="0" w:line="234"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Supply Chain Responsibility: </w:t>
      </w:r>
      <w:r>
        <w:rPr>
          <w:rFonts w:ascii="Arial" w:cs="Arial" w:eastAsia="Arial" w:hAnsi="Arial"/>
          <w:sz w:val="18"/>
          <w:szCs w:val="18"/>
          <w:color w:val="auto"/>
        </w:rPr>
        <w:t>We require all key suppliers to complete an annual supplier assessment questionnaire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social responsibility tenets outlined in the RBA Code. All key suppliers are also required to sign a statement of conformance to the </w:t>
      </w:r>
      <w:r>
        <w:rPr>
          <w:rFonts w:ascii="Arial" w:cs="Arial" w:eastAsia="Arial" w:hAnsi="Arial"/>
          <w:sz w:val="18"/>
          <w:szCs w:val="18"/>
          <w:b w:val="1"/>
          <w:bCs w:val="1"/>
          <w:color w:val="auto"/>
        </w:rPr>
        <w:t xml:space="preserve">onsemi </w:t>
      </w:r>
      <w:r>
        <w:rPr>
          <w:rFonts w:ascii="Arial" w:cs="Arial" w:eastAsia="Arial" w:hAnsi="Arial"/>
          <w:sz w:val="18"/>
          <w:szCs w:val="18"/>
          <w:color w:val="auto"/>
        </w:rPr>
        <w:t>Corporate Social Responsibility Statement, the RBA Code and the</w:t>
      </w:r>
      <w:r>
        <w:rPr>
          <w:rFonts w:ascii="Arial" w:cs="Arial" w:eastAsia="Arial" w:hAnsi="Arial"/>
          <w:sz w:val="18"/>
          <w:szCs w:val="18"/>
          <w:b w:val="1"/>
          <w:bCs w:val="1"/>
          <w:color w:val="auto"/>
        </w:rPr>
        <w:t xml:space="preserve"> onsemi </w:t>
      </w:r>
      <w:r>
        <w:rPr>
          <w:rFonts w:ascii="Arial" w:cs="Arial" w:eastAsia="Arial" w:hAnsi="Arial"/>
          <w:sz w:val="18"/>
          <w:szCs w:val="18"/>
          <w:color w:val="auto"/>
        </w:rPr>
        <w:t>Code of Business Conduct.</w:t>
      </w:r>
    </w:p>
    <w:p>
      <w:pPr>
        <w:spacing w:after="0" w:line="2"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Diversity, Equity and Inclusion (DEI): </w:t>
      </w:r>
      <w:r>
        <w:rPr>
          <w:rFonts w:ascii="Arial" w:cs="Arial" w:eastAsia="Arial" w:hAnsi="Arial"/>
          <w:sz w:val="18"/>
          <w:szCs w:val="18"/>
          <w:color w:val="auto"/>
        </w:rPr>
        <w:t>A detailed description of our DEI initiatives is available on our “Diversity, Equity &amp; Inclusion”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webpage at </w:t>
      </w:r>
      <w:r>
        <w:rPr>
          <w:rFonts w:ascii="Arial" w:cs="Arial" w:eastAsia="Arial" w:hAnsi="Arial"/>
          <w:sz w:val="18"/>
          <w:szCs w:val="18"/>
          <w:u w:val="single" w:color="auto"/>
          <w:color w:val="auto"/>
        </w:rPr>
        <w:t>www.onsemi.com</w:t>
      </w:r>
      <w:r>
        <w:rPr>
          <w:rFonts w:ascii="Arial" w:cs="Arial" w:eastAsia="Arial" w:hAnsi="Arial"/>
          <w:sz w:val="18"/>
          <w:szCs w:val="18"/>
          <w:color w:val="auto"/>
        </w:rPr>
        <w:t>. The description includes several partnerships aimed at advancing DEI efforts in our local communities and six Employee Resource Groups. This helps facilitate equity in the workplace by providing recruitment, retention, development and advancement support for our employees from differing backgrounds. As noted above, our HCC Committee oversees DEI initiatives and, among other things, considers DEI in its broader review of human capital management and pay equity.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Task-force for Climate-related Financial Disclosure (TCFD): </w:t>
      </w:r>
      <w:r>
        <w:rPr>
          <w:rFonts w:ascii="Arial" w:cs="Arial" w:eastAsia="Arial" w:hAnsi="Arial"/>
          <w:sz w:val="18"/>
          <w:szCs w:val="18"/>
          <w:color w:val="auto"/>
        </w:rPr>
        <w:t>In 2022, we released our first TCFD report in the appendix of our</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2021 Sustainability Report. This report contained information about our climate-related risks and opportunities that included:</w:t>
      </w:r>
    </w:p>
    <w:p>
      <w:pPr>
        <w:ind w:left="1300" w:hanging="320"/>
        <w:spacing w:after="0" w:line="219"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governance and management of our identified climate-related risks and opportunities;</w:t>
      </w:r>
    </w:p>
    <w:p>
      <w:pPr>
        <w:ind w:left="1300" w:hanging="320"/>
        <w:spacing w:after="0" w:line="219"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how our business planning, strategy and financial planning are impacted by climate-related risks and opportunities; and</w:t>
      </w:r>
    </w:p>
    <w:p>
      <w:pPr>
        <w:ind w:left="1300" w:hanging="320"/>
        <w:spacing w:after="0" w:line="219"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metrics and targets we use for tracking progress against these climate-related risks and opportunities.</w:t>
      </w:r>
    </w:p>
    <w:p>
      <w:pPr>
        <w:ind w:left="660"/>
        <w:spacing w:after="0" w:line="234" w:lineRule="auto"/>
        <w:rPr>
          <w:sz w:val="20"/>
          <w:szCs w:val="20"/>
          <w:color w:val="auto"/>
        </w:rPr>
      </w:pPr>
      <w:r>
        <w:rPr>
          <w:rFonts w:ascii="Arial" w:cs="Arial" w:eastAsia="Arial" w:hAnsi="Arial"/>
          <w:sz w:val="18"/>
          <w:szCs w:val="18"/>
          <w:color w:val="auto"/>
        </w:rPr>
        <w:t xml:space="preserve">In June 2023, we expect to include this information in an annually published TCFD report located in the appendix of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Sustainability Report as well as a standalone document available at </w:t>
      </w:r>
      <w:r>
        <w:rPr>
          <w:rFonts w:ascii="Arial" w:cs="Arial" w:eastAsia="Arial" w:hAnsi="Arial"/>
          <w:sz w:val="18"/>
          <w:szCs w:val="18"/>
          <w:u w:val="single" w:color="auto"/>
          <w:color w:val="auto"/>
        </w:rPr>
        <w:t>www.onsemi.com</w:t>
      </w:r>
      <w:r>
        <w:rPr>
          <w:rFonts w:ascii="Arial" w:cs="Arial" w:eastAsia="Arial" w:hAnsi="Arial"/>
          <w:sz w:val="18"/>
          <w:szCs w:val="18"/>
          <w:color w:val="auto"/>
        </w:rPr>
        <w:t>.</w:t>
      </w:r>
    </w:p>
    <w:p>
      <w:pPr>
        <w:spacing w:after="0" w:line="1" w:lineRule="exact"/>
        <w:rPr>
          <w:sz w:val="20"/>
          <w:szCs w:val="20"/>
          <w:color w:val="auto"/>
        </w:rPr>
      </w:pPr>
    </w:p>
    <w:p>
      <w:pPr>
        <w:jc w:val="both"/>
        <w:ind w:left="660" w:hanging="328"/>
        <w:spacing w:after="0" w:line="24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Science-based Target Initiative (SBTi): </w:t>
      </w:r>
      <w:r>
        <w:rPr>
          <w:rFonts w:ascii="Arial" w:cs="Arial" w:eastAsia="Arial" w:hAnsi="Arial"/>
          <w:sz w:val="18"/>
          <w:szCs w:val="18"/>
          <w:color w:val="auto"/>
        </w:rPr>
        <w:t>In December 2022, we submitted our SBTi commitment letter, representing a major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 on our net zero journey. With this commitment letter, signed by our CEO, we committed to set a near-term science-based emissions reduction target in line with the latest climate science helping to ensure global temperatures do not exceed 1.5°C above pre-industrial temperatures, which is a critical threshold to avoid catastrophic impacts from climate change. We believe science-based targets provide a clearly defined pathway for companies to reduce greenhouse gas emissions, helping prevent the worst impacts of climate change and future-proof business growth. By December 2024, we intend to publish approved near-term targets that are aligned with and validated by SBTi. We will share more information about our goals and progress over the coming years in our annual Sustainability Report.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 to Fighting Climate Change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August 2021, we announced that we plan to achieve net-zero emissions by 2040. Today, the industrial and automotive end-markets are responsible for a majority of the world’s greenhouse gas emissions, so we believe that our position as a market leader in intelligent power and sensing technologies offers us an opportunity to help steward these end-markets toward a more sustainable future. Achieving net-zero emissions means that we will reduce greenhouse gas emissions as much as possible before mitigating any remaining emissions through certified carbon offsets or procurement of renewable energy. The approach to net zero emissions is characterized by plans to capitalize on efficiencies that will reduce overall emissions, transition to renewable energy to ensure clean energy use and invest in certified carbon off-sets for non-electricity emissions. We plan to achieve our net-zero goal through the pursuit of a strategy formed by three pillars:</w:t>
      </w:r>
    </w:p>
    <w:p>
      <w:pPr>
        <w:spacing w:after="0" w:line="266" w:lineRule="exact"/>
        <w:rPr>
          <w:sz w:val="20"/>
          <w:szCs w:val="20"/>
          <w:color w:val="auto"/>
        </w:rPr>
      </w:pPr>
    </w:p>
    <w:p>
      <w:pPr>
        <w:ind w:left="860"/>
        <w:spacing w:after="0"/>
        <w:tabs>
          <w:tab w:leader="none" w:pos="4800" w:val="left"/>
          <w:tab w:leader="none" w:pos="8420" w:val="left"/>
        </w:tabs>
        <w:rPr>
          <w:sz w:val="20"/>
          <w:szCs w:val="20"/>
          <w:color w:val="auto"/>
        </w:rPr>
      </w:pPr>
      <w:r>
        <w:rPr>
          <w:rFonts w:ascii="Arial" w:cs="Arial" w:eastAsia="Arial" w:hAnsi="Arial"/>
          <w:sz w:val="18"/>
          <w:szCs w:val="18"/>
          <w:b w:val="1"/>
          <w:bCs w:val="1"/>
          <w:color w:val="auto"/>
        </w:rPr>
        <w:t>Capitalize on Efficiency</w:t>
      </w:r>
      <w:r>
        <w:rPr>
          <w:sz w:val="20"/>
          <w:szCs w:val="20"/>
          <w:color w:val="auto"/>
        </w:rPr>
        <w:tab/>
      </w:r>
      <w:r>
        <w:rPr>
          <w:rFonts w:ascii="Arial" w:cs="Arial" w:eastAsia="Arial" w:hAnsi="Arial"/>
          <w:sz w:val="18"/>
          <w:szCs w:val="18"/>
          <w:b w:val="1"/>
          <w:bCs w:val="1"/>
          <w:color w:val="auto"/>
        </w:rPr>
        <w:t>Renewable Energy</w:t>
      </w:r>
      <w:r>
        <w:rPr>
          <w:sz w:val="20"/>
          <w:szCs w:val="20"/>
          <w:color w:val="auto"/>
        </w:rPr>
        <w:tab/>
      </w:r>
      <w:r>
        <w:rPr>
          <w:rFonts w:ascii="Arial" w:cs="Arial" w:eastAsia="Arial" w:hAnsi="Arial"/>
          <w:sz w:val="18"/>
          <w:szCs w:val="18"/>
          <w:b w:val="1"/>
          <w:bCs w:val="1"/>
          <w:color w:val="auto"/>
        </w:rPr>
        <w:t>Offsets and Influence</w:t>
      </w:r>
    </w:p>
    <w:p>
      <w:pPr>
        <w:sectPr>
          <w:pgSz w:w="11900" w:h="16838" w:orient="portrait"/>
          <w:cols w:equalWidth="0" w:num="1">
            <w:col w:w="11240"/>
          </w:cols>
          <w:pgMar w:left="320" w:top="161" w:right="339" w:bottom="1440" w:gutter="0" w:footer="0" w:header="0"/>
        </w:sectPr>
      </w:pPr>
    </w:p>
    <w:p>
      <w:pPr>
        <w:spacing w:after="0" w:line="40" w:lineRule="exact"/>
        <w:rPr>
          <w:sz w:val="20"/>
          <w:szCs w:val="20"/>
          <w:color w:val="auto"/>
        </w:rPr>
      </w:pPr>
    </w:p>
    <w:p>
      <w:pPr>
        <w:ind w:left="260" w:right="60" w:hanging="153"/>
        <w:spacing w:after="0" w:line="208" w:lineRule="auto"/>
        <w:tabs>
          <w:tab w:leader="none" w:pos="2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Investigate opportunities for energy conservation and efficiency to reduce total energy consumption</w:t>
      </w:r>
    </w:p>
    <w:p>
      <w:pPr>
        <w:spacing w:after="0" w:line="2" w:lineRule="exact"/>
        <w:rPr>
          <w:rFonts w:ascii="Arial" w:cs="Arial" w:eastAsia="Arial" w:hAnsi="Arial"/>
          <w:sz w:val="18"/>
          <w:szCs w:val="18"/>
          <w:color w:val="auto"/>
        </w:rPr>
      </w:pPr>
    </w:p>
    <w:p>
      <w:pPr>
        <w:ind w:left="260" w:hanging="153"/>
        <w:spacing w:after="0" w:line="208"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Explore investments in facilities, processes and equipment to increase energy efficiency</w:t>
      </w:r>
    </w:p>
    <w:p>
      <w:pPr>
        <w:spacing w:after="0" w:line="1" w:lineRule="exact"/>
        <w:rPr>
          <w:rFonts w:ascii="Arial" w:cs="Arial" w:eastAsia="Arial" w:hAnsi="Arial"/>
          <w:sz w:val="18"/>
          <w:szCs w:val="18"/>
          <w:color w:val="auto"/>
        </w:rPr>
      </w:pPr>
    </w:p>
    <w:p>
      <w:pPr>
        <w:ind w:left="260" w:right="180" w:hanging="153"/>
        <w:spacing w:after="0" w:line="221" w:lineRule="auto"/>
        <w:tabs>
          <w:tab w:leader="none" w:pos="2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opportunities to mitigate greenhouse gas emissions from process gas usage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67" w:hanging="167"/>
        <w:spacing w:after="0" w:line="211" w:lineRule="auto"/>
        <w:tabs>
          <w:tab w:leader="none" w:pos="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Explore the transition of energy to electricity sources where feasible</w:t>
      </w:r>
    </w:p>
    <w:p>
      <w:pPr>
        <w:spacing w:after="0" w:line="1" w:lineRule="exact"/>
        <w:rPr>
          <w:rFonts w:ascii="Arial" w:cs="Arial" w:eastAsia="Arial" w:hAnsi="Arial"/>
          <w:sz w:val="18"/>
          <w:szCs w:val="18"/>
          <w:color w:val="auto"/>
        </w:rPr>
      </w:pPr>
    </w:p>
    <w:p>
      <w:pPr>
        <w:ind w:left="167" w:right="120" w:hanging="167"/>
        <w:spacing w:after="0" w:line="208" w:lineRule="auto"/>
        <w:tabs>
          <w:tab w:leader="none" w:pos="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 transition of electricity from traditional sources to sources backed by renewable energy instruments</w:t>
      </w:r>
    </w:p>
    <w:p>
      <w:pPr>
        <w:spacing w:after="0" w:line="1" w:lineRule="exact"/>
        <w:rPr>
          <w:rFonts w:ascii="Arial" w:cs="Arial" w:eastAsia="Arial" w:hAnsi="Arial"/>
          <w:sz w:val="18"/>
          <w:szCs w:val="18"/>
          <w:color w:val="auto"/>
        </w:rPr>
      </w:pPr>
    </w:p>
    <w:p>
      <w:pPr>
        <w:ind w:left="107" w:hanging="107"/>
        <w:spacing w:after="0" w:line="203" w:lineRule="auto"/>
        <w:tabs>
          <w:tab w:leader="none" w:pos="1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 to use 50% renewable energy by 2030</w:t>
      </w:r>
    </w:p>
    <w:p>
      <w:pPr>
        <w:jc w:val="both"/>
        <w:ind w:left="167" w:right="260" w:hanging="167"/>
        <w:spacing w:after="0" w:line="246" w:lineRule="auto"/>
        <w:tabs>
          <w:tab w:leader="none" w:pos="118" w:val="left"/>
        </w:tabs>
        <w:numPr>
          <w:ilvl w:val="0"/>
          <w:numId w:val="46"/>
        </w:numPr>
        <w:rPr>
          <w:rFonts w:ascii="Arial" w:cs="Arial" w:eastAsia="Arial" w:hAnsi="Arial"/>
          <w:sz w:val="17"/>
          <w:szCs w:val="17"/>
          <w:color w:val="auto"/>
        </w:rPr>
      </w:pPr>
      <w:r>
        <w:rPr>
          <w:rFonts w:ascii="Arial" w:cs="Arial" w:eastAsia="Arial" w:hAnsi="Arial"/>
          <w:sz w:val="17"/>
          <w:szCs w:val="17"/>
          <w:color w:val="auto"/>
        </w:rPr>
        <w:t>Transition to greenhouse gas emissions-free renewable energy portfolio by 2040</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54" w:right="80" w:hanging="154"/>
        <w:spacing w:after="0" w:line="207" w:lineRule="auto"/>
        <w:tabs>
          <w:tab w:leader="none" w:pos="1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non-electricity emissions that cannot be eliminated, mitigate through the purchase of certified carbon offsets equal to the amount of such emissions</w:t>
      </w:r>
    </w:p>
    <w:p>
      <w:pPr>
        <w:spacing w:after="0" w:line="2" w:lineRule="exact"/>
        <w:rPr>
          <w:rFonts w:ascii="Arial" w:cs="Arial" w:eastAsia="Arial" w:hAnsi="Arial"/>
          <w:sz w:val="18"/>
          <w:szCs w:val="18"/>
          <w:color w:val="auto"/>
        </w:rPr>
      </w:pPr>
    </w:p>
    <w:p>
      <w:pPr>
        <w:ind w:left="154" w:right="40" w:hanging="154"/>
        <w:spacing w:after="0" w:line="211" w:lineRule="auto"/>
        <w:tabs>
          <w:tab w:leader="none" w:pos="1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Green-E and Gold Standard certified offsets will be prioritized</w:t>
      </w:r>
    </w:p>
    <w:p>
      <w:pPr>
        <w:ind w:left="154" w:right="320" w:hanging="154"/>
        <w:spacing w:after="0" w:line="221" w:lineRule="auto"/>
        <w:tabs>
          <w:tab w:leader="none" w:pos="1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Leverage RBA membership to engage supply chain stakeholders on emissions reduction</w:t>
      </w:r>
    </w:p>
    <w:p>
      <w:pPr>
        <w:spacing w:after="0" w:line="200" w:lineRule="exact"/>
        <w:rPr>
          <w:sz w:val="20"/>
          <w:szCs w:val="20"/>
          <w:color w:val="auto"/>
        </w:rPr>
      </w:pPr>
    </w:p>
    <w:p>
      <w:pPr>
        <w:sectPr>
          <w:pgSz w:w="11900" w:h="16838" w:orient="portrait"/>
          <w:cols w:equalWidth="0" w:num="3">
            <w:col w:w="3680" w:space="153"/>
            <w:col w:w="3607" w:space="146"/>
            <w:col w:w="3654"/>
          </w:cols>
          <w:pgMar w:left="320" w:top="161" w:right="339" w:bottom="1440" w:gutter="0" w:footer="0" w:header="0"/>
          <w:type w:val="continuous"/>
        </w:sectPr>
      </w:pP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GS Committee has oversight of climate- and sustainability-related initiatives and our other actions associated with the environment, and these responsibilities are detailed in its charter. As we forge ahead as a leader in combating climate change in the semiconductor and</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manufacturing spaces, the GS Committee will assist the Board in providing guidance and oversight in respect of strategy, risk management, capital expenditures, opportunities and investments in the context of climate change.</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Legal Compliance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Working closely with our Corporate Internal Audit Department, our Law Department implements and manages ethics and legal compliance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programs designed to prevent and detect violations of the Code of Business Conduct, related standards of conduct and the law by employees or third parties. Allegations of non-compliance with laws or regulations are thoroughly investigated and remediated,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appropriate.</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 Committee has compliance oversight responsibility, which entails obtaining reports from our Corporate Internal Audit Department and our Law Department regarding any known material non-compliance with the law, advising the Board with respect to our legal compliance policies and procedures and discussing with the Law Department potentially material legal matters, including material inquiries received from regulators or government agencies. For more information on the Board’s oversight responsibilities, including its responsibility to oversee risk and our ERM Program, see “The Board of Directors and Corporate Governance — Role of the Board in Risk Oversight.”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22</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7" w:name="page28"/>
    <w:bookmarkEnd w:id="27"/>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2022 Compensation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total compensation paid to or earned by each of our non-employee directors for service during 2022.</w:t>
      </w:r>
    </w:p>
    <w:p>
      <w:pPr>
        <w:spacing w:after="0" w:line="29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w:t>
            </w:r>
          </w:p>
        </w:tc>
        <w:tc>
          <w:tcPr>
            <w:tcW w:w="3380" w:type="dxa"/>
            <w:vAlign w:val="bottom"/>
            <w:shd w:val="clear" w:color="auto" w:fill="465E66"/>
          </w:tcPr>
          <w:p>
            <w:pPr>
              <w:ind w:left="760"/>
              <w:spacing w:after="0"/>
              <w:rPr>
                <w:sz w:val="20"/>
                <w:szCs w:val="20"/>
                <w:color w:val="auto"/>
              </w:rPr>
            </w:pPr>
            <w:r>
              <w:rPr>
                <w:rFonts w:ascii="Arial" w:cs="Arial" w:eastAsia="Arial" w:hAnsi="Arial"/>
                <w:sz w:val="14"/>
                <w:szCs w:val="14"/>
                <w:b w:val="1"/>
                <w:bCs w:val="1"/>
                <w:color w:val="FFFFFF"/>
              </w:rPr>
              <w:t>Fees Earned or Paid in Cash (1)</w:t>
            </w:r>
          </w:p>
        </w:tc>
        <w:tc>
          <w:tcPr>
            <w:tcW w:w="2520" w:type="dxa"/>
            <w:vAlign w:val="bottom"/>
            <w:shd w:val="clear" w:color="auto" w:fill="465E66"/>
          </w:tcPr>
          <w:p>
            <w:pPr>
              <w:ind w:left="480"/>
              <w:spacing w:after="0"/>
              <w:rPr>
                <w:sz w:val="20"/>
                <w:szCs w:val="20"/>
                <w:color w:val="auto"/>
              </w:rPr>
            </w:pPr>
            <w:r>
              <w:rPr>
                <w:rFonts w:ascii="Arial" w:cs="Arial" w:eastAsia="Arial" w:hAnsi="Arial"/>
                <w:sz w:val="14"/>
                <w:szCs w:val="14"/>
                <w:b w:val="1"/>
                <w:bCs w:val="1"/>
                <w:color w:val="FFFFFF"/>
              </w:rPr>
              <w:t>Stock Awards (2)</w:t>
            </w:r>
          </w:p>
        </w:tc>
        <w:tc>
          <w:tcPr>
            <w:tcW w:w="2460" w:type="dxa"/>
            <w:vAlign w:val="bottom"/>
            <w:shd w:val="clear" w:color="auto" w:fill="465E66"/>
          </w:tcPr>
          <w:p>
            <w:pPr>
              <w:ind w:left="98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5"/>
        </w:trPr>
        <w:tc>
          <w:tcPr>
            <w:tcW w:w="2060" w:type="dxa"/>
            <w:vAlign w:val="bottom"/>
            <w:vMerge w:val="continue"/>
            <w:shd w:val="clear" w:color="auto" w:fill="465E66"/>
          </w:tcPr>
          <w:p>
            <w:pPr>
              <w:spacing w:after="0"/>
              <w:rPr>
                <w:sz w:val="16"/>
                <w:szCs w:val="16"/>
                <w:color w:val="auto"/>
              </w:rPr>
            </w:pPr>
          </w:p>
        </w:tc>
        <w:tc>
          <w:tcPr>
            <w:tcW w:w="3380" w:type="dxa"/>
            <w:vAlign w:val="bottom"/>
            <w:shd w:val="clear" w:color="auto" w:fill="465E66"/>
          </w:tcPr>
          <w:p>
            <w:pPr>
              <w:jc w:val="center"/>
              <w:ind w:left="208"/>
              <w:spacing w:after="0"/>
              <w:rPr>
                <w:sz w:val="20"/>
                <w:szCs w:val="20"/>
                <w:color w:val="auto"/>
              </w:rPr>
            </w:pPr>
            <w:r>
              <w:rPr>
                <w:rFonts w:ascii="Arial" w:cs="Arial" w:eastAsia="Arial" w:hAnsi="Arial"/>
                <w:sz w:val="14"/>
                <w:szCs w:val="14"/>
                <w:b w:val="1"/>
                <w:bCs w:val="1"/>
                <w:color w:val="FFFFFF"/>
              </w:rPr>
              <w:t>($)</w:t>
            </w:r>
          </w:p>
        </w:tc>
        <w:tc>
          <w:tcPr>
            <w:tcW w:w="2520" w:type="dxa"/>
            <w:vAlign w:val="bottom"/>
            <w:shd w:val="clear" w:color="auto" w:fill="465E66"/>
          </w:tcPr>
          <w:p>
            <w:pPr>
              <w:jc w:val="center"/>
              <w:ind w:right="328"/>
              <w:spacing w:after="0"/>
              <w:rPr>
                <w:sz w:val="20"/>
                <w:szCs w:val="20"/>
                <w:color w:val="auto"/>
              </w:rPr>
            </w:pPr>
            <w:r>
              <w:rPr>
                <w:rFonts w:ascii="Arial" w:cs="Arial" w:eastAsia="Arial" w:hAnsi="Arial"/>
                <w:sz w:val="14"/>
                <w:szCs w:val="14"/>
                <w:b w:val="1"/>
                <w:bCs w:val="1"/>
                <w:color w:val="FFFFFF"/>
                <w:w w:val="93"/>
              </w:rPr>
              <w:t>($)</w:t>
            </w:r>
          </w:p>
        </w:tc>
        <w:tc>
          <w:tcPr>
            <w:tcW w:w="2460" w:type="dxa"/>
            <w:vAlign w:val="bottom"/>
            <w:shd w:val="clear" w:color="auto" w:fill="465E66"/>
          </w:tcPr>
          <w:p>
            <w:pPr>
              <w:jc w:val="center"/>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2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Atsushi Abe</w:t>
            </w:r>
          </w:p>
        </w:tc>
        <w:tc>
          <w:tcPr>
            <w:tcW w:w="3380" w:type="dxa"/>
            <w:vAlign w:val="bottom"/>
            <w:shd w:val="clear" w:color="auto" w:fill="DBDBDB"/>
          </w:tcPr>
          <w:p>
            <w:pPr>
              <w:jc w:val="center"/>
              <w:ind w:left="228"/>
              <w:spacing w:after="0"/>
              <w:rPr>
                <w:sz w:val="20"/>
                <w:szCs w:val="20"/>
                <w:color w:val="auto"/>
              </w:rPr>
            </w:pPr>
            <w:r>
              <w:rPr>
                <w:rFonts w:ascii="Arial" w:cs="Arial" w:eastAsia="Arial" w:hAnsi="Arial"/>
                <w:sz w:val="14"/>
                <w:szCs w:val="14"/>
                <w:color w:val="auto"/>
              </w:rPr>
              <w:t>92,994</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308,006</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Alan Campbell</w:t>
            </w:r>
          </w:p>
        </w:tc>
        <w:tc>
          <w:tcPr>
            <w:tcW w:w="3380" w:type="dxa"/>
            <w:vAlign w:val="bottom"/>
          </w:tcPr>
          <w:p>
            <w:pPr>
              <w:jc w:val="center"/>
              <w:ind w:left="228"/>
              <w:spacing w:after="0"/>
              <w:rPr>
                <w:sz w:val="20"/>
                <w:szCs w:val="20"/>
                <w:color w:val="auto"/>
              </w:rPr>
            </w:pPr>
            <w:r>
              <w:rPr>
                <w:rFonts w:ascii="Arial" w:cs="Arial" w:eastAsia="Arial" w:hAnsi="Arial"/>
                <w:sz w:val="14"/>
                <w:szCs w:val="14"/>
                <w:color w:val="auto"/>
              </w:rPr>
              <w:t>220,495</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435,507</w:t>
            </w:r>
          </w:p>
        </w:tc>
        <w:tc>
          <w:tcPr>
            <w:tcW w:w="0" w:type="dxa"/>
            <w:vAlign w:val="bottom"/>
          </w:tcPr>
          <w:p>
            <w:pPr>
              <w:spacing w:after="0"/>
              <w:rPr>
                <w:sz w:val="1"/>
                <w:szCs w:val="1"/>
                <w:color w:val="auto"/>
              </w:rPr>
            </w:pPr>
          </w:p>
        </w:tc>
      </w:tr>
      <w:tr>
        <w:trPr>
          <w:trHeight w:val="207"/>
        </w:trPr>
        <w:tc>
          <w:tcPr>
            <w:tcW w:w="2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Susan K. Carter</w:t>
            </w:r>
          </w:p>
        </w:tc>
        <w:tc>
          <w:tcPr>
            <w:tcW w:w="3380" w:type="dxa"/>
            <w:vAlign w:val="bottom"/>
            <w:shd w:val="clear" w:color="auto" w:fill="DBDBDB"/>
          </w:tcPr>
          <w:p>
            <w:pPr>
              <w:jc w:val="center"/>
              <w:ind w:left="208"/>
              <w:spacing w:after="0"/>
              <w:rPr>
                <w:sz w:val="20"/>
                <w:szCs w:val="20"/>
                <w:color w:val="auto"/>
              </w:rPr>
            </w:pPr>
            <w:r>
              <w:rPr>
                <w:rFonts w:ascii="Arial" w:cs="Arial" w:eastAsia="Arial" w:hAnsi="Arial"/>
                <w:sz w:val="14"/>
                <w:szCs w:val="14"/>
                <w:color w:val="auto"/>
                <w:w w:val="98"/>
              </w:rPr>
              <w:t>115,495</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330,507</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Thomas L. Deitrich</w:t>
            </w:r>
          </w:p>
        </w:tc>
        <w:tc>
          <w:tcPr>
            <w:tcW w:w="3380" w:type="dxa"/>
            <w:vAlign w:val="bottom"/>
          </w:tcPr>
          <w:p>
            <w:pPr>
              <w:jc w:val="center"/>
              <w:ind w:left="228"/>
              <w:spacing w:after="0"/>
              <w:rPr>
                <w:sz w:val="20"/>
                <w:szCs w:val="20"/>
                <w:color w:val="auto"/>
              </w:rPr>
            </w:pPr>
            <w:r>
              <w:rPr>
                <w:rFonts w:ascii="Arial" w:cs="Arial" w:eastAsia="Arial" w:hAnsi="Arial"/>
                <w:sz w:val="14"/>
                <w:szCs w:val="14"/>
                <w:color w:val="auto"/>
              </w:rPr>
              <w:t>85,494</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300,506</w:t>
            </w:r>
          </w:p>
        </w:tc>
        <w:tc>
          <w:tcPr>
            <w:tcW w:w="0" w:type="dxa"/>
            <w:vAlign w:val="bottom"/>
          </w:tcPr>
          <w:p>
            <w:pPr>
              <w:spacing w:after="0"/>
              <w:rPr>
                <w:sz w:val="1"/>
                <w:szCs w:val="1"/>
                <w:color w:val="auto"/>
              </w:rPr>
            </w:pPr>
          </w:p>
        </w:tc>
      </w:tr>
      <w:tr>
        <w:trPr>
          <w:trHeight w:val="207"/>
        </w:trPr>
        <w:tc>
          <w:tcPr>
            <w:tcW w:w="2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Gilles Delfassy</w:t>
            </w:r>
          </w:p>
        </w:tc>
        <w:tc>
          <w:tcPr>
            <w:tcW w:w="3380" w:type="dxa"/>
            <w:vAlign w:val="bottom"/>
            <w:shd w:val="clear" w:color="auto" w:fill="DBDBDB"/>
          </w:tcPr>
          <w:p>
            <w:pPr>
              <w:jc w:val="center"/>
              <w:ind w:left="228"/>
              <w:spacing w:after="0"/>
              <w:rPr>
                <w:sz w:val="20"/>
                <w:szCs w:val="20"/>
                <w:color w:val="auto"/>
              </w:rPr>
            </w:pPr>
            <w:r>
              <w:rPr>
                <w:rFonts w:ascii="Arial" w:cs="Arial" w:eastAsia="Arial" w:hAnsi="Arial"/>
                <w:sz w:val="14"/>
                <w:szCs w:val="14"/>
                <w:color w:val="auto"/>
              </w:rPr>
              <w:t>87,995</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303,007</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Bruce E. Kiddoo</w:t>
            </w:r>
          </w:p>
        </w:tc>
        <w:tc>
          <w:tcPr>
            <w:tcW w:w="3380" w:type="dxa"/>
            <w:vAlign w:val="bottom"/>
          </w:tcPr>
          <w:p>
            <w:pPr>
              <w:jc w:val="center"/>
              <w:ind w:left="228"/>
              <w:spacing w:after="0"/>
              <w:rPr>
                <w:sz w:val="20"/>
                <w:szCs w:val="20"/>
                <w:color w:val="auto"/>
              </w:rPr>
            </w:pPr>
            <w:r>
              <w:rPr>
                <w:rFonts w:ascii="Arial" w:cs="Arial" w:eastAsia="Arial" w:hAnsi="Arial"/>
                <w:sz w:val="14"/>
                <w:szCs w:val="14"/>
                <w:color w:val="auto"/>
              </w:rPr>
              <w:t>92,994</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308,006</w:t>
            </w:r>
          </w:p>
        </w:tc>
        <w:tc>
          <w:tcPr>
            <w:tcW w:w="0" w:type="dxa"/>
            <w:vAlign w:val="bottom"/>
          </w:tcPr>
          <w:p>
            <w:pPr>
              <w:spacing w:after="0"/>
              <w:rPr>
                <w:sz w:val="1"/>
                <w:szCs w:val="1"/>
                <w:color w:val="auto"/>
              </w:rPr>
            </w:pPr>
          </w:p>
        </w:tc>
      </w:tr>
      <w:tr>
        <w:trPr>
          <w:trHeight w:val="207"/>
        </w:trPr>
        <w:tc>
          <w:tcPr>
            <w:tcW w:w="2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Paul A. Mascarenas</w:t>
            </w:r>
          </w:p>
        </w:tc>
        <w:tc>
          <w:tcPr>
            <w:tcW w:w="3380" w:type="dxa"/>
            <w:vAlign w:val="bottom"/>
            <w:shd w:val="clear" w:color="auto" w:fill="DBDBDB"/>
          </w:tcPr>
          <w:p>
            <w:pPr>
              <w:jc w:val="center"/>
              <w:ind w:left="228"/>
              <w:spacing w:after="0"/>
              <w:rPr>
                <w:sz w:val="20"/>
                <w:szCs w:val="20"/>
                <w:color w:val="auto"/>
              </w:rPr>
            </w:pPr>
            <w:r>
              <w:rPr>
                <w:rFonts w:ascii="Arial" w:cs="Arial" w:eastAsia="Arial" w:hAnsi="Arial"/>
                <w:sz w:val="14"/>
                <w:szCs w:val="14"/>
                <w:color w:val="auto"/>
              </w:rPr>
              <w:t>102,995</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318,007</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Gregory Waters</w:t>
            </w:r>
          </w:p>
        </w:tc>
        <w:tc>
          <w:tcPr>
            <w:tcW w:w="3380" w:type="dxa"/>
            <w:vAlign w:val="bottom"/>
          </w:tcPr>
          <w:p>
            <w:pPr>
              <w:jc w:val="center"/>
              <w:ind w:left="228"/>
              <w:spacing w:after="0"/>
              <w:rPr>
                <w:sz w:val="20"/>
                <w:szCs w:val="20"/>
                <w:color w:val="auto"/>
              </w:rPr>
            </w:pPr>
            <w:r>
              <w:rPr>
                <w:rFonts w:ascii="Arial" w:cs="Arial" w:eastAsia="Arial" w:hAnsi="Arial"/>
                <w:sz w:val="14"/>
                <w:szCs w:val="14"/>
                <w:color w:val="auto"/>
              </w:rPr>
              <w:t>87,995</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303,007</w:t>
            </w:r>
          </w:p>
        </w:tc>
        <w:tc>
          <w:tcPr>
            <w:tcW w:w="0" w:type="dxa"/>
            <w:vAlign w:val="bottom"/>
          </w:tcPr>
          <w:p>
            <w:pPr>
              <w:spacing w:after="0"/>
              <w:rPr>
                <w:sz w:val="1"/>
                <w:szCs w:val="1"/>
                <w:color w:val="auto"/>
              </w:rPr>
            </w:pPr>
          </w:p>
        </w:tc>
      </w:tr>
      <w:tr>
        <w:trPr>
          <w:trHeight w:val="203"/>
        </w:trPr>
        <w:tc>
          <w:tcPr>
            <w:tcW w:w="20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Christine Y. Yan</w:t>
            </w:r>
          </w:p>
        </w:tc>
        <w:tc>
          <w:tcPr>
            <w:tcW w:w="3380" w:type="dxa"/>
            <w:vAlign w:val="bottom"/>
            <w:tcBorders>
              <w:bottom w:val="single" w:sz="8" w:color="auto"/>
            </w:tcBorders>
            <w:shd w:val="clear" w:color="auto" w:fill="DBDBDB"/>
          </w:tcPr>
          <w:p>
            <w:pPr>
              <w:jc w:val="center"/>
              <w:ind w:left="228"/>
              <w:spacing w:after="0"/>
              <w:rPr>
                <w:sz w:val="20"/>
                <w:szCs w:val="20"/>
                <w:color w:val="auto"/>
              </w:rPr>
            </w:pPr>
            <w:r>
              <w:rPr>
                <w:rFonts w:ascii="Arial" w:cs="Arial" w:eastAsia="Arial" w:hAnsi="Arial"/>
                <w:sz w:val="14"/>
                <w:szCs w:val="14"/>
                <w:color w:val="auto"/>
              </w:rPr>
              <w:t>97,995</w:t>
            </w:r>
          </w:p>
        </w:tc>
        <w:tc>
          <w:tcPr>
            <w:tcW w:w="2520" w:type="dxa"/>
            <w:vAlign w:val="bottom"/>
            <w:tcBorders>
              <w:bottom w:val="single" w:sz="8" w:color="auto"/>
            </w:tcBorders>
            <w:shd w:val="clear" w:color="auto" w:fill="DBDBDB"/>
          </w:tcPr>
          <w:p>
            <w:pPr>
              <w:jc w:val="center"/>
              <w:ind w:right="328"/>
              <w:spacing w:after="0"/>
              <w:rPr>
                <w:sz w:val="20"/>
                <w:szCs w:val="20"/>
                <w:color w:val="auto"/>
              </w:rPr>
            </w:pPr>
            <w:r>
              <w:rPr>
                <w:rFonts w:ascii="Arial" w:cs="Arial" w:eastAsia="Arial" w:hAnsi="Arial"/>
                <w:sz w:val="14"/>
                <w:szCs w:val="14"/>
                <w:color w:val="auto"/>
              </w:rPr>
              <w:t>215,012</w:t>
            </w:r>
          </w:p>
        </w:tc>
        <w:tc>
          <w:tcPr>
            <w:tcW w:w="2460" w:type="dxa"/>
            <w:vAlign w:val="bottom"/>
            <w:tcBorders>
              <w:bottom w:val="single" w:sz="8" w:color="auto"/>
            </w:tcBorders>
            <w:shd w:val="clear" w:color="auto" w:fill="DBDBDB"/>
          </w:tcPr>
          <w:p>
            <w:pPr>
              <w:jc w:val="center"/>
              <w:ind w:right="108"/>
              <w:spacing w:after="0"/>
              <w:rPr>
                <w:sz w:val="20"/>
                <w:szCs w:val="20"/>
                <w:color w:val="auto"/>
              </w:rPr>
            </w:pPr>
            <w:r>
              <w:rPr>
                <w:rFonts w:ascii="Arial" w:cs="Arial" w:eastAsia="Arial" w:hAnsi="Arial"/>
                <w:sz w:val="14"/>
                <w:szCs w:val="14"/>
                <w:color w:val="auto"/>
              </w:rPr>
              <w:t>313,007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80" w:right="520" w:hanging="242"/>
        <w:spacing w:after="0" w:line="252" w:lineRule="auto"/>
        <w:tabs>
          <w:tab w:leader="none" w:pos="653"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column reflects annual retainer fees earned for board service in 2022, regardless of when paid. The schedule of fees is provided below under “Discussion of Director Compensation.”</w:t>
      </w:r>
    </w:p>
    <w:p>
      <w:pPr>
        <w:ind w:left="680" w:right="520" w:hanging="242"/>
        <w:spacing w:after="0" w:line="242" w:lineRule="auto"/>
        <w:tabs>
          <w:tab w:leader="none" w:pos="653"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the restricted stock award granted to each non-employee director on May 26, 2022, computed in accordance with FASB ASC Topic 718 (i.e., the closing price on the date of grant multiplied by the number of shares granted). As of December 31, 2022, each non-employee director held a total of 3,624 shares of restricted stock, all of which are scheduled to vest on the day prior to the annual meeting.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Discussion of Director Compensation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Board has delegated responsibility for reviewing and determining non-employee director compensation to its HCC Committee. The HCC Committee reviews the compensation payable to our non-employee directors at least annually. In determining compensation and benefits for our non-employee directors, the HCC Committee is guided by three goals: (i) to fairly pay non-employee directors for work required relating to Board service at a public company of our size and scope; (ii) to align non-employee directors’ interests with the long-term interests of our stockholders; and (iii) to structure the compensation in a way that is straightforward and transparent. Generally, the HCC Committee believes that these goals are served by compensating non-employee directors with a mix of cash and equity-based awards.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2022, Pearl Meyer, which was then serving as the HCC Committee’s independent compensation consultant, provided the HCC Committee with an analysis of non-employee director compensation, including a review of director compensation of the peer group used to evaluate executive compensation.</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Taking into consideration this analysis as well as Pearl Meyer’s recommendations, the HCC Committee increased the annual cash and equity retainers by $5,000 and $10,000, respectively, which maintained the existing cash/equity mix. In addition, the HCC Committee added a one-year vesting requirement to annual equity awards to non-employee directors. Each of these changes is discussed in greater detail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Cash Retainers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non-employee director receives a base annual cash retainer, plus additional retainers for service on one or more committees (either as a member or as the committee Chair) and for service as Chair of the Board. As discussed above, as a result of its annual review of director compensation, the HCC Committee increased the base annual cash retainer by $5,000, from $75,000 to $80,000, effective May 26, 2022, and left all other cash retainers unchanged. Following this revision, the schedule of non-employee director cash retainers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shd w:val="clear" w:color="auto" w:fill="465E66"/>
          </w:tcPr>
          <w:p>
            <w:pPr>
              <w:ind w:left="20"/>
              <w:spacing w:after="0"/>
              <w:rPr>
                <w:sz w:val="20"/>
                <w:szCs w:val="20"/>
                <w:color w:val="auto"/>
              </w:rPr>
            </w:pPr>
            <w:r>
              <w:rPr>
                <w:rFonts w:ascii="Arial" w:cs="Arial" w:eastAsia="Arial" w:hAnsi="Arial"/>
                <w:sz w:val="18"/>
                <w:szCs w:val="18"/>
                <w:b w:val="1"/>
                <w:bCs w:val="1"/>
                <w:color w:val="FFFFFF"/>
              </w:rPr>
              <w:t>Fee Type</w:t>
            </w:r>
          </w:p>
        </w:tc>
        <w:tc>
          <w:tcPr>
            <w:tcW w:w="5260" w:type="dxa"/>
            <w:vAlign w:val="bottom"/>
            <w:shd w:val="clear" w:color="auto" w:fill="465E66"/>
          </w:tcPr>
          <w:p>
            <w:pPr>
              <w:ind w:left="2180"/>
              <w:spacing w:after="0"/>
              <w:rPr>
                <w:sz w:val="20"/>
                <w:szCs w:val="20"/>
                <w:color w:val="auto"/>
              </w:rPr>
            </w:pPr>
            <w:r>
              <w:rPr>
                <w:rFonts w:ascii="Arial" w:cs="Arial" w:eastAsia="Arial" w:hAnsi="Arial"/>
                <w:sz w:val="18"/>
                <w:szCs w:val="18"/>
                <w:b w:val="1"/>
                <w:bCs w:val="1"/>
                <w:color w:val="FFFFFF"/>
              </w:rPr>
              <w:t>Cash Retainer Amount Per Year</w:t>
            </w:r>
          </w:p>
        </w:tc>
      </w:tr>
      <w:tr>
        <w:trPr>
          <w:trHeight w:val="229"/>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Base Retainer for Each Non-Employee Director</w:t>
            </w:r>
          </w:p>
        </w:tc>
        <w:tc>
          <w:tcPr>
            <w:tcW w:w="5260" w:type="dxa"/>
            <w:vAlign w:val="bottom"/>
            <w:shd w:val="clear" w:color="auto" w:fill="DBDBDB"/>
          </w:tcPr>
          <w:p>
            <w:pPr>
              <w:jc w:val="center"/>
              <w:ind w:left="1730"/>
              <w:spacing w:after="0"/>
              <w:rPr>
                <w:sz w:val="20"/>
                <w:szCs w:val="20"/>
                <w:color w:val="auto"/>
              </w:rPr>
            </w:pPr>
            <w:r>
              <w:rPr>
                <w:rFonts w:ascii="Arial" w:cs="Arial" w:eastAsia="Arial" w:hAnsi="Arial"/>
                <w:sz w:val="18"/>
                <w:szCs w:val="18"/>
                <w:color w:val="auto"/>
                <w:w w:val="98"/>
              </w:rPr>
              <w:t>$80,000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Chair of the Board</w:t>
            </w:r>
          </w:p>
        </w:tc>
        <w:tc>
          <w:tcPr>
            <w:tcW w:w="5260" w:type="dxa"/>
            <w:vAlign w:val="bottom"/>
          </w:tcPr>
          <w:p>
            <w:pPr>
              <w:jc w:val="center"/>
              <w:ind w:left="1730"/>
              <w:spacing w:after="0"/>
              <w:rPr>
                <w:sz w:val="20"/>
                <w:szCs w:val="20"/>
                <w:color w:val="auto"/>
              </w:rPr>
            </w:pPr>
            <w:r>
              <w:rPr>
                <w:rFonts w:ascii="Arial" w:cs="Arial" w:eastAsia="Arial" w:hAnsi="Arial"/>
                <w:sz w:val="18"/>
                <w:szCs w:val="18"/>
                <w:color w:val="auto"/>
              </w:rPr>
              <w:t>$120,000</w:t>
            </w:r>
          </w:p>
        </w:tc>
      </w:tr>
      <w:tr>
        <w:trPr>
          <w:trHeight w:val="229"/>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Chair of the Audit Committee</w:t>
            </w:r>
          </w:p>
        </w:tc>
        <w:tc>
          <w:tcPr>
            <w:tcW w:w="5260" w:type="dxa"/>
            <w:vAlign w:val="bottom"/>
            <w:shd w:val="clear" w:color="auto" w:fill="DBDBDB"/>
          </w:tcPr>
          <w:p>
            <w:pPr>
              <w:jc w:val="center"/>
              <w:ind w:left="1730"/>
              <w:spacing w:after="0"/>
              <w:rPr>
                <w:sz w:val="20"/>
                <w:szCs w:val="20"/>
                <w:color w:val="auto"/>
              </w:rPr>
            </w:pPr>
            <w:r>
              <w:rPr>
                <w:rFonts w:ascii="Arial" w:cs="Arial" w:eastAsia="Arial" w:hAnsi="Arial"/>
                <w:sz w:val="18"/>
                <w:szCs w:val="18"/>
                <w:color w:val="auto"/>
                <w:w w:val="98"/>
              </w:rPr>
              <w:t>$30,000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Non-Chair Members of the Audit Committee</w:t>
            </w:r>
          </w:p>
        </w:tc>
        <w:tc>
          <w:tcPr>
            <w:tcW w:w="5260" w:type="dxa"/>
            <w:vAlign w:val="bottom"/>
          </w:tcPr>
          <w:p>
            <w:pPr>
              <w:jc w:val="center"/>
              <w:ind w:left="1730"/>
              <w:spacing w:after="0"/>
              <w:rPr>
                <w:sz w:val="20"/>
                <w:szCs w:val="20"/>
                <w:color w:val="auto"/>
              </w:rPr>
            </w:pPr>
            <w:r>
              <w:rPr>
                <w:rFonts w:ascii="Arial" w:cs="Arial" w:eastAsia="Arial" w:hAnsi="Arial"/>
                <w:sz w:val="18"/>
                <w:szCs w:val="18"/>
                <w:color w:val="auto"/>
                <w:w w:val="98"/>
              </w:rPr>
              <w:t>$15,000</w:t>
            </w:r>
          </w:p>
        </w:tc>
      </w:tr>
      <w:tr>
        <w:trPr>
          <w:trHeight w:val="229"/>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Chair of the HCC Committee</w:t>
            </w:r>
          </w:p>
        </w:tc>
        <w:tc>
          <w:tcPr>
            <w:tcW w:w="5260" w:type="dxa"/>
            <w:vAlign w:val="bottom"/>
            <w:shd w:val="clear" w:color="auto" w:fill="DBDBDB"/>
          </w:tcPr>
          <w:p>
            <w:pPr>
              <w:jc w:val="center"/>
              <w:ind w:left="1730"/>
              <w:spacing w:after="0"/>
              <w:rPr>
                <w:sz w:val="20"/>
                <w:szCs w:val="20"/>
                <w:color w:val="auto"/>
              </w:rPr>
            </w:pPr>
            <w:r>
              <w:rPr>
                <w:rFonts w:ascii="Arial" w:cs="Arial" w:eastAsia="Arial" w:hAnsi="Arial"/>
                <w:sz w:val="18"/>
                <w:szCs w:val="18"/>
                <w:color w:val="auto"/>
                <w:w w:val="98"/>
              </w:rPr>
              <w:t>$20,000</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Non-Chair Members of the HCC Committee</w:t>
            </w:r>
          </w:p>
        </w:tc>
        <w:tc>
          <w:tcPr>
            <w:tcW w:w="5260" w:type="dxa"/>
            <w:vAlign w:val="bottom"/>
          </w:tcPr>
          <w:p>
            <w:pPr>
              <w:jc w:val="center"/>
              <w:ind w:left="1730"/>
              <w:spacing w:after="0"/>
              <w:rPr>
                <w:sz w:val="20"/>
                <w:szCs w:val="20"/>
                <w:color w:val="auto"/>
              </w:rPr>
            </w:pPr>
            <w:r>
              <w:rPr>
                <w:rFonts w:ascii="Arial" w:cs="Arial" w:eastAsia="Arial" w:hAnsi="Arial"/>
                <w:sz w:val="18"/>
                <w:szCs w:val="18"/>
                <w:color w:val="auto"/>
                <w:w w:val="98"/>
              </w:rPr>
              <w:t>$10,000</w:t>
            </w:r>
          </w:p>
        </w:tc>
      </w:tr>
      <w:tr>
        <w:trPr>
          <w:trHeight w:val="230"/>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Chair of the GS Committee</w:t>
            </w:r>
          </w:p>
        </w:tc>
        <w:tc>
          <w:tcPr>
            <w:tcW w:w="5260" w:type="dxa"/>
            <w:vAlign w:val="bottom"/>
            <w:shd w:val="clear" w:color="auto" w:fill="DBDBDB"/>
          </w:tcPr>
          <w:p>
            <w:pPr>
              <w:jc w:val="center"/>
              <w:ind w:left="1730"/>
              <w:spacing w:after="0"/>
              <w:rPr>
                <w:sz w:val="20"/>
                <w:szCs w:val="20"/>
                <w:color w:val="auto"/>
              </w:rPr>
            </w:pPr>
            <w:r>
              <w:rPr>
                <w:rFonts w:ascii="Arial" w:cs="Arial" w:eastAsia="Arial" w:hAnsi="Arial"/>
                <w:sz w:val="18"/>
                <w:szCs w:val="18"/>
                <w:color w:val="auto"/>
                <w:w w:val="98"/>
              </w:rPr>
              <w:t>$15,000</w:t>
            </w:r>
          </w:p>
        </w:tc>
      </w:tr>
      <w:tr>
        <w:trPr>
          <w:trHeight w:val="22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Non-Chair Members of the GS Committee</w:t>
            </w:r>
          </w:p>
        </w:tc>
        <w:tc>
          <w:tcPr>
            <w:tcW w:w="5260" w:type="dxa"/>
            <w:vAlign w:val="bottom"/>
            <w:tcBorders>
              <w:bottom w:val="single" w:sz="8" w:color="auto"/>
            </w:tcBorders>
          </w:tcPr>
          <w:p>
            <w:pPr>
              <w:jc w:val="center"/>
              <w:ind w:left="1730"/>
              <w:spacing w:after="0"/>
              <w:rPr>
                <w:sz w:val="20"/>
                <w:szCs w:val="20"/>
                <w:color w:val="auto"/>
              </w:rPr>
            </w:pPr>
            <w:r>
              <w:rPr>
                <w:rFonts w:ascii="Arial" w:cs="Arial" w:eastAsia="Arial" w:hAnsi="Arial"/>
                <w:sz w:val="18"/>
                <w:szCs w:val="18"/>
                <w:color w:val="auto"/>
              </w:rPr>
              <w:t>$7,500</w:t>
            </w:r>
          </w:p>
        </w:tc>
      </w:tr>
    </w:tbl>
    <w:p>
      <w:pPr>
        <w:spacing w:after="0" w:line="3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annual cash retainers are generally paid quarterly in arrears, except that the retainers for the fourth quarter are typically paid before the end of the year of service.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and Stock Ownership Guidelines</w:t>
      </w:r>
    </w:p>
    <w:p>
      <w:pPr>
        <w:spacing w:after="0" w:line="22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HCC Committee grants each non-employee director an annual equity award following our annual meeting of stockholders. In previous years, this award has been structured as a grant of fully-vested common stock under the SIP.</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Consistent with best practices and in order to further align our director compensation program with the interests of our stockholders, following its annual review of director compensation in 2022, the HCC Committee added a vesting requirement to these equity awards. In addition, the HCC Committee increased the target value of the annual award to each non-employee director by $10,000, from $205,000 to $215,000. With these changes, each non-employee director was granted a restricted stock award under the SIP with the number of shares determined by dividing the target value by the closing price on the date of grant (May 26, 2022) and rounding up to the next whole share. These restricted stock awards will vest on the day prior to the next annual meeting, provided that the director continues to provide services through that date except as otherwise provided in the award agreement.</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adopted stock ownership guidelines that require each of our non-employee directors to own at least five times the base annual cash retainer within five years of his or her initial appointment to the Board. As of the record date, all of our non-employee directors were either in</w:t>
      </w:r>
    </w:p>
    <w:p>
      <w:pPr>
        <w:jc w:val="both"/>
        <w:spacing w:after="0" w:line="226" w:lineRule="auto"/>
        <w:rPr>
          <w:sz w:val="20"/>
          <w:szCs w:val="20"/>
          <w:color w:val="auto"/>
        </w:rPr>
      </w:pPr>
      <w:r>
        <w:rPr>
          <w:rFonts w:ascii="Arial" w:cs="Arial" w:eastAsia="Arial" w:hAnsi="Arial"/>
          <w:sz w:val="18"/>
          <w:szCs w:val="18"/>
          <w:color w:val="auto"/>
        </w:rPr>
        <w:t>compliance with, or within the five-year grace period for compliance under, these guidelines. For additional information regarding these guidelines, please see the sub-section titled “Director and Officer Stock Ownership and Retention Guidelines” in the Stock Ownership section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this proxy statement.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 Reimbursements and Other Compensation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reimburse our non-employee directors for reasonable expenses incurred to attend Board and committee meetings and to perform other relevant Board duties, but we do not pay any other compensation or provide perquisites to our non-employee directors.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El-Khoury, who serves as our President and CEO as well as a director, does not receive any additional compensation for his services as a member of the Board. For information regarding his compensation, please see the CD&amp;A and the executive compensation tables that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24</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9" w:name="page30"/>
    <w:bookmarkEnd w:id="29"/>
    <w:p>
      <w:pPr>
        <w:spacing w:after="0"/>
        <w:rPr>
          <w:sz w:val="20"/>
          <w:szCs w:val="20"/>
          <w:color w:val="auto"/>
        </w:rPr>
      </w:pPr>
      <w:r>
        <w:rPr>
          <w:rFonts w:ascii="Arial" w:cs="Arial" w:eastAsia="Arial" w:hAnsi="Arial"/>
          <w:sz w:val="25"/>
          <w:szCs w:val="25"/>
          <w:b w:val="1"/>
          <w:bCs w:val="1"/>
          <w:color w:val="E97D2E"/>
        </w:rPr>
        <w:t>COMPENSATION OF EXECUTIVE OFFICERS</w:t>
      </w:r>
    </w:p>
    <w:p>
      <w:pPr>
        <w:spacing w:after="0" w:line="36" w:lineRule="exact"/>
        <w:rPr>
          <w:sz w:val="20"/>
          <w:szCs w:val="20"/>
          <w:color w:val="auto"/>
        </w:rPr>
      </w:pPr>
    </w:p>
    <w:p>
      <w:pPr>
        <w:ind w:right="300"/>
        <w:spacing w:after="0" w:line="288" w:lineRule="auto"/>
        <w:rPr>
          <w:sz w:val="20"/>
          <w:szCs w:val="20"/>
          <w:color w:val="auto"/>
        </w:rPr>
      </w:pPr>
      <w:r>
        <w:rPr>
          <w:rFonts w:ascii="Arial" w:cs="Arial" w:eastAsia="Arial" w:hAnsi="Arial"/>
          <w:sz w:val="25"/>
          <w:szCs w:val="25"/>
          <w:b w:val="1"/>
          <w:bCs w:val="1"/>
          <w:color w:val="465E66"/>
        </w:rPr>
        <w:t>Proposal No. 2: Advisory Vote to Approve Named Executive Officer Compensation (Say-on-Pay)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recommends a vote “FOR” approval of the compensation paid to our NEOs as disclosed in this proxy statement.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each annual meeting, we provide our stockholders with the opportunity to vote to approve, on a non-binding, advisory basis, the compensation of our NEOs as disclosed in this proxy statement pursuant to Section 14A of the Exchange Act and related SEC rules.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vote, commonly referred to as a say-on-pay vote, is not intended to address any specific element of compensation but rather relates to the overall compensation of our NEOs and our compensation philosophy and practices, as described in this proxy statement. In considering how to vote on this proposal, we recommend that you review the relevant disclosures in this proxy statement, particularly the CD&amp;A, which contains detailed information about our executive compensation program.</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described in greater detail in our CD&amp;A, the principal objective of our executive compensation program, which is overseen by the HCC Committee, is to attract, retain and motivate highly talented individuals who will deliver competitive financial returns to our stockholders and accomplish our short-term and long-term plans and goals. We seek to accomplish this objective by rewarding performance, both individual and corporate, in a way that is aligned with our short-term and long-term interests and those of our stockholders. Consistent with this</w:t>
      </w:r>
    </w:p>
    <w:p>
      <w:pPr>
        <w:jc w:val="both"/>
        <w:spacing w:after="0" w:line="226" w:lineRule="auto"/>
        <w:rPr>
          <w:sz w:val="20"/>
          <w:szCs w:val="20"/>
          <w:color w:val="auto"/>
        </w:rPr>
      </w:pPr>
      <w:r>
        <w:rPr>
          <w:rFonts w:ascii="Arial" w:cs="Arial" w:eastAsia="Arial" w:hAnsi="Arial"/>
          <w:sz w:val="18"/>
          <w:szCs w:val="18"/>
          <w:color w:val="auto"/>
        </w:rPr>
        <w:t>philosophy, a significant portion of the total target direct compensation opportunity for each NEO is incentive-based, and a significant portion of incentive compensation is variable and is dependent upon corporate, business unit or individual achievement as measured against specific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predetermined financial and operational goals.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ask stockholders to indicate their support by approving the following resolution:</w:t>
      </w:r>
    </w:p>
    <w:p>
      <w:pPr>
        <w:spacing w:after="0" w:line="239"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RESOLVED, that the compensation paid to the named executive officers as disclosed in the proxy statement for the Company’s 2023 annual meeting of stockholders pursuant to SEC’s compensation disclosure rules, including the CD&amp;A, the executive compensation tables and related narrative disclosure, is hereby APPROVED.</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vote is advisory, which means that it is not binding on us, our Board or the HCC Committee. Regardless, we understand that our executive compensation practices are important to our stockholders. Our Board values the opinions expressed by our stockholders through their votes on this proposal, and the HCC Committee will take the outcome of this vote into consideration when making future compensation decisions for our NEOs.</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While the HCC Committee will consider the outcome of the advisory vote in Proposal No. 3 (the say-on-pay frequency vote), we currently expect that the next say-on-pay vote will occur at our 2024 annual meeting.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on an Advisory Vote to Approve Named Executive Officer Compensation (Say-on-Pay)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approval of executive compensation is an advisory vote; however, our Board and the HCC Committee will consider the affirmative vote of the holders of a majority of the shares present in person or represented by proxy and entitled to vote thereon as approval of this Proposal No. 2. See “Questions and Answers About the Proxy Materials, Annual Meeting and Voting” for more information.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Proposal No. 3: Advisory Vote on Frequency of Future Say-on-Pay Votes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recommends that stockholders select “1 YEAR” on Proposal No. 3 regarding the frequency of future say-on-pay votes.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say-on-pay vote included as Proposal No. 2, SEC rules require us to provide our stockholders with the opportunity to vote, on a non-binding, advisory basis every six years, on how often we should conduct say-on-pay votes in the future (a say-on pay frequency vote). Stockholders have the option of holding a say-on-pay vote every one year, every two years or every three years.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held say-on-pay frequency votes in 2011 and again in 2017. In both instances, stockholders agreed with our Board’s recommendation that say-on-pay votes should occur every year.</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and the HCC Committee continue to believe that holding a say-on-pay vote every year allows our stockholders to provide timely, direct input on our executive compensation philosophy, policies and practices as disclosed in the proxy statement each year. The Board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believes that an annual vote is consistent with our efforts to engage in an ongoing dialogue with our stockholders on executive compensation and corporate governance matters. Consistent with this belief and the previously-expressed preference of our stockholders, we have held a say-on-pay vote annually since 2011, when these SEC rules were first in effect.</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an advisory vote, this proposal is not binding upon us, our Board or the HCC Committee. However, as stated in Proposal No. 2 above, the Board and HCC Committee value stockholder opinion, and will take the results of the stockholder vote on this Proposal No. 3 into consideration when determining the frequency of future say-on-pay votes.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next say-on-pay frequency vote will occur at our 2029 annual meeting of stockholders.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on the Advisory Vote on Frequency of Future Say-on-Pay Votes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Stockholders may choose among four options (to hold the say-on -pay vote every one, two or three years, or to abstain from voting). The approval of the frequency of future advisory votes on executive compensation is an advisory vote; however, our Board and the HCC Committee will consider the affirmative vote of the holders of a majority of the shares present in person or represented by proxy and entitled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vote as approval of this Proposal No. 3. Because this advisory vote has three possible frequency voting options, if none of the frequency options receive a majority of the votes, the option receiving the greatest number of votes will be considered the frequency recommended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 See “Questions and Answers About the Proxy Materials, Annual Meeting and Voting” for more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COMPENSATION DISCUSSION AND ANALYSIS</w:t>
      </w:r>
    </w:p>
    <w:p>
      <w:pPr>
        <w:spacing w:after="0" w:line="2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CD&amp;A describes our compensation program, philosophy, decisions and process for setting compensation for our Named Executive Officers (also referred to as our NEOs). For 2022, our NEOs were:</w:t>
      </w:r>
    </w:p>
    <w:p>
      <w:pPr>
        <w:spacing w:after="0" w:line="226"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2120" w:type="dxa"/>
            <w:vAlign w:val="bottom"/>
            <w:shd w:val="clear" w:color="auto" w:fill="465E66"/>
          </w:tcPr>
          <w:p>
            <w:pPr>
              <w:ind w:left="20"/>
              <w:spacing w:after="0"/>
              <w:rPr>
                <w:sz w:val="20"/>
                <w:szCs w:val="20"/>
                <w:color w:val="auto"/>
              </w:rPr>
            </w:pPr>
            <w:r>
              <w:rPr>
                <w:rFonts w:ascii="Arial" w:cs="Arial" w:eastAsia="Arial" w:hAnsi="Arial"/>
                <w:sz w:val="18"/>
                <w:szCs w:val="18"/>
                <w:b w:val="1"/>
                <w:bCs w:val="1"/>
                <w:color w:val="FFFFFF"/>
              </w:rPr>
              <w:t>Name</w:t>
            </w:r>
          </w:p>
        </w:tc>
        <w:tc>
          <w:tcPr>
            <w:tcW w:w="8160" w:type="dxa"/>
            <w:vAlign w:val="bottom"/>
            <w:shd w:val="clear" w:color="auto" w:fill="465E66"/>
          </w:tcPr>
          <w:p>
            <w:pPr>
              <w:ind w:left="400"/>
              <w:spacing w:after="0"/>
              <w:rPr>
                <w:sz w:val="20"/>
                <w:szCs w:val="20"/>
                <w:color w:val="auto"/>
              </w:rPr>
            </w:pPr>
            <w:r>
              <w:rPr>
                <w:rFonts w:ascii="Arial" w:cs="Arial" w:eastAsia="Arial" w:hAnsi="Arial"/>
                <w:sz w:val="18"/>
                <w:szCs w:val="18"/>
                <w:b w:val="1"/>
                <w:bCs w:val="1"/>
                <w:color w:val="FFFFFF"/>
              </w:rPr>
              <w:t>Position Held</w:t>
            </w:r>
          </w:p>
        </w:tc>
      </w:tr>
      <w:tr>
        <w:trPr>
          <w:trHeight w:val="230"/>
        </w:trPr>
        <w:tc>
          <w:tcPr>
            <w:tcW w:w="2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Hassane El-Khoury</w:t>
            </w:r>
          </w:p>
        </w:tc>
        <w:tc>
          <w:tcPr>
            <w:tcW w:w="8160" w:type="dxa"/>
            <w:vAlign w:val="bottom"/>
            <w:shd w:val="clear" w:color="auto" w:fill="DBDBDB"/>
          </w:tcPr>
          <w:p>
            <w:pPr>
              <w:ind w:left="40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Thad Trent</w:t>
            </w:r>
          </w:p>
        </w:tc>
        <w:tc>
          <w:tcPr>
            <w:tcW w:w="8160" w:type="dxa"/>
            <w:vAlign w:val="bottom"/>
          </w:tcPr>
          <w:p>
            <w:pPr>
              <w:ind w:left="40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2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Simon Keeton</w:t>
            </w:r>
          </w:p>
        </w:tc>
        <w:tc>
          <w:tcPr>
            <w:tcW w:w="8160" w:type="dxa"/>
            <w:vAlign w:val="bottom"/>
            <w:shd w:val="clear" w:color="auto" w:fill="DBDBDB"/>
          </w:tcPr>
          <w:p>
            <w:pPr>
              <w:ind w:left="400"/>
              <w:spacing w:after="0"/>
              <w:rPr>
                <w:sz w:val="20"/>
                <w:szCs w:val="20"/>
                <w:color w:val="auto"/>
              </w:rPr>
            </w:pPr>
            <w:r>
              <w:rPr>
                <w:rFonts w:ascii="Arial" w:cs="Arial" w:eastAsia="Arial" w:hAnsi="Arial"/>
                <w:sz w:val="18"/>
                <w:szCs w:val="18"/>
                <w:color w:val="auto"/>
              </w:rPr>
              <w:t>Executive Vice President and General Manager, Power Solutions Group</w:t>
            </w: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Ross F. Jatou</w:t>
            </w:r>
          </w:p>
        </w:tc>
        <w:tc>
          <w:tcPr>
            <w:tcW w:w="8160" w:type="dxa"/>
            <w:vAlign w:val="bottom"/>
          </w:tcPr>
          <w:p>
            <w:pPr>
              <w:ind w:left="400"/>
              <w:spacing w:after="0"/>
              <w:rPr>
                <w:sz w:val="20"/>
                <w:szCs w:val="20"/>
                <w:color w:val="auto"/>
              </w:rPr>
            </w:pPr>
            <w:r>
              <w:rPr>
                <w:rFonts w:ascii="Arial" w:cs="Arial" w:eastAsia="Arial" w:hAnsi="Arial"/>
                <w:sz w:val="18"/>
                <w:szCs w:val="18"/>
                <w:color w:val="auto"/>
              </w:rPr>
              <w:t>Senior Vice President and General Manager, Intelligent Sensing Group</w:t>
            </w:r>
          </w:p>
        </w:tc>
      </w:tr>
      <w:tr>
        <w:trPr>
          <w:trHeight w:val="230"/>
        </w:trPr>
        <w:tc>
          <w:tcPr>
            <w:tcW w:w="2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Tong (1)</w:t>
            </w:r>
          </w:p>
        </w:tc>
        <w:tc>
          <w:tcPr>
            <w:tcW w:w="8160" w:type="dxa"/>
            <w:vAlign w:val="bottom"/>
            <w:shd w:val="clear" w:color="auto" w:fill="DBDBDB"/>
          </w:tcPr>
          <w:p>
            <w:pPr>
              <w:ind w:left="400"/>
              <w:spacing w:after="0"/>
              <w:rPr>
                <w:sz w:val="20"/>
                <w:szCs w:val="20"/>
                <w:color w:val="auto"/>
              </w:rPr>
            </w:pPr>
            <w:r>
              <w:rPr>
                <w:rFonts w:ascii="Arial" w:cs="Arial" w:eastAsia="Arial" w:hAnsi="Arial"/>
                <w:sz w:val="18"/>
                <w:szCs w:val="18"/>
                <w:color w:val="auto"/>
              </w:rPr>
              <w:t>Senior Vice President and General Manager, Advanced Solutions Group</w:t>
            </w:r>
          </w:p>
        </w:tc>
      </w:tr>
      <w:tr>
        <w:trPr>
          <w:trHeight w:val="239"/>
        </w:trPr>
        <w:tc>
          <w:tcPr>
            <w:tcW w:w="2120" w:type="dxa"/>
            <w:vAlign w:val="bottom"/>
          </w:tcPr>
          <w:p>
            <w:pPr>
              <w:ind w:left="20"/>
              <w:spacing w:after="0"/>
              <w:rPr>
                <w:sz w:val="20"/>
                <w:szCs w:val="20"/>
                <w:color w:val="auto"/>
              </w:rPr>
            </w:pPr>
            <w:r>
              <w:rPr>
                <w:rFonts w:ascii="Arial" w:cs="Arial" w:eastAsia="Arial" w:hAnsi="Arial"/>
                <w:sz w:val="18"/>
                <w:szCs w:val="18"/>
                <w:color w:val="auto"/>
              </w:rPr>
              <w:t>Vincent C. Hopkin (2)</w:t>
            </w:r>
          </w:p>
        </w:tc>
        <w:tc>
          <w:tcPr>
            <w:tcW w:w="8160" w:type="dxa"/>
            <w:vAlign w:val="bottom"/>
          </w:tcPr>
          <w:p>
            <w:pPr>
              <w:ind w:left="400"/>
              <w:spacing w:after="0"/>
              <w:rPr>
                <w:sz w:val="20"/>
                <w:szCs w:val="20"/>
                <w:color w:val="auto"/>
              </w:rPr>
            </w:pPr>
            <w:r>
              <w:rPr>
                <w:rFonts w:ascii="Arial" w:cs="Arial" w:eastAsia="Arial" w:hAnsi="Arial"/>
                <w:sz w:val="18"/>
                <w:szCs w:val="18"/>
                <w:color w:val="auto"/>
              </w:rPr>
              <w:t>Former Executive Vice President and General Manager, Advanced Solutions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-5080</wp:posOffset>
            </wp:positionV>
            <wp:extent cx="65322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ind w:left="780" w:hanging="237"/>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Tong was promoted to Senior Vice President and General Manager, Advanced Solutions Group effective as of May 27, 2022.</w:t>
      </w:r>
    </w:p>
    <w:p>
      <w:pPr>
        <w:spacing w:after="0" w:line="32" w:lineRule="exact"/>
        <w:rPr>
          <w:rFonts w:ascii="Arial" w:cs="Arial" w:eastAsia="Arial" w:hAnsi="Arial"/>
          <w:sz w:val="16"/>
          <w:szCs w:val="16"/>
          <w:color w:val="auto"/>
        </w:rPr>
      </w:pPr>
    </w:p>
    <w:p>
      <w:pPr>
        <w:ind w:left="820" w:right="940" w:hanging="277"/>
        <w:spacing w:after="0" w:line="251" w:lineRule="auto"/>
        <w:tabs>
          <w:tab w:leader="none" w:pos="7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Hopkin stepped down from his officer positions effective as of May 27, 2022, and fully retired from employment with the Company effective August 1, 2022.</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Program Highlights and Best Practices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HCC Committee believes that the design and outcomes of our 2022 executive compensation program were directly tied to our performance and advanced our strategic priorities for 2022 and beyond. As noted in the Proxy Statement</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26</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1" w:name="page32"/>
    <w:bookmarkEnd w:id="31"/>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Summary under “2022 Performance Highlights,” we had a record year on several fronts, which drove above-target (in most cases, maximum)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payouts under our performance-based compensation programs, as follows: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2022 STI Program</w:t>
      </w:r>
      <w:r>
        <w:rPr>
          <w:rFonts w:ascii="Arial" w:cs="Arial" w:eastAsia="Arial" w:hAnsi="Arial"/>
          <w:sz w:val="18"/>
          <w:szCs w:val="18"/>
          <w:color w:val="auto"/>
        </w:rPr>
        <w:t>. There are two performance components to our 2022 STI program — our Corporate Multiplier (which is based on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achievement of </w:t>
      </w:r>
      <w:r>
        <w:rPr>
          <w:rFonts w:ascii="Arial" w:cs="Arial" w:eastAsia="Arial" w:hAnsi="Arial"/>
          <w:sz w:val="18"/>
          <w:szCs w:val="18"/>
          <w:u w:val="single" w:color="auto"/>
          <w:color w:val="auto"/>
        </w:rPr>
        <w:t>correlated revenue and non-GAAP operating margin metrics</w:t>
      </w:r>
      <w:r>
        <w:rPr>
          <w:rFonts w:ascii="Arial" w:cs="Arial" w:eastAsia="Arial" w:hAnsi="Arial"/>
          <w:sz w:val="18"/>
          <w:szCs w:val="18"/>
          <w:color w:val="auto"/>
        </w:rPr>
        <w:t>) and each NEO’s Individual Goals. The Individual Goal percentage achievement is capped at 100%, which means that it may only decrease, but not increase, any amounts earned based on the Corporate Multiplier.</w:t>
      </w:r>
    </w:p>
    <w:p>
      <w:pPr>
        <w:spacing w:after="0" w:line="201" w:lineRule="exact"/>
        <w:rPr>
          <w:sz w:val="20"/>
          <w:szCs w:val="20"/>
          <w:color w:val="auto"/>
        </w:rPr>
      </w:pPr>
    </w:p>
    <w:p>
      <w:pPr>
        <w:ind w:left="660" w:hanging="328"/>
        <w:spacing w:after="0" w:line="25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Company Results</w:t>
      </w:r>
      <w:r>
        <w:rPr>
          <w:rFonts w:ascii="Arial" w:cs="Arial" w:eastAsia="Arial" w:hAnsi="Arial"/>
          <w:sz w:val="18"/>
          <w:szCs w:val="18"/>
          <w:color w:val="auto"/>
        </w:rPr>
        <w:t>. For 2022, we achieved record revenue ($8,326.2 million, an increase of 23.5% from 2021 revenue) and non-GAAP operating margin (as reported in our earnings release, 34.5%, an increase of 1260 basis points from 2021) results.</w:t>
      </w:r>
    </w:p>
    <w:p>
      <w:pPr>
        <w:spacing w:after="0" w:line="192" w:lineRule="exact"/>
        <w:rPr>
          <w:rFonts w:ascii="Arial" w:cs="Arial" w:eastAsia="Arial" w:hAnsi="Arial"/>
          <w:sz w:val="18"/>
          <w:szCs w:val="18"/>
          <w:color w:val="auto"/>
        </w:rPr>
      </w:pPr>
    </w:p>
    <w:p>
      <w:pPr>
        <w:ind w:left="660" w:hanging="328"/>
        <w:spacing w:after="0" w:line="24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 Results</w:t>
      </w:r>
      <w:r>
        <w:rPr>
          <w:rFonts w:ascii="Arial" w:cs="Arial" w:eastAsia="Arial" w:hAnsi="Arial"/>
          <w:sz w:val="18"/>
          <w:szCs w:val="18"/>
          <w:color w:val="auto"/>
        </w:rPr>
        <w:t xml:space="preserve">. The final STI payout percentage (Corporate Multiplier x Individual Goals achieved) was </w:t>
      </w:r>
      <w:r>
        <w:rPr>
          <w:rFonts w:ascii="Arial" w:cs="Arial" w:eastAsia="Arial" w:hAnsi="Arial"/>
          <w:sz w:val="18"/>
          <w:szCs w:val="18"/>
          <w:u w:val="single" w:color="auto"/>
          <w:color w:val="auto"/>
        </w:rPr>
        <w:t>198.9%</w:t>
      </w:r>
      <w:r>
        <w:rPr>
          <w:rFonts w:ascii="Arial" w:cs="Arial" w:eastAsia="Arial" w:hAnsi="Arial"/>
          <w:sz w:val="18"/>
          <w:szCs w:val="18"/>
          <w:color w:val="auto"/>
        </w:rPr>
        <w:t xml:space="preserve"> for our CEO and between 156.4% and 197.5% for each of our other eligible NEOs, compared to a maximum possible payout of 200%. Specifically:</w:t>
      </w:r>
    </w:p>
    <w:p>
      <w:pPr>
        <w:ind w:left="1300" w:hanging="320"/>
        <w:spacing w:after="0" w:line="234" w:lineRule="auto"/>
        <w:tabs>
          <w:tab w:leader="none" w:pos="131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Our combined revenue and operating margin results exceeded stretch targets, yielding a maximum 200% achievement on the Corporate Multiplier.</w:t>
      </w:r>
    </w:p>
    <w:p>
      <w:pPr>
        <w:spacing w:after="0" w:line="1" w:lineRule="exact"/>
        <w:rPr>
          <w:rFonts w:ascii="Arial" w:cs="Arial" w:eastAsia="Arial" w:hAnsi="Arial"/>
          <w:sz w:val="18"/>
          <w:szCs w:val="18"/>
          <w:color w:val="auto"/>
        </w:rPr>
      </w:pPr>
    </w:p>
    <w:p>
      <w:pPr>
        <w:jc w:val="both"/>
        <w:ind w:left="1300" w:hanging="320"/>
        <w:spacing w:after="0" w:line="234" w:lineRule="auto"/>
        <w:tabs>
          <w:tab w:leader="none" w:pos="13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For Individual Goals, which are further divided further into two equally-weighted categories (financial and strategic), we exceeded target (maximum) levels on the financial goals while performance on the strategic goals varied, which resulted in a 99.47% achievement for the CEO and between 78.19% and 98.75% for our other eligible NEOs.</w:t>
      </w:r>
    </w:p>
    <w:p>
      <w:pPr>
        <w:spacing w:after="0" w:line="2" w:lineRule="exact"/>
        <w:rPr>
          <w:rFonts w:ascii="Arial" w:cs="Arial" w:eastAsia="Arial" w:hAnsi="Arial"/>
          <w:sz w:val="18"/>
          <w:szCs w:val="18"/>
          <w:color w:val="auto"/>
        </w:rPr>
      </w:pPr>
    </w:p>
    <w:p>
      <w:pPr>
        <w:jc w:val="both"/>
        <w:ind w:left="1300" w:hanging="320"/>
        <w:spacing w:after="0" w:line="242" w:lineRule="auto"/>
        <w:tabs>
          <w:tab w:leader="none" w:pos="12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actual STI cash payout for each eligible NEO, as reported in the SCT, was determined by multiplying his final STI payout percentage (i) by his target STI percentage (expressed as a percentage of base salary, 150% for our CEO) and then (ii) by the base salary actually paid to him during the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LTI Program</w:t>
      </w:r>
      <w:r>
        <w:rPr>
          <w:rFonts w:ascii="Arial" w:cs="Arial" w:eastAsia="Arial" w:hAnsi="Arial"/>
          <w:sz w:val="18"/>
          <w:szCs w:val="18"/>
          <w:color w:val="auto"/>
        </w:rPr>
        <w:t>. The performance-based restricted stock units (PBRSUs) granted under our 2022 LTI program include six separately-</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scored, equally-weighted one-year goals and a relative total stockholder return (TSR) payout adjustment component to ensure that the award is linked to performance for a full three-year period. Specifically, the six goals include three financial ones (</w:t>
      </w: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w:t>
      </w: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and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operating margin</w:t>
      </w:r>
      <w:r>
        <w:rPr>
          <w:rFonts w:ascii="Arial" w:cs="Arial" w:eastAsia="Arial" w:hAnsi="Arial"/>
          <w:sz w:val="18"/>
          <w:szCs w:val="18"/>
          <w:color w:val="auto"/>
        </w:rPr>
        <w:t xml:space="preserve">) and three strategic ones (related to our </w:t>
      </w:r>
      <w:r>
        <w:rPr>
          <w:rFonts w:ascii="Arial" w:cs="Arial" w:eastAsia="Arial" w:hAnsi="Arial"/>
          <w:sz w:val="18"/>
          <w:szCs w:val="18"/>
          <w:u w:val="single" w:color="auto"/>
          <w:color w:val="auto"/>
        </w:rPr>
        <w:t>SiC product ramp</w:t>
      </w:r>
      <w:r>
        <w:rPr>
          <w:rFonts w:ascii="Arial" w:cs="Arial" w:eastAsia="Arial" w:hAnsi="Arial"/>
          <w:sz w:val="18"/>
          <w:szCs w:val="18"/>
          <w:color w:val="auto"/>
        </w:rPr>
        <w:t xml:space="preserve">, </w:t>
      </w:r>
      <w:r>
        <w:rPr>
          <w:rFonts w:ascii="Arial" w:cs="Arial" w:eastAsia="Arial" w:hAnsi="Arial"/>
          <w:sz w:val="18"/>
          <w:szCs w:val="18"/>
          <w:u w:val="single" w:color="auto"/>
          <w:color w:val="auto"/>
        </w:rPr>
        <w:t>ESG initiatives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customer experience</w:t>
      </w:r>
      <w:r>
        <w:rPr>
          <w:rFonts w:ascii="Arial" w:cs="Arial" w:eastAsia="Arial" w:hAnsi="Arial"/>
          <w:sz w:val="18"/>
          <w:szCs w:val="18"/>
          <w:color w:val="auto"/>
        </w:rPr>
        <w:t>). Once earned, our 2022 PBRSUs will payout over a three-year period. Payouts under the operational goals can range between 0-200%. Payouts under the financial goals can range between 0-150%, with a further adjustment, up or down on a tranche-by-tranche basis (50-150%), by our relative TSR over one-, two- and three-year periods beginning January 1, 2022 and ending on December 31 of the year prior to each vesting date.</w:t>
      </w:r>
    </w:p>
    <w:p>
      <w:pPr>
        <w:spacing w:after="0" w:line="207" w:lineRule="exact"/>
        <w:rPr>
          <w:sz w:val="20"/>
          <w:szCs w:val="20"/>
          <w:color w:val="auto"/>
        </w:rPr>
      </w:pPr>
    </w:p>
    <w:p>
      <w:pPr>
        <w:jc w:val="both"/>
        <w:ind w:left="660" w:hanging="328"/>
        <w:spacing w:after="0" w:line="244"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Company Results</w:t>
      </w:r>
      <w:r>
        <w:rPr>
          <w:rFonts w:ascii="Arial" w:cs="Arial" w:eastAsia="Arial" w:hAnsi="Arial"/>
          <w:sz w:val="18"/>
          <w:szCs w:val="18"/>
          <w:color w:val="auto"/>
        </w:rPr>
        <w:t>. In addition to the financial results described above, we achieved record non-GAAP gross margin (as reported in our earnings release, 49.2%, an increase of 880 basis points from 2021 results). On our operational goals, we made significant strides towards our SiC product ramp objective by nearly tripling SiC product revenue year-over-year and successfully developed a customer experience program. Finally, with respect to our ESG commitments, we established a roadmap to achieve our goal of net zero emissions by 2040.</w:t>
      </w:r>
    </w:p>
    <w:p>
      <w:pPr>
        <w:spacing w:after="0" w:line="203" w:lineRule="exact"/>
        <w:rPr>
          <w:rFonts w:ascii="Arial" w:cs="Arial" w:eastAsia="Arial" w:hAnsi="Arial"/>
          <w:sz w:val="18"/>
          <w:szCs w:val="18"/>
          <w:color w:val="auto"/>
        </w:rPr>
      </w:pPr>
    </w:p>
    <w:p>
      <w:pPr>
        <w:jc w:val="both"/>
        <w:ind w:left="660" w:hanging="328"/>
        <w:spacing w:after="0" w:line="236"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Pay Results</w:t>
      </w:r>
      <w:r>
        <w:rPr>
          <w:rFonts w:ascii="Arial" w:cs="Arial" w:eastAsia="Arial" w:hAnsi="Arial"/>
          <w:sz w:val="18"/>
          <w:szCs w:val="18"/>
          <w:color w:val="auto"/>
        </w:rPr>
        <w:t xml:space="preserve">. The combined payout percentage for the first tranche of our 2022 PBRSUs was </w:t>
      </w:r>
      <w:r>
        <w:rPr>
          <w:rFonts w:ascii="Arial" w:cs="Arial" w:eastAsia="Arial" w:hAnsi="Arial"/>
          <w:sz w:val="18"/>
          <w:szCs w:val="18"/>
          <w:u w:val="single" w:color="auto"/>
          <w:color w:val="auto"/>
        </w:rPr>
        <w:t>205% of target</w:t>
      </w:r>
      <w:r>
        <w:rPr>
          <w:rFonts w:ascii="Arial" w:cs="Arial" w:eastAsia="Arial" w:hAnsi="Arial"/>
          <w:sz w:val="18"/>
          <w:szCs w:val="18"/>
          <w:color w:val="auto"/>
        </w:rPr>
        <w:t xml:space="preserve"> (185% on operational goals and 225% on financial goals, with the latter including the one-year TSR adjustment). The combined payout on each of our second and third tranches will v</w:t>
      </w:r>
      <w:r>
        <w:rPr>
          <w:rFonts w:ascii="Arial" w:cs="Arial" w:eastAsia="Arial" w:hAnsi="Arial"/>
          <w:sz w:val="18"/>
          <w:szCs w:val="18"/>
          <w:u w:val="single" w:color="auto"/>
          <w:color w:val="auto"/>
        </w:rPr>
        <w:t>ary between 130-205% of target</w:t>
      </w:r>
      <w:r>
        <w:rPr>
          <w:rFonts w:ascii="Arial" w:cs="Arial" w:eastAsia="Arial" w:hAnsi="Arial"/>
          <w:sz w:val="18"/>
          <w:szCs w:val="18"/>
          <w:color w:val="auto"/>
        </w:rPr>
        <w:t xml:space="preserve"> for that tranche, depending on our two- or three-year relative TSR performance. Specifically:</w:t>
      </w:r>
    </w:p>
    <w:p>
      <w:pPr>
        <w:ind w:left="1300" w:hanging="320"/>
        <w:spacing w:after="0" w:line="234" w:lineRule="auto"/>
        <w:tabs>
          <w:tab w:leader="none" w:pos="12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We surpassed stretch levels on five of the goals, and with respect to the sixth (our SiC ramp goal), our results exceeded the target but fell below the stretch level.</w:t>
      </w:r>
    </w:p>
    <w:p>
      <w:pPr>
        <w:spacing w:after="0" w:line="1" w:lineRule="exact"/>
        <w:rPr>
          <w:rFonts w:ascii="Arial" w:cs="Arial" w:eastAsia="Arial" w:hAnsi="Arial"/>
          <w:sz w:val="18"/>
          <w:szCs w:val="18"/>
          <w:color w:val="auto"/>
        </w:rPr>
      </w:pPr>
    </w:p>
    <w:p>
      <w:pPr>
        <w:ind w:left="1300" w:hanging="320"/>
        <w:spacing w:after="0" w:line="234" w:lineRule="auto"/>
        <w:tabs>
          <w:tab w:leader="none" w:pos="131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the operational goals, we achieved a combined payout 185% of target (155% on the SiC ramp goal and 200% on the ESG and customer experience goals), which was divided into three equal tranches.</w:t>
      </w:r>
    </w:p>
    <w:p>
      <w:pPr>
        <w:spacing w:after="0" w:line="1" w:lineRule="exact"/>
        <w:rPr>
          <w:rFonts w:ascii="Arial" w:cs="Arial" w:eastAsia="Arial" w:hAnsi="Arial"/>
          <w:sz w:val="18"/>
          <w:szCs w:val="18"/>
          <w:color w:val="auto"/>
        </w:rPr>
      </w:pPr>
    </w:p>
    <w:p>
      <w:pPr>
        <w:jc w:val="both"/>
        <w:ind w:left="1300" w:hanging="320"/>
        <w:spacing w:after="0" w:line="234" w:lineRule="auto"/>
        <w:tabs>
          <w:tab w:leader="none" w:pos="131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the financial goals, we achieved a combined preliminary payout of 150% of target, which was also divided into three equal tranches. The first tranche payout was then adjusted by our one-year relative TSR results (maximum achievement, as we were first among our peers), for a combined first tranche payout on the financial goals of 225% and an overall combined payout percentage for the first tranche of 205%. This first tranche of the 2022 PBRSUs vested and paid out in early 2023.</w:t>
      </w:r>
    </w:p>
    <w:p>
      <w:pPr>
        <w:spacing w:after="0" w:line="2" w:lineRule="exact"/>
        <w:rPr>
          <w:rFonts w:ascii="Arial" w:cs="Arial" w:eastAsia="Arial" w:hAnsi="Arial"/>
          <w:sz w:val="18"/>
          <w:szCs w:val="18"/>
          <w:color w:val="auto"/>
        </w:rPr>
      </w:pPr>
    </w:p>
    <w:p>
      <w:pPr>
        <w:jc w:val="both"/>
        <w:ind w:left="1300" w:hanging="320"/>
        <w:spacing w:after="0" w:line="236" w:lineRule="auto"/>
        <w:tabs>
          <w:tab w:leader="none" w:pos="12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 each of the remaining two tranches, which will vest in 2024 and 2025, we will adjust the financial goal payouts based on our two- or three-year relative TSR performance (ranging between a decrease of 50% to a minimum 75% payout or an increase of 150% to a maximum 225% payout), which means that the overall payout on each of those two tranches will range between 130-205% of its original target.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These results are discussed in greater detail under “Elements of Our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HCC Committee strives to incorporate good governance practices into our executive compensation program, including the following:</w:t>
      </w:r>
    </w:p>
    <w:p>
      <w:pPr>
        <w:sectPr>
          <w:pgSz w:w="11900" w:h="16838" w:orient="portrait"/>
          <w:cols w:equalWidth="0" w:num="1">
            <w:col w:w="11240"/>
          </w:cols>
          <w:pgMar w:left="320" w:top="161" w:right="339" w:bottom="1440" w:gutter="0" w:footer="0" w:header="0"/>
        </w:sect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FFFFFF"/>
        </w:rPr>
        <w:t>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889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440"/>
        <w:spacing w:after="0" w:line="185" w:lineRule="auto"/>
        <w:rPr>
          <w:sz w:val="20"/>
          <w:szCs w:val="20"/>
          <w:color w:val="auto"/>
        </w:rPr>
      </w:pPr>
      <w:r>
        <w:rPr>
          <w:rFonts w:ascii="Arial" w:cs="Arial" w:eastAsia="Arial" w:hAnsi="Arial"/>
          <w:sz w:val="15"/>
          <w:szCs w:val="15"/>
          <w:color w:val="auto"/>
        </w:rPr>
        <w:t>Incentivize our employees to achieve or exceed financial goals</w:t>
      </w:r>
    </w:p>
    <w:p>
      <w:pPr>
        <w:spacing w:after="0" w:line="56" w:lineRule="exact"/>
        <w:rPr>
          <w:sz w:val="20"/>
          <w:szCs w:val="20"/>
          <w:color w:val="auto"/>
        </w:rPr>
      </w:pPr>
    </w:p>
    <w:p>
      <w:pPr>
        <w:ind w:left="440" w:right="420" w:hanging="336"/>
        <w:spacing w:after="0" w:line="182" w:lineRule="auto"/>
        <w:tabs>
          <w:tab w:leader="none" w:pos="440" w:val="left"/>
        </w:tabs>
        <w:numPr>
          <w:ilvl w:val="0"/>
          <w:numId w:val="52"/>
        </w:numPr>
        <w:rPr>
          <w:rFonts w:ascii="Wingdings" w:cs="Wingdings" w:eastAsia="Wingdings" w:hAnsi="Wingdings"/>
          <w:sz w:val="28"/>
          <w:szCs w:val="28"/>
          <w:b w:val="1"/>
          <w:bCs w:val="1"/>
          <w:color w:val="465E66"/>
        </w:rPr>
      </w:pPr>
      <w:r>
        <w:rPr>
          <w:rFonts w:ascii="Arial" w:cs="Arial" w:eastAsia="Arial" w:hAnsi="Arial"/>
          <w:sz w:val="16"/>
          <w:szCs w:val="16"/>
          <w:color w:val="auto"/>
        </w:rPr>
        <w:t>established for the Company and to deliver superior returns to our stockholders.</w:t>
      </w:r>
    </w:p>
    <w:p>
      <w:pPr>
        <w:spacing w:after="0" w:line="1" w:lineRule="exact"/>
        <w:rPr>
          <w:rFonts w:ascii="Wingdings" w:cs="Wingdings" w:eastAsia="Wingdings" w:hAnsi="Wingdings"/>
          <w:sz w:val="28"/>
          <w:szCs w:val="28"/>
          <w:b w:val="1"/>
          <w:bCs w:val="1"/>
          <w:color w:val="465E66"/>
        </w:rPr>
      </w:pPr>
    </w:p>
    <w:p>
      <w:pPr>
        <w:ind w:left="440"/>
        <w:spacing w:after="0" w:line="234" w:lineRule="auto"/>
        <w:rPr>
          <w:rFonts w:ascii="Wingdings" w:cs="Wingdings" w:eastAsia="Wingdings" w:hAnsi="Wingdings"/>
          <w:sz w:val="28"/>
          <w:szCs w:val="28"/>
          <w:b w:val="1"/>
          <w:bCs w:val="1"/>
          <w:color w:val="465E66"/>
        </w:rPr>
      </w:pPr>
      <w:r>
        <w:rPr>
          <w:rFonts w:ascii="Arial" w:cs="Arial" w:eastAsia="Arial" w:hAnsi="Arial"/>
          <w:sz w:val="16"/>
          <w:szCs w:val="16"/>
          <w:color w:val="auto"/>
        </w:rPr>
        <w:t>Have robust stock ownership guidelines that are designed to align our</w:t>
      </w:r>
    </w:p>
    <w:p>
      <w:pPr>
        <w:ind w:left="440" w:right="620" w:hanging="336"/>
        <w:spacing w:after="0" w:line="183" w:lineRule="auto"/>
        <w:tabs>
          <w:tab w:leader="none" w:pos="440" w:val="left"/>
        </w:tabs>
        <w:numPr>
          <w:ilvl w:val="0"/>
          <w:numId w:val="52"/>
        </w:numPr>
        <w:rPr>
          <w:rFonts w:ascii="Wingdings" w:cs="Wingdings" w:eastAsia="Wingdings" w:hAnsi="Wingdings"/>
          <w:sz w:val="27"/>
          <w:szCs w:val="27"/>
          <w:b w:val="1"/>
          <w:bCs w:val="1"/>
          <w:color w:val="465E66"/>
        </w:rPr>
      </w:pPr>
      <w:r>
        <w:rPr>
          <w:rFonts w:ascii="Arial" w:cs="Arial" w:eastAsia="Arial" w:hAnsi="Arial"/>
          <w:sz w:val="15"/>
          <w:szCs w:val="15"/>
          <w:color w:val="auto"/>
        </w:rPr>
        <w:t>executives’ interests with those of our stockholders (including a rigorous 6x base salary requirement for our CEO).</w:t>
      </w:r>
    </w:p>
    <w:p>
      <w:pPr>
        <w:ind w:left="440"/>
        <w:spacing w:after="0" w:line="234" w:lineRule="auto"/>
        <w:rPr>
          <w:rFonts w:ascii="Wingdings" w:cs="Wingdings" w:eastAsia="Wingdings" w:hAnsi="Wingdings"/>
          <w:sz w:val="27"/>
          <w:szCs w:val="27"/>
          <w:b w:val="1"/>
          <w:bCs w:val="1"/>
          <w:color w:val="465E66"/>
        </w:rPr>
      </w:pPr>
      <w:r>
        <w:rPr>
          <w:rFonts w:ascii="Arial" w:cs="Arial" w:eastAsia="Arial" w:hAnsi="Arial"/>
          <w:sz w:val="16"/>
          <w:szCs w:val="16"/>
          <w:color w:val="auto"/>
        </w:rPr>
        <w:t>Provide long-term equity incentives that vest over a period of three</w:t>
      </w:r>
    </w:p>
    <w:p>
      <w:pPr>
        <w:ind w:left="440" w:right="160" w:hanging="336"/>
        <w:spacing w:after="0" w:line="183" w:lineRule="auto"/>
        <w:tabs>
          <w:tab w:leader="none" w:pos="440" w:val="left"/>
        </w:tabs>
        <w:numPr>
          <w:ilvl w:val="0"/>
          <w:numId w:val="52"/>
        </w:numPr>
        <w:rPr>
          <w:rFonts w:ascii="Wingdings" w:cs="Wingdings" w:eastAsia="Wingdings" w:hAnsi="Wingdings"/>
          <w:sz w:val="27"/>
          <w:szCs w:val="27"/>
          <w:b w:val="1"/>
          <w:bCs w:val="1"/>
          <w:color w:val="465E66"/>
        </w:rPr>
      </w:pPr>
      <w:r>
        <w:rPr>
          <w:rFonts w:ascii="Arial" w:cs="Arial" w:eastAsia="Arial" w:hAnsi="Arial"/>
          <w:sz w:val="15"/>
          <w:szCs w:val="15"/>
          <w:color w:val="auto"/>
        </w:rPr>
        <w:t>years to ensure that our executives maintain a long-term commitment to stockholder value.</w:t>
      </w:r>
    </w:p>
    <w:p>
      <w:pPr>
        <w:ind w:left="440"/>
        <w:spacing w:after="0" w:line="234" w:lineRule="auto"/>
        <w:rPr>
          <w:rFonts w:ascii="Wingdings" w:cs="Wingdings" w:eastAsia="Wingdings" w:hAnsi="Wingdings"/>
          <w:sz w:val="27"/>
          <w:szCs w:val="27"/>
          <w:b w:val="1"/>
          <w:bCs w:val="1"/>
          <w:color w:val="465E66"/>
        </w:rPr>
      </w:pPr>
      <w:r>
        <w:rPr>
          <w:rFonts w:ascii="Arial" w:cs="Arial" w:eastAsia="Arial" w:hAnsi="Arial"/>
          <w:sz w:val="16"/>
          <w:szCs w:val="16"/>
          <w:color w:val="auto"/>
        </w:rPr>
        <w:t>Closely monitor the executive pay mix and levels of our industry peers</w:t>
      </w:r>
    </w:p>
    <w:p>
      <w:pPr>
        <w:ind w:left="440" w:right="280" w:hanging="336"/>
        <w:spacing w:after="0" w:line="200" w:lineRule="auto"/>
        <w:tabs>
          <w:tab w:leader="none" w:pos="440" w:val="left"/>
        </w:tabs>
        <w:numPr>
          <w:ilvl w:val="0"/>
          <w:numId w:val="52"/>
        </w:numPr>
        <w:rPr>
          <w:rFonts w:ascii="Wingdings" w:cs="Wingdings" w:eastAsia="Wingdings" w:hAnsi="Wingdings"/>
          <w:sz w:val="42"/>
          <w:szCs w:val="42"/>
          <w:b w:val="1"/>
          <w:bCs w:val="1"/>
          <w:color w:val="465E66"/>
          <w:vertAlign w:val="subscript"/>
        </w:rPr>
      </w:pPr>
      <w:r>
        <w:rPr>
          <w:rFonts w:ascii="Arial" w:cs="Arial" w:eastAsia="Arial" w:hAnsi="Arial"/>
          <w:sz w:val="14"/>
          <w:szCs w:val="14"/>
          <w:color w:val="auto"/>
        </w:rPr>
        <w:t>to ensure that our compensation is appropriate for leadership recruitment and retention, aligned with stockholder interests and not excessive for our industry.</w:t>
      </w:r>
    </w:p>
    <w:p>
      <w:pPr>
        <w:spacing w:after="0" w:line="1" w:lineRule="exact"/>
        <w:rPr>
          <w:rFonts w:ascii="Wingdings" w:cs="Wingdings" w:eastAsia="Wingdings" w:hAnsi="Wingdings"/>
          <w:sz w:val="42"/>
          <w:szCs w:val="42"/>
          <w:b w:val="1"/>
          <w:bCs w:val="1"/>
          <w:color w:val="465E66"/>
          <w:vertAlign w:val="subscript"/>
        </w:rPr>
      </w:pPr>
    </w:p>
    <w:p>
      <w:pPr>
        <w:ind w:left="440" w:right="220" w:hanging="336"/>
        <w:spacing w:after="0" w:line="183" w:lineRule="auto"/>
        <w:tabs>
          <w:tab w:leader="none" w:pos="440" w:val="left"/>
        </w:tabs>
        <w:numPr>
          <w:ilvl w:val="0"/>
          <w:numId w:val="52"/>
        </w:numPr>
        <w:rPr>
          <w:rFonts w:ascii="Wingdings" w:cs="Wingdings" w:eastAsia="Wingdings" w:hAnsi="Wingdings"/>
          <w:sz w:val="31"/>
          <w:szCs w:val="31"/>
          <w:b w:val="1"/>
          <w:bCs w:val="1"/>
          <w:color w:val="465E66"/>
          <w:vertAlign w:val="subscript"/>
        </w:rPr>
      </w:pPr>
      <w:r>
        <w:rPr>
          <w:rFonts w:ascii="Arial" w:cs="Arial" w:eastAsia="Arial" w:hAnsi="Arial"/>
          <w:sz w:val="13"/>
          <w:szCs w:val="13"/>
          <w:color w:val="auto"/>
        </w:rPr>
        <w:t>Have a minimum 12-month vesting period for full-value awards (e.g., RSUs and PBRSUs) granted to our NEOs under the SIP.</w:t>
      </w:r>
    </w:p>
    <w:p>
      <w:pPr>
        <w:ind w:left="440"/>
        <w:spacing w:after="0" w:line="234" w:lineRule="auto"/>
        <w:rPr>
          <w:rFonts w:ascii="Wingdings" w:cs="Wingdings" w:eastAsia="Wingdings" w:hAnsi="Wingdings"/>
          <w:sz w:val="31"/>
          <w:szCs w:val="31"/>
          <w:b w:val="1"/>
          <w:bCs w:val="1"/>
          <w:color w:val="465E66"/>
          <w:vertAlign w:val="subscript"/>
        </w:rPr>
      </w:pPr>
      <w:r>
        <w:rPr>
          <w:rFonts w:ascii="Arial" w:cs="Arial" w:eastAsia="Arial" w:hAnsi="Arial"/>
          <w:sz w:val="16"/>
          <w:szCs w:val="16"/>
          <w:color w:val="auto"/>
        </w:rPr>
        <w:t>Follow a responsible approach to equity-based compensation, including</w:t>
      </w:r>
    </w:p>
    <w:p>
      <w:pPr>
        <w:ind w:left="440" w:hanging="336"/>
        <w:spacing w:after="0"/>
        <w:tabs>
          <w:tab w:leader="none" w:pos="440" w:val="left"/>
        </w:tabs>
        <w:numPr>
          <w:ilvl w:val="0"/>
          <w:numId w:val="52"/>
        </w:numPr>
        <w:rPr>
          <w:rFonts w:ascii="Wingdings" w:cs="Wingdings" w:eastAsia="Wingdings" w:hAnsi="Wingdings"/>
          <w:sz w:val="24"/>
          <w:szCs w:val="24"/>
          <w:b w:val="1"/>
          <w:bCs w:val="1"/>
          <w:color w:val="465E66"/>
        </w:rPr>
      </w:pPr>
      <w:r>
        <w:rPr>
          <w:rFonts w:ascii="Arial" w:cs="Arial" w:eastAsia="Arial" w:hAnsi="Arial"/>
          <w:sz w:val="14"/>
          <w:szCs w:val="14"/>
          <w:color w:val="auto"/>
        </w:rPr>
        <w:t>adopting</w:t>
      </w:r>
      <w:r>
        <w:rPr>
          <w:rFonts w:ascii="Arial" w:cs="Arial" w:eastAsia="Arial" w:hAnsi="Arial"/>
          <w:sz w:val="27"/>
          <w:szCs w:val="27"/>
          <w:color w:val="auto"/>
          <w:vertAlign w:val="subscript"/>
        </w:rPr>
        <w:t>group.</w:t>
      </w:r>
      <w:r>
        <w:rPr>
          <w:rFonts w:ascii="Arial" w:cs="Arial" w:eastAsia="Arial" w:hAnsi="Arial"/>
          <w:sz w:val="14"/>
          <w:szCs w:val="14"/>
          <w:color w:val="auto"/>
        </w:rPr>
        <w:t xml:space="preserve"> “burn rates” well below the typical market practice for our peer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-1337945</wp:posOffset>
            </wp:positionV>
            <wp:extent cx="7132320" cy="342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362"/>
        <w:spacing w:after="0"/>
        <w:rPr>
          <w:sz w:val="20"/>
          <w:szCs w:val="20"/>
          <w:color w:val="auto"/>
        </w:rPr>
      </w:pPr>
      <w:r>
        <w:rPr>
          <w:rFonts w:ascii="Arial" w:cs="Arial" w:eastAsia="Arial" w:hAnsi="Arial"/>
          <w:sz w:val="18"/>
          <w:szCs w:val="18"/>
          <w:b w:val="1"/>
          <w:bCs w:val="1"/>
          <w:color w:val="FFFFFF"/>
        </w:rPr>
        <w:t>WE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-127635</wp:posOffset>
            </wp:positionV>
            <wp:extent cx="357441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74415" cy="146050"/>
                    </a:xfrm>
                    <a:prstGeom prst="rect">
                      <a:avLst/>
                    </a:prstGeom>
                    <a:noFill/>
                  </pic:spPr>
                </pic:pic>
              </a:graphicData>
            </a:graphic>
          </wp:anchor>
        </w:drawing>
      </w:r>
    </w:p>
    <w:p>
      <w:pPr>
        <w:spacing w:after="0" w:line="94" w:lineRule="exact"/>
        <w:rPr>
          <w:sz w:val="20"/>
          <w:szCs w:val="20"/>
          <w:color w:val="auto"/>
        </w:rPr>
      </w:pPr>
    </w:p>
    <w:p>
      <w:pPr>
        <w:ind w:left="362" w:hanging="362"/>
        <w:spacing w:after="0"/>
        <w:tabs>
          <w:tab w:leader="none" w:pos="362" w:val="left"/>
        </w:tabs>
        <w:numPr>
          <w:ilvl w:val="0"/>
          <w:numId w:val="53"/>
        </w:numPr>
        <w:rPr>
          <w:rFonts w:ascii="MS PGothic" w:cs="MS PGothic" w:eastAsia="MS PGothic" w:hAnsi="MS PGothic"/>
          <w:sz w:val="29"/>
          <w:szCs w:val="29"/>
          <w:color w:val="E97D2E"/>
        </w:rPr>
      </w:pPr>
      <w:r>
        <w:rPr>
          <w:rFonts w:ascii="Arial" w:cs="Arial" w:eastAsia="Arial" w:hAnsi="Arial"/>
          <w:sz w:val="16"/>
          <w:szCs w:val="16"/>
          <w:color w:val="auto"/>
        </w:rPr>
        <w:t>Provide excessive perquisites to our executives.</w:t>
      </w:r>
    </w:p>
    <w:p>
      <w:pPr>
        <w:spacing w:after="0" w:line="157" w:lineRule="exact"/>
        <w:rPr>
          <w:rFonts w:ascii="MS PGothic" w:cs="MS PGothic" w:eastAsia="MS PGothic" w:hAnsi="MS PGothic"/>
          <w:sz w:val="29"/>
          <w:szCs w:val="29"/>
          <w:color w:val="E97D2E"/>
        </w:rPr>
      </w:pPr>
    </w:p>
    <w:p>
      <w:pPr>
        <w:ind w:left="362"/>
        <w:spacing w:after="0"/>
        <w:rPr>
          <w:rFonts w:ascii="MS PGothic" w:cs="MS PGothic" w:eastAsia="MS PGothic" w:hAnsi="MS PGothic"/>
          <w:sz w:val="29"/>
          <w:szCs w:val="29"/>
          <w:color w:val="E97D2E"/>
        </w:rPr>
      </w:pPr>
      <w:r>
        <w:rPr>
          <w:rFonts w:ascii="Arial" w:cs="Arial" w:eastAsia="Arial" w:hAnsi="Arial"/>
          <w:sz w:val="16"/>
          <w:szCs w:val="16"/>
          <w:color w:val="auto"/>
        </w:rPr>
        <w:t>Allow our NEOs and other insiders to pledge or margin our stock, hedge</w:t>
      </w:r>
    </w:p>
    <w:p>
      <w:pPr>
        <w:ind w:left="362" w:right="500" w:hanging="362"/>
        <w:spacing w:after="0" w:line="182" w:lineRule="auto"/>
        <w:tabs>
          <w:tab w:leader="none" w:pos="362" w:val="left"/>
        </w:tabs>
        <w:numPr>
          <w:ilvl w:val="0"/>
          <w:numId w:val="53"/>
        </w:numPr>
        <w:rPr>
          <w:rFonts w:ascii="MS PGothic" w:cs="MS PGothic" w:eastAsia="MS PGothic" w:hAnsi="MS PGothic"/>
          <w:sz w:val="29"/>
          <w:szCs w:val="29"/>
          <w:color w:val="E97D2E"/>
        </w:rPr>
      </w:pPr>
      <w:r>
        <w:rPr>
          <w:rFonts w:ascii="Arial" w:cs="Arial" w:eastAsia="Arial" w:hAnsi="Arial"/>
          <w:sz w:val="16"/>
          <w:szCs w:val="16"/>
          <w:color w:val="auto"/>
        </w:rPr>
        <w:t>their exposure to ownership of our stock or engage in speculative transactions with respect to our stock.</w:t>
      </w:r>
    </w:p>
    <w:p>
      <w:pPr>
        <w:spacing w:after="0" w:line="83" w:lineRule="exact"/>
        <w:rPr>
          <w:rFonts w:ascii="MS PGothic" w:cs="MS PGothic" w:eastAsia="MS PGothic" w:hAnsi="MS PGothic"/>
          <w:sz w:val="29"/>
          <w:szCs w:val="29"/>
          <w:color w:val="E97D2E"/>
        </w:rPr>
      </w:pPr>
    </w:p>
    <w:p>
      <w:pPr>
        <w:ind w:left="362" w:right="300" w:hanging="362"/>
        <w:spacing w:after="0" w:line="180" w:lineRule="auto"/>
        <w:tabs>
          <w:tab w:leader="none" w:pos="362" w:val="left"/>
        </w:tabs>
        <w:numPr>
          <w:ilvl w:val="0"/>
          <w:numId w:val="53"/>
        </w:numPr>
        <w:rPr>
          <w:rFonts w:ascii="MS PGothic" w:cs="MS PGothic" w:eastAsia="MS PGothic" w:hAnsi="MS PGothic"/>
          <w:sz w:val="34"/>
          <w:szCs w:val="34"/>
          <w:color w:val="E97D2E"/>
          <w:vertAlign w:val="subscript"/>
        </w:rPr>
      </w:pPr>
      <w:r>
        <w:rPr>
          <w:rFonts w:ascii="Arial" w:cs="Arial" w:eastAsia="Arial" w:hAnsi="Arial"/>
          <w:sz w:val="14"/>
          <w:szCs w:val="14"/>
          <w:color w:val="auto"/>
        </w:rPr>
        <w:t>Provide single triggers or excessive benefits in our change in control agreements or provide excise tax gross-ups.</w:t>
      </w:r>
    </w:p>
    <w:p>
      <w:pPr>
        <w:spacing w:after="0" w:line="158" w:lineRule="exact"/>
        <w:rPr>
          <w:rFonts w:ascii="MS PGothic" w:cs="MS PGothic" w:eastAsia="MS PGothic" w:hAnsi="MS PGothic"/>
          <w:sz w:val="34"/>
          <w:szCs w:val="34"/>
          <w:color w:val="E97D2E"/>
          <w:vertAlign w:val="subscript"/>
        </w:rPr>
      </w:pPr>
    </w:p>
    <w:p>
      <w:pPr>
        <w:ind w:left="362"/>
        <w:spacing w:after="0"/>
        <w:rPr>
          <w:rFonts w:ascii="MS PGothic" w:cs="MS PGothic" w:eastAsia="MS PGothic" w:hAnsi="MS PGothic"/>
          <w:sz w:val="34"/>
          <w:szCs w:val="34"/>
          <w:color w:val="E97D2E"/>
          <w:vertAlign w:val="subscript"/>
        </w:rPr>
      </w:pPr>
      <w:r>
        <w:rPr>
          <w:rFonts w:ascii="Arial" w:cs="Arial" w:eastAsia="Arial" w:hAnsi="Arial"/>
          <w:sz w:val="16"/>
          <w:szCs w:val="16"/>
          <w:color w:val="auto"/>
        </w:rPr>
        <w:t>Provide tax gross-ups on any perquisites other than standard relocation</w:t>
      </w:r>
    </w:p>
    <w:p>
      <w:pPr>
        <w:ind w:left="362" w:right="560" w:hanging="362"/>
        <w:spacing w:after="0" w:line="182" w:lineRule="auto"/>
        <w:tabs>
          <w:tab w:leader="none" w:pos="362" w:val="left"/>
        </w:tabs>
        <w:numPr>
          <w:ilvl w:val="0"/>
          <w:numId w:val="53"/>
        </w:numPr>
        <w:rPr>
          <w:rFonts w:ascii="MS PGothic" w:cs="MS PGothic" w:eastAsia="MS PGothic" w:hAnsi="MS PGothic"/>
          <w:sz w:val="29"/>
          <w:szCs w:val="29"/>
          <w:color w:val="E97D2E"/>
        </w:rPr>
      </w:pPr>
      <w:r>
        <w:rPr>
          <w:rFonts w:ascii="Arial" w:cs="Arial" w:eastAsia="Arial" w:hAnsi="Arial"/>
          <w:sz w:val="16"/>
          <w:szCs w:val="16"/>
          <w:color w:val="auto"/>
        </w:rPr>
        <w:t>benefits that are available to all employees and amounts paid for expatriate assignments.</w:t>
      </w:r>
    </w:p>
    <w:p>
      <w:pPr>
        <w:spacing w:after="0" w:line="83" w:lineRule="exact"/>
        <w:rPr>
          <w:rFonts w:ascii="MS PGothic" w:cs="MS PGothic" w:eastAsia="MS PGothic" w:hAnsi="MS PGothic"/>
          <w:sz w:val="29"/>
          <w:szCs w:val="29"/>
          <w:color w:val="E97D2E"/>
        </w:rPr>
      </w:pPr>
    </w:p>
    <w:p>
      <w:pPr>
        <w:ind w:left="362" w:right="180" w:hanging="362"/>
        <w:spacing w:after="0" w:line="180" w:lineRule="auto"/>
        <w:tabs>
          <w:tab w:leader="none" w:pos="362" w:val="left"/>
        </w:tabs>
        <w:numPr>
          <w:ilvl w:val="0"/>
          <w:numId w:val="53"/>
        </w:numPr>
        <w:rPr>
          <w:rFonts w:ascii="MS PGothic" w:cs="MS PGothic" w:eastAsia="MS PGothic" w:hAnsi="MS PGothic"/>
          <w:sz w:val="34"/>
          <w:szCs w:val="34"/>
          <w:color w:val="E97D2E"/>
          <w:vertAlign w:val="subscript"/>
        </w:rPr>
      </w:pPr>
      <w:r>
        <w:rPr>
          <w:rFonts w:ascii="Arial" w:cs="Arial" w:eastAsia="Arial" w:hAnsi="Arial"/>
          <w:sz w:val="14"/>
          <w:szCs w:val="14"/>
          <w:color w:val="auto"/>
        </w:rPr>
        <w:t>Design our compensation policies and practices in a way that poses a material risk to us or our stockholders.</w:t>
      </w:r>
    </w:p>
    <w:p>
      <w:pPr>
        <w:spacing w:after="0" w:line="83" w:lineRule="exact"/>
        <w:rPr>
          <w:rFonts w:ascii="MS PGothic" w:cs="MS PGothic" w:eastAsia="MS PGothic" w:hAnsi="MS PGothic"/>
          <w:sz w:val="34"/>
          <w:szCs w:val="34"/>
          <w:color w:val="E97D2E"/>
          <w:vertAlign w:val="subscript"/>
        </w:rPr>
      </w:pPr>
    </w:p>
    <w:p>
      <w:pPr>
        <w:ind w:left="362" w:right="480" w:hanging="362"/>
        <w:spacing w:after="0" w:line="180" w:lineRule="auto"/>
        <w:tabs>
          <w:tab w:leader="none" w:pos="362" w:val="left"/>
        </w:tabs>
        <w:numPr>
          <w:ilvl w:val="0"/>
          <w:numId w:val="53"/>
        </w:numPr>
        <w:rPr>
          <w:rFonts w:ascii="MS PGothic" w:cs="MS PGothic" w:eastAsia="MS PGothic" w:hAnsi="MS PGothic"/>
          <w:sz w:val="34"/>
          <w:szCs w:val="34"/>
          <w:color w:val="E97D2E"/>
          <w:vertAlign w:val="subscript"/>
        </w:rPr>
      </w:pPr>
      <w:r>
        <w:rPr>
          <w:rFonts w:ascii="Arial" w:cs="Arial" w:eastAsia="Arial" w:hAnsi="Arial"/>
          <w:sz w:val="14"/>
          <w:szCs w:val="14"/>
          <w:color w:val="auto"/>
        </w:rPr>
        <w:t>Sponsor any executive retirement programs that are not generally available to all of our U.S. employees.</w:t>
      </w:r>
    </w:p>
    <w:p>
      <w:pPr>
        <w:spacing w:after="0" w:line="231" w:lineRule="exact"/>
        <w:rPr>
          <w:sz w:val="20"/>
          <w:szCs w:val="20"/>
          <w:color w:val="auto"/>
        </w:rPr>
      </w:pPr>
    </w:p>
    <w:p>
      <w:pPr>
        <w:sectPr>
          <w:pgSz w:w="11900" w:h="16838" w:orient="portrait"/>
          <w:cols w:equalWidth="0" w:num="2">
            <w:col w:w="5580" w:space="118"/>
            <w:col w:w="5542"/>
          </w:cols>
          <w:pgMar w:left="320" w:top="161"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Philosophy and Guiding Principles</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HCC Committee is responsible for establishing and implementing our executive compensation philosophy and guiding principles and for monitoring their effectiveness. Our compensation philosophy is focused on the following core principles:</w:t>
      </w:r>
    </w:p>
    <w:p>
      <w:pPr>
        <w:spacing w:after="0" w:line="193" w:lineRule="exact"/>
        <w:rPr>
          <w:sz w:val="20"/>
          <w:szCs w:val="20"/>
          <w:color w:val="auto"/>
        </w:rPr>
      </w:pPr>
    </w:p>
    <w:p>
      <w:pPr>
        <w:jc w:val="both"/>
        <w:ind w:left="660" w:hanging="328"/>
        <w:spacing w:after="0" w:line="24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Alignment with Stockholder Interests</w:t>
      </w:r>
      <w:r>
        <w:rPr>
          <w:rFonts w:ascii="Arial" w:cs="Arial" w:eastAsia="Arial" w:hAnsi="Arial"/>
          <w:sz w:val="18"/>
          <w:szCs w:val="18"/>
          <w:color w:val="auto"/>
        </w:rPr>
        <w:t>. Achieving corporate goals is a necessary condition for our executives to realize targeted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levels of compensation, particularly with respect to variable pay and LTI awards. In addition, the use of stock-based incentives, which link variable pay to stockholder value, and stock ownership guidelines further ensures that our executives’ interests align with those of our stockholders.</w:t>
      </w:r>
    </w:p>
    <w:p>
      <w:pPr>
        <w:spacing w:after="0" w:line="200"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Pay-for-Performance</w:t>
      </w:r>
      <w:r>
        <w:rPr>
          <w:rFonts w:ascii="Arial" w:cs="Arial" w:eastAsia="Arial" w:hAnsi="Arial"/>
          <w:sz w:val="18"/>
          <w:szCs w:val="18"/>
          <w:color w:val="auto"/>
        </w:rPr>
        <w:t>. A significant portion of target compensation is variable and directly linked to corporate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 both to incentivize goal-oriented performance and to reward individual contributions to our performance.</w:t>
      </w:r>
    </w:p>
    <w:p>
      <w:pPr>
        <w:spacing w:after="0" w:line="180"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Provide Competitive Compensation</w:t>
      </w:r>
      <w:r>
        <w:rPr>
          <w:rFonts w:ascii="Arial" w:cs="Arial" w:eastAsia="Arial" w:hAnsi="Arial"/>
          <w:sz w:val="18"/>
          <w:szCs w:val="18"/>
          <w:color w:val="auto"/>
        </w:rPr>
        <w:t>. We regularly consult peer market data to ensure that we are providing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opportunities for our executive officers. We consider other semiconductor and high-technology companies as our market and review survey or peer company data in these sectors to analyze the competitiveness of our targeted pay opportunities.</w:t>
      </w:r>
    </w:p>
    <w:p>
      <w:pPr>
        <w:spacing w:after="0" w:line="195" w:lineRule="exact"/>
        <w:rPr>
          <w:rFonts w:ascii="Arial" w:cs="Arial" w:eastAsia="Arial" w:hAnsi="Arial"/>
          <w:sz w:val="18"/>
          <w:szCs w:val="18"/>
          <w:color w:val="auto"/>
        </w:rPr>
      </w:pPr>
    </w:p>
    <w:p>
      <w:pPr>
        <w:jc w:val="both"/>
        <w:ind w:left="660" w:hanging="328"/>
        <w:spacing w:after="0" w:line="24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Attract, Motivate and Retain Diverse Talent</w:t>
      </w:r>
      <w:r>
        <w:rPr>
          <w:rFonts w:ascii="Arial" w:cs="Arial" w:eastAsia="Arial" w:hAnsi="Arial"/>
          <w:sz w:val="18"/>
          <w:szCs w:val="18"/>
          <w:color w:val="auto"/>
        </w:rPr>
        <w:t>. Our compensation program is designed to attract, motivate and retain highly talented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critical to our success by providing competitive total compensation with retentive features. Additionally, we focus on developing and retaining a diverse workforce with programs such as our Employee Resource Group on Science, Technology, Engineering and Math for Underrepresented Populations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28</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3" w:name="page34"/>
    <w:bookmarkEnd w:id="33"/>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(STEM UP). The recruitment and retention of talented and diverse employees positively impacts our innovation and performance. We believe that we are at our strongest when we are able to draw on the diverse experiences, knowledge, cultures and backgrounds of all employees in our global workforce.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Engagement and Say-on-Pay</w:t>
      </w:r>
    </w:p>
    <w:p>
      <w:pPr>
        <w:spacing w:after="0" w:line="239"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We emphasize transparency in our approach to stockholder communications and seek out engagement with and feedback from current and prospective stockholders on corporate strategy, executive compensation, corporate governance and other topics of importance. The chairs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Board and its committees are active participants in this process. Through these engagements, we have received feedback in support of our existing executive compensation program and, in particular, the HCC Committee’s decision to further drive accountability and reinforce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culture of compliance, diversity, equity and inclusion, and commitment to ESG principles and ethics.</w:t>
      </w:r>
    </w:p>
    <w:p>
      <w:pPr>
        <w:spacing w:after="0" w:line="22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Our stockholders also have the opportunity each year to provide feedback through our advisory say-on-pay vote on the compensation of our NEOs. At our 2022 annual meeting, our stockholders expressed their support for our program, with over 93% voting in favor of the proposal.</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HCC Committee considers feedback received during these stockholder engagements and our say-on-pay results as key factors in its ongoing assessment of our compensation program design and effectiveness.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Performance-Driven Compensation Opportunities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goal of our executive compensation program is to enhance stockholder value by delivering a competitive compensation package that is significantly performance-based, thus linking executive pay, company performance and stockholder returns. The primary components of our program, which we refer to as total direct compensation (TDC), are base salary, target STI award opportunity and target LTI awards, which are structured as 60% PBRSUs and 40% time-based restricted stock units (RSUs).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reflected in the charts below, more than 90% of Mr. El-Khoury’s target TDC for 2022 was variable, with approximately 60% based on</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measurable performance goals (target STI and PBRSUs) and another 33% tied to the value of our stock price (RSUs). For our other NEOs, on average, approximately 85% of their target TDC was variable. These figures reflect the highest salary, target STI opportunity and target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LTI opportunity for each of our other NEOs in 2022 and exclude Mr. Hopkin, who retired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160655</wp:posOffset>
            </wp:positionV>
            <wp:extent cx="4303395" cy="27857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03395" cy="27857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Elements of our Compensation Program</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executive compensation program is designed to provide a competitive total compensation package consistent with our performance in the marketplace and our desire to recruit, motivate and retain talented management. The following is an overview of our 2022 program:</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1680" w:type="dxa"/>
            <w:vAlign w:val="bottom"/>
            <w:tcBorders>
              <w:top w:val="single" w:sz="8" w:color="999999"/>
              <w:left w:val="single" w:sz="8" w:color="999999"/>
              <w:bottom w:val="single" w:sz="8" w:color="666666"/>
              <w:right w:val="single" w:sz="8" w:color="999999"/>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Focus</w:t>
            </w:r>
          </w:p>
        </w:tc>
        <w:tc>
          <w:tcPr>
            <w:tcW w:w="1640" w:type="dxa"/>
            <w:vAlign w:val="bottom"/>
            <w:tcBorders>
              <w:top w:val="single" w:sz="8" w:color="999999"/>
              <w:bottom w:val="single" w:sz="8" w:color="666666"/>
              <w:right w:val="single" w:sz="8" w:color="999999"/>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Component</w:t>
            </w:r>
          </w:p>
        </w:tc>
        <w:tc>
          <w:tcPr>
            <w:tcW w:w="160" w:type="dxa"/>
            <w:vAlign w:val="bottom"/>
            <w:tcBorders>
              <w:top w:val="single" w:sz="8" w:color="999999"/>
              <w:bottom w:val="single" w:sz="8" w:color="666666"/>
            </w:tcBorders>
            <w:shd w:val="clear" w:color="auto" w:fill="D9D9D9"/>
          </w:tcPr>
          <w:p>
            <w:pPr>
              <w:spacing w:after="0"/>
              <w:rPr>
                <w:sz w:val="20"/>
                <w:szCs w:val="20"/>
                <w:color w:val="auto"/>
              </w:rPr>
            </w:pPr>
          </w:p>
        </w:tc>
        <w:tc>
          <w:tcPr>
            <w:tcW w:w="4060" w:type="dxa"/>
            <w:vAlign w:val="bottom"/>
            <w:tcBorders>
              <w:top w:val="single" w:sz="8" w:color="999999"/>
              <w:bottom w:val="single" w:sz="8" w:color="666666"/>
              <w:right w:val="single" w:sz="8" w:color="999999"/>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Key Characteristics</w:t>
            </w:r>
          </w:p>
        </w:tc>
        <w:tc>
          <w:tcPr>
            <w:tcW w:w="160" w:type="dxa"/>
            <w:vAlign w:val="bottom"/>
            <w:tcBorders>
              <w:top w:val="single" w:sz="8" w:color="999999"/>
              <w:bottom w:val="single" w:sz="8" w:color="666666"/>
            </w:tcBorders>
            <w:shd w:val="clear" w:color="auto" w:fill="D9D9D9"/>
          </w:tcPr>
          <w:p>
            <w:pPr>
              <w:spacing w:after="0"/>
              <w:rPr>
                <w:sz w:val="20"/>
                <w:szCs w:val="20"/>
                <w:color w:val="auto"/>
              </w:rPr>
            </w:pPr>
          </w:p>
        </w:tc>
        <w:tc>
          <w:tcPr>
            <w:tcW w:w="3220" w:type="dxa"/>
            <w:vAlign w:val="bottom"/>
            <w:tcBorders>
              <w:top w:val="single" w:sz="8" w:color="999999"/>
              <w:bottom w:val="single" w:sz="8" w:color="666666"/>
              <w:right w:val="single" w:sz="8" w:color="999999"/>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Purpose</w:t>
            </w:r>
          </w:p>
        </w:tc>
      </w:tr>
      <w:tr>
        <w:trPr>
          <w:trHeight w:val="172"/>
        </w:trPr>
        <w:tc>
          <w:tcPr>
            <w:tcW w:w="1680" w:type="dxa"/>
            <w:vAlign w:val="bottom"/>
            <w:tcBorders>
              <w:left w:val="single" w:sz="8" w:color="999999"/>
              <w:right w:val="single" w:sz="8" w:color="999999"/>
            </w:tcBorders>
            <w:shd w:val="clear" w:color="auto" w:fill="465E66"/>
          </w:tcPr>
          <w:p>
            <w:pPr>
              <w:ind w:left="40"/>
              <w:spacing w:after="0" w:line="172" w:lineRule="exact"/>
              <w:rPr>
                <w:sz w:val="20"/>
                <w:szCs w:val="20"/>
                <w:color w:val="auto"/>
              </w:rPr>
            </w:pPr>
            <w:r>
              <w:rPr>
                <w:rFonts w:ascii="Arial" w:cs="Arial" w:eastAsia="Arial" w:hAnsi="Arial"/>
                <w:sz w:val="16"/>
                <w:szCs w:val="16"/>
                <w:b w:val="1"/>
                <w:bCs w:val="1"/>
                <w:color w:val="FFFFFF"/>
              </w:rPr>
              <w:t>Current Year</w:t>
            </w:r>
          </w:p>
        </w:tc>
        <w:tc>
          <w:tcPr>
            <w:tcW w:w="1640" w:type="dxa"/>
            <w:vAlign w:val="bottom"/>
            <w:tcBorders>
              <w:right w:val="single" w:sz="8" w:color="999999"/>
            </w:tcBorders>
            <w:shd w:val="clear" w:color="auto" w:fill="DAEEF3"/>
          </w:tcPr>
          <w:p>
            <w:pPr>
              <w:ind w:left="20"/>
              <w:spacing w:after="0" w:line="172" w:lineRule="exact"/>
              <w:rPr>
                <w:sz w:val="20"/>
                <w:szCs w:val="20"/>
                <w:color w:val="auto"/>
              </w:rPr>
            </w:pPr>
            <w:r>
              <w:rPr>
                <w:rFonts w:ascii="Arial" w:cs="Arial" w:eastAsia="Arial" w:hAnsi="Arial"/>
                <w:sz w:val="16"/>
                <w:szCs w:val="16"/>
                <w:b w:val="1"/>
                <w:bCs w:val="1"/>
                <w:color w:val="auto"/>
              </w:rPr>
              <w:t>Base Salary</w:t>
            </w:r>
          </w:p>
        </w:tc>
        <w:tc>
          <w:tcPr>
            <w:tcW w:w="160" w:type="dxa"/>
            <w:vAlign w:val="bottom"/>
          </w:tcPr>
          <w:p>
            <w:pPr>
              <w:ind w:left="100"/>
              <w:spacing w:after="0" w:line="172"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72" w:lineRule="exact"/>
              <w:rPr>
                <w:sz w:val="20"/>
                <w:szCs w:val="20"/>
                <w:color w:val="auto"/>
              </w:rPr>
            </w:pPr>
            <w:r>
              <w:rPr>
                <w:rFonts w:ascii="Arial" w:cs="Arial" w:eastAsia="Arial" w:hAnsi="Arial"/>
                <w:sz w:val="16"/>
                <w:szCs w:val="16"/>
                <w:color w:val="auto"/>
              </w:rPr>
              <w:t>Fixed cash compensation</w:t>
            </w:r>
          </w:p>
        </w:tc>
        <w:tc>
          <w:tcPr>
            <w:tcW w:w="160" w:type="dxa"/>
            <w:vAlign w:val="bottom"/>
          </w:tcPr>
          <w:p>
            <w:pPr>
              <w:ind w:left="100"/>
              <w:spacing w:after="0" w:line="172"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72" w:lineRule="exact"/>
              <w:rPr>
                <w:sz w:val="20"/>
                <w:szCs w:val="20"/>
                <w:color w:val="auto"/>
              </w:rPr>
            </w:pPr>
            <w:r>
              <w:rPr>
                <w:rFonts w:ascii="Arial" w:cs="Arial" w:eastAsia="Arial" w:hAnsi="Arial"/>
                <w:sz w:val="16"/>
                <w:szCs w:val="16"/>
                <w:color w:val="auto"/>
              </w:rPr>
              <w:t>Set at competitive levels and used to</w:t>
            </w:r>
          </w:p>
        </w:tc>
      </w:tr>
      <w:tr>
        <w:trPr>
          <w:trHeight w:val="244"/>
        </w:trPr>
        <w:tc>
          <w:tcPr>
            <w:tcW w:w="1680" w:type="dxa"/>
            <w:vAlign w:val="bottom"/>
            <w:tcBorders>
              <w:left w:val="single" w:sz="8" w:color="999999"/>
              <w:bottom w:val="single" w:sz="8" w:color="465E66"/>
              <w:right w:val="single" w:sz="8" w:color="999999"/>
            </w:tcBorders>
            <w:shd w:val="clear" w:color="auto" w:fill="465E66"/>
          </w:tcPr>
          <w:p>
            <w:pPr>
              <w:ind w:left="40"/>
              <w:spacing w:after="0"/>
              <w:rPr>
                <w:sz w:val="20"/>
                <w:szCs w:val="20"/>
                <w:color w:val="auto"/>
              </w:rPr>
            </w:pPr>
            <w:r>
              <w:rPr>
                <w:rFonts w:ascii="Arial" w:cs="Arial" w:eastAsia="Arial" w:hAnsi="Arial"/>
                <w:sz w:val="16"/>
                <w:szCs w:val="16"/>
                <w:b w:val="1"/>
                <w:bCs w:val="1"/>
                <w:color w:val="FFFFFF"/>
              </w:rPr>
              <w:t>Performance</w:t>
            </w:r>
          </w:p>
        </w:tc>
        <w:tc>
          <w:tcPr>
            <w:tcW w:w="1640" w:type="dxa"/>
            <w:vAlign w:val="bottom"/>
            <w:tcBorders>
              <w:bottom w:val="single" w:sz="8" w:color="DAEEF3"/>
              <w:right w:val="single" w:sz="8" w:color="999999"/>
            </w:tcBorders>
            <w:shd w:val="clear" w:color="auto" w:fill="DAEEF3"/>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tcBorders>
              <w:right w:val="single" w:sz="8" w:color="999999"/>
            </w:tcBorders>
          </w:tcPr>
          <w:p>
            <w:pPr>
              <w:spacing w:after="0"/>
              <w:rPr>
                <w:sz w:val="21"/>
                <w:szCs w:val="21"/>
                <w:color w:val="auto"/>
              </w:rPr>
            </w:pPr>
          </w:p>
        </w:tc>
        <w:tc>
          <w:tcPr>
            <w:tcW w:w="160" w:type="dxa"/>
            <w:vAlign w:val="bottom"/>
          </w:tcPr>
          <w:p>
            <w:pPr>
              <w:spacing w:after="0"/>
              <w:rPr>
                <w:sz w:val="21"/>
                <w:szCs w:val="21"/>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attract and retain talent</w:t>
            </w:r>
          </w:p>
        </w:tc>
      </w:tr>
      <w:tr>
        <w:trPr>
          <w:trHeight w:val="168"/>
        </w:trPr>
        <w:tc>
          <w:tcPr>
            <w:tcW w:w="1680" w:type="dxa"/>
            <w:vAlign w:val="bottom"/>
            <w:tcBorders>
              <w:top w:val="single" w:sz="8" w:color="465E66"/>
              <w:left w:val="single" w:sz="8" w:color="999999"/>
              <w:right w:val="single" w:sz="8" w:color="999999"/>
            </w:tcBorders>
            <w:shd w:val="clear" w:color="auto" w:fill="465E66"/>
          </w:tcPr>
          <w:p>
            <w:pPr>
              <w:spacing w:after="0"/>
              <w:rPr>
                <w:sz w:val="14"/>
                <w:szCs w:val="14"/>
                <w:color w:val="auto"/>
              </w:rPr>
            </w:pPr>
          </w:p>
        </w:tc>
        <w:tc>
          <w:tcPr>
            <w:tcW w:w="1640" w:type="dxa"/>
            <w:vAlign w:val="bottom"/>
            <w:tcBorders>
              <w:top w:val="single" w:sz="8" w:color="999999"/>
              <w:right w:val="single" w:sz="8" w:color="999999"/>
            </w:tcBorders>
            <w:shd w:val="clear" w:color="auto" w:fill="DAEEF3"/>
          </w:tcPr>
          <w:p>
            <w:pPr>
              <w:ind w:left="20"/>
              <w:spacing w:after="0" w:line="168" w:lineRule="exact"/>
              <w:rPr>
                <w:sz w:val="20"/>
                <w:szCs w:val="20"/>
                <w:color w:val="auto"/>
              </w:rPr>
            </w:pPr>
            <w:r>
              <w:rPr>
                <w:rFonts w:ascii="Arial" w:cs="Arial" w:eastAsia="Arial" w:hAnsi="Arial"/>
                <w:sz w:val="16"/>
                <w:szCs w:val="16"/>
                <w:b w:val="1"/>
                <w:bCs w:val="1"/>
                <w:color w:val="auto"/>
              </w:rPr>
              <w:t>Short-term Cash</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top w:val="single" w:sz="8" w:color="999999"/>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Annual cash awards providing for award opportunities</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top w:val="single" w:sz="8" w:color="999999"/>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Encourages our executives to maximize</w:t>
            </w:r>
          </w:p>
        </w:tc>
      </w:tr>
      <w:tr>
        <w:trPr>
          <w:trHeight w:val="189"/>
        </w:trPr>
        <w:tc>
          <w:tcPr>
            <w:tcW w:w="1680" w:type="dxa"/>
            <w:vAlign w:val="bottom"/>
            <w:tcBorders>
              <w:left w:val="single" w:sz="8" w:color="999999"/>
              <w:right w:val="single" w:sz="8" w:color="999999"/>
            </w:tcBorders>
            <w:shd w:val="clear" w:color="auto" w:fill="465E66"/>
          </w:tcPr>
          <w:p>
            <w:pPr>
              <w:spacing w:after="0"/>
              <w:rPr>
                <w:sz w:val="16"/>
                <w:szCs w:val="16"/>
                <w:color w:val="auto"/>
              </w:rPr>
            </w:pPr>
          </w:p>
        </w:tc>
        <w:tc>
          <w:tcPr>
            <w:tcW w:w="1640" w:type="dxa"/>
            <w:vAlign w:val="bottom"/>
            <w:tcBorders>
              <w:right w:val="single" w:sz="8" w:color="999999"/>
            </w:tcBorders>
            <w:shd w:val="clear" w:color="auto" w:fill="DAEEF3"/>
          </w:tcPr>
          <w:p>
            <w:pPr>
              <w:ind w:left="20"/>
              <w:spacing w:after="0"/>
              <w:rPr>
                <w:sz w:val="20"/>
                <w:szCs w:val="20"/>
                <w:color w:val="auto"/>
              </w:rPr>
            </w:pPr>
            <w:r>
              <w:rPr>
                <w:rFonts w:ascii="Arial" w:cs="Arial" w:eastAsia="Arial" w:hAnsi="Arial"/>
                <w:sz w:val="16"/>
                <w:szCs w:val="16"/>
                <w:b w:val="1"/>
                <w:bCs w:val="1"/>
                <w:color w:val="auto"/>
              </w:rPr>
              <w:t>Incentive (STI)</w:t>
            </w: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based on full-year 2022 results</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profitability and growth</w:t>
            </w:r>
          </w:p>
        </w:tc>
      </w:tr>
      <w:tr>
        <w:trPr>
          <w:trHeight w:val="176"/>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ind w:left="20"/>
              <w:spacing w:after="0" w:line="175" w:lineRule="exact"/>
              <w:rPr>
                <w:sz w:val="20"/>
                <w:szCs w:val="20"/>
                <w:color w:val="auto"/>
              </w:rPr>
            </w:pPr>
            <w:r>
              <w:rPr>
                <w:rFonts w:ascii="Arial" w:cs="Arial" w:eastAsia="Arial" w:hAnsi="Arial"/>
                <w:sz w:val="16"/>
                <w:szCs w:val="16"/>
                <w:b w:val="1"/>
                <w:bCs w:val="1"/>
                <w:color w:val="auto"/>
              </w:rPr>
              <w:t>Awards</w:t>
            </w: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75" w:lineRule="exact"/>
              <w:rPr>
                <w:sz w:val="20"/>
                <w:szCs w:val="20"/>
                <w:color w:val="auto"/>
              </w:rPr>
            </w:pPr>
            <w:r>
              <w:rPr>
                <w:rFonts w:ascii="Arial" w:cs="Arial" w:eastAsia="Arial" w:hAnsi="Arial"/>
                <w:sz w:val="16"/>
                <w:szCs w:val="16"/>
                <w:color w:val="auto"/>
              </w:rPr>
              <w:t>Performance goals based on both (i) financial results</w:t>
            </w: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Promotes superior operational</w:t>
            </w:r>
          </w:p>
        </w:tc>
      </w:tr>
      <w:tr>
        <w:trPr>
          <w:trHeight w:val="189"/>
        </w:trPr>
        <w:tc>
          <w:tcPr>
            <w:tcW w:w="1680" w:type="dxa"/>
            <w:vAlign w:val="bottom"/>
            <w:tcBorders>
              <w:left w:val="single" w:sz="8" w:color="999999"/>
              <w:right w:val="single" w:sz="8" w:color="999999"/>
            </w:tcBorders>
            <w:shd w:val="clear" w:color="auto" w:fill="465E66"/>
          </w:tcPr>
          <w:p>
            <w:pPr>
              <w:spacing w:after="0"/>
              <w:rPr>
                <w:sz w:val="16"/>
                <w:szCs w:val="16"/>
                <w:color w:val="auto"/>
              </w:rPr>
            </w:pPr>
          </w:p>
        </w:tc>
        <w:tc>
          <w:tcPr>
            <w:tcW w:w="1640" w:type="dxa"/>
            <w:vAlign w:val="bottom"/>
            <w:tcBorders>
              <w:right w:val="single" w:sz="8" w:color="999999"/>
            </w:tcBorders>
            <w:shd w:val="clear" w:color="auto" w:fill="DAEEF3"/>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and (ii) individually-scored performance goals based</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performance, disciplined cost</w:t>
            </w:r>
          </w:p>
        </w:tc>
      </w:tr>
      <w:tr>
        <w:trPr>
          <w:trHeight w:val="176"/>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spacing w:after="0"/>
              <w:rPr>
                <w:sz w:val="15"/>
                <w:szCs w:val="15"/>
                <w:color w:val="auto"/>
              </w:rPr>
            </w:pP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on both financial and operational metrics</w:t>
            </w: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management and increased productivity</w:t>
            </w:r>
          </w:p>
        </w:tc>
      </w:tr>
      <w:tr>
        <w:trPr>
          <w:trHeight w:val="176"/>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spacing w:after="0"/>
              <w:rPr>
                <w:sz w:val="15"/>
                <w:szCs w:val="15"/>
                <w:color w:val="auto"/>
              </w:rPr>
            </w:pPr>
          </w:p>
        </w:tc>
        <w:tc>
          <w:tcPr>
            <w:tcW w:w="160" w:type="dxa"/>
            <w:vAlign w:val="bottom"/>
          </w:tcPr>
          <w:p>
            <w:pPr>
              <w:spacing w:after="0"/>
              <w:rPr>
                <w:sz w:val="15"/>
                <w:szCs w:val="15"/>
                <w:color w:val="auto"/>
              </w:rPr>
            </w:pPr>
          </w:p>
        </w:tc>
        <w:tc>
          <w:tcPr>
            <w:tcW w:w="4060" w:type="dxa"/>
            <w:vAlign w:val="bottom"/>
            <w:tcBorders>
              <w:right w:val="single" w:sz="8" w:color="999999"/>
            </w:tcBorders>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and efficiency that contribute significantly</w:t>
            </w:r>
          </w:p>
        </w:tc>
      </w:tr>
      <w:tr>
        <w:trPr>
          <w:trHeight w:val="215"/>
        </w:trPr>
        <w:tc>
          <w:tcPr>
            <w:tcW w:w="1680" w:type="dxa"/>
            <w:vAlign w:val="bottom"/>
            <w:tcBorders>
              <w:left w:val="single" w:sz="8" w:color="999999"/>
              <w:right w:val="single" w:sz="8" w:color="999999"/>
            </w:tcBorders>
            <w:shd w:val="clear" w:color="auto" w:fill="465E66"/>
          </w:tcPr>
          <w:p>
            <w:pPr>
              <w:spacing w:after="0"/>
              <w:rPr>
                <w:sz w:val="18"/>
                <w:szCs w:val="18"/>
                <w:color w:val="auto"/>
              </w:rPr>
            </w:pPr>
          </w:p>
        </w:tc>
        <w:tc>
          <w:tcPr>
            <w:tcW w:w="1640" w:type="dxa"/>
            <w:vAlign w:val="bottom"/>
            <w:tcBorders>
              <w:right w:val="single" w:sz="8" w:color="999999"/>
            </w:tcBorders>
            <w:shd w:val="clear" w:color="auto" w:fill="DAEEF3"/>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tcBorders>
              <w:right w:val="single" w:sz="8" w:color="999999"/>
            </w:tcBorders>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to value creation for our stockholders</w:t>
            </w:r>
          </w:p>
        </w:tc>
      </w:tr>
      <w:tr>
        <w:trPr>
          <w:trHeight w:val="191"/>
        </w:trPr>
        <w:tc>
          <w:tcPr>
            <w:tcW w:w="1680" w:type="dxa"/>
            <w:vAlign w:val="bottom"/>
            <w:tcBorders>
              <w:left w:val="single" w:sz="8" w:color="999999"/>
              <w:bottom w:val="single" w:sz="8" w:color="999999"/>
              <w:right w:val="single" w:sz="8" w:color="999999"/>
            </w:tcBorders>
            <w:shd w:val="clear" w:color="auto" w:fill="465E66"/>
          </w:tcPr>
          <w:p>
            <w:pPr>
              <w:spacing w:after="0"/>
              <w:rPr>
                <w:sz w:val="16"/>
                <w:szCs w:val="16"/>
                <w:color w:val="auto"/>
              </w:rPr>
            </w:pPr>
          </w:p>
        </w:tc>
        <w:tc>
          <w:tcPr>
            <w:tcW w:w="1640" w:type="dxa"/>
            <w:vAlign w:val="bottom"/>
            <w:tcBorders>
              <w:bottom w:val="single" w:sz="8" w:color="999999"/>
              <w:right w:val="single" w:sz="8" w:color="999999"/>
            </w:tcBorders>
            <w:shd w:val="clear" w:color="auto" w:fill="DAEEF3"/>
          </w:tcPr>
          <w:p>
            <w:pPr>
              <w:spacing w:after="0"/>
              <w:rPr>
                <w:sz w:val="16"/>
                <w:szCs w:val="16"/>
                <w:color w:val="auto"/>
              </w:rPr>
            </w:pPr>
          </w:p>
        </w:tc>
        <w:tc>
          <w:tcPr>
            <w:tcW w:w="160" w:type="dxa"/>
            <w:vAlign w:val="bottom"/>
            <w:tcBorders>
              <w:bottom w:val="single" w:sz="8" w:color="999999"/>
            </w:tcBorders>
          </w:tcPr>
          <w:p>
            <w:pPr>
              <w:spacing w:after="0"/>
              <w:rPr>
                <w:sz w:val="16"/>
                <w:szCs w:val="16"/>
                <w:color w:val="auto"/>
              </w:rPr>
            </w:pPr>
          </w:p>
        </w:tc>
        <w:tc>
          <w:tcPr>
            <w:tcW w:w="4060" w:type="dxa"/>
            <w:vAlign w:val="bottom"/>
            <w:tcBorders>
              <w:bottom w:val="single" w:sz="8" w:color="999999"/>
              <w:right w:val="single" w:sz="8" w:color="999999"/>
            </w:tcBorders>
          </w:tcPr>
          <w:p>
            <w:pPr>
              <w:spacing w:after="0"/>
              <w:rPr>
                <w:sz w:val="16"/>
                <w:szCs w:val="16"/>
                <w:color w:val="auto"/>
              </w:rPr>
            </w:pPr>
          </w:p>
        </w:tc>
        <w:tc>
          <w:tcPr>
            <w:tcW w:w="160" w:type="dxa"/>
            <w:vAlign w:val="bottom"/>
            <w:tcBorders>
              <w:bottom w:val="single" w:sz="8" w:color="999999"/>
            </w:tcBorders>
          </w:tcPr>
          <w:p>
            <w:pPr>
              <w:spacing w:after="0"/>
              <w:rPr>
                <w:sz w:val="16"/>
                <w:szCs w:val="16"/>
                <w:color w:val="auto"/>
              </w:rPr>
            </w:pPr>
          </w:p>
        </w:tc>
        <w:tc>
          <w:tcPr>
            <w:tcW w:w="3220" w:type="dxa"/>
            <w:vAlign w:val="bottom"/>
            <w:tcBorders>
              <w:bottom w:val="single" w:sz="8" w:color="999999"/>
              <w:right w:val="single" w:sz="8" w:color="999999"/>
            </w:tcBorders>
          </w:tcPr>
          <w:p>
            <w:pPr>
              <w:spacing w:after="0"/>
              <w:rPr>
                <w:sz w:val="16"/>
                <w:szCs w:val="16"/>
                <w:color w:val="auto"/>
              </w:rPr>
            </w:pPr>
          </w:p>
        </w:tc>
      </w:tr>
      <w:tr>
        <w:trPr>
          <w:trHeight w:val="168"/>
        </w:trPr>
        <w:tc>
          <w:tcPr>
            <w:tcW w:w="1680" w:type="dxa"/>
            <w:vAlign w:val="bottom"/>
            <w:tcBorders>
              <w:left w:val="single" w:sz="8" w:color="999999"/>
              <w:right w:val="single" w:sz="8" w:color="999999"/>
            </w:tcBorders>
            <w:shd w:val="clear" w:color="auto" w:fill="E97D2E"/>
          </w:tcPr>
          <w:p>
            <w:pPr>
              <w:ind w:left="40"/>
              <w:spacing w:after="0" w:line="168" w:lineRule="exact"/>
              <w:rPr>
                <w:sz w:val="20"/>
                <w:szCs w:val="20"/>
                <w:color w:val="auto"/>
              </w:rPr>
            </w:pPr>
            <w:r>
              <w:rPr>
                <w:rFonts w:ascii="Arial" w:cs="Arial" w:eastAsia="Arial" w:hAnsi="Arial"/>
                <w:sz w:val="16"/>
                <w:szCs w:val="16"/>
                <w:b w:val="1"/>
                <w:bCs w:val="1"/>
                <w:color w:val="FFFFFF"/>
              </w:rPr>
              <w:t>Long-Term Equity</w:t>
            </w:r>
          </w:p>
        </w:tc>
        <w:tc>
          <w:tcPr>
            <w:tcW w:w="1640" w:type="dxa"/>
            <w:vAlign w:val="bottom"/>
            <w:tcBorders>
              <w:right w:val="single" w:sz="8" w:color="999999"/>
            </w:tcBorders>
            <w:shd w:val="clear" w:color="auto" w:fill="FDE9D9"/>
          </w:tcPr>
          <w:p>
            <w:pPr>
              <w:ind w:left="20"/>
              <w:spacing w:after="0" w:line="168" w:lineRule="exact"/>
              <w:rPr>
                <w:sz w:val="20"/>
                <w:szCs w:val="20"/>
                <w:color w:val="auto"/>
              </w:rPr>
            </w:pPr>
            <w:r>
              <w:rPr>
                <w:rFonts w:ascii="Arial" w:cs="Arial" w:eastAsia="Arial" w:hAnsi="Arial"/>
                <w:sz w:val="16"/>
                <w:szCs w:val="16"/>
                <w:b w:val="1"/>
                <w:bCs w:val="1"/>
                <w:color w:val="auto"/>
              </w:rPr>
              <w:t>Restricted Stock</w:t>
            </w:r>
          </w:p>
        </w:tc>
        <w:tc>
          <w:tcPr>
            <w:tcW w:w="160" w:type="dxa"/>
            <w:vAlign w:val="bottom"/>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Stock-settled awards</w:t>
            </w:r>
          </w:p>
        </w:tc>
        <w:tc>
          <w:tcPr>
            <w:tcW w:w="160" w:type="dxa"/>
            <w:vAlign w:val="bottom"/>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Reinforces the alignment of executive and</w:t>
            </w:r>
          </w:p>
        </w:tc>
      </w:tr>
      <w:tr>
        <w:trPr>
          <w:trHeight w:val="189"/>
        </w:trPr>
        <w:tc>
          <w:tcPr>
            <w:tcW w:w="1680" w:type="dxa"/>
            <w:vAlign w:val="bottom"/>
            <w:tcBorders>
              <w:left w:val="single" w:sz="8" w:color="999999"/>
              <w:right w:val="single" w:sz="8" w:color="999999"/>
            </w:tcBorders>
            <w:shd w:val="clear" w:color="auto" w:fill="E97D2E"/>
          </w:tcPr>
          <w:p>
            <w:pPr>
              <w:ind w:left="40"/>
              <w:spacing w:after="0"/>
              <w:rPr>
                <w:sz w:val="20"/>
                <w:szCs w:val="20"/>
                <w:color w:val="auto"/>
              </w:rPr>
            </w:pPr>
            <w:r>
              <w:rPr>
                <w:rFonts w:ascii="Arial" w:cs="Arial" w:eastAsia="Arial" w:hAnsi="Arial"/>
                <w:sz w:val="16"/>
                <w:szCs w:val="16"/>
                <w:b w:val="1"/>
                <w:bCs w:val="1"/>
                <w:color w:val="FFFFFF"/>
              </w:rPr>
              <w:t>Incentive (LTI)</w:t>
            </w:r>
          </w:p>
        </w:tc>
        <w:tc>
          <w:tcPr>
            <w:tcW w:w="1640" w:type="dxa"/>
            <w:vAlign w:val="bottom"/>
            <w:tcBorders>
              <w:right w:val="single" w:sz="8" w:color="99999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The 2022 RSUs are time-based and vest annually in</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stockholder interests and provides each</w:t>
            </w:r>
          </w:p>
        </w:tc>
      </w:tr>
      <w:tr>
        <w:trPr>
          <w:trHeight w:val="176"/>
        </w:trPr>
        <w:tc>
          <w:tcPr>
            <w:tcW w:w="1680" w:type="dxa"/>
            <w:vAlign w:val="bottom"/>
            <w:tcBorders>
              <w:left w:val="single" w:sz="8" w:color="999999"/>
              <w:right w:val="single" w:sz="8" w:color="999999"/>
            </w:tcBorders>
            <w:shd w:val="clear" w:color="auto" w:fill="E97D2E"/>
          </w:tcPr>
          <w:p>
            <w:pPr>
              <w:ind w:left="40"/>
              <w:spacing w:after="0" w:line="175" w:lineRule="exact"/>
              <w:rPr>
                <w:sz w:val="20"/>
                <w:szCs w:val="20"/>
                <w:color w:val="auto"/>
              </w:rPr>
            </w:pPr>
            <w:r>
              <w:rPr>
                <w:rFonts w:ascii="Arial" w:cs="Arial" w:eastAsia="Arial" w:hAnsi="Arial"/>
                <w:sz w:val="16"/>
                <w:szCs w:val="16"/>
                <w:b w:val="1"/>
                <w:bCs w:val="1"/>
                <w:color w:val="FFFFFF"/>
              </w:rPr>
              <w:t>Awards</w:t>
            </w:r>
          </w:p>
        </w:tc>
        <w:tc>
          <w:tcPr>
            <w:tcW w:w="1640" w:type="dxa"/>
            <w:vAlign w:val="bottom"/>
            <w:tcBorders>
              <w:right w:val="single" w:sz="8" w:color="999999"/>
            </w:tcBorders>
            <w:shd w:val="clear" w:color="auto" w:fill="FDE9D9"/>
          </w:tcPr>
          <w:p>
            <w:pPr>
              <w:ind w:left="20"/>
              <w:spacing w:after="0" w:line="175" w:lineRule="exact"/>
              <w:rPr>
                <w:sz w:val="20"/>
                <w:szCs w:val="20"/>
                <w:color w:val="auto"/>
              </w:rPr>
            </w:pPr>
            <w:r>
              <w:rPr>
                <w:rFonts w:ascii="Arial" w:cs="Arial" w:eastAsia="Arial" w:hAnsi="Arial"/>
                <w:sz w:val="16"/>
                <w:szCs w:val="16"/>
                <w:b w:val="1"/>
                <w:bCs w:val="1"/>
                <w:color w:val="auto"/>
              </w:rPr>
              <w:t>(RSUs)</w:t>
            </w: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one-third increments on each anniversary of the grant</w:t>
            </w: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individual with a significant incentive to</w:t>
            </w:r>
          </w:p>
        </w:tc>
      </w:tr>
      <w:tr>
        <w:trPr>
          <w:trHeight w:val="190"/>
        </w:trPr>
        <w:tc>
          <w:tcPr>
            <w:tcW w:w="1680" w:type="dxa"/>
            <w:vAlign w:val="bottom"/>
            <w:tcBorders>
              <w:left w:val="single" w:sz="8" w:color="999999"/>
              <w:bottom w:val="single" w:sz="8" w:color="E97D2E"/>
              <w:right w:val="single" w:sz="8" w:color="999999"/>
            </w:tcBorders>
            <w:shd w:val="clear" w:color="auto" w:fill="E97D2E"/>
          </w:tcPr>
          <w:p>
            <w:pPr>
              <w:spacing w:after="0"/>
              <w:rPr>
                <w:sz w:val="16"/>
                <w:szCs w:val="16"/>
                <w:color w:val="auto"/>
              </w:rPr>
            </w:pPr>
          </w:p>
        </w:tc>
        <w:tc>
          <w:tcPr>
            <w:tcW w:w="1640" w:type="dxa"/>
            <w:vAlign w:val="bottom"/>
            <w:tcBorders>
              <w:bottom w:val="single" w:sz="8" w:color="999999"/>
              <w:right w:val="single" w:sz="8" w:color="999999"/>
            </w:tcBorders>
            <w:shd w:val="clear" w:color="auto" w:fill="FDE9D9"/>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date</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manage from the perspective of an owner</w:t>
            </w:r>
          </w:p>
        </w:tc>
      </w:tr>
      <w:tr>
        <w:trPr>
          <w:trHeight w:val="156"/>
        </w:trPr>
        <w:tc>
          <w:tcPr>
            <w:tcW w:w="1680" w:type="dxa"/>
            <w:vAlign w:val="bottom"/>
            <w:tcBorders>
              <w:left w:val="single" w:sz="8" w:color="999999"/>
              <w:right w:val="single" w:sz="8" w:color="999999"/>
            </w:tcBorders>
            <w:shd w:val="clear" w:color="auto" w:fill="E97D2E"/>
          </w:tcPr>
          <w:p>
            <w:pPr>
              <w:spacing w:after="0"/>
              <w:rPr>
                <w:sz w:val="13"/>
                <w:szCs w:val="13"/>
                <w:color w:val="auto"/>
              </w:rPr>
            </w:pPr>
          </w:p>
        </w:tc>
        <w:tc>
          <w:tcPr>
            <w:tcW w:w="1640" w:type="dxa"/>
            <w:vAlign w:val="bottom"/>
            <w:tcBorders>
              <w:right w:val="single" w:sz="8" w:color="999999"/>
            </w:tcBorders>
            <w:shd w:val="clear" w:color="auto" w:fill="FDE9D9"/>
          </w:tcPr>
          <w:p>
            <w:pPr>
              <w:ind w:left="20"/>
              <w:spacing w:after="0" w:line="155" w:lineRule="exact"/>
              <w:rPr>
                <w:sz w:val="20"/>
                <w:szCs w:val="20"/>
                <w:color w:val="auto"/>
              </w:rPr>
            </w:pPr>
            <w:r>
              <w:rPr>
                <w:rFonts w:ascii="Arial" w:cs="Arial" w:eastAsia="Arial" w:hAnsi="Arial"/>
                <w:sz w:val="16"/>
                <w:szCs w:val="16"/>
                <w:b w:val="1"/>
                <w:bCs w:val="1"/>
                <w:color w:val="auto"/>
              </w:rPr>
              <w:t>Performance-Based</w:t>
            </w:r>
          </w:p>
        </w:tc>
        <w:tc>
          <w:tcPr>
            <w:tcW w:w="160" w:type="dxa"/>
            <w:vAlign w:val="bottom"/>
          </w:tcPr>
          <w:p>
            <w:pPr>
              <w:ind w:left="100"/>
              <w:spacing w:after="0" w:line="155"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55" w:lineRule="exact"/>
              <w:rPr>
                <w:sz w:val="20"/>
                <w:szCs w:val="20"/>
                <w:color w:val="auto"/>
              </w:rPr>
            </w:pPr>
            <w:r>
              <w:rPr>
                <w:rFonts w:ascii="Arial" w:cs="Arial" w:eastAsia="Arial" w:hAnsi="Arial"/>
                <w:sz w:val="16"/>
                <w:szCs w:val="16"/>
                <w:color w:val="auto"/>
              </w:rPr>
              <w:t>The 2022 PBRSUs are performance-based and are</w:t>
            </w:r>
          </w:p>
        </w:tc>
        <w:tc>
          <w:tcPr>
            <w:tcW w:w="160" w:type="dxa"/>
            <w:vAlign w:val="bottom"/>
          </w:tcPr>
          <w:p>
            <w:pPr>
              <w:ind w:left="100"/>
              <w:spacing w:after="0" w:line="155"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55" w:lineRule="exact"/>
              <w:rPr>
                <w:sz w:val="20"/>
                <w:szCs w:val="20"/>
                <w:color w:val="auto"/>
              </w:rPr>
            </w:pPr>
            <w:r>
              <w:rPr>
                <w:rFonts w:ascii="Arial" w:cs="Arial" w:eastAsia="Arial" w:hAnsi="Arial"/>
                <w:sz w:val="16"/>
                <w:szCs w:val="16"/>
                <w:color w:val="auto"/>
              </w:rPr>
              <w:t>Promotes employee retention</w:t>
            </w:r>
          </w:p>
        </w:tc>
      </w:tr>
      <w:tr>
        <w:trPr>
          <w:trHeight w:val="175"/>
        </w:trPr>
        <w:tc>
          <w:tcPr>
            <w:tcW w:w="1680" w:type="dxa"/>
            <w:vAlign w:val="bottom"/>
            <w:tcBorders>
              <w:left w:val="single" w:sz="8" w:color="999999"/>
              <w:right w:val="single" w:sz="8" w:color="999999"/>
            </w:tcBorders>
            <w:shd w:val="clear" w:color="auto" w:fill="E97D2E"/>
          </w:tcPr>
          <w:p>
            <w:pPr>
              <w:spacing w:after="0"/>
              <w:rPr>
                <w:sz w:val="15"/>
                <w:szCs w:val="15"/>
                <w:color w:val="auto"/>
              </w:rPr>
            </w:pPr>
          </w:p>
        </w:tc>
        <w:tc>
          <w:tcPr>
            <w:tcW w:w="1640" w:type="dxa"/>
            <w:vAlign w:val="bottom"/>
            <w:tcBorders>
              <w:right w:val="single" w:sz="8" w:color="999999"/>
            </w:tcBorders>
            <w:shd w:val="clear" w:color="auto" w:fill="FDE9D9"/>
          </w:tcPr>
          <w:p>
            <w:pPr>
              <w:ind w:left="20"/>
              <w:spacing w:after="0" w:line="175" w:lineRule="exact"/>
              <w:rPr>
                <w:sz w:val="20"/>
                <w:szCs w:val="20"/>
                <w:color w:val="auto"/>
              </w:rPr>
            </w:pPr>
            <w:r>
              <w:rPr>
                <w:rFonts w:ascii="Arial" w:cs="Arial" w:eastAsia="Arial" w:hAnsi="Arial"/>
                <w:sz w:val="16"/>
                <w:szCs w:val="16"/>
                <w:b w:val="1"/>
                <w:bCs w:val="1"/>
                <w:color w:val="auto"/>
              </w:rPr>
              <w:t>Restricted Stock</w:t>
            </w: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eligible to vest based on the extent to which the</w:t>
            </w: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Assists NEOs in complying with stock</w:t>
            </w:r>
          </w:p>
        </w:tc>
      </w:tr>
      <w:tr>
        <w:trPr>
          <w:trHeight w:val="189"/>
        </w:trPr>
        <w:tc>
          <w:tcPr>
            <w:tcW w:w="1680" w:type="dxa"/>
            <w:vAlign w:val="bottom"/>
            <w:tcBorders>
              <w:left w:val="single" w:sz="8" w:color="999999"/>
              <w:right w:val="single" w:sz="8" w:color="999999"/>
            </w:tcBorders>
            <w:shd w:val="clear" w:color="auto" w:fill="E97D2E"/>
          </w:tcPr>
          <w:p>
            <w:pPr>
              <w:spacing w:after="0"/>
              <w:rPr>
                <w:sz w:val="16"/>
                <w:szCs w:val="16"/>
                <w:color w:val="auto"/>
              </w:rPr>
            </w:pPr>
          </w:p>
        </w:tc>
        <w:tc>
          <w:tcPr>
            <w:tcW w:w="1640" w:type="dxa"/>
            <w:vAlign w:val="bottom"/>
            <w:tcBorders>
              <w:right w:val="single" w:sz="8" w:color="99999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applicable performance goals established by the HCC</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ownership guidelines</w:t>
            </w:r>
          </w:p>
        </w:tc>
      </w:tr>
      <w:tr>
        <w:trPr>
          <w:trHeight w:val="175"/>
        </w:trPr>
        <w:tc>
          <w:tcPr>
            <w:tcW w:w="1680" w:type="dxa"/>
            <w:vAlign w:val="bottom"/>
            <w:tcBorders>
              <w:left w:val="single" w:sz="8" w:color="999999"/>
              <w:right w:val="single" w:sz="8" w:color="999999"/>
            </w:tcBorders>
            <w:shd w:val="clear" w:color="auto" w:fill="E97D2E"/>
          </w:tcPr>
          <w:p>
            <w:pPr>
              <w:spacing w:after="0"/>
              <w:rPr>
                <w:sz w:val="15"/>
                <w:szCs w:val="15"/>
                <w:color w:val="auto"/>
              </w:rPr>
            </w:pPr>
          </w:p>
        </w:tc>
        <w:tc>
          <w:tcPr>
            <w:tcW w:w="1640" w:type="dxa"/>
            <w:vAlign w:val="bottom"/>
            <w:tcBorders>
              <w:right w:val="single" w:sz="8" w:color="999999"/>
            </w:tcBorders>
            <w:shd w:val="clear" w:color="auto" w:fill="FDE9D9"/>
          </w:tcPr>
          <w:p>
            <w:pPr>
              <w:ind w:left="20"/>
              <w:spacing w:after="0" w:line="175" w:lineRule="exact"/>
              <w:rPr>
                <w:sz w:val="20"/>
                <w:szCs w:val="20"/>
                <w:color w:val="auto"/>
              </w:rPr>
            </w:pPr>
            <w:r>
              <w:rPr>
                <w:rFonts w:ascii="Arial" w:cs="Arial" w:eastAsia="Arial" w:hAnsi="Arial"/>
                <w:sz w:val="16"/>
                <w:szCs w:val="16"/>
                <w:b w:val="1"/>
                <w:bCs w:val="1"/>
                <w:color w:val="auto"/>
              </w:rPr>
              <w:t>(PBRSUs)</w:t>
            </w: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Committee are met over performance measurement</w:t>
            </w:r>
          </w:p>
        </w:tc>
        <w:tc>
          <w:tcPr>
            <w:tcW w:w="160" w:type="dxa"/>
            <w:vAlign w:val="bottom"/>
          </w:tcPr>
          <w:p>
            <w:pPr>
              <w:spacing w:after="0"/>
              <w:rPr>
                <w:sz w:val="15"/>
                <w:szCs w:val="15"/>
                <w:color w:val="auto"/>
              </w:rPr>
            </w:pPr>
          </w:p>
        </w:tc>
        <w:tc>
          <w:tcPr>
            <w:tcW w:w="3220" w:type="dxa"/>
            <w:vAlign w:val="bottom"/>
            <w:tcBorders>
              <w:right w:val="single" w:sz="8" w:color="999999"/>
            </w:tcBorders>
          </w:tcPr>
          <w:p>
            <w:pPr>
              <w:spacing w:after="0"/>
              <w:rPr>
                <w:sz w:val="15"/>
                <w:szCs w:val="15"/>
                <w:color w:val="auto"/>
              </w:rPr>
            </w:pPr>
          </w:p>
        </w:tc>
      </w:tr>
      <w:tr>
        <w:trPr>
          <w:trHeight w:val="215"/>
        </w:trPr>
        <w:tc>
          <w:tcPr>
            <w:tcW w:w="1680" w:type="dxa"/>
            <w:vAlign w:val="bottom"/>
            <w:tcBorders>
              <w:left w:val="single" w:sz="8" w:color="999999"/>
              <w:right w:val="single" w:sz="8" w:color="999999"/>
            </w:tcBorders>
            <w:shd w:val="clear" w:color="auto" w:fill="E97D2E"/>
          </w:tcPr>
          <w:p>
            <w:pPr>
              <w:spacing w:after="0"/>
              <w:rPr>
                <w:sz w:val="18"/>
                <w:szCs w:val="18"/>
                <w:color w:val="auto"/>
              </w:rPr>
            </w:pPr>
          </w:p>
        </w:tc>
        <w:tc>
          <w:tcPr>
            <w:tcW w:w="1640" w:type="dxa"/>
            <w:vAlign w:val="bottom"/>
            <w:tcBorders>
              <w:right w:val="single" w:sz="8" w:color="999999"/>
            </w:tcBorders>
            <w:shd w:val="clear" w:color="auto" w:fill="FDE9D9"/>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periods of one, two and three years</w:t>
            </w:r>
          </w:p>
        </w:tc>
        <w:tc>
          <w:tcPr>
            <w:tcW w:w="160" w:type="dxa"/>
            <w:vAlign w:val="bottom"/>
          </w:tcPr>
          <w:p>
            <w:pPr>
              <w:spacing w:after="0"/>
              <w:rPr>
                <w:sz w:val="18"/>
                <w:szCs w:val="18"/>
                <w:color w:val="auto"/>
              </w:rPr>
            </w:pPr>
          </w:p>
        </w:tc>
        <w:tc>
          <w:tcPr>
            <w:tcW w:w="3220" w:type="dxa"/>
            <w:vAlign w:val="bottom"/>
            <w:tcBorders>
              <w:right w:val="single" w:sz="8" w:color="999999"/>
            </w:tcBorders>
          </w:tcPr>
          <w:p>
            <w:pPr>
              <w:spacing w:after="0"/>
              <w:rPr>
                <w:sz w:val="18"/>
                <w:szCs w:val="18"/>
                <w:color w:val="auto"/>
              </w:rPr>
            </w:pPr>
          </w:p>
        </w:tc>
      </w:tr>
      <w:tr>
        <w:trPr>
          <w:trHeight w:val="204"/>
        </w:trPr>
        <w:tc>
          <w:tcPr>
            <w:tcW w:w="1680" w:type="dxa"/>
            <w:vAlign w:val="bottom"/>
            <w:tcBorders>
              <w:left w:val="single" w:sz="8" w:color="999999"/>
              <w:bottom w:val="single" w:sz="8" w:color="999999"/>
              <w:right w:val="single" w:sz="8" w:color="999999"/>
            </w:tcBorders>
            <w:shd w:val="clear" w:color="auto" w:fill="E97D2E"/>
          </w:tcPr>
          <w:p>
            <w:pPr>
              <w:spacing w:after="0"/>
              <w:rPr>
                <w:sz w:val="17"/>
                <w:szCs w:val="17"/>
                <w:color w:val="auto"/>
              </w:rPr>
            </w:pPr>
          </w:p>
        </w:tc>
        <w:tc>
          <w:tcPr>
            <w:tcW w:w="1640" w:type="dxa"/>
            <w:vAlign w:val="bottom"/>
            <w:tcBorders>
              <w:bottom w:val="single" w:sz="8" w:color="999999"/>
              <w:right w:val="single" w:sz="8" w:color="999999"/>
            </w:tcBorders>
            <w:shd w:val="clear" w:color="auto" w:fill="FDE9D9"/>
          </w:tcPr>
          <w:p>
            <w:pPr>
              <w:spacing w:after="0"/>
              <w:rPr>
                <w:sz w:val="17"/>
                <w:szCs w:val="17"/>
                <w:color w:val="auto"/>
              </w:rPr>
            </w:pPr>
          </w:p>
        </w:tc>
        <w:tc>
          <w:tcPr>
            <w:tcW w:w="160" w:type="dxa"/>
            <w:vAlign w:val="bottom"/>
            <w:tcBorders>
              <w:bottom w:val="single" w:sz="8" w:color="999999"/>
            </w:tcBorders>
          </w:tcPr>
          <w:p>
            <w:pPr>
              <w:spacing w:after="0"/>
              <w:rPr>
                <w:sz w:val="17"/>
                <w:szCs w:val="17"/>
                <w:color w:val="auto"/>
              </w:rPr>
            </w:pPr>
          </w:p>
        </w:tc>
        <w:tc>
          <w:tcPr>
            <w:tcW w:w="4060" w:type="dxa"/>
            <w:vAlign w:val="bottom"/>
            <w:tcBorders>
              <w:bottom w:val="single" w:sz="8" w:color="999999"/>
              <w:right w:val="single" w:sz="8" w:color="999999"/>
            </w:tcBorders>
          </w:tcPr>
          <w:p>
            <w:pPr>
              <w:spacing w:after="0"/>
              <w:rPr>
                <w:sz w:val="17"/>
                <w:szCs w:val="17"/>
                <w:color w:val="auto"/>
              </w:rPr>
            </w:pPr>
          </w:p>
        </w:tc>
        <w:tc>
          <w:tcPr>
            <w:tcW w:w="160" w:type="dxa"/>
            <w:vAlign w:val="bottom"/>
            <w:tcBorders>
              <w:bottom w:val="single" w:sz="8" w:color="999999"/>
            </w:tcBorders>
          </w:tcPr>
          <w:p>
            <w:pPr>
              <w:spacing w:after="0"/>
              <w:rPr>
                <w:sz w:val="17"/>
                <w:szCs w:val="17"/>
                <w:color w:val="auto"/>
              </w:rPr>
            </w:pPr>
          </w:p>
        </w:tc>
        <w:tc>
          <w:tcPr>
            <w:tcW w:w="3220" w:type="dxa"/>
            <w:vAlign w:val="bottom"/>
            <w:tcBorders>
              <w:bottom w:val="single" w:sz="8" w:color="999999"/>
              <w:right w:val="single" w:sz="8" w:color="999999"/>
            </w:tcBorders>
          </w:tcPr>
          <w:p>
            <w:pPr>
              <w:spacing w:after="0"/>
              <w:rPr>
                <w:sz w:val="17"/>
                <w:szCs w:val="17"/>
                <w:color w:val="auto"/>
              </w:rPr>
            </w:pPr>
          </w:p>
        </w:tc>
      </w:tr>
      <w:tr>
        <w:trPr>
          <w:trHeight w:val="168"/>
        </w:trPr>
        <w:tc>
          <w:tcPr>
            <w:tcW w:w="1680" w:type="dxa"/>
            <w:vAlign w:val="bottom"/>
            <w:tcBorders>
              <w:left w:val="single" w:sz="8" w:color="999999"/>
              <w:right w:val="single" w:sz="8" w:color="999999"/>
            </w:tcBorders>
            <w:shd w:val="clear" w:color="auto" w:fill="465E66"/>
          </w:tcPr>
          <w:p>
            <w:pPr>
              <w:ind w:left="40"/>
              <w:spacing w:after="0" w:line="168" w:lineRule="exact"/>
              <w:rPr>
                <w:sz w:val="20"/>
                <w:szCs w:val="20"/>
                <w:color w:val="auto"/>
              </w:rPr>
            </w:pPr>
            <w:r>
              <w:rPr>
                <w:rFonts w:ascii="Arial" w:cs="Arial" w:eastAsia="Arial" w:hAnsi="Arial"/>
                <w:sz w:val="16"/>
                <w:szCs w:val="16"/>
                <w:b w:val="1"/>
                <w:bCs w:val="1"/>
                <w:color w:val="FFFFFF"/>
              </w:rPr>
              <w:t>Post-Termination</w:t>
            </w:r>
          </w:p>
        </w:tc>
        <w:tc>
          <w:tcPr>
            <w:tcW w:w="1640" w:type="dxa"/>
            <w:vAlign w:val="bottom"/>
            <w:tcBorders>
              <w:right w:val="single" w:sz="8" w:color="999999"/>
            </w:tcBorders>
            <w:shd w:val="clear" w:color="auto" w:fill="DAEEF3"/>
          </w:tcPr>
          <w:p>
            <w:pPr>
              <w:ind w:left="20"/>
              <w:spacing w:after="0" w:line="168" w:lineRule="exact"/>
              <w:rPr>
                <w:sz w:val="20"/>
                <w:szCs w:val="20"/>
                <w:color w:val="auto"/>
              </w:rPr>
            </w:pPr>
            <w:r>
              <w:rPr>
                <w:rFonts w:ascii="Arial" w:cs="Arial" w:eastAsia="Arial" w:hAnsi="Arial"/>
                <w:sz w:val="16"/>
                <w:szCs w:val="16"/>
                <w:b w:val="1"/>
                <w:bCs w:val="1"/>
                <w:color w:val="auto"/>
              </w:rPr>
              <w:t>Severance and</w:t>
            </w:r>
          </w:p>
        </w:tc>
        <w:tc>
          <w:tcPr>
            <w:tcW w:w="160" w:type="dxa"/>
            <w:vAlign w:val="bottom"/>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Our RSU and PBRSU agreements provide for</w:t>
            </w:r>
          </w:p>
        </w:tc>
        <w:tc>
          <w:tcPr>
            <w:tcW w:w="160" w:type="dxa"/>
            <w:vAlign w:val="bottom"/>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Supports retention and recruitment efforts</w:t>
            </w:r>
          </w:p>
        </w:tc>
      </w:tr>
      <w:tr>
        <w:trPr>
          <w:trHeight w:val="189"/>
        </w:trPr>
        <w:tc>
          <w:tcPr>
            <w:tcW w:w="1680" w:type="dxa"/>
            <w:vAlign w:val="bottom"/>
            <w:tcBorders>
              <w:left w:val="single" w:sz="8" w:color="999999"/>
              <w:right w:val="single" w:sz="8" w:color="999999"/>
            </w:tcBorders>
            <w:shd w:val="clear" w:color="auto" w:fill="465E66"/>
          </w:tcPr>
          <w:p>
            <w:pPr>
              <w:ind w:left="40"/>
              <w:spacing w:after="0"/>
              <w:rPr>
                <w:sz w:val="20"/>
                <w:szCs w:val="20"/>
                <w:color w:val="auto"/>
              </w:rPr>
            </w:pPr>
            <w:r>
              <w:rPr>
                <w:rFonts w:ascii="Arial" w:cs="Arial" w:eastAsia="Arial" w:hAnsi="Arial"/>
                <w:sz w:val="16"/>
                <w:szCs w:val="16"/>
                <w:b w:val="1"/>
                <w:bCs w:val="1"/>
                <w:color w:val="FFFFFF"/>
              </w:rPr>
              <w:t>Compensation</w:t>
            </w:r>
          </w:p>
        </w:tc>
        <w:tc>
          <w:tcPr>
            <w:tcW w:w="1640" w:type="dxa"/>
            <w:vAlign w:val="bottom"/>
            <w:tcBorders>
              <w:right w:val="single" w:sz="8" w:color="999999"/>
            </w:tcBorders>
            <w:shd w:val="clear" w:color="auto" w:fill="DAEEF3"/>
          </w:tcPr>
          <w:p>
            <w:pPr>
              <w:ind w:left="20"/>
              <w:spacing w:after="0"/>
              <w:rPr>
                <w:sz w:val="20"/>
                <w:szCs w:val="20"/>
                <w:color w:val="auto"/>
              </w:rPr>
            </w:pPr>
            <w:r>
              <w:rPr>
                <w:rFonts w:ascii="Arial" w:cs="Arial" w:eastAsia="Arial" w:hAnsi="Arial"/>
                <w:sz w:val="16"/>
                <w:szCs w:val="16"/>
                <w:b w:val="1"/>
                <w:bCs w:val="1"/>
                <w:color w:val="auto"/>
              </w:rPr>
              <w:t>Change in Control</w:t>
            </w: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acceleration of vesting upon certain qualifying</w:t>
            </w: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Encourages management to pursue</w:t>
            </w:r>
          </w:p>
        </w:tc>
      </w:tr>
      <w:tr>
        <w:trPr>
          <w:trHeight w:val="175"/>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ind w:left="20"/>
              <w:spacing w:after="0" w:line="175" w:lineRule="exact"/>
              <w:rPr>
                <w:sz w:val="20"/>
                <w:szCs w:val="20"/>
                <w:color w:val="auto"/>
              </w:rPr>
            </w:pPr>
            <w:r>
              <w:rPr>
                <w:rFonts w:ascii="Arial" w:cs="Arial" w:eastAsia="Arial" w:hAnsi="Arial"/>
                <w:sz w:val="16"/>
                <w:szCs w:val="16"/>
                <w:b w:val="1"/>
                <w:bCs w:val="1"/>
                <w:color w:val="auto"/>
              </w:rPr>
              <w:t>Arrangements</w:t>
            </w: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terminations, both with or without a change in control</w:t>
            </w: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transactions that may be in the best</w:t>
            </w:r>
          </w:p>
        </w:tc>
      </w:tr>
      <w:tr>
        <w:trPr>
          <w:trHeight w:val="189"/>
        </w:trPr>
        <w:tc>
          <w:tcPr>
            <w:tcW w:w="1680" w:type="dxa"/>
            <w:vAlign w:val="bottom"/>
            <w:tcBorders>
              <w:left w:val="single" w:sz="8" w:color="999999"/>
              <w:right w:val="single" w:sz="8" w:color="999999"/>
            </w:tcBorders>
            <w:shd w:val="clear" w:color="auto" w:fill="465E66"/>
          </w:tcPr>
          <w:p>
            <w:pPr>
              <w:spacing w:after="0"/>
              <w:rPr>
                <w:sz w:val="16"/>
                <w:szCs w:val="16"/>
                <w:color w:val="auto"/>
              </w:rPr>
            </w:pPr>
          </w:p>
        </w:tc>
        <w:tc>
          <w:tcPr>
            <w:tcW w:w="1640" w:type="dxa"/>
            <w:vAlign w:val="bottom"/>
            <w:tcBorders>
              <w:right w:val="single" w:sz="8" w:color="999999"/>
            </w:tcBorders>
            <w:shd w:val="clear" w:color="auto" w:fill="DAEEF3"/>
          </w:tcPr>
          <w:p>
            <w:pPr>
              <w:spacing w:after="0"/>
              <w:rPr>
                <w:sz w:val="16"/>
                <w:szCs w:val="16"/>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Employment agreements provide severance payments</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interest of the Company and its</w:t>
            </w:r>
          </w:p>
        </w:tc>
      </w:tr>
      <w:tr>
        <w:trPr>
          <w:trHeight w:val="175"/>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spacing w:after="0"/>
              <w:rPr>
                <w:sz w:val="15"/>
                <w:szCs w:val="15"/>
                <w:color w:val="auto"/>
              </w:rPr>
            </w:pP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and benefits in the event of certain qualifying</w:t>
            </w: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stockholders by providing a measure of</w:t>
            </w:r>
          </w:p>
        </w:tc>
      </w:tr>
      <w:tr>
        <w:trPr>
          <w:trHeight w:val="244"/>
        </w:trPr>
        <w:tc>
          <w:tcPr>
            <w:tcW w:w="1680" w:type="dxa"/>
            <w:vAlign w:val="bottom"/>
            <w:tcBorders>
              <w:left w:val="single" w:sz="8" w:color="999999"/>
              <w:bottom w:val="single" w:sz="8" w:color="465E66"/>
              <w:right w:val="single" w:sz="8" w:color="999999"/>
            </w:tcBorders>
            <w:shd w:val="clear" w:color="auto" w:fill="465E66"/>
          </w:tcPr>
          <w:p>
            <w:pPr>
              <w:spacing w:after="0"/>
              <w:rPr>
                <w:sz w:val="21"/>
                <w:szCs w:val="21"/>
                <w:color w:val="auto"/>
              </w:rPr>
            </w:pPr>
          </w:p>
        </w:tc>
        <w:tc>
          <w:tcPr>
            <w:tcW w:w="1640" w:type="dxa"/>
            <w:vAlign w:val="bottom"/>
            <w:tcBorders>
              <w:bottom w:val="single" w:sz="8" w:color="DAEEF3"/>
              <w:right w:val="single" w:sz="8" w:color="999999"/>
            </w:tcBorders>
            <w:shd w:val="clear" w:color="auto" w:fill="DAEEF3"/>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terminations, both with or without a change in control</w:t>
            </w:r>
          </w:p>
        </w:tc>
        <w:tc>
          <w:tcPr>
            <w:tcW w:w="160" w:type="dxa"/>
            <w:vAlign w:val="bottom"/>
          </w:tcPr>
          <w:p>
            <w:pPr>
              <w:spacing w:after="0"/>
              <w:rPr>
                <w:sz w:val="21"/>
                <w:szCs w:val="21"/>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financial security</w:t>
            </w:r>
          </w:p>
        </w:tc>
      </w:tr>
      <w:tr>
        <w:trPr>
          <w:trHeight w:val="168"/>
        </w:trPr>
        <w:tc>
          <w:tcPr>
            <w:tcW w:w="1680" w:type="dxa"/>
            <w:vAlign w:val="bottom"/>
            <w:tcBorders>
              <w:top w:val="single" w:sz="8" w:color="999999"/>
              <w:left w:val="single" w:sz="8" w:color="999999"/>
              <w:right w:val="single" w:sz="8" w:color="999999"/>
            </w:tcBorders>
            <w:shd w:val="clear" w:color="auto" w:fill="E97D2E"/>
          </w:tcPr>
          <w:p>
            <w:pPr>
              <w:ind w:left="40"/>
              <w:spacing w:after="0" w:line="168" w:lineRule="exact"/>
              <w:rPr>
                <w:sz w:val="20"/>
                <w:szCs w:val="20"/>
                <w:color w:val="auto"/>
              </w:rPr>
            </w:pPr>
            <w:r>
              <w:rPr>
                <w:rFonts w:ascii="Arial" w:cs="Arial" w:eastAsia="Arial" w:hAnsi="Arial"/>
                <w:sz w:val="16"/>
                <w:szCs w:val="16"/>
                <w:b w:val="1"/>
                <w:bCs w:val="1"/>
                <w:color w:val="FFFFFF"/>
              </w:rPr>
              <w:t>Other Compensation</w:t>
            </w:r>
          </w:p>
        </w:tc>
        <w:tc>
          <w:tcPr>
            <w:tcW w:w="1640" w:type="dxa"/>
            <w:vAlign w:val="bottom"/>
            <w:tcBorders>
              <w:top w:val="single" w:sz="8" w:color="999999"/>
              <w:right w:val="single" w:sz="8" w:color="999999"/>
            </w:tcBorders>
            <w:shd w:val="clear" w:color="auto" w:fill="FDE9D9"/>
          </w:tcPr>
          <w:p>
            <w:pPr>
              <w:ind w:left="20"/>
              <w:spacing w:after="0" w:line="168" w:lineRule="exact"/>
              <w:rPr>
                <w:sz w:val="20"/>
                <w:szCs w:val="20"/>
                <w:color w:val="auto"/>
              </w:rPr>
            </w:pPr>
            <w:r>
              <w:rPr>
                <w:rFonts w:ascii="Arial" w:cs="Arial" w:eastAsia="Arial" w:hAnsi="Arial"/>
                <w:sz w:val="16"/>
                <w:szCs w:val="16"/>
                <w:b w:val="1"/>
                <w:bCs w:val="1"/>
                <w:color w:val="auto"/>
              </w:rPr>
              <w:t>Limited Perquisites</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top w:val="single" w:sz="8" w:color="999999"/>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A monthly auto allowance</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top w:val="single" w:sz="8" w:color="999999"/>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Supports the competitiveness of our</w:t>
            </w:r>
          </w:p>
        </w:tc>
      </w:tr>
      <w:tr>
        <w:trPr>
          <w:trHeight w:val="189"/>
        </w:trPr>
        <w:tc>
          <w:tcPr>
            <w:tcW w:w="1680" w:type="dxa"/>
            <w:vAlign w:val="bottom"/>
            <w:tcBorders>
              <w:left w:val="single" w:sz="8" w:color="999999"/>
              <w:right w:val="single" w:sz="8" w:color="999999"/>
            </w:tcBorders>
            <w:shd w:val="clear" w:color="auto" w:fill="E97D2E"/>
          </w:tcPr>
          <w:p>
            <w:pPr>
              <w:ind w:left="40"/>
              <w:spacing w:after="0"/>
              <w:rPr>
                <w:sz w:val="20"/>
                <w:szCs w:val="20"/>
                <w:color w:val="auto"/>
              </w:rPr>
            </w:pPr>
            <w:r>
              <w:rPr>
                <w:rFonts w:ascii="Arial" w:cs="Arial" w:eastAsia="Arial" w:hAnsi="Arial"/>
                <w:sz w:val="16"/>
                <w:szCs w:val="16"/>
                <w:b w:val="1"/>
                <w:bCs w:val="1"/>
                <w:color w:val="FFFFFF"/>
              </w:rPr>
              <w:t>and Benefits</w:t>
            </w:r>
          </w:p>
        </w:tc>
        <w:tc>
          <w:tcPr>
            <w:tcW w:w="1640" w:type="dxa"/>
            <w:vAlign w:val="bottom"/>
            <w:tcBorders>
              <w:right w:val="single" w:sz="8" w:color="999999"/>
            </w:tcBorders>
            <w:shd w:val="clear" w:color="auto" w:fill="FDE9D9"/>
          </w:tcPr>
          <w:p>
            <w:pPr>
              <w:spacing w:after="0"/>
              <w:rPr>
                <w:sz w:val="16"/>
                <w:szCs w:val="16"/>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Enhanced coverage for life insurance</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compensation package</w:t>
            </w:r>
          </w:p>
        </w:tc>
      </w:tr>
      <w:tr>
        <w:trPr>
          <w:trHeight w:val="175"/>
        </w:trPr>
        <w:tc>
          <w:tcPr>
            <w:tcW w:w="1680" w:type="dxa"/>
            <w:vAlign w:val="bottom"/>
            <w:tcBorders>
              <w:left w:val="single" w:sz="8" w:color="999999"/>
              <w:right w:val="single" w:sz="8" w:color="999999"/>
            </w:tcBorders>
            <w:shd w:val="clear" w:color="auto" w:fill="E97D2E"/>
          </w:tcPr>
          <w:p>
            <w:pPr>
              <w:spacing w:after="0"/>
              <w:rPr>
                <w:sz w:val="15"/>
                <w:szCs w:val="15"/>
                <w:color w:val="auto"/>
              </w:rPr>
            </w:pPr>
          </w:p>
        </w:tc>
        <w:tc>
          <w:tcPr>
            <w:tcW w:w="1640" w:type="dxa"/>
            <w:vAlign w:val="bottom"/>
            <w:tcBorders>
              <w:right w:val="single" w:sz="8" w:color="999999"/>
            </w:tcBorders>
            <w:shd w:val="clear" w:color="auto" w:fill="FDE9D9"/>
          </w:tcPr>
          <w:p>
            <w:pPr>
              <w:spacing w:after="0"/>
              <w:rPr>
                <w:sz w:val="15"/>
                <w:szCs w:val="15"/>
                <w:color w:val="auto"/>
              </w:rPr>
            </w:pP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75" w:lineRule="exact"/>
              <w:rPr>
                <w:sz w:val="20"/>
                <w:szCs w:val="20"/>
                <w:color w:val="auto"/>
              </w:rPr>
            </w:pPr>
            <w:r>
              <w:rPr>
                <w:rFonts w:ascii="Arial" w:cs="Arial" w:eastAsia="Arial" w:hAnsi="Arial"/>
                <w:sz w:val="16"/>
                <w:szCs w:val="16"/>
                <w:color w:val="auto"/>
              </w:rPr>
              <w:t>An executive physical examination</w:t>
            </w: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Provides value to executives at a</w:t>
            </w:r>
          </w:p>
        </w:tc>
      </w:tr>
      <w:tr>
        <w:trPr>
          <w:trHeight w:val="244"/>
        </w:trPr>
        <w:tc>
          <w:tcPr>
            <w:tcW w:w="1680" w:type="dxa"/>
            <w:vAlign w:val="bottom"/>
            <w:tcBorders>
              <w:left w:val="single" w:sz="8" w:color="999999"/>
              <w:bottom w:val="single" w:sz="8" w:color="E97D2E"/>
              <w:right w:val="single" w:sz="8" w:color="999999"/>
            </w:tcBorders>
            <w:shd w:val="clear" w:color="auto" w:fill="E97D2E"/>
          </w:tcPr>
          <w:p>
            <w:pPr>
              <w:spacing w:after="0"/>
              <w:rPr>
                <w:sz w:val="21"/>
                <w:szCs w:val="21"/>
                <w:color w:val="auto"/>
              </w:rPr>
            </w:pPr>
          </w:p>
        </w:tc>
        <w:tc>
          <w:tcPr>
            <w:tcW w:w="1640" w:type="dxa"/>
            <w:vAlign w:val="bottom"/>
            <w:tcBorders>
              <w:bottom w:val="single" w:sz="8" w:color="FDE9D9"/>
              <w:right w:val="single" w:sz="8" w:color="999999"/>
            </w:tcBorders>
            <w:shd w:val="clear" w:color="auto" w:fill="FDE9D9"/>
          </w:tcPr>
          <w:p>
            <w:pPr>
              <w:spacing w:after="0"/>
              <w:rPr>
                <w:sz w:val="21"/>
                <w:szCs w:val="21"/>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Financial planning services reimbursement</w:t>
            </w:r>
          </w:p>
        </w:tc>
        <w:tc>
          <w:tcPr>
            <w:tcW w:w="160" w:type="dxa"/>
            <w:vAlign w:val="bottom"/>
          </w:tcPr>
          <w:p>
            <w:pPr>
              <w:spacing w:after="0"/>
              <w:rPr>
                <w:sz w:val="21"/>
                <w:szCs w:val="21"/>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reasonable cost to the Company</w:t>
            </w:r>
          </w:p>
        </w:tc>
      </w:tr>
      <w:tr>
        <w:trPr>
          <w:trHeight w:val="168"/>
        </w:trPr>
        <w:tc>
          <w:tcPr>
            <w:tcW w:w="1680" w:type="dxa"/>
            <w:vAlign w:val="bottom"/>
            <w:tcBorders>
              <w:top w:val="single" w:sz="8" w:color="E97D2E"/>
              <w:left w:val="single" w:sz="8" w:color="999999"/>
              <w:right w:val="single" w:sz="8" w:color="999999"/>
            </w:tcBorders>
            <w:shd w:val="clear" w:color="auto" w:fill="E97D2E"/>
          </w:tcPr>
          <w:p>
            <w:pPr>
              <w:spacing w:after="0"/>
              <w:rPr>
                <w:sz w:val="14"/>
                <w:szCs w:val="14"/>
                <w:color w:val="auto"/>
              </w:rPr>
            </w:pPr>
          </w:p>
        </w:tc>
        <w:tc>
          <w:tcPr>
            <w:tcW w:w="1640" w:type="dxa"/>
            <w:vAlign w:val="bottom"/>
            <w:tcBorders>
              <w:top w:val="single" w:sz="8" w:color="999999"/>
              <w:right w:val="single" w:sz="8" w:color="999999"/>
            </w:tcBorders>
            <w:shd w:val="clear" w:color="auto" w:fill="FDE9D9"/>
          </w:tcPr>
          <w:p>
            <w:pPr>
              <w:ind w:left="20"/>
              <w:spacing w:after="0" w:line="168" w:lineRule="exact"/>
              <w:rPr>
                <w:sz w:val="20"/>
                <w:szCs w:val="20"/>
                <w:color w:val="auto"/>
              </w:rPr>
            </w:pPr>
            <w:r>
              <w:rPr>
                <w:rFonts w:ascii="Arial" w:cs="Arial" w:eastAsia="Arial" w:hAnsi="Arial"/>
                <w:sz w:val="16"/>
                <w:szCs w:val="16"/>
                <w:b w:val="1"/>
                <w:bCs w:val="1"/>
                <w:color w:val="auto"/>
              </w:rPr>
              <w:t>Other Benefit Plans</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top w:val="single" w:sz="8" w:color="999999"/>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A tax-qualified ESPP</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top w:val="single" w:sz="8" w:color="999999"/>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Provides competitive capital accumulation</w:t>
            </w:r>
          </w:p>
        </w:tc>
      </w:tr>
      <w:tr>
        <w:trPr>
          <w:trHeight w:val="189"/>
        </w:trPr>
        <w:tc>
          <w:tcPr>
            <w:tcW w:w="1680" w:type="dxa"/>
            <w:vAlign w:val="bottom"/>
            <w:tcBorders>
              <w:left w:val="single" w:sz="8" w:color="999999"/>
              <w:right w:val="single" w:sz="8" w:color="999999"/>
            </w:tcBorders>
            <w:shd w:val="clear" w:color="auto" w:fill="E97D2E"/>
          </w:tcPr>
          <w:p>
            <w:pPr>
              <w:spacing w:after="0"/>
              <w:rPr>
                <w:sz w:val="16"/>
                <w:szCs w:val="16"/>
                <w:color w:val="auto"/>
              </w:rPr>
            </w:pPr>
          </w:p>
        </w:tc>
        <w:tc>
          <w:tcPr>
            <w:tcW w:w="1640" w:type="dxa"/>
            <w:vAlign w:val="bottom"/>
            <w:tcBorders>
              <w:right w:val="single" w:sz="8" w:color="99999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and Programs</w:t>
            </w: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A 401(k) savings plan</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and other benefits</w:t>
            </w:r>
          </w:p>
        </w:tc>
      </w:tr>
      <w:tr>
        <w:trPr>
          <w:trHeight w:val="215"/>
        </w:trPr>
        <w:tc>
          <w:tcPr>
            <w:tcW w:w="1680" w:type="dxa"/>
            <w:vAlign w:val="bottom"/>
            <w:tcBorders>
              <w:left w:val="single" w:sz="8" w:color="999999"/>
              <w:right w:val="single" w:sz="8" w:color="999999"/>
            </w:tcBorders>
            <w:shd w:val="clear" w:color="auto" w:fill="E97D2E"/>
          </w:tcPr>
          <w:p>
            <w:pPr>
              <w:spacing w:after="0"/>
              <w:rPr>
                <w:sz w:val="18"/>
                <w:szCs w:val="18"/>
                <w:color w:val="auto"/>
              </w:rPr>
            </w:pPr>
          </w:p>
        </w:tc>
        <w:tc>
          <w:tcPr>
            <w:tcW w:w="1640" w:type="dxa"/>
            <w:vAlign w:val="bottom"/>
            <w:tcBorders>
              <w:right w:val="single" w:sz="8" w:color="999999"/>
            </w:tcBorders>
            <w:shd w:val="clear" w:color="auto" w:fill="FDE9D9"/>
          </w:tcPr>
          <w:p>
            <w:pPr>
              <w:spacing w:after="0"/>
              <w:rPr>
                <w:sz w:val="18"/>
                <w:szCs w:val="18"/>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Medical, dental, disability and life insurance programs</w:t>
            </w:r>
          </w:p>
        </w:tc>
        <w:tc>
          <w:tcPr>
            <w:tcW w:w="160" w:type="dxa"/>
            <w:vAlign w:val="bottom"/>
          </w:tcPr>
          <w:p>
            <w:pPr>
              <w:spacing w:after="0"/>
              <w:rPr>
                <w:sz w:val="18"/>
                <w:szCs w:val="18"/>
                <w:color w:val="auto"/>
              </w:rPr>
            </w:pPr>
          </w:p>
        </w:tc>
        <w:tc>
          <w:tcPr>
            <w:tcW w:w="3220" w:type="dxa"/>
            <w:vAlign w:val="bottom"/>
            <w:tcBorders>
              <w:right w:val="single" w:sz="8" w:color="999999"/>
            </w:tcBorders>
          </w:tcPr>
          <w:p>
            <w:pPr>
              <w:spacing w:after="0"/>
              <w:rPr>
                <w:sz w:val="18"/>
                <w:szCs w:val="18"/>
                <w:color w:val="auto"/>
              </w:rPr>
            </w:pPr>
          </w:p>
        </w:tc>
      </w:tr>
      <w:tr>
        <w:trPr>
          <w:trHeight w:val="204"/>
        </w:trPr>
        <w:tc>
          <w:tcPr>
            <w:tcW w:w="1680" w:type="dxa"/>
            <w:vAlign w:val="bottom"/>
            <w:tcBorders>
              <w:left w:val="single" w:sz="8" w:color="999999"/>
              <w:bottom w:val="single" w:sz="8" w:color="999999"/>
              <w:right w:val="single" w:sz="8" w:color="999999"/>
            </w:tcBorders>
            <w:shd w:val="clear" w:color="auto" w:fill="E97D2E"/>
          </w:tcPr>
          <w:p>
            <w:pPr>
              <w:spacing w:after="0"/>
              <w:rPr>
                <w:sz w:val="17"/>
                <w:szCs w:val="17"/>
                <w:color w:val="auto"/>
              </w:rPr>
            </w:pPr>
          </w:p>
        </w:tc>
        <w:tc>
          <w:tcPr>
            <w:tcW w:w="1640" w:type="dxa"/>
            <w:vAlign w:val="bottom"/>
            <w:tcBorders>
              <w:bottom w:val="single" w:sz="8" w:color="999999"/>
              <w:right w:val="single" w:sz="8" w:color="999999"/>
            </w:tcBorders>
            <w:shd w:val="clear" w:color="auto" w:fill="FDE9D9"/>
          </w:tcPr>
          <w:p>
            <w:pPr>
              <w:spacing w:after="0"/>
              <w:rPr>
                <w:sz w:val="17"/>
                <w:szCs w:val="17"/>
                <w:color w:val="auto"/>
              </w:rPr>
            </w:pPr>
          </w:p>
        </w:tc>
        <w:tc>
          <w:tcPr>
            <w:tcW w:w="160" w:type="dxa"/>
            <w:vAlign w:val="bottom"/>
            <w:tcBorders>
              <w:bottom w:val="single" w:sz="8" w:color="999999"/>
            </w:tcBorders>
          </w:tcPr>
          <w:p>
            <w:pPr>
              <w:spacing w:after="0"/>
              <w:rPr>
                <w:sz w:val="17"/>
                <w:szCs w:val="17"/>
                <w:color w:val="auto"/>
              </w:rPr>
            </w:pPr>
          </w:p>
        </w:tc>
        <w:tc>
          <w:tcPr>
            <w:tcW w:w="4060" w:type="dxa"/>
            <w:vAlign w:val="bottom"/>
            <w:tcBorders>
              <w:bottom w:val="single" w:sz="8" w:color="999999"/>
              <w:right w:val="single" w:sz="8" w:color="999999"/>
            </w:tcBorders>
          </w:tcPr>
          <w:p>
            <w:pPr>
              <w:spacing w:after="0"/>
              <w:rPr>
                <w:sz w:val="17"/>
                <w:szCs w:val="17"/>
                <w:color w:val="auto"/>
              </w:rPr>
            </w:pPr>
          </w:p>
        </w:tc>
        <w:tc>
          <w:tcPr>
            <w:tcW w:w="160" w:type="dxa"/>
            <w:vAlign w:val="bottom"/>
            <w:tcBorders>
              <w:bottom w:val="single" w:sz="8" w:color="999999"/>
            </w:tcBorders>
          </w:tcPr>
          <w:p>
            <w:pPr>
              <w:spacing w:after="0"/>
              <w:rPr>
                <w:sz w:val="17"/>
                <w:szCs w:val="17"/>
                <w:color w:val="auto"/>
              </w:rPr>
            </w:pPr>
          </w:p>
        </w:tc>
        <w:tc>
          <w:tcPr>
            <w:tcW w:w="3220" w:type="dxa"/>
            <w:vAlign w:val="bottom"/>
            <w:tcBorders>
              <w:bottom w:val="single" w:sz="8" w:color="999999"/>
              <w:right w:val="single" w:sz="8" w:color="999999"/>
            </w:tcBorders>
          </w:tcPr>
          <w:p>
            <w:pPr>
              <w:spacing w:after="0"/>
              <w:rPr>
                <w:sz w:val="17"/>
                <w:szCs w:val="17"/>
                <w:color w:val="auto"/>
              </w:rPr>
            </w:pPr>
          </w:p>
        </w:tc>
      </w:tr>
    </w:tbl>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The primary objective for the base salary component is to provide a baseline level of fixed compensation that is competitive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market and commensurate with each NEO’s level of day-to-day responsibilities. As an initial step, the HCC Committee generally targets executive pay at the median of peer market data for each position. However, in setting each NEO’s base salary, the HCC Committee also considers, among other factors, the NEO’s experience, scope of authority, and the performance of the NEO individually and of his team as a whole.</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its February 2022 meeting, the HCC Committee approved the following base salary increases, effective April 10, 2022: Mr. El-Khoury’s salary increased from $950,000 to $1,000,000, and Mr. Keeton’s salary increased from $500,000 to $525,000. The base salaries of Messrs. Trent, Jatou, and Hopkin were unchanged from 2021 levels ($600,000, $450,000, and $500,000, respectively). In addition, in connection with Mr. Tong’s promotion to Senior Vice President and General Manager, Advanced Solutions Group, the HCC Committee approved a base salary increase for Mr. Tong from $385,000 to $450,000, which became effective as of June 22, 2022. In making these determinations, the HCC Committee considered information from, and the analysis of, Pearl Meyer, where available.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Cash Incentive Program</w:t>
      </w:r>
      <w:r>
        <w:rPr>
          <w:rFonts w:ascii="Arial" w:cs="Arial" w:eastAsia="Arial" w:hAnsi="Arial"/>
          <w:sz w:val="18"/>
          <w:szCs w:val="18"/>
          <w:color w:val="auto"/>
        </w:rPr>
        <w:t>. The primary objectives of our 2022 STI program were to:</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maximize return to stockholders;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reward and retain our top performers;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30</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5" w:name="page36"/>
    <w:bookmarkEnd w:id="35"/>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reward achievement of short-term financial performance goals;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use objective and verifiable metrics;</w:t>
      </w:r>
    </w:p>
    <w:p>
      <w:pPr>
        <w:ind w:left="660" w:hanging="328"/>
        <w:spacing w:after="0" w:line="23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create a single program for all eligible employees; and</w:t>
      </w: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target STI percentages that are competitive with peer market data for the position.</w:t>
      </w: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designing the 2022 STI program, the HCC Committee considered these objectives and its desire to directly align the program with our 2022 strategic and continued transformation objectives and encourage our executives to maximize profitability, growth and operational</w:t>
      </w:r>
    </w:p>
    <w:p>
      <w:pPr>
        <w:jc w:val="both"/>
        <w:spacing w:after="0" w:line="226" w:lineRule="auto"/>
        <w:rPr>
          <w:sz w:val="20"/>
          <w:szCs w:val="20"/>
          <w:color w:val="auto"/>
        </w:rPr>
      </w:pPr>
      <w:r>
        <w:rPr>
          <w:rFonts w:ascii="Arial" w:cs="Arial" w:eastAsia="Arial" w:hAnsi="Arial"/>
          <w:sz w:val="18"/>
          <w:szCs w:val="18"/>
          <w:color w:val="auto"/>
        </w:rPr>
        <w:t>efficiency. As further described below, the 2022 STI program incorporates overall company-wide objectives (the Corporate Multiplier) that determine the maximum payout percentage under the program and objectives specific to each NEO (the Individual Goal achievement</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percentage) that determine each officer’s specific payout. The use of a Corporate Multiplier combined with an Individual Goal achievement percentage for each NEO supports one key tenet of our compensation philosophy, which is to provide incentive opportunities for both company and individual performance.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Under the 2022 STI program, each eligible NEO’s payout was determined according to the formula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STI Program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8890</wp:posOffset>
            </wp:positionV>
            <wp:extent cx="6172200" cy="1045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220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u w:val="single" w:color="auto"/>
          <w:color w:val="auto"/>
        </w:rPr>
        <w:t>Target STI Opportunity for 2022</w:t>
      </w:r>
      <w:r>
        <w:rPr>
          <w:rFonts w:ascii="Arial" w:cs="Arial" w:eastAsia="Arial" w:hAnsi="Arial"/>
          <w:sz w:val="18"/>
          <w:szCs w:val="18"/>
          <w:color w:val="auto"/>
        </w:rPr>
        <w:t>. In establishing the parameters of the 2022 STI program, the HCC Committee considered the target STI</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for each NEO, expressed as a percentage of base salary, and in each case, decided to make no adjustments to 2021 levels (Mr. El-Khoury, 150%; Mr. Trent, 100%, Messrs. Keeton, Jatou, and Hopkin, 85% each). At the time of this determination, Mr. Tong was reporting to Mr. Hopkin and his target STI percentage was 75%. However, in connection with Mr. Tong’s May 2022 promotion, the HCC Committee increased his target STI percentage to 85%, which put him at the same level as his predecessor in the role, Mr. Hopkin.</w:t>
      </w:r>
    </w:p>
    <w:p>
      <w:pPr>
        <w:spacing w:after="0" w:line="2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u w:val="single" w:color="auto"/>
          <w:color w:val="auto"/>
        </w:rPr>
        <w:t>Corporate Multiplier Component</w:t>
      </w:r>
      <w:r>
        <w:rPr>
          <w:rFonts w:ascii="Arial" w:cs="Arial" w:eastAsia="Arial" w:hAnsi="Arial"/>
          <w:sz w:val="18"/>
          <w:szCs w:val="18"/>
          <w:color w:val="auto"/>
        </w:rPr>
        <w:t>. The Corporate Multiplier is designed to ensure that funding of the 2022 STI program is in line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Board-approved annual operating plan. Our 2022 program included a performance matrix that links two financial metrics (revenue and non-GAAP operating margin) and reflects threshold</w:t>
      </w:r>
      <w:r>
        <w:rPr>
          <w:rFonts w:ascii="MS PGothic" w:cs="MS PGothic" w:eastAsia="MS PGothic" w:hAnsi="MS PGothic"/>
          <w:sz w:val="18"/>
          <w:szCs w:val="18"/>
          <w:color w:val="auto"/>
        </w:rPr>
        <w:t>‐</w:t>
      </w:r>
      <w:r>
        <w:rPr>
          <w:rFonts w:ascii="Arial" w:cs="Arial" w:eastAsia="Arial" w:hAnsi="Arial"/>
          <w:sz w:val="18"/>
          <w:szCs w:val="18"/>
          <w:color w:val="auto"/>
        </w:rPr>
        <w:t xml:space="preserve"> to</w:t>
      </w:r>
      <w:r>
        <w:rPr>
          <w:rFonts w:ascii="MS PGothic" w:cs="MS PGothic" w:eastAsia="MS PGothic" w:hAnsi="MS PGothic"/>
          <w:sz w:val="18"/>
          <w:szCs w:val="18"/>
          <w:color w:val="auto"/>
        </w:rPr>
        <w:t>‐</w:t>
      </w:r>
      <w:r>
        <w:rPr>
          <w:rFonts w:ascii="Arial" w:cs="Arial" w:eastAsia="Arial" w:hAnsi="Arial"/>
          <w:sz w:val="18"/>
          <w:szCs w:val="18"/>
          <w:color w:val="auto"/>
        </w:rPr>
        <w:t xml:space="preserve">maximum opportunities based on various achievement levels of those metrics. Payouts under the 2022 STI program were only earned if the threshold levels were exceeded on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revenue and non-GAAP operating margin. If we achieved target levels on both metrics, the Corporate Multiplier would be 100%. Payouts are scaled from 0% to up to a maximum of 200% for performance meeting or exceeding stretch levels. Given the use of a matrix, there were several ways to achieve maximum performance. As shown in the table below, based on our combined results for 2022, we achieved a Corporate Multiplier of 200%.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shd w:val="clear" w:color="auto" w:fill="465E66"/>
          </w:tcPr>
          <w:p>
            <w:pPr>
              <w:spacing w:after="0"/>
              <w:rPr>
                <w:sz w:val="16"/>
                <w:szCs w:val="16"/>
                <w:color w:val="auto"/>
              </w:rPr>
            </w:pPr>
          </w:p>
        </w:tc>
        <w:tc>
          <w:tcPr>
            <w:tcW w:w="2180" w:type="dxa"/>
            <w:vAlign w:val="bottom"/>
            <w:shd w:val="clear" w:color="auto" w:fill="465E66"/>
          </w:tcPr>
          <w:p>
            <w:pPr>
              <w:jc w:val="center"/>
              <w:ind w:right="39"/>
              <w:spacing w:after="0"/>
              <w:rPr>
                <w:sz w:val="20"/>
                <w:szCs w:val="20"/>
                <w:color w:val="auto"/>
              </w:rPr>
            </w:pPr>
            <w:r>
              <w:rPr>
                <w:rFonts w:ascii="Arial" w:cs="Arial" w:eastAsia="Arial" w:hAnsi="Arial"/>
                <w:sz w:val="16"/>
                <w:szCs w:val="16"/>
                <w:b w:val="1"/>
                <w:bCs w:val="1"/>
                <w:color w:val="FFFFFF"/>
              </w:rPr>
              <w:t>0% Achievement if</w:t>
            </w:r>
          </w:p>
        </w:tc>
        <w:tc>
          <w:tcPr>
            <w:tcW w:w="2160" w:type="dxa"/>
            <w:vAlign w:val="bottom"/>
            <w:shd w:val="clear" w:color="auto" w:fill="465E66"/>
          </w:tcPr>
          <w:p>
            <w:pPr>
              <w:spacing w:after="0"/>
              <w:rPr>
                <w:sz w:val="16"/>
                <w:szCs w:val="16"/>
                <w:color w:val="auto"/>
              </w:rPr>
            </w:pPr>
          </w:p>
        </w:tc>
        <w:tc>
          <w:tcPr>
            <w:tcW w:w="2200" w:type="dxa"/>
            <w:vAlign w:val="bottom"/>
            <w:shd w:val="clear" w:color="auto" w:fill="465E66"/>
          </w:tcPr>
          <w:p>
            <w:pPr>
              <w:spacing w:after="0"/>
              <w:rPr>
                <w:sz w:val="16"/>
                <w:szCs w:val="16"/>
                <w:color w:val="auto"/>
              </w:rPr>
            </w:pPr>
          </w:p>
        </w:tc>
        <w:tc>
          <w:tcPr>
            <w:tcW w:w="1980" w:type="dxa"/>
            <w:vAlign w:val="bottom"/>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465E66"/>
          </w:tcPr>
          <w:p>
            <w:pPr>
              <w:spacing w:after="0"/>
              <w:rPr>
                <w:sz w:val="14"/>
                <w:szCs w:val="14"/>
                <w:color w:val="auto"/>
              </w:rPr>
            </w:pPr>
          </w:p>
        </w:tc>
        <w:tc>
          <w:tcPr>
            <w:tcW w:w="2180" w:type="dxa"/>
            <w:vAlign w:val="bottom"/>
            <w:shd w:val="clear" w:color="auto" w:fill="465E66"/>
          </w:tcPr>
          <w:p>
            <w:pPr>
              <w:jc w:val="center"/>
              <w:ind w:right="39"/>
              <w:spacing w:after="0" w:line="162" w:lineRule="exact"/>
              <w:rPr>
                <w:sz w:val="20"/>
                <w:szCs w:val="20"/>
                <w:color w:val="auto"/>
              </w:rPr>
            </w:pPr>
            <w:r>
              <w:rPr>
                <w:rFonts w:ascii="Arial" w:cs="Arial" w:eastAsia="Arial" w:hAnsi="Arial"/>
                <w:sz w:val="16"/>
                <w:szCs w:val="16"/>
                <w:b w:val="1"/>
                <w:bCs w:val="1"/>
                <w:color w:val="FFFFFF"/>
              </w:rPr>
              <w:t>Performance is at or</w:t>
            </w:r>
          </w:p>
        </w:tc>
        <w:tc>
          <w:tcPr>
            <w:tcW w:w="2160" w:type="dxa"/>
            <w:vAlign w:val="bottom"/>
            <w:shd w:val="clear" w:color="auto" w:fill="465E66"/>
          </w:tcPr>
          <w:p>
            <w:pPr>
              <w:spacing w:after="0"/>
              <w:rPr>
                <w:sz w:val="14"/>
                <w:szCs w:val="14"/>
                <w:color w:val="auto"/>
              </w:rPr>
            </w:pPr>
          </w:p>
        </w:tc>
        <w:tc>
          <w:tcPr>
            <w:tcW w:w="2200" w:type="dxa"/>
            <w:vAlign w:val="bottom"/>
            <w:shd w:val="clear" w:color="auto" w:fill="465E66"/>
          </w:tcPr>
          <w:p>
            <w:pPr>
              <w:spacing w:after="0"/>
              <w:rPr>
                <w:sz w:val="14"/>
                <w:szCs w:val="14"/>
                <w:color w:val="auto"/>
              </w:rPr>
            </w:pPr>
          </w:p>
        </w:tc>
        <w:tc>
          <w:tcPr>
            <w:tcW w:w="1980" w:type="dxa"/>
            <w:vAlign w:val="bottom"/>
            <w:shd w:val="clear" w:color="auto" w:fill="465E6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vMerge w:val="restart"/>
            <w:shd w:val="clear" w:color="auto" w:fill="465E66"/>
          </w:tcPr>
          <w:p>
            <w:pPr>
              <w:ind w:left="20"/>
              <w:spacing w:after="0"/>
              <w:rPr>
                <w:sz w:val="20"/>
                <w:szCs w:val="20"/>
                <w:color w:val="auto"/>
              </w:rPr>
            </w:pPr>
            <w:r>
              <w:rPr>
                <w:rFonts w:ascii="Arial" w:cs="Arial" w:eastAsia="Arial" w:hAnsi="Arial"/>
                <w:sz w:val="16"/>
                <w:szCs w:val="16"/>
                <w:b w:val="1"/>
                <w:bCs w:val="1"/>
                <w:color w:val="FFFFFF"/>
              </w:rPr>
              <w:t>Corporate Multiplier Component</w:t>
            </w:r>
          </w:p>
        </w:tc>
        <w:tc>
          <w:tcPr>
            <w:tcW w:w="2180" w:type="dxa"/>
            <w:vAlign w:val="bottom"/>
            <w:shd w:val="clear" w:color="auto" w:fill="465E66"/>
          </w:tcPr>
          <w:p>
            <w:pPr>
              <w:jc w:val="center"/>
              <w:ind w:right="39"/>
              <w:spacing w:after="0" w:line="162" w:lineRule="exact"/>
              <w:rPr>
                <w:sz w:val="20"/>
                <w:szCs w:val="20"/>
                <w:color w:val="auto"/>
              </w:rPr>
            </w:pPr>
            <w:r>
              <w:rPr>
                <w:rFonts w:ascii="Arial" w:cs="Arial" w:eastAsia="Arial" w:hAnsi="Arial"/>
                <w:sz w:val="16"/>
                <w:szCs w:val="16"/>
                <w:b w:val="1"/>
                <w:bCs w:val="1"/>
                <w:color w:val="FFFFFF"/>
              </w:rPr>
              <w:t>below either of these</w:t>
            </w:r>
          </w:p>
        </w:tc>
        <w:tc>
          <w:tcPr>
            <w:tcW w:w="2160" w:type="dxa"/>
            <w:vAlign w:val="bottom"/>
            <w:vMerge w:val="restart"/>
            <w:shd w:val="clear" w:color="auto" w:fill="465E66"/>
          </w:tcPr>
          <w:p>
            <w:pPr>
              <w:jc w:val="right"/>
              <w:ind w:right="439"/>
              <w:spacing w:after="0"/>
              <w:rPr>
                <w:sz w:val="20"/>
                <w:szCs w:val="20"/>
                <w:color w:val="auto"/>
              </w:rPr>
            </w:pPr>
            <w:r>
              <w:rPr>
                <w:rFonts w:ascii="Arial" w:cs="Arial" w:eastAsia="Arial" w:hAnsi="Arial"/>
                <w:sz w:val="16"/>
                <w:szCs w:val="16"/>
                <w:b w:val="1"/>
                <w:bCs w:val="1"/>
                <w:color w:val="FFFFFF"/>
              </w:rPr>
              <w:t>100% Achievement</w:t>
            </w:r>
          </w:p>
        </w:tc>
        <w:tc>
          <w:tcPr>
            <w:tcW w:w="2200" w:type="dxa"/>
            <w:vAlign w:val="bottom"/>
            <w:vMerge w:val="restart"/>
            <w:shd w:val="clear" w:color="auto" w:fill="465E66"/>
          </w:tcPr>
          <w:p>
            <w:pPr>
              <w:jc w:val="right"/>
              <w:ind w:right="459"/>
              <w:spacing w:after="0"/>
              <w:rPr>
                <w:sz w:val="20"/>
                <w:szCs w:val="20"/>
                <w:color w:val="auto"/>
              </w:rPr>
            </w:pPr>
            <w:r>
              <w:rPr>
                <w:rFonts w:ascii="Arial" w:cs="Arial" w:eastAsia="Arial" w:hAnsi="Arial"/>
                <w:sz w:val="16"/>
                <w:szCs w:val="16"/>
                <w:b w:val="1"/>
                <w:bCs w:val="1"/>
                <w:color w:val="FFFFFF"/>
              </w:rPr>
              <w:t>200% Achievement</w:t>
            </w:r>
          </w:p>
        </w:tc>
        <w:tc>
          <w:tcPr>
            <w:tcW w:w="1980" w:type="dxa"/>
            <w:vAlign w:val="bottom"/>
            <w:shd w:val="clear" w:color="auto" w:fill="465E6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vMerge w:val="continue"/>
            <w:shd w:val="clear" w:color="auto" w:fill="465E66"/>
          </w:tcPr>
          <w:p>
            <w:pPr>
              <w:spacing w:after="0"/>
              <w:rPr>
                <w:sz w:val="14"/>
                <w:szCs w:val="14"/>
                <w:color w:val="auto"/>
              </w:rPr>
            </w:pPr>
          </w:p>
        </w:tc>
        <w:tc>
          <w:tcPr>
            <w:tcW w:w="2180" w:type="dxa"/>
            <w:vAlign w:val="bottom"/>
            <w:shd w:val="clear" w:color="auto" w:fill="465E66"/>
          </w:tcPr>
          <w:p>
            <w:pPr>
              <w:jc w:val="center"/>
              <w:ind w:right="39"/>
              <w:spacing w:after="0" w:line="162" w:lineRule="exact"/>
              <w:rPr>
                <w:sz w:val="20"/>
                <w:szCs w:val="20"/>
                <w:color w:val="auto"/>
              </w:rPr>
            </w:pPr>
            <w:r>
              <w:rPr>
                <w:rFonts w:ascii="Arial" w:cs="Arial" w:eastAsia="Arial" w:hAnsi="Arial"/>
                <w:sz w:val="16"/>
                <w:szCs w:val="16"/>
                <w:b w:val="1"/>
                <w:bCs w:val="1"/>
                <w:color w:val="FFFFFF"/>
              </w:rPr>
              <w:t>Levels</w:t>
            </w:r>
          </w:p>
        </w:tc>
        <w:tc>
          <w:tcPr>
            <w:tcW w:w="2160" w:type="dxa"/>
            <w:vAlign w:val="bottom"/>
            <w:vMerge w:val="continue"/>
            <w:shd w:val="clear" w:color="auto" w:fill="465E66"/>
          </w:tcPr>
          <w:p>
            <w:pPr>
              <w:spacing w:after="0"/>
              <w:rPr>
                <w:sz w:val="14"/>
                <w:szCs w:val="14"/>
                <w:color w:val="auto"/>
              </w:rPr>
            </w:pPr>
          </w:p>
        </w:tc>
        <w:tc>
          <w:tcPr>
            <w:tcW w:w="2200" w:type="dxa"/>
            <w:vAlign w:val="bottom"/>
            <w:vMerge w:val="continue"/>
            <w:shd w:val="clear" w:color="auto" w:fill="465E66"/>
          </w:tcPr>
          <w:p>
            <w:pPr>
              <w:spacing w:after="0"/>
              <w:rPr>
                <w:sz w:val="14"/>
                <w:szCs w:val="14"/>
                <w:color w:val="auto"/>
              </w:rPr>
            </w:pPr>
          </w:p>
        </w:tc>
        <w:tc>
          <w:tcPr>
            <w:tcW w:w="1980" w:type="dxa"/>
            <w:vAlign w:val="bottom"/>
            <w:vMerge w:val="restart"/>
            <w:shd w:val="clear" w:color="auto" w:fill="465E66"/>
          </w:tcPr>
          <w:p>
            <w:pPr>
              <w:jc w:val="right"/>
              <w:ind w:right="199"/>
              <w:spacing w:after="0"/>
              <w:rPr>
                <w:sz w:val="20"/>
                <w:szCs w:val="20"/>
                <w:color w:val="auto"/>
              </w:rPr>
            </w:pPr>
            <w:r>
              <w:rPr>
                <w:rFonts w:ascii="Arial" w:cs="Arial" w:eastAsia="Arial" w:hAnsi="Arial"/>
                <w:sz w:val="16"/>
                <w:szCs w:val="16"/>
                <w:b w:val="1"/>
                <w:bCs w:val="1"/>
                <w:color w:val="FFFFFF"/>
              </w:rPr>
              <w:t>Actual Achievement</w:t>
            </w:r>
          </w:p>
        </w:tc>
        <w:tc>
          <w:tcPr>
            <w:tcW w:w="0" w:type="dxa"/>
            <w:vAlign w:val="bottom"/>
          </w:tcPr>
          <w:p>
            <w:pPr>
              <w:spacing w:after="0"/>
              <w:rPr>
                <w:sz w:val="1"/>
                <w:szCs w:val="1"/>
                <w:color w:val="auto"/>
              </w:rPr>
            </w:pPr>
          </w:p>
        </w:tc>
      </w:tr>
      <w:tr>
        <w:trPr>
          <w:trHeight w:val="216"/>
        </w:trPr>
        <w:tc>
          <w:tcPr>
            <w:tcW w:w="2720" w:type="dxa"/>
            <w:vAlign w:val="bottom"/>
            <w:shd w:val="clear" w:color="auto" w:fill="465E66"/>
          </w:tcPr>
          <w:p>
            <w:pPr>
              <w:ind w:left="20"/>
              <w:spacing w:after="0"/>
              <w:rPr>
                <w:sz w:val="20"/>
                <w:szCs w:val="20"/>
                <w:color w:val="auto"/>
              </w:rPr>
            </w:pPr>
            <w:r>
              <w:rPr>
                <w:rFonts w:ascii="Arial" w:cs="Arial" w:eastAsia="Arial" w:hAnsi="Arial"/>
                <w:sz w:val="16"/>
                <w:szCs w:val="16"/>
                <w:color w:val="FFFFFF"/>
              </w:rPr>
              <w:t>(matrix-based correlation)</w:t>
            </w:r>
          </w:p>
        </w:tc>
        <w:tc>
          <w:tcPr>
            <w:tcW w:w="2180" w:type="dxa"/>
            <w:vAlign w:val="bottom"/>
            <w:shd w:val="clear" w:color="auto" w:fill="465E66"/>
          </w:tcPr>
          <w:p>
            <w:pPr>
              <w:jc w:val="center"/>
              <w:ind w:right="39"/>
              <w:spacing w:after="0"/>
              <w:rPr>
                <w:sz w:val="20"/>
                <w:szCs w:val="20"/>
                <w:color w:val="auto"/>
              </w:rPr>
            </w:pPr>
            <w:r>
              <w:rPr>
                <w:rFonts w:ascii="Arial" w:cs="Arial" w:eastAsia="Arial" w:hAnsi="Arial"/>
                <w:sz w:val="16"/>
                <w:szCs w:val="16"/>
                <w:b w:val="1"/>
                <w:bCs w:val="1"/>
                <w:color w:val="FFFFFF"/>
              </w:rPr>
              <w:t>(Threshold)</w:t>
            </w:r>
          </w:p>
        </w:tc>
        <w:tc>
          <w:tcPr>
            <w:tcW w:w="2160" w:type="dxa"/>
            <w:vAlign w:val="bottom"/>
            <w:shd w:val="clear" w:color="auto" w:fill="465E66"/>
          </w:tcPr>
          <w:p>
            <w:pPr>
              <w:jc w:val="right"/>
              <w:ind w:right="879"/>
              <w:spacing w:after="0"/>
              <w:rPr>
                <w:sz w:val="20"/>
                <w:szCs w:val="20"/>
                <w:color w:val="auto"/>
              </w:rPr>
            </w:pPr>
            <w:r>
              <w:rPr>
                <w:rFonts w:ascii="Arial" w:cs="Arial" w:eastAsia="Arial" w:hAnsi="Arial"/>
                <w:sz w:val="16"/>
                <w:szCs w:val="16"/>
                <w:b w:val="1"/>
                <w:bCs w:val="1"/>
                <w:color w:val="FFFFFF"/>
              </w:rPr>
              <w:t>(Target)</w:t>
            </w:r>
          </w:p>
        </w:tc>
        <w:tc>
          <w:tcPr>
            <w:tcW w:w="2200" w:type="dxa"/>
            <w:vAlign w:val="bottom"/>
            <w:shd w:val="clear" w:color="auto" w:fill="465E66"/>
          </w:tcPr>
          <w:p>
            <w:pPr>
              <w:jc w:val="right"/>
              <w:ind w:right="639"/>
              <w:spacing w:after="0"/>
              <w:rPr>
                <w:sz w:val="20"/>
                <w:szCs w:val="20"/>
                <w:color w:val="auto"/>
              </w:rPr>
            </w:pPr>
            <w:r>
              <w:rPr>
                <w:rFonts w:ascii="Arial" w:cs="Arial" w:eastAsia="Arial" w:hAnsi="Arial"/>
                <w:sz w:val="16"/>
                <w:szCs w:val="16"/>
                <w:b w:val="1"/>
                <w:bCs w:val="1"/>
                <w:color w:val="FFFFFF"/>
              </w:rPr>
              <w:t>(Maximum) (1)</w:t>
            </w:r>
          </w:p>
        </w:tc>
        <w:tc>
          <w:tcPr>
            <w:tcW w:w="1980" w:type="dxa"/>
            <w:vAlign w:val="bottom"/>
            <w:vMerge w:val="continue"/>
            <w:shd w:val="clear" w:color="auto" w:fill="465E6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1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$6.70 billion</w:t>
            </w:r>
          </w:p>
        </w:tc>
        <w:tc>
          <w:tcPr>
            <w:tcW w:w="21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$7.70 billion(2)</w:t>
            </w:r>
          </w:p>
        </w:tc>
        <w:tc>
          <w:tcPr>
            <w:tcW w:w="22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$8.09 billion</w:t>
            </w:r>
          </w:p>
        </w:tc>
        <w:tc>
          <w:tcPr>
            <w:tcW w:w="1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$8.33 billion</w:t>
            </w: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2180" w:type="dxa"/>
            <w:vAlign w:val="bottom"/>
          </w:tcPr>
          <w:p>
            <w:pPr>
              <w:jc w:val="right"/>
              <w:ind w:right="99"/>
              <w:spacing w:after="0"/>
              <w:rPr>
                <w:sz w:val="20"/>
                <w:szCs w:val="20"/>
                <w:color w:val="auto"/>
              </w:rPr>
            </w:pPr>
            <w:r>
              <w:rPr>
                <w:rFonts w:ascii="Arial" w:cs="Arial" w:eastAsia="Arial" w:hAnsi="Arial"/>
                <w:sz w:val="16"/>
                <w:szCs w:val="16"/>
                <w:color w:val="auto"/>
              </w:rPr>
              <w:t>21.9 %</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30.2% (3)</w:t>
            </w:r>
          </w:p>
        </w:tc>
        <w:tc>
          <w:tcPr>
            <w:tcW w:w="2200" w:type="dxa"/>
            <w:vAlign w:val="bottom"/>
          </w:tcPr>
          <w:p>
            <w:pPr>
              <w:jc w:val="right"/>
              <w:ind w:right="79"/>
              <w:spacing w:after="0"/>
              <w:rPr>
                <w:sz w:val="20"/>
                <w:szCs w:val="20"/>
                <w:color w:val="auto"/>
              </w:rPr>
            </w:pPr>
            <w:r>
              <w:rPr>
                <w:rFonts w:ascii="Arial" w:cs="Arial" w:eastAsia="Arial" w:hAnsi="Arial"/>
                <w:sz w:val="16"/>
                <w:szCs w:val="16"/>
                <w:color w:val="auto"/>
              </w:rPr>
              <w:t>32.3 %</w:t>
            </w:r>
          </w:p>
        </w:tc>
        <w:tc>
          <w:tcPr>
            <w:tcW w:w="1980" w:type="dxa"/>
            <w:vAlign w:val="bottom"/>
          </w:tcPr>
          <w:p>
            <w:pPr>
              <w:jc w:val="right"/>
              <w:spacing w:after="0"/>
              <w:rPr>
                <w:sz w:val="20"/>
                <w:szCs w:val="20"/>
                <w:color w:val="auto"/>
              </w:rPr>
            </w:pPr>
            <w:r>
              <w:rPr>
                <w:rFonts w:ascii="Arial" w:cs="Arial" w:eastAsia="Arial" w:hAnsi="Arial"/>
                <w:sz w:val="16"/>
                <w:szCs w:val="16"/>
                <w:color w:val="auto"/>
              </w:rPr>
              <w:t>35.4%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-504190</wp:posOffset>
            </wp:positionV>
            <wp:extent cx="2800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0035" cy="8890"/>
                    </a:xfrm>
                    <a:prstGeom prst="rect">
                      <a:avLst/>
                    </a:prstGeom>
                    <a:noFill/>
                  </pic:spPr>
                </pic:pic>
              </a:graphicData>
            </a:graphic>
          </wp:anchor>
        </w:drawing>
      </w:r>
    </w:p>
    <w:p>
      <w:pPr>
        <w:ind w:left="260" w:right="80" w:hanging="234"/>
        <w:spacing w:after="0" w:line="234" w:lineRule="auto"/>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noted above, our actual revenue and non-GAAP operating margin exceeded these stretch levels but this is only one way to achieve 200%. Under the matrix, we could achieve 200% with revenue as low as $7.897 billion but only if our operating margin met or exceeded 33.2%. Conversely, we could achieve 200% with an operating margin at the target level (30.2%) but only if our revenue met or exceeded $8.668 billion.</w:t>
      </w:r>
    </w:p>
    <w:p>
      <w:pPr>
        <w:spacing w:after="0" w:line="1" w:lineRule="exact"/>
        <w:rPr>
          <w:rFonts w:ascii="Arial" w:cs="Arial" w:eastAsia="Arial" w:hAnsi="Arial"/>
          <w:sz w:val="16"/>
          <w:szCs w:val="16"/>
          <w:color w:val="auto"/>
        </w:rPr>
      </w:pPr>
    </w:p>
    <w:p>
      <w:pPr>
        <w:ind w:left="260" w:hanging="234"/>
        <w:spacing w:after="0"/>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2022 target goal represented approximately a 14.3% increase relative to reported 2021 revenue.</w:t>
      </w:r>
    </w:p>
    <w:p>
      <w:pPr>
        <w:spacing w:after="0" w:line="32" w:lineRule="exact"/>
        <w:rPr>
          <w:rFonts w:ascii="Arial" w:cs="Arial" w:eastAsia="Arial" w:hAnsi="Arial"/>
          <w:sz w:val="16"/>
          <w:szCs w:val="16"/>
          <w:color w:val="auto"/>
        </w:rPr>
      </w:pPr>
    </w:p>
    <w:p>
      <w:pPr>
        <w:ind w:left="260" w:hanging="234"/>
        <w:spacing w:after="0"/>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2022 target goal represented an increase of 830 bps from reported 2021 non-GAAP operating margin.</w:t>
      </w:r>
    </w:p>
    <w:p>
      <w:pPr>
        <w:spacing w:after="0" w:line="32" w:lineRule="exact"/>
        <w:rPr>
          <w:rFonts w:ascii="Arial" w:cs="Arial" w:eastAsia="Arial" w:hAnsi="Arial"/>
          <w:sz w:val="16"/>
          <w:szCs w:val="16"/>
          <w:color w:val="auto"/>
        </w:rPr>
      </w:pPr>
    </w:p>
    <w:p>
      <w:pPr>
        <w:ind w:left="260" w:hanging="234"/>
        <w:spacing w:after="0"/>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Reflects our non-GAAP operating margin as reported in our fiscal 2022 earnings release, adjusted for STI upside.</w:t>
      </w:r>
    </w:p>
    <w:p>
      <w:pPr>
        <w:spacing w:after="0" w:line="338"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u w:val="single" w:color="auto"/>
          <w:color w:val="auto"/>
        </w:rPr>
        <w:t>Individual Goal Achievement Percentage Component</w:t>
      </w:r>
      <w:r>
        <w:rPr>
          <w:rFonts w:ascii="Arial" w:cs="Arial" w:eastAsia="Arial" w:hAnsi="Arial"/>
          <w:sz w:val="18"/>
          <w:szCs w:val="18"/>
          <w:color w:val="auto"/>
        </w:rPr>
        <w:t>. In addition to the Corporate Multiplier, each NEO received a score based on the level</w:t>
      </w:r>
      <w:r>
        <w:rPr>
          <w:rFonts w:ascii="Arial" w:cs="Arial" w:eastAsia="Arial" w:hAnsi="Arial"/>
          <w:sz w:val="18"/>
          <w:szCs w:val="18"/>
          <w:i w:val="1"/>
          <w:iCs w:val="1"/>
          <w:color w:val="auto"/>
        </w:rPr>
        <w:t xml:space="preserve"> </w:t>
      </w:r>
      <w:r>
        <w:rPr>
          <w:rFonts w:ascii="Arial" w:cs="Arial" w:eastAsia="Arial" w:hAnsi="Arial"/>
          <w:sz w:val="18"/>
          <w:szCs w:val="18"/>
          <w:color w:val="auto"/>
        </w:rPr>
        <w:t>of achievement of Individual Goal achievement percentage. The maximum possible Individual Goal</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achievement percentage is 100%, which means that performance against these particular goals will not increase a participant’s STI payout; instead, performance at less than target will serve to decrease any STI payout to that participant. For our NEOs, this component is further divided into an additional set of corporate financial goals (NEO Financial Goals) as well as certain executive-specific strategic or operational goals (NEO Strategic Goals).</w:t>
      </w:r>
    </w:p>
    <w:p>
      <w:pPr>
        <w:spacing w:after="0" w:line="203"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u w:val="single" w:color="auto"/>
          <w:color w:val="auto"/>
        </w:rPr>
        <w:t>The NEO Financial Goals</w:t>
      </w:r>
      <w:r>
        <w:rPr>
          <w:rFonts w:ascii="Arial" w:cs="Arial" w:eastAsia="Arial" w:hAnsi="Arial"/>
          <w:sz w:val="18"/>
          <w:szCs w:val="18"/>
          <w:color w:val="auto"/>
        </w:rPr>
        <w:t xml:space="preserve"> – this portion, which represents 50% of the Individual Goal achievement percentage, is tied to three additional corporate financial targets. For the 2022 STI program, the scoring of the NEO Financial Goals was based on our level of achievement of revenue, non-GAAP gross margin and non-GAAP operating expense targets as described in the table below.</w:t>
      </w:r>
    </w:p>
    <w:p>
      <w:pPr>
        <w:spacing w:after="0" w:line="19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Each of the goals is scored separately and, once above-threshold levels are achieved, our performance as measured against the NEO Financial Goals could result in attainment of up to 100% for results at or above target.</w:t>
      </w:r>
    </w:p>
    <w:tbl>
      <w:tblPr>
        <w:tblLayout w:type="fixed"/>
        <w:tblInd w:w="740" w:type="dxa"/>
        <w:tblCellMar>
          <w:top w:w="0" w:type="dxa"/>
          <w:left w:w="0" w:type="dxa"/>
          <w:bottom w:w="0" w:type="dxa"/>
          <w:right w:w="0" w:type="dxa"/>
        </w:tblCellMar>
      </w:tblPr>
      <w:tr>
        <w:trPr>
          <w:trHeight w:val="153"/>
        </w:trPr>
        <w:tc>
          <w:tcPr>
            <w:tcW w:w="30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NEO Financial Goals</w:t>
            </w:r>
          </w:p>
        </w:tc>
        <w:tc>
          <w:tcPr>
            <w:tcW w:w="280" w:type="dxa"/>
            <w:vAlign w:val="bottom"/>
            <w:shd w:val="clear" w:color="auto" w:fill="465E66"/>
          </w:tcPr>
          <w:p>
            <w:pPr>
              <w:spacing w:after="0"/>
              <w:rPr>
                <w:sz w:val="13"/>
                <w:szCs w:val="13"/>
                <w:color w:val="auto"/>
              </w:rPr>
            </w:pPr>
          </w:p>
        </w:tc>
        <w:tc>
          <w:tcPr>
            <w:tcW w:w="60" w:type="dxa"/>
            <w:vAlign w:val="bottom"/>
            <w:shd w:val="clear" w:color="auto" w:fill="465E66"/>
          </w:tcPr>
          <w:p>
            <w:pPr>
              <w:spacing w:after="0"/>
              <w:rPr>
                <w:sz w:val="13"/>
                <w:szCs w:val="13"/>
                <w:color w:val="auto"/>
              </w:rPr>
            </w:pPr>
          </w:p>
        </w:tc>
        <w:tc>
          <w:tcPr>
            <w:tcW w:w="1900" w:type="dxa"/>
            <w:vAlign w:val="bottom"/>
            <w:gridSpan w:val="2"/>
            <w:shd w:val="clear" w:color="auto" w:fill="465E66"/>
          </w:tcPr>
          <w:p>
            <w:pPr>
              <w:jc w:val="center"/>
              <w:ind w:right="288"/>
              <w:spacing w:after="0" w:line="153" w:lineRule="exact"/>
              <w:rPr>
                <w:sz w:val="20"/>
                <w:szCs w:val="20"/>
                <w:color w:val="auto"/>
              </w:rPr>
            </w:pPr>
            <w:r>
              <w:rPr>
                <w:rFonts w:ascii="Arial" w:cs="Arial" w:eastAsia="Arial" w:hAnsi="Arial"/>
                <w:sz w:val="14"/>
                <w:szCs w:val="14"/>
                <w:b w:val="1"/>
                <w:bCs w:val="1"/>
                <w:color w:val="FFFFFF"/>
              </w:rPr>
              <w:t>0% Achievement</w:t>
            </w:r>
          </w:p>
        </w:tc>
        <w:tc>
          <w:tcPr>
            <w:tcW w:w="280" w:type="dxa"/>
            <w:vAlign w:val="bottom"/>
            <w:shd w:val="clear" w:color="auto" w:fill="465E66"/>
          </w:tcPr>
          <w:p>
            <w:pPr>
              <w:spacing w:after="0"/>
              <w:rPr>
                <w:sz w:val="13"/>
                <w:szCs w:val="13"/>
                <w:color w:val="auto"/>
              </w:rPr>
            </w:pPr>
          </w:p>
        </w:tc>
        <w:tc>
          <w:tcPr>
            <w:tcW w:w="60" w:type="dxa"/>
            <w:vAlign w:val="bottom"/>
            <w:shd w:val="clear" w:color="auto" w:fill="465E66"/>
          </w:tcPr>
          <w:p>
            <w:pPr>
              <w:spacing w:after="0"/>
              <w:rPr>
                <w:sz w:val="13"/>
                <w:szCs w:val="13"/>
                <w:color w:val="auto"/>
              </w:rPr>
            </w:pPr>
          </w:p>
        </w:tc>
        <w:tc>
          <w:tcPr>
            <w:tcW w:w="1900" w:type="dxa"/>
            <w:vAlign w:val="bottom"/>
            <w:gridSpan w:val="2"/>
            <w:shd w:val="clear" w:color="auto" w:fill="465E66"/>
          </w:tcPr>
          <w:p>
            <w:pPr>
              <w:jc w:val="center"/>
              <w:ind w:right="288"/>
              <w:spacing w:after="0" w:line="153" w:lineRule="exact"/>
              <w:rPr>
                <w:sz w:val="20"/>
                <w:szCs w:val="20"/>
                <w:color w:val="auto"/>
              </w:rPr>
            </w:pPr>
            <w:r>
              <w:rPr>
                <w:rFonts w:ascii="Arial" w:cs="Arial" w:eastAsia="Arial" w:hAnsi="Arial"/>
                <w:sz w:val="14"/>
                <w:szCs w:val="14"/>
                <w:b w:val="1"/>
                <w:bCs w:val="1"/>
                <w:color w:val="FFFFFF"/>
              </w:rPr>
              <w:t>100% Achievement</w:t>
            </w:r>
          </w:p>
        </w:tc>
        <w:tc>
          <w:tcPr>
            <w:tcW w:w="280" w:type="dxa"/>
            <w:vAlign w:val="bottom"/>
            <w:shd w:val="clear" w:color="auto" w:fill="465E66"/>
          </w:tcPr>
          <w:p>
            <w:pPr>
              <w:spacing w:after="0"/>
              <w:rPr>
                <w:sz w:val="13"/>
                <w:szCs w:val="13"/>
                <w:color w:val="auto"/>
              </w:rPr>
            </w:pPr>
          </w:p>
        </w:tc>
        <w:tc>
          <w:tcPr>
            <w:tcW w:w="60" w:type="dxa"/>
            <w:vAlign w:val="bottom"/>
            <w:shd w:val="clear" w:color="auto" w:fill="465E66"/>
          </w:tcPr>
          <w:p>
            <w:pPr>
              <w:spacing w:after="0"/>
              <w:rPr>
                <w:sz w:val="13"/>
                <w:szCs w:val="13"/>
                <w:color w:val="auto"/>
              </w:rPr>
            </w:pPr>
          </w:p>
        </w:tc>
        <w:tc>
          <w:tcPr>
            <w:tcW w:w="1900" w:type="dxa"/>
            <w:vAlign w:val="bottom"/>
            <w:gridSpan w:val="2"/>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Actual Achievement</w:t>
            </w:r>
          </w:p>
        </w:tc>
        <w:tc>
          <w:tcPr>
            <w:tcW w:w="0" w:type="dxa"/>
            <w:vAlign w:val="bottom"/>
          </w:tcPr>
          <w:p>
            <w:pPr>
              <w:spacing w:after="0"/>
              <w:rPr>
                <w:sz w:val="1"/>
                <w:szCs w:val="1"/>
                <w:color w:val="auto"/>
              </w:rPr>
            </w:pPr>
          </w:p>
        </w:tc>
      </w:tr>
      <w:tr>
        <w:trPr>
          <w:trHeight w:val="185"/>
        </w:trPr>
        <w:tc>
          <w:tcPr>
            <w:tcW w:w="3060" w:type="dxa"/>
            <w:vAlign w:val="bottom"/>
            <w:vMerge w:val="continue"/>
            <w:shd w:val="clear" w:color="auto" w:fill="465E66"/>
          </w:tcPr>
          <w:p>
            <w:pPr>
              <w:spacing w:after="0"/>
              <w:rPr>
                <w:sz w:val="16"/>
                <w:szCs w:val="16"/>
                <w:color w:val="auto"/>
              </w:rPr>
            </w:pPr>
          </w:p>
        </w:tc>
        <w:tc>
          <w:tcPr>
            <w:tcW w:w="280" w:type="dxa"/>
            <w:vAlign w:val="bottom"/>
            <w:shd w:val="clear" w:color="auto" w:fill="465E66"/>
          </w:tcPr>
          <w:p>
            <w:pPr>
              <w:spacing w:after="0"/>
              <w:rPr>
                <w:sz w:val="16"/>
                <w:szCs w:val="16"/>
                <w:color w:val="auto"/>
              </w:rPr>
            </w:pPr>
          </w:p>
        </w:tc>
        <w:tc>
          <w:tcPr>
            <w:tcW w:w="60" w:type="dxa"/>
            <w:vAlign w:val="bottom"/>
            <w:shd w:val="clear" w:color="auto" w:fill="465E66"/>
          </w:tcPr>
          <w:p>
            <w:pPr>
              <w:spacing w:after="0"/>
              <w:rPr>
                <w:sz w:val="16"/>
                <w:szCs w:val="16"/>
                <w:color w:val="auto"/>
              </w:rPr>
            </w:pPr>
          </w:p>
        </w:tc>
        <w:tc>
          <w:tcPr>
            <w:tcW w:w="360" w:type="dxa"/>
            <w:vAlign w:val="bottom"/>
            <w:shd w:val="clear" w:color="auto" w:fill="465E66"/>
          </w:tcPr>
          <w:p>
            <w:pPr>
              <w:spacing w:after="0"/>
              <w:rPr>
                <w:sz w:val="16"/>
                <w:szCs w:val="16"/>
                <w:color w:val="auto"/>
              </w:rPr>
            </w:pPr>
          </w:p>
        </w:tc>
        <w:tc>
          <w:tcPr>
            <w:tcW w:w="1540" w:type="dxa"/>
            <w:vAlign w:val="bottom"/>
            <w:shd w:val="clear" w:color="auto" w:fill="465E66"/>
          </w:tcPr>
          <w:p>
            <w:pPr>
              <w:jc w:val="center"/>
              <w:ind w:right="648"/>
              <w:spacing w:after="0"/>
              <w:rPr>
                <w:sz w:val="20"/>
                <w:szCs w:val="20"/>
                <w:color w:val="auto"/>
              </w:rPr>
            </w:pPr>
            <w:r>
              <w:rPr>
                <w:rFonts w:ascii="Arial" w:cs="Arial" w:eastAsia="Arial" w:hAnsi="Arial"/>
                <w:sz w:val="14"/>
                <w:szCs w:val="14"/>
                <w:b w:val="1"/>
                <w:bCs w:val="1"/>
                <w:color w:val="FFFFFF"/>
              </w:rPr>
              <w:t>(Threshold)</w:t>
            </w:r>
          </w:p>
        </w:tc>
        <w:tc>
          <w:tcPr>
            <w:tcW w:w="280" w:type="dxa"/>
            <w:vAlign w:val="bottom"/>
            <w:shd w:val="clear" w:color="auto" w:fill="465E66"/>
          </w:tcPr>
          <w:p>
            <w:pPr>
              <w:spacing w:after="0"/>
              <w:rPr>
                <w:sz w:val="16"/>
                <w:szCs w:val="16"/>
                <w:color w:val="auto"/>
              </w:rPr>
            </w:pPr>
          </w:p>
        </w:tc>
        <w:tc>
          <w:tcPr>
            <w:tcW w:w="60" w:type="dxa"/>
            <w:vAlign w:val="bottom"/>
            <w:shd w:val="clear" w:color="auto" w:fill="465E66"/>
          </w:tcPr>
          <w:p>
            <w:pPr>
              <w:spacing w:after="0"/>
              <w:rPr>
                <w:sz w:val="16"/>
                <w:szCs w:val="16"/>
                <w:color w:val="auto"/>
              </w:rPr>
            </w:pPr>
          </w:p>
        </w:tc>
        <w:tc>
          <w:tcPr>
            <w:tcW w:w="360" w:type="dxa"/>
            <w:vAlign w:val="bottom"/>
            <w:shd w:val="clear" w:color="auto" w:fill="465E66"/>
          </w:tcPr>
          <w:p>
            <w:pPr>
              <w:spacing w:after="0"/>
              <w:rPr>
                <w:sz w:val="16"/>
                <w:szCs w:val="16"/>
                <w:color w:val="auto"/>
              </w:rPr>
            </w:pPr>
          </w:p>
        </w:tc>
        <w:tc>
          <w:tcPr>
            <w:tcW w:w="1540" w:type="dxa"/>
            <w:vAlign w:val="bottom"/>
            <w:shd w:val="clear" w:color="auto" w:fill="465E66"/>
          </w:tcPr>
          <w:p>
            <w:pPr>
              <w:jc w:val="center"/>
              <w:ind w:right="648"/>
              <w:spacing w:after="0"/>
              <w:rPr>
                <w:sz w:val="20"/>
                <w:szCs w:val="20"/>
                <w:color w:val="auto"/>
              </w:rPr>
            </w:pPr>
            <w:r>
              <w:rPr>
                <w:rFonts w:ascii="Arial" w:cs="Arial" w:eastAsia="Arial" w:hAnsi="Arial"/>
                <w:sz w:val="14"/>
                <w:szCs w:val="14"/>
                <w:b w:val="1"/>
                <w:bCs w:val="1"/>
                <w:color w:val="FFFFFF"/>
              </w:rPr>
              <w:t>(Target)</w:t>
            </w:r>
          </w:p>
        </w:tc>
        <w:tc>
          <w:tcPr>
            <w:tcW w:w="280" w:type="dxa"/>
            <w:vAlign w:val="bottom"/>
            <w:shd w:val="clear" w:color="auto" w:fill="465E66"/>
          </w:tcPr>
          <w:p>
            <w:pPr>
              <w:spacing w:after="0"/>
              <w:rPr>
                <w:sz w:val="16"/>
                <w:szCs w:val="16"/>
                <w:color w:val="auto"/>
              </w:rPr>
            </w:pPr>
          </w:p>
        </w:tc>
        <w:tc>
          <w:tcPr>
            <w:tcW w:w="60" w:type="dxa"/>
            <w:vAlign w:val="bottom"/>
            <w:shd w:val="clear" w:color="auto" w:fill="465E66"/>
          </w:tcPr>
          <w:p>
            <w:pPr>
              <w:spacing w:after="0"/>
              <w:rPr>
                <w:sz w:val="16"/>
                <w:szCs w:val="16"/>
                <w:color w:val="auto"/>
              </w:rPr>
            </w:pPr>
          </w:p>
        </w:tc>
        <w:tc>
          <w:tcPr>
            <w:tcW w:w="1900" w:type="dxa"/>
            <w:vAlign w:val="bottom"/>
            <w:gridSpan w:val="2"/>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DBDBDB"/>
          </w:tcPr>
          <w:p>
            <w:pPr>
              <w:spacing w:after="0"/>
              <w:rPr>
                <w:sz w:val="19"/>
                <w:szCs w:val="19"/>
                <w:color w:val="auto"/>
              </w:rPr>
            </w:pP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Company: $6.70 billion</w:t>
            </w: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Company: $7.70 billion</w:t>
            </w: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Company: $8.33 billion</w:t>
            </w:r>
          </w:p>
        </w:tc>
        <w:tc>
          <w:tcPr>
            <w:tcW w:w="0" w:type="dxa"/>
            <w:vAlign w:val="bottom"/>
          </w:tcPr>
          <w:p>
            <w:pPr>
              <w:spacing w:after="0"/>
              <w:rPr>
                <w:sz w:val="1"/>
                <w:szCs w:val="1"/>
                <w:color w:val="auto"/>
              </w:rPr>
            </w:pPr>
          </w:p>
        </w:tc>
      </w:tr>
      <w:tr>
        <w:trPr>
          <w:trHeight w:val="20"/>
        </w:trPr>
        <w:tc>
          <w:tcPr>
            <w:tcW w:w="306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w w:val="94"/>
              </w:rPr>
              <w:t>PSG</w:t>
            </w:r>
          </w:p>
        </w:tc>
        <w:tc>
          <w:tcPr>
            <w:tcW w:w="19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 $3.44 billion</w:t>
            </w:r>
          </w:p>
        </w:tc>
        <w:tc>
          <w:tcPr>
            <w:tcW w:w="34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w w:val="94"/>
              </w:rPr>
              <w:t>PSG</w:t>
            </w:r>
          </w:p>
        </w:tc>
        <w:tc>
          <w:tcPr>
            <w:tcW w:w="19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 $3.78 billion</w:t>
            </w:r>
          </w:p>
        </w:tc>
        <w:tc>
          <w:tcPr>
            <w:tcW w:w="34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w w:val="94"/>
              </w:rPr>
              <w:t>PSG</w:t>
            </w:r>
          </w:p>
        </w:tc>
        <w:tc>
          <w:tcPr>
            <w:tcW w:w="19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 $4.21 billion</w:t>
            </w:r>
          </w:p>
        </w:tc>
        <w:tc>
          <w:tcPr>
            <w:tcW w:w="0" w:type="dxa"/>
            <w:vAlign w:val="bottom"/>
          </w:tcPr>
          <w:p>
            <w:pPr>
              <w:spacing w:after="0"/>
              <w:rPr>
                <w:sz w:val="1"/>
                <w:szCs w:val="1"/>
                <w:color w:val="auto"/>
              </w:rPr>
            </w:pPr>
          </w:p>
        </w:tc>
      </w:tr>
      <w:tr>
        <w:trPr>
          <w:trHeight w:val="208"/>
        </w:trPr>
        <w:tc>
          <w:tcPr>
            <w:tcW w:w="30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 of NEO Financial Goals)</w:t>
            </w:r>
          </w:p>
        </w:tc>
        <w:tc>
          <w:tcPr>
            <w:tcW w:w="2240" w:type="dxa"/>
            <w:vAlign w:val="bottom"/>
            <w:gridSpan w:val="4"/>
            <w:vMerge w:val="restart"/>
            <w:shd w:val="clear" w:color="auto" w:fill="DBDBDB"/>
          </w:tcPr>
          <w:p>
            <w:pPr>
              <w:spacing w:after="0"/>
              <w:rPr>
                <w:sz w:val="20"/>
                <w:szCs w:val="20"/>
                <w:color w:val="auto"/>
              </w:rPr>
            </w:pPr>
            <w:r>
              <w:rPr>
                <w:rFonts w:ascii="Arial" w:cs="Arial" w:eastAsia="Arial" w:hAnsi="Arial"/>
                <w:sz w:val="16"/>
                <w:szCs w:val="16"/>
                <w:color w:val="auto"/>
              </w:rPr>
              <w:t>ISG: $0.90 billion</w:t>
            </w:r>
          </w:p>
        </w:tc>
        <w:tc>
          <w:tcPr>
            <w:tcW w:w="2240" w:type="dxa"/>
            <w:vAlign w:val="bottom"/>
            <w:gridSpan w:val="4"/>
            <w:vMerge w:val="restart"/>
            <w:shd w:val="clear" w:color="auto" w:fill="DBDBDB"/>
          </w:tcPr>
          <w:p>
            <w:pPr>
              <w:spacing w:after="0"/>
              <w:rPr>
                <w:sz w:val="20"/>
                <w:szCs w:val="20"/>
                <w:color w:val="auto"/>
              </w:rPr>
            </w:pPr>
            <w:r>
              <w:rPr>
                <w:rFonts w:ascii="Arial" w:cs="Arial" w:eastAsia="Arial" w:hAnsi="Arial"/>
                <w:sz w:val="16"/>
                <w:szCs w:val="16"/>
                <w:color w:val="auto"/>
              </w:rPr>
              <w:t>ISG: $1.21 billion</w:t>
            </w:r>
          </w:p>
        </w:tc>
        <w:tc>
          <w:tcPr>
            <w:tcW w:w="2240" w:type="dxa"/>
            <w:vAlign w:val="bottom"/>
            <w:gridSpan w:val="4"/>
            <w:vMerge w:val="restart"/>
            <w:shd w:val="clear" w:color="auto" w:fill="DBDBDB"/>
          </w:tcPr>
          <w:p>
            <w:pPr>
              <w:spacing w:after="0"/>
              <w:rPr>
                <w:sz w:val="20"/>
                <w:szCs w:val="20"/>
                <w:color w:val="auto"/>
              </w:rPr>
            </w:pPr>
            <w:r>
              <w:rPr>
                <w:rFonts w:ascii="Arial" w:cs="Arial" w:eastAsia="Arial" w:hAnsi="Arial"/>
                <w:sz w:val="16"/>
                <w:szCs w:val="16"/>
                <w:color w:val="auto"/>
              </w:rPr>
              <w:t>ISG: $1.28 billion</w:t>
            </w:r>
          </w:p>
        </w:tc>
        <w:tc>
          <w:tcPr>
            <w:tcW w:w="0" w:type="dxa"/>
            <w:vAlign w:val="bottom"/>
          </w:tcPr>
          <w:p>
            <w:pPr>
              <w:spacing w:after="0"/>
              <w:rPr>
                <w:sz w:val="1"/>
                <w:szCs w:val="1"/>
                <w:color w:val="auto"/>
              </w:rPr>
            </w:pPr>
          </w:p>
        </w:tc>
      </w:tr>
      <w:tr>
        <w:trPr>
          <w:trHeight w:val="42"/>
        </w:trPr>
        <w:tc>
          <w:tcPr>
            <w:tcW w:w="3060" w:type="dxa"/>
            <w:vAlign w:val="bottom"/>
            <w:shd w:val="clear" w:color="auto" w:fill="DBDBDB"/>
          </w:tcPr>
          <w:p>
            <w:pPr>
              <w:spacing w:after="0"/>
              <w:rPr>
                <w:sz w:val="3"/>
                <w:szCs w:val="3"/>
                <w:color w:val="auto"/>
              </w:rPr>
            </w:pPr>
          </w:p>
        </w:tc>
        <w:tc>
          <w:tcPr>
            <w:tcW w:w="2240" w:type="dxa"/>
            <w:vAlign w:val="bottom"/>
            <w:gridSpan w:val="4"/>
            <w:vMerge w:val="continue"/>
            <w:shd w:val="clear" w:color="auto" w:fill="DBDBDB"/>
          </w:tcPr>
          <w:p>
            <w:pPr>
              <w:spacing w:after="0"/>
              <w:rPr>
                <w:sz w:val="3"/>
                <w:szCs w:val="3"/>
                <w:color w:val="auto"/>
              </w:rPr>
            </w:pPr>
          </w:p>
        </w:tc>
        <w:tc>
          <w:tcPr>
            <w:tcW w:w="2240" w:type="dxa"/>
            <w:vAlign w:val="bottom"/>
            <w:gridSpan w:val="4"/>
            <w:vMerge w:val="continue"/>
            <w:shd w:val="clear" w:color="auto" w:fill="DBDBDB"/>
          </w:tcPr>
          <w:p>
            <w:pPr>
              <w:spacing w:after="0"/>
              <w:rPr>
                <w:sz w:val="3"/>
                <w:szCs w:val="3"/>
                <w:color w:val="auto"/>
              </w:rPr>
            </w:pPr>
          </w:p>
        </w:tc>
        <w:tc>
          <w:tcPr>
            <w:tcW w:w="2240" w:type="dxa"/>
            <w:vAlign w:val="bottom"/>
            <w:gridSpan w:val="4"/>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gridSpan w:val="2"/>
            <w:shd w:val="clear" w:color="auto" w:fill="DBDBDB"/>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3"/>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3"/>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shd w:val="clear" w:color="auto" w:fill="DBDBDB"/>
          </w:tcPr>
          <w:p>
            <w:pPr>
              <w:spacing w:after="0"/>
              <w:rPr>
                <w:sz w:val="21"/>
                <w:szCs w:val="21"/>
                <w:color w:val="auto"/>
              </w:rPr>
            </w:pP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ASG: $2.40 billion</w:t>
            </w: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ASG: $2.71 billion</w:t>
            </w: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ASG: $2.84 billion</w:t>
            </w:r>
          </w:p>
        </w:tc>
        <w:tc>
          <w:tcPr>
            <w:tcW w:w="0" w:type="dxa"/>
            <w:vAlign w:val="bottom"/>
          </w:tcPr>
          <w:p>
            <w:pPr>
              <w:spacing w:after="0"/>
              <w:rPr>
                <w:sz w:val="1"/>
                <w:szCs w:val="1"/>
                <w:color w:val="auto"/>
              </w:rPr>
            </w:pPr>
          </w:p>
        </w:tc>
      </w:tr>
      <w:tr>
        <w:trPr>
          <w:trHeight w:val="21"/>
        </w:trPr>
        <w:tc>
          <w:tcPr>
            <w:tcW w:w="306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auto"/>
            </w:tcBorders>
            <w:shd w:val="clear" w:color="auto" w:fill="DBDBDB"/>
          </w:tcPr>
          <w:p>
            <w:pPr>
              <w:spacing w:after="0" w:line="20" w:lineRule="exact"/>
              <w:rPr>
                <w:sz w:val="1"/>
                <w:szCs w:val="1"/>
                <w:color w:val="auto"/>
              </w:rPr>
            </w:pPr>
          </w:p>
        </w:tc>
        <w:tc>
          <w:tcPr>
            <w:tcW w:w="60" w:type="dxa"/>
            <w:vAlign w:val="bottom"/>
            <w:tcBorders>
              <w:top w:val="single" w:sz="8" w:color="auto"/>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54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auto"/>
            </w:tcBorders>
            <w:shd w:val="clear" w:color="auto" w:fill="DBDBDB"/>
          </w:tcPr>
          <w:p>
            <w:pPr>
              <w:spacing w:after="0" w:line="20" w:lineRule="exact"/>
              <w:rPr>
                <w:sz w:val="1"/>
                <w:szCs w:val="1"/>
                <w:color w:val="auto"/>
              </w:rPr>
            </w:pPr>
          </w:p>
        </w:tc>
        <w:tc>
          <w:tcPr>
            <w:tcW w:w="60" w:type="dxa"/>
            <w:vAlign w:val="bottom"/>
            <w:tcBorders>
              <w:top w:val="single" w:sz="8" w:color="auto"/>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54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auto"/>
            </w:tcBorders>
            <w:shd w:val="clear" w:color="auto" w:fill="DBDBDB"/>
          </w:tcPr>
          <w:p>
            <w:pPr>
              <w:spacing w:after="0" w:line="20" w:lineRule="exact"/>
              <w:rPr>
                <w:sz w:val="1"/>
                <w:szCs w:val="1"/>
                <w:color w:val="auto"/>
              </w:rPr>
            </w:pPr>
          </w:p>
        </w:tc>
        <w:tc>
          <w:tcPr>
            <w:tcW w:w="60" w:type="dxa"/>
            <w:vAlign w:val="bottom"/>
            <w:tcBorders>
              <w:top w:val="single" w:sz="8" w:color="auto"/>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54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6"/>
                <w:szCs w:val="16"/>
                <w:color w:val="auto"/>
              </w:rPr>
              <w:t>Company: 40.4%</w:t>
            </w:r>
          </w:p>
        </w:tc>
        <w:tc>
          <w:tcPr>
            <w:tcW w:w="2240" w:type="dxa"/>
            <w:vAlign w:val="bottom"/>
            <w:gridSpan w:val="4"/>
          </w:tcPr>
          <w:p>
            <w:pPr>
              <w:spacing w:after="0"/>
              <w:rPr>
                <w:sz w:val="20"/>
                <w:szCs w:val="20"/>
                <w:color w:val="auto"/>
              </w:rPr>
            </w:pPr>
            <w:r>
              <w:rPr>
                <w:rFonts w:ascii="Arial" w:cs="Arial" w:eastAsia="Arial" w:hAnsi="Arial"/>
                <w:sz w:val="16"/>
                <w:szCs w:val="16"/>
                <w:color w:val="auto"/>
              </w:rPr>
              <w:t>Company: 46.8%</w:t>
            </w:r>
          </w:p>
        </w:tc>
        <w:tc>
          <w:tcPr>
            <w:tcW w:w="2240" w:type="dxa"/>
            <w:vAlign w:val="bottom"/>
            <w:gridSpan w:val="4"/>
          </w:tcPr>
          <w:p>
            <w:pPr>
              <w:spacing w:after="0"/>
              <w:rPr>
                <w:sz w:val="20"/>
                <w:szCs w:val="20"/>
                <w:color w:val="auto"/>
              </w:rPr>
            </w:pPr>
            <w:r>
              <w:rPr>
                <w:rFonts w:ascii="Arial" w:cs="Arial" w:eastAsia="Arial" w:hAnsi="Arial"/>
                <w:sz w:val="16"/>
                <w:szCs w:val="16"/>
                <w:color w:val="auto"/>
              </w:rPr>
              <w:t>Company: 49.4%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6"/>
                <w:szCs w:val="16"/>
                <w:color w:val="auto"/>
              </w:rPr>
              <w:t>Non-GAAP Gross Margin (1)</w:t>
            </w: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4"/>
              </w:rPr>
              <w:t>PSG</w:t>
            </w:r>
          </w:p>
        </w:tc>
        <w:tc>
          <w:tcPr>
            <w:tcW w:w="1900" w:type="dxa"/>
            <w:vAlign w:val="bottom"/>
            <w:gridSpan w:val="2"/>
          </w:tcPr>
          <w:p>
            <w:pPr>
              <w:spacing w:after="0"/>
              <w:rPr>
                <w:sz w:val="20"/>
                <w:szCs w:val="20"/>
                <w:color w:val="auto"/>
              </w:rPr>
            </w:pPr>
            <w:r>
              <w:rPr>
                <w:rFonts w:ascii="Arial" w:cs="Arial" w:eastAsia="Arial" w:hAnsi="Arial"/>
                <w:sz w:val="16"/>
                <w:szCs w:val="16"/>
                <w:color w:val="auto"/>
              </w:rPr>
              <w:t>: 38.3%</w:t>
            </w: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4"/>
              </w:rPr>
              <w:t>PSG</w:t>
            </w:r>
          </w:p>
        </w:tc>
        <w:tc>
          <w:tcPr>
            <w:tcW w:w="1900" w:type="dxa"/>
            <w:vAlign w:val="bottom"/>
            <w:gridSpan w:val="2"/>
          </w:tcPr>
          <w:p>
            <w:pPr>
              <w:spacing w:after="0"/>
              <w:rPr>
                <w:sz w:val="20"/>
                <w:szCs w:val="20"/>
                <w:color w:val="auto"/>
              </w:rPr>
            </w:pPr>
            <w:r>
              <w:rPr>
                <w:rFonts w:ascii="Arial" w:cs="Arial" w:eastAsia="Arial" w:hAnsi="Arial"/>
                <w:sz w:val="16"/>
                <w:szCs w:val="16"/>
                <w:color w:val="auto"/>
              </w:rPr>
              <w:t>: 44.3%</w:t>
            </w: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4"/>
              </w:rPr>
              <w:t>PSG</w:t>
            </w:r>
          </w:p>
        </w:tc>
        <w:tc>
          <w:tcPr>
            <w:tcW w:w="1900" w:type="dxa"/>
            <w:vAlign w:val="bottom"/>
            <w:gridSpan w:val="2"/>
          </w:tcPr>
          <w:p>
            <w:pPr>
              <w:spacing w:after="0"/>
              <w:rPr>
                <w:sz w:val="20"/>
                <w:szCs w:val="20"/>
                <w:color w:val="auto"/>
              </w:rPr>
            </w:pPr>
            <w:r>
              <w:rPr>
                <w:rFonts w:ascii="Arial" w:cs="Arial" w:eastAsia="Arial" w:hAnsi="Arial"/>
                <w:sz w:val="16"/>
                <w:szCs w:val="16"/>
                <w:color w:val="auto"/>
              </w:rPr>
              <w:t>: 47.6%</w:t>
            </w:r>
          </w:p>
        </w:tc>
        <w:tc>
          <w:tcPr>
            <w:tcW w:w="0" w:type="dxa"/>
            <w:vAlign w:val="bottom"/>
          </w:tcPr>
          <w:p>
            <w:pPr>
              <w:spacing w:after="0"/>
              <w:rPr>
                <w:sz w:val="1"/>
                <w:szCs w:val="1"/>
                <w:color w:val="auto"/>
              </w:rPr>
            </w:pPr>
          </w:p>
        </w:tc>
      </w:tr>
      <w:tr>
        <w:trPr>
          <w:trHeight w:val="208"/>
        </w:trPr>
        <w:tc>
          <w:tcPr>
            <w:tcW w:w="3060" w:type="dxa"/>
            <w:vAlign w:val="bottom"/>
          </w:tcPr>
          <w:p>
            <w:pPr>
              <w:ind w:left="20"/>
              <w:spacing w:after="0"/>
              <w:rPr>
                <w:sz w:val="20"/>
                <w:szCs w:val="20"/>
                <w:color w:val="auto"/>
              </w:rPr>
            </w:pPr>
            <w:r>
              <w:rPr>
                <w:rFonts w:ascii="Arial" w:cs="Arial" w:eastAsia="Arial" w:hAnsi="Arial"/>
                <w:sz w:val="16"/>
                <w:szCs w:val="16"/>
                <w:color w:val="auto"/>
              </w:rPr>
              <w:t>(40% of NEO Financial Goals)</w:t>
            </w:r>
          </w:p>
        </w:tc>
        <w:tc>
          <w:tcPr>
            <w:tcW w:w="2240" w:type="dxa"/>
            <w:vAlign w:val="bottom"/>
            <w:gridSpan w:val="4"/>
            <w:vMerge w:val="restart"/>
          </w:tcPr>
          <w:p>
            <w:pPr>
              <w:spacing w:after="0"/>
              <w:rPr>
                <w:sz w:val="20"/>
                <w:szCs w:val="20"/>
                <w:color w:val="auto"/>
              </w:rPr>
            </w:pPr>
            <w:r>
              <w:rPr>
                <w:rFonts w:ascii="Arial" w:cs="Arial" w:eastAsia="Arial" w:hAnsi="Arial"/>
                <w:sz w:val="16"/>
                <w:szCs w:val="16"/>
                <w:color w:val="auto"/>
              </w:rPr>
              <w:t>ISG: 37.8%</w:t>
            </w:r>
          </w:p>
        </w:tc>
        <w:tc>
          <w:tcPr>
            <w:tcW w:w="2240" w:type="dxa"/>
            <w:vAlign w:val="bottom"/>
            <w:gridSpan w:val="4"/>
            <w:vMerge w:val="restart"/>
          </w:tcPr>
          <w:p>
            <w:pPr>
              <w:spacing w:after="0"/>
              <w:rPr>
                <w:sz w:val="20"/>
                <w:szCs w:val="20"/>
                <w:color w:val="auto"/>
              </w:rPr>
            </w:pPr>
            <w:r>
              <w:rPr>
                <w:rFonts w:ascii="Arial" w:cs="Arial" w:eastAsia="Arial" w:hAnsi="Arial"/>
                <w:sz w:val="16"/>
                <w:szCs w:val="16"/>
                <w:color w:val="auto"/>
              </w:rPr>
              <w:t>ISG: 43.5%</w:t>
            </w:r>
          </w:p>
        </w:tc>
        <w:tc>
          <w:tcPr>
            <w:tcW w:w="2240" w:type="dxa"/>
            <w:vAlign w:val="bottom"/>
            <w:gridSpan w:val="4"/>
            <w:vMerge w:val="restart"/>
          </w:tcPr>
          <w:p>
            <w:pPr>
              <w:spacing w:after="0"/>
              <w:rPr>
                <w:sz w:val="20"/>
                <w:szCs w:val="20"/>
                <w:color w:val="auto"/>
              </w:rPr>
            </w:pPr>
            <w:r>
              <w:rPr>
                <w:rFonts w:ascii="Arial" w:cs="Arial" w:eastAsia="Arial" w:hAnsi="Arial"/>
                <w:sz w:val="16"/>
                <w:szCs w:val="16"/>
                <w:color w:val="auto"/>
              </w:rPr>
              <w:t>ISG: 47.8%</w:t>
            </w:r>
          </w:p>
        </w:tc>
        <w:tc>
          <w:tcPr>
            <w:tcW w:w="0" w:type="dxa"/>
            <w:vAlign w:val="bottom"/>
          </w:tcPr>
          <w:p>
            <w:pPr>
              <w:spacing w:after="0"/>
              <w:rPr>
                <w:sz w:val="1"/>
                <w:szCs w:val="1"/>
                <w:color w:val="auto"/>
              </w:rPr>
            </w:pPr>
          </w:p>
        </w:tc>
      </w:tr>
      <w:tr>
        <w:trPr>
          <w:trHeight w:val="42"/>
        </w:trPr>
        <w:tc>
          <w:tcPr>
            <w:tcW w:w="3060" w:type="dxa"/>
            <w:vAlign w:val="bottom"/>
          </w:tcPr>
          <w:p>
            <w:pPr>
              <w:spacing w:after="0"/>
              <w:rPr>
                <w:sz w:val="3"/>
                <w:szCs w:val="3"/>
                <w:color w:val="auto"/>
              </w:rPr>
            </w:pPr>
          </w:p>
        </w:tc>
        <w:tc>
          <w:tcPr>
            <w:tcW w:w="2240" w:type="dxa"/>
            <w:vAlign w:val="bottom"/>
            <w:gridSpan w:val="4"/>
            <w:vMerge w:val="continue"/>
          </w:tcPr>
          <w:p>
            <w:pPr>
              <w:spacing w:after="0"/>
              <w:rPr>
                <w:sz w:val="3"/>
                <w:szCs w:val="3"/>
                <w:color w:val="auto"/>
              </w:rPr>
            </w:pPr>
          </w:p>
        </w:tc>
        <w:tc>
          <w:tcPr>
            <w:tcW w:w="2240" w:type="dxa"/>
            <w:vAlign w:val="bottom"/>
            <w:gridSpan w:val="4"/>
            <w:vMerge w:val="continue"/>
          </w:tcPr>
          <w:p>
            <w:pPr>
              <w:spacing w:after="0"/>
              <w:rPr>
                <w:sz w:val="3"/>
                <w:szCs w:val="3"/>
                <w:color w:val="auto"/>
              </w:rPr>
            </w:pPr>
          </w:p>
        </w:tc>
        <w:tc>
          <w:tcPr>
            <w:tcW w:w="22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Pr>
          <w:p>
            <w:pPr>
              <w:spacing w:after="0"/>
              <w:rPr>
                <w:sz w:val="21"/>
                <w:szCs w:val="21"/>
                <w:color w:val="auto"/>
              </w:rPr>
            </w:pPr>
          </w:p>
        </w:tc>
        <w:tc>
          <w:tcPr>
            <w:tcW w:w="2240" w:type="dxa"/>
            <w:vAlign w:val="bottom"/>
            <w:gridSpan w:val="4"/>
          </w:tcPr>
          <w:p>
            <w:pPr>
              <w:spacing w:after="0"/>
              <w:rPr>
                <w:sz w:val="20"/>
                <w:szCs w:val="20"/>
                <w:color w:val="auto"/>
              </w:rPr>
            </w:pPr>
            <w:r>
              <w:rPr>
                <w:rFonts w:ascii="Arial" w:cs="Arial" w:eastAsia="Arial" w:hAnsi="Arial"/>
                <w:sz w:val="16"/>
                <w:szCs w:val="16"/>
                <w:color w:val="auto"/>
              </w:rPr>
              <w:t>ASG: 44.2%</w:t>
            </w:r>
          </w:p>
        </w:tc>
        <w:tc>
          <w:tcPr>
            <w:tcW w:w="2240" w:type="dxa"/>
            <w:vAlign w:val="bottom"/>
            <w:gridSpan w:val="4"/>
          </w:tcPr>
          <w:p>
            <w:pPr>
              <w:spacing w:after="0"/>
              <w:rPr>
                <w:sz w:val="20"/>
                <w:szCs w:val="20"/>
                <w:color w:val="auto"/>
              </w:rPr>
            </w:pPr>
            <w:r>
              <w:rPr>
                <w:rFonts w:ascii="Arial" w:cs="Arial" w:eastAsia="Arial" w:hAnsi="Arial"/>
                <w:sz w:val="16"/>
                <w:szCs w:val="16"/>
                <w:color w:val="auto"/>
              </w:rPr>
              <w:t>ASG: 51.7%</w:t>
            </w:r>
          </w:p>
        </w:tc>
        <w:tc>
          <w:tcPr>
            <w:tcW w:w="2240" w:type="dxa"/>
            <w:vAlign w:val="bottom"/>
            <w:gridSpan w:val="4"/>
          </w:tcPr>
          <w:p>
            <w:pPr>
              <w:spacing w:after="0"/>
              <w:rPr>
                <w:sz w:val="20"/>
                <w:szCs w:val="20"/>
                <w:color w:val="auto"/>
              </w:rPr>
            </w:pPr>
            <w:r>
              <w:rPr>
                <w:rFonts w:ascii="Arial" w:cs="Arial" w:eastAsia="Arial" w:hAnsi="Arial"/>
                <w:sz w:val="16"/>
                <w:szCs w:val="16"/>
                <w:color w:val="auto"/>
              </w:rPr>
              <w:t>ASG: 52.7%</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DBDBDB"/>
          </w:tcPr>
          <w:p>
            <w:pPr>
              <w:spacing w:after="0"/>
              <w:rPr>
                <w:sz w:val="19"/>
                <w:szCs w:val="19"/>
                <w:color w:val="auto"/>
              </w:rPr>
            </w:pP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Company: $1,242 million</w:t>
            </w: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Company: $1,275 million</w:t>
            </w:r>
          </w:p>
        </w:tc>
        <w:tc>
          <w:tcPr>
            <w:tcW w:w="224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Company: $1,164 million</w:t>
            </w:r>
          </w:p>
        </w:tc>
        <w:tc>
          <w:tcPr>
            <w:tcW w:w="0" w:type="dxa"/>
            <w:vAlign w:val="bottom"/>
          </w:tcPr>
          <w:p>
            <w:pPr>
              <w:spacing w:after="0"/>
              <w:rPr>
                <w:sz w:val="1"/>
                <w:szCs w:val="1"/>
                <w:color w:val="auto"/>
              </w:rPr>
            </w:pPr>
          </w:p>
        </w:tc>
      </w:tr>
      <w:tr>
        <w:trPr>
          <w:trHeight w:val="20"/>
        </w:trPr>
        <w:tc>
          <w:tcPr>
            <w:tcW w:w="306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Non-GAAP Operating Expense (2)</w:t>
            </w:r>
          </w:p>
        </w:tc>
        <w:tc>
          <w:tcPr>
            <w:tcW w:w="34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w w:val="94"/>
              </w:rPr>
              <w:t>PSG</w:t>
            </w:r>
          </w:p>
        </w:tc>
        <w:tc>
          <w:tcPr>
            <w:tcW w:w="19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 $415 million</w:t>
            </w:r>
          </w:p>
        </w:tc>
        <w:tc>
          <w:tcPr>
            <w:tcW w:w="34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w w:val="94"/>
              </w:rPr>
              <w:t>PSG</w:t>
            </w:r>
          </w:p>
        </w:tc>
        <w:tc>
          <w:tcPr>
            <w:tcW w:w="19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 $422 million</w:t>
            </w:r>
          </w:p>
        </w:tc>
        <w:tc>
          <w:tcPr>
            <w:tcW w:w="34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w w:val="94"/>
              </w:rPr>
              <w:t>PSG</w:t>
            </w:r>
          </w:p>
        </w:tc>
        <w:tc>
          <w:tcPr>
            <w:tcW w:w="19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 $400.8 million</w:t>
            </w:r>
          </w:p>
        </w:tc>
        <w:tc>
          <w:tcPr>
            <w:tcW w:w="0" w:type="dxa"/>
            <w:vAlign w:val="bottom"/>
          </w:tcPr>
          <w:p>
            <w:pPr>
              <w:spacing w:after="0"/>
              <w:rPr>
                <w:sz w:val="1"/>
                <w:szCs w:val="1"/>
                <w:color w:val="auto"/>
              </w:rPr>
            </w:pPr>
          </w:p>
        </w:tc>
      </w:tr>
      <w:tr>
        <w:trPr>
          <w:trHeight w:val="208"/>
        </w:trPr>
        <w:tc>
          <w:tcPr>
            <w:tcW w:w="3060" w:type="dxa"/>
            <w:vAlign w:val="bottom"/>
            <w:shd w:val="clear" w:color="auto" w:fill="DBDBDB"/>
          </w:tcPr>
          <w:p>
            <w:pPr>
              <w:ind w:left="20"/>
              <w:spacing w:after="0"/>
              <w:rPr>
                <w:sz w:val="20"/>
                <w:szCs w:val="20"/>
                <w:color w:val="auto"/>
              </w:rPr>
            </w:pPr>
            <w:r>
              <w:rPr>
                <w:rFonts w:ascii="Arial" w:cs="Arial" w:eastAsia="Arial" w:hAnsi="Arial"/>
                <w:sz w:val="16"/>
                <w:szCs w:val="16"/>
                <w:color w:val="auto"/>
              </w:rPr>
              <w:t>(40% of NEO Financial Goals)</w:t>
            </w:r>
          </w:p>
        </w:tc>
        <w:tc>
          <w:tcPr>
            <w:tcW w:w="2240" w:type="dxa"/>
            <w:vAlign w:val="bottom"/>
            <w:gridSpan w:val="4"/>
            <w:vMerge w:val="restart"/>
            <w:shd w:val="clear" w:color="auto" w:fill="DBDBDB"/>
          </w:tcPr>
          <w:p>
            <w:pPr>
              <w:spacing w:after="0"/>
              <w:rPr>
                <w:sz w:val="20"/>
                <w:szCs w:val="20"/>
                <w:color w:val="auto"/>
              </w:rPr>
            </w:pPr>
            <w:r>
              <w:rPr>
                <w:rFonts w:ascii="Arial" w:cs="Arial" w:eastAsia="Arial" w:hAnsi="Arial"/>
                <w:sz w:val="16"/>
                <w:szCs w:val="16"/>
                <w:color w:val="auto"/>
              </w:rPr>
              <w:t>ISG: $252 million</w:t>
            </w:r>
          </w:p>
        </w:tc>
        <w:tc>
          <w:tcPr>
            <w:tcW w:w="2240" w:type="dxa"/>
            <w:vAlign w:val="bottom"/>
            <w:gridSpan w:val="4"/>
            <w:vMerge w:val="restart"/>
            <w:shd w:val="clear" w:color="auto" w:fill="DBDBDB"/>
          </w:tcPr>
          <w:p>
            <w:pPr>
              <w:spacing w:after="0"/>
              <w:rPr>
                <w:sz w:val="20"/>
                <w:szCs w:val="20"/>
                <w:color w:val="auto"/>
              </w:rPr>
            </w:pPr>
            <w:r>
              <w:rPr>
                <w:rFonts w:ascii="Arial" w:cs="Arial" w:eastAsia="Arial" w:hAnsi="Arial"/>
                <w:sz w:val="16"/>
                <w:szCs w:val="16"/>
                <w:color w:val="auto"/>
              </w:rPr>
              <w:t>ISG: $266 million</w:t>
            </w:r>
          </w:p>
        </w:tc>
        <w:tc>
          <w:tcPr>
            <w:tcW w:w="2240" w:type="dxa"/>
            <w:vAlign w:val="bottom"/>
            <w:gridSpan w:val="4"/>
            <w:vMerge w:val="restart"/>
            <w:shd w:val="clear" w:color="auto" w:fill="DBDBDB"/>
          </w:tcPr>
          <w:p>
            <w:pPr>
              <w:spacing w:after="0"/>
              <w:rPr>
                <w:sz w:val="20"/>
                <w:szCs w:val="20"/>
                <w:color w:val="auto"/>
              </w:rPr>
            </w:pPr>
            <w:r>
              <w:rPr>
                <w:rFonts w:ascii="Arial" w:cs="Arial" w:eastAsia="Arial" w:hAnsi="Arial"/>
                <w:sz w:val="16"/>
                <w:szCs w:val="16"/>
                <w:color w:val="auto"/>
              </w:rPr>
              <w:t>ISG: $246.1 million</w:t>
            </w:r>
          </w:p>
        </w:tc>
        <w:tc>
          <w:tcPr>
            <w:tcW w:w="0" w:type="dxa"/>
            <w:vAlign w:val="bottom"/>
          </w:tcPr>
          <w:p>
            <w:pPr>
              <w:spacing w:after="0"/>
              <w:rPr>
                <w:sz w:val="1"/>
                <w:szCs w:val="1"/>
                <w:color w:val="auto"/>
              </w:rPr>
            </w:pPr>
          </w:p>
        </w:tc>
      </w:tr>
      <w:tr>
        <w:trPr>
          <w:trHeight w:val="42"/>
        </w:trPr>
        <w:tc>
          <w:tcPr>
            <w:tcW w:w="3060" w:type="dxa"/>
            <w:vAlign w:val="bottom"/>
            <w:shd w:val="clear" w:color="auto" w:fill="DBDBDB"/>
          </w:tcPr>
          <w:p>
            <w:pPr>
              <w:spacing w:after="0"/>
              <w:rPr>
                <w:sz w:val="3"/>
                <w:szCs w:val="3"/>
                <w:color w:val="auto"/>
              </w:rPr>
            </w:pPr>
          </w:p>
        </w:tc>
        <w:tc>
          <w:tcPr>
            <w:tcW w:w="2240" w:type="dxa"/>
            <w:vAlign w:val="bottom"/>
            <w:gridSpan w:val="4"/>
            <w:vMerge w:val="continue"/>
            <w:shd w:val="clear" w:color="auto" w:fill="DBDBDB"/>
          </w:tcPr>
          <w:p>
            <w:pPr>
              <w:spacing w:after="0"/>
              <w:rPr>
                <w:sz w:val="3"/>
                <w:szCs w:val="3"/>
                <w:color w:val="auto"/>
              </w:rPr>
            </w:pPr>
          </w:p>
        </w:tc>
        <w:tc>
          <w:tcPr>
            <w:tcW w:w="2240" w:type="dxa"/>
            <w:vAlign w:val="bottom"/>
            <w:gridSpan w:val="4"/>
            <w:vMerge w:val="continue"/>
            <w:shd w:val="clear" w:color="auto" w:fill="DBDBDB"/>
          </w:tcPr>
          <w:p>
            <w:pPr>
              <w:spacing w:after="0"/>
              <w:rPr>
                <w:sz w:val="3"/>
                <w:szCs w:val="3"/>
                <w:color w:val="auto"/>
              </w:rPr>
            </w:pPr>
          </w:p>
        </w:tc>
        <w:tc>
          <w:tcPr>
            <w:tcW w:w="2240" w:type="dxa"/>
            <w:vAlign w:val="bottom"/>
            <w:gridSpan w:val="4"/>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3"/>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3"/>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3"/>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060" w:type="dxa"/>
            <w:vAlign w:val="bottom"/>
            <w:tcBorders>
              <w:bottom w:val="single" w:sz="8" w:color="auto"/>
            </w:tcBorders>
            <w:shd w:val="clear" w:color="auto" w:fill="DBDBDB"/>
          </w:tcPr>
          <w:p>
            <w:pPr>
              <w:spacing w:after="0"/>
              <w:rPr>
                <w:sz w:val="24"/>
                <w:szCs w:val="24"/>
                <w:color w:val="auto"/>
              </w:rPr>
            </w:pPr>
          </w:p>
        </w:tc>
        <w:tc>
          <w:tcPr>
            <w:tcW w:w="224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6"/>
                <w:szCs w:val="16"/>
                <w:color w:val="auto"/>
              </w:rPr>
              <w:t>ASG: $575 million</w:t>
            </w:r>
          </w:p>
        </w:tc>
        <w:tc>
          <w:tcPr>
            <w:tcW w:w="224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6"/>
                <w:szCs w:val="16"/>
                <w:color w:val="auto"/>
              </w:rPr>
              <w:t>ASG: $588 million</w:t>
            </w:r>
          </w:p>
        </w:tc>
        <w:tc>
          <w:tcPr>
            <w:tcW w:w="224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6"/>
                <w:szCs w:val="16"/>
                <w:color w:val="auto"/>
              </w:rPr>
              <w:t>ASG: $517.3 million</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 Non-GAAP gross margin is calculated as disclosed in our earnings releases and as set forth in the Appendix.</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 For purposes of the 2022 STI program, non-GAAP operating expense is GAAP operating expense adjusted for STI upside.</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each of Messrs. El-Khoury and Trent, each of the NEO Financial Goals was measured against Company-wide results. For each of our other NEOs, his NEO Financial Goals was measured against the results for his specific business unit (Mr. Keeton – PSG; Mr. Jatou – ISG; and Messrs. Tong and Hopkin – ASG). For 2022, the Company and each of its three business units exceeded target performance on all three goals as set forth in the table above, resulting in a 100% achievement for all NEO Financial Goals (or 50% of the overall Individual Goal achievement percentage).</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The NEO Strategic Goals</w:t>
      </w:r>
      <w:r>
        <w:rPr>
          <w:rFonts w:ascii="Arial" w:cs="Arial" w:eastAsia="Arial" w:hAnsi="Arial"/>
          <w:sz w:val="18"/>
          <w:szCs w:val="18"/>
          <w:color w:val="auto"/>
        </w:rPr>
        <w:t xml:space="preserve"> – this portion, which represents the other 50% of the Individual Goal achievement percentage, is composed of between four and ten additional metrics and targets specifically tailored to each NEO’s role, area of oversight and strategic focus, including financial and non-financial goals and other metrics based on the definition and deployment of management’s strategy and the planning and execution of certain transformation initiatives, including ESG, new product, quality improvement, human capital and operational initiatives.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NEO Strategic Goals were scored: (i) for certain binary metrics, at either 0% or 100% attainment without linear interpolation between the attainment levels, or (ii) at up to 100% attainment, with linear interpolation for attainment between the threshold and target levels. Like the NEO Financial Goals, each NEO Strategic Goal was scored separately and each was weighted with a specific point value based on its strategic importance to us and/or the level of complexity involved in achieving the goal. Particular scoring metrics used to determine whether a given target had been achieved were also established at the time the 2022 STI program was approved. Following the end of the year, the HCC Committee evaluated performance against these metrics, and after considering the CEO’s recommendations regarding performance of each NEO, including himself, determined each NEO’s Individual Goal achievement percentage.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performance results, the HCC Committee approved each NEO’s Individual Goal achievement percentage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32</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7" w:name="page38"/>
    <w:bookmarkEnd w:id="37"/>
    <w:tbl>
      <w:tblPr>
        <w:tblLayout w:type="fixed"/>
        <w:tblInd w:w="500" w:type="dxa"/>
        <w:tblCellMar>
          <w:top w:w="0" w:type="dxa"/>
          <w:left w:w="0" w:type="dxa"/>
          <w:bottom w:w="0" w:type="dxa"/>
          <w:right w:w="0" w:type="dxa"/>
        </w:tblCellMar>
      </w:tblPr>
      <w:tr>
        <w:trPr>
          <w:trHeight w:val="239"/>
        </w:trPr>
        <w:tc>
          <w:tcPr>
            <w:tcW w:w="2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0" w:type="dxa"/>
            <w:vAlign w:val="bottom"/>
            <w:gridSpan w:val="2"/>
          </w:tcPr>
          <w:p>
            <w:pPr>
              <w:ind w:left="540"/>
              <w:spacing w:after="0"/>
              <w:rPr>
                <w:sz w:val="20"/>
                <w:szCs w:val="20"/>
                <w:color w:val="auto"/>
              </w:rPr>
            </w:pPr>
            <w:r>
              <w:rPr>
                <w:rFonts w:ascii="Arial" w:cs="Arial" w:eastAsia="Arial" w:hAnsi="Arial"/>
                <w:sz w:val="18"/>
                <w:szCs w:val="18"/>
                <w:color w:val="E97D2E"/>
                <w:w w:val="99"/>
              </w:rPr>
              <w:t>Compensation of Executive Officers</w:t>
            </w:r>
          </w:p>
        </w:tc>
        <w:tc>
          <w:tcPr>
            <w:tcW w:w="0" w:type="dxa"/>
            <w:vAlign w:val="bottom"/>
          </w:tcPr>
          <w:p>
            <w:pPr>
              <w:spacing w:after="0"/>
              <w:rPr>
                <w:sz w:val="1"/>
                <w:szCs w:val="1"/>
                <w:color w:val="auto"/>
              </w:rPr>
            </w:pPr>
          </w:p>
        </w:tc>
      </w:tr>
      <w:tr>
        <w:trPr>
          <w:trHeight w:val="738"/>
        </w:trPr>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100" w:type="dxa"/>
            <w:vAlign w:val="bottom"/>
            <w:vMerge w:val="restart"/>
            <w:shd w:val="clear" w:color="auto" w:fill="465E66"/>
          </w:tcPr>
          <w:p>
            <w:pPr>
              <w:spacing w:after="0"/>
              <w:rPr>
                <w:sz w:val="20"/>
                <w:szCs w:val="20"/>
                <w:color w:val="auto"/>
              </w:rPr>
            </w:pPr>
            <w:r>
              <w:rPr>
                <w:rFonts w:ascii="Arial" w:cs="Arial" w:eastAsia="Arial" w:hAnsi="Arial"/>
                <w:sz w:val="14"/>
                <w:szCs w:val="14"/>
                <w:b w:val="1"/>
                <w:bCs w:val="1"/>
                <w:color w:val="FFFFFF"/>
              </w:rPr>
              <w:t>NEO (1)</w:t>
            </w:r>
          </w:p>
        </w:tc>
        <w:tc>
          <w:tcPr>
            <w:tcW w:w="2760" w:type="dxa"/>
            <w:vAlign w:val="bottom"/>
            <w:shd w:val="clear" w:color="auto" w:fill="465E66"/>
          </w:tcPr>
          <w:p>
            <w:pPr>
              <w:jc w:val="center"/>
              <w:spacing w:after="0" w:line="153" w:lineRule="exact"/>
              <w:rPr>
                <w:sz w:val="20"/>
                <w:szCs w:val="20"/>
                <w:color w:val="auto"/>
              </w:rPr>
            </w:pPr>
            <w:r>
              <w:rPr>
                <w:rFonts w:ascii="Arial" w:cs="Arial" w:eastAsia="Arial" w:hAnsi="Arial"/>
                <w:sz w:val="14"/>
                <w:szCs w:val="14"/>
                <w:b w:val="1"/>
                <w:bCs w:val="1"/>
                <w:color w:val="FFFFFF"/>
              </w:rPr>
              <w:t>NEO Financial Goals</w:t>
            </w:r>
          </w:p>
        </w:tc>
        <w:tc>
          <w:tcPr>
            <w:tcW w:w="2460" w:type="dxa"/>
            <w:vAlign w:val="bottom"/>
            <w:shd w:val="clear" w:color="auto" w:fill="465E66"/>
          </w:tcPr>
          <w:p>
            <w:pPr>
              <w:jc w:val="center"/>
              <w:ind w:left="162"/>
              <w:spacing w:after="0" w:line="153" w:lineRule="exact"/>
              <w:rPr>
                <w:sz w:val="20"/>
                <w:szCs w:val="20"/>
                <w:color w:val="auto"/>
              </w:rPr>
            </w:pPr>
            <w:r>
              <w:rPr>
                <w:rFonts w:ascii="Arial" w:cs="Arial" w:eastAsia="Arial" w:hAnsi="Arial"/>
                <w:sz w:val="14"/>
                <w:szCs w:val="14"/>
                <w:b w:val="1"/>
                <w:bCs w:val="1"/>
                <w:color w:val="FFFFFF"/>
              </w:rPr>
              <w:t>NEO Strategic Goals</w:t>
            </w:r>
          </w:p>
        </w:tc>
        <w:tc>
          <w:tcPr>
            <w:tcW w:w="2940" w:type="dxa"/>
            <w:vAlign w:val="bottom"/>
            <w:shd w:val="clear" w:color="auto" w:fill="465E66"/>
          </w:tcPr>
          <w:p>
            <w:pPr>
              <w:jc w:val="center"/>
              <w:ind w:left="160"/>
              <w:spacing w:after="0" w:line="153" w:lineRule="exact"/>
              <w:rPr>
                <w:sz w:val="20"/>
                <w:szCs w:val="20"/>
                <w:color w:val="auto"/>
              </w:rPr>
            </w:pPr>
            <w:r>
              <w:rPr>
                <w:rFonts w:ascii="Arial" w:cs="Arial" w:eastAsia="Arial" w:hAnsi="Arial"/>
                <w:sz w:val="14"/>
                <w:szCs w:val="14"/>
                <w:b w:val="1"/>
                <w:bCs w:val="1"/>
                <w:color w:val="FFFFFF"/>
              </w:rPr>
              <w:t>Final Individual Goal Achievement</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100" w:type="dxa"/>
            <w:vAlign w:val="bottom"/>
            <w:vMerge w:val="continue"/>
            <w:shd w:val="clear" w:color="auto" w:fill="465E66"/>
          </w:tcPr>
          <w:p>
            <w:pPr>
              <w:spacing w:after="0"/>
              <w:rPr>
                <w:sz w:val="16"/>
                <w:szCs w:val="16"/>
                <w:color w:val="auto"/>
              </w:rPr>
            </w:pPr>
          </w:p>
        </w:tc>
        <w:tc>
          <w:tcPr>
            <w:tcW w:w="2760" w:type="dxa"/>
            <w:vAlign w:val="bottom"/>
            <w:shd w:val="clear" w:color="auto" w:fill="465E66"/>
          </w:tcPr>
          <w:p>
            <w:pPr>
              <w:jc w:val="center"/>
              <w:spacing w:after="0"/>
              <w:rPr>
                <w:sz w:val="20"/>
                <w:szCs w:val="20"/>
                <w:color w:val="auto"/>
              </w:rPr>
            </w:pPr>
            <w:r>
              <w:rPr>
                <w:rFonts w:ascii="Arial" w:cs="Arial" w:eastAsia="Arial" w:hAnsi="Arial"/>
                <w:sz w:val="14"/>
                <w:szCs w:val="14"/>
                <w:color w:val="FFFFFF"/>
              </w:rPr>
              <w:t>(50% weighting)</w:t>
            </w:r>
          </w:p>
        </w:tc>
        <w:tc>
          <w:tcPr>
            <w:tcW w:w="2460" w:type="dxa"/>
            <w:vAlign w:val="bottom"/>
            <w:shd w:val="clear" w:color="auto" w:fill="465E66"/>
          </w:tcPr>
          <w:p>
            <w:pPr>
              <w:jc w:val="center"/>
              <w:ind w:left="162"/>
              <w:spacing w:after="0"/>
              <w:rPr>
                <w:sz w:val="20"/>
                <w:szCs w:val="20"/>
                <w:color w:val="auto"/>
              </w:rPr>
            </w:pPr>
            <w:r>
              <w:rPr>
                <w:rFonts w:ascii="Arial" w:cs="Arial" w:eastAsia="Arial" w:hAnsi="Arial"/>
                <w:sz w:val="14"/>
                <w:szCs w:val="14"/>
                <w:color w:val="FFFFFF"/>
              </w:rPr>
              <w:t>(50% weighting)</w:t>
            </w:r>
          </w:p>
        </w:tc>
        <w:tc>
          <w:tcPr>
            <w:tcW w:w="2940" w:type="dxa"/>
            <w:vAlign w:val="bottom"/>
            <w:shd w:val="clear" w:color="auto" w:fill="465E66"/>
          </w:tcPr>
          <w:p>
            <w:pPr>
              <w:jc w:val="center"/>
              <w:ind w:left="160"/>
              <w:spacing w:after="0"/>
              <w:rPr>
                <w:sz w:val="20"/>
                <w:szCs w:val="20"/>
                <w:color w:val="auto"/>
              </w:rPr>
            </w:pPr>
            <w:r>
              <w:rPr>
                <w:rFonts w:ascii="Arial" w:cs="Arial" w:eastAsia="Arial" w:hAnsi="Arial"/>
                <w:sz w:val="14"/>
                <w:szCs w:val="14"/>
                <w:b w:val="1"/>
                <w:bCs w:val="1"/>
                <w:color w:val="FFFFFF"/>
              </w:rPr>
              <w:t>Percentage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DBDBDB"/>
          </w:tcPr>
          <w:p>
            <w:pPr>
              <w:spacing w:after="0"/>
              <w:rPr>
                <w:sz w:val="20"/>
                <w:szCs w:val="20"/>
                <w:color w:val="auto"/>
              </w:rPr>
            </w:pPr>
            <w:r>
              <w:rPr>
                <w:rFonts w:ascii="Arial" w:cs="Arial" w:eastAsia="Arial" w:hAnsi="Arial"/>
                <w:sz w:val="16"/>
                <w:szCs w:val="16"/>
                <w:color w:val="auto"/>
              </w:rPr>
              <w:t>Hassane El-Khoury</w:t>
            </w:r>
          </w:p>
        </w:tc>
        <w:tc>
          <w:tcPr>
            <w:tcW w:w="2760" w:type="dxa"/>
            <w:vAlign w:val="bottom"/>
            <w:shd w:val="clear" w:color="auto" w:fill="DBDBDB"/>
          </w:tcPr>
          <w:p>
            <w:pPr>
              <w:jc w:val="center"/>
              <w:ind w:left="2"/>
              <w:spacing w:after="0"/>
              <w:rPr>
                <w:sz w:val="20"/>
                <w:szCs w:val="20"/>
                <w:color w:val="auto"/>
              </w:rPr>
            </w:pPr>
            <w:r>
              <w:rPr>
                <w:rFonts w:ascii="Arial" w:cs="Arial" w:eastAsia="Arial" w:hAnsi="Arial"/>
                <w:sz w:val="16"/>
                <w:szCs w:val="16"/>
                <w:color w:val="auto"/>
              </w:rPr>
              <w:t>100.00%</w:t>
            </w:r>
          </w:p>
        </w:tc>
        <w:tc>
          <w:tcPr>
            <w:tcW w:w="2460" w:type="dxa"/>
            <w:vAlign w:val="bottom"/>
            <w:shd w:val="clear" w:color="auto" w:fill="DBDBDB"/>
          </w:tcPr>
          <w:p>
            <w:pPr>
              <w:jc w:val="center"/>
              <w:ind w:left="162"/>
              <w:spacing w:after="0"/>
              <w:rPr>
                <w:sz w:val="20"/>
                <w:szCs w:val="20"/>
                <w:color w:val="auto"/>
              </w:rPr>
            </w:pPr>
            <w:r>
              <w:rPr>
                <w:rFonts w:ascii="Arial" w:cs="Arial" w:eastAsia="Arial" w:hAnsi="Arial"/>
                <w:sz w:val="16"/>
                <w:szCs w:val="16"/>
                <w:color w:val="auto"/>
                <w:w w:val="99"/>
              </w:rPr>
              <w:t>98.94%</w:t>
            </w:r>
          </w:p>
        </w:tc>
        <w:tc>
          <w:tcPr>
            <w:tcW w:w="2940" w:type="dxa"/>
            <w:vAlign w:val="bottom"/>
            <w:shd w:val="clear" w:color="auto" w:fill="DBDBDB"/>
          </w:tcPr>
          <w:p>
            <w:pPr>
              <w:jc w:val="center"/>
              <w:ind w:left="160"/>
              <w:spacing w:after="0"/>
              <w:rPr>
                <w:sz w:val="20"/>
                <w:szCs w:val="20"/>
                <w:color w:val="auto"/>
              </w:rPr>
            </w:pPr>
            <w:r>
              <w:rPr>
                <w:rFonts w:ascii="Arial" w:cs="Arial" w:eastAsia="Arial" w:hAnsi="Arial"/>
                <w:sz w:val="16"/>
                <w:szCs w:val="16"/>
                <w:color w:val="auto"/>
                <w:w w:val="99"/>
              </w:rPr>
              <w:t>99.47%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tcPr>
          <w:p>
            <w:pPr>
              <w:spacing w:after="0"/>
              <w:rPr>
                <w:sz w:val="20"/>
                <w:szCs w:val="20"/>
                <w:color w:val="auto"/>
              </w:rPr>
            </w:pPr>
            <w:r>
              <w:rPr>
                <w:rFonts w:ascii="Arial" w:cs="Arial" w:eastAsia="Arial" w:hAnsi="Arial"/>
                <w:sz w:val="16"/>
                <w:szCs w:val="16"/>
                <w:color w:val="auto"/>
              </w:rPr>
              <w:t>Thad Trent</w:t>
            </w:r>
          </w:p>
        </w:tc>
        <w:tc>
          <w:tcPr>
            <w:tcW w:w="2760" w:type="dxa"/>
            <w:vAlign w:val="bottom"/>
          </w:tcPr>
          <w:p>
            <w:pPr>
              <w:jc w:val="center"/>
              <w:ind w:left="2"/>
              <w:spacing w:after="0"/>
              <w:rPr>
                <w:sz w:val="20"/>
                <w:szCs w:val="20"/>
                <w:color w:val="auto"/>
              </w:rPr>
            </w:pPr>
            <w:r>
              <w:rPr>
                <w:rFonts w:ascii="Arial" w:cs="Arial" w:eastAsia="Arial" w:hAnsi="Arial"/>
                <w:sz w:val="16"/>
                <w:szCs w:val="16"/>
                <w:color w:val="auto"/>
              </w:rPr>
              <w:t>100.00%</w:t>
            </w:r>
          </w:p>
        </w:tc>
        <w:tc>
          <w:tcPr>
            <w:tcW w:w="2460" w:type="dxa"/>
            <w:vAlign w:val="bottom"/>
          </w:tcPr>
          <w:p>
            <w:pPr>
              <w:jc w:val="center"/>
              <w:ind w:left="162"/>
              <w:spacing w:after="0"/>
              <w:rPr>
                <w:sz w:val="20"/>
                <w:szCs w:val="20"/>
                <w:color w:val="auto"/>
              </w:rPr>
            </w:pPr>
            <w:r>
              <w:rPr>
                <w:rFonts w:ascii="Arial" w:cs="Arial" w:eastAsia="Arial" w:hAnsi="Arial"/>
                <w:sz w:val="16"/>
                <w:szCs w:val="16"/>
                <w:color w:val="auto"/>
                <w:w w:val="99"/>
              </w:rPr>
              <w:t>97.50%</w:t>
            </w:r>
          </w:p>
        </w:tc>
        <w:tc>
          <w:tcPr>
            <w:tcW w:w="2940" w:type="dxa"/>
            <w:vAlign w:val="bottom"/>
          </w:tcPr>
          <w:p>
            <w:pPr>
              <w:jc w:val="center"/>
              <w:ind w:left="160"/>
              <w:spacing w:after="0"/>
              <w:rPr>
                <w:sz w:val="20"/>
                <w:szCs w:val="20"/>
                <w:color w:val="auto"/>
              </w:rPr>
            </w:pPr>
            <w:r>
              <w:rPr>
                <w:rFonts w:ascii="Arial" w:cs="Arial" w:eastAsia="Arial" w:hAnsi="Arial"/>
                <w:sz w:val="16"/>
                <w:szCs w:val="16"/>
                <w:color w:val="auto"/>
                <w:w w:val="99"/>
              </w:rPr>
              <w:t>98.75%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00" w:type="dxa"/>
            <w:vAlign w:val="bottom"/>
            <w:shd w:val="clear" w:color="auto" w:fill="DBDBDB"/>
          </w:tcPr>
          <w:p>
            <w:pPr>
              <w:spacing w:after="0"/>
              <w:rPr>
                <w:sz w:val="20"/>
                <w:szCs w:val="20"/>
                <w:color w:val="auto"/>
              </w:rPr>
            </w:pPr>
            <w:r>
              <w:rPr>
                <w:rFonts w:ascii="Arial" w:cs="Arial" w:eastAsia="Arial" w:hAnsi="Arial"/>
                <w:sz w:val="16"/>
                <w:szCs w:val="16"/>
                <w:color w:val="auto"/>
              </w:rPr>
              <w:t>Simon Keeton</w:t>
            </w:r>
          </w:p>
        </w:tc>
        <w:tc>
          <w:tcPr>
            <w:tcW w:w="2760" w:type="dxa"/>
            <w:vAlign w:val="bottom"/>
            <w:shd w:val="clear" w:color="auto" w:fill="DBDBDB"/>
          </w:tcPr>
          <w:p>
            <w:pPr>
              <w:jc w:val="center"/>
              <w:ind w:left="2"/>
              <w:spacing w:after="0"/>
              <w:rPr>
                <w:sz w:val="20"/>
                <w:szCs w:val="20"/>
                <w:color w:val="auto"/>
              </w:rPr>
            </w:pPr>
            <w:r>
              <w:rPr>
                <w:rFonts w:ascii="Arial" w:cs="Arial" w:eastAsia="Arial" w:hAnsi="Arial"/>
                <w:sz w:val="16"/>
                <w:szCs w:val="16"/>
                <w:color w:val="auto"/>
              </w:rPr>
              <w:t>100.00%</w:t>
            </w:r>
          </w:p>
        </w:tc>
        <w:tc>
          <w:tcPr>
            <w:tcW w:w="2460" w:type="dxa"/>
            <w:vAlign w:val="bottom"/>
            <w:shd w:val="clear" w:color="auto" w:fill="DBDBDB"/>
          </w:tcPr>
          <w:p>
            <w:pPr>
              <w:jc w:val="center"/>
              <w:ind w:left="162"/>
              <w:spacing w:after="0"/>
              <w:rPr>
                <w:sz w:val="20"/>
                <w:szCs w:val="20"/>
                <w:color w:val="auto"/>
              </w:rPr>
            </w:pPr>
            <w:r>
              <w:rPr>
                <w:rFonts w:ascii="Arial" w:cs="Arial" w:eastAsia="Arial" w:hAnsi="Arial"/>
                <w:sz w:val="16"/>
                <w:szCs w:val="16"/>
                <w:color w:val="auto"/>
                <w:w w:val="99"/>
              </w:rPr>
              <w:t>91.60%</w:t>
            </w:r>
          </w:p>
        </w:tc>
        <w:tc>
          <w:tcPr>
            <w:tcW w:w="2940" w:type="dxa"/>
            <w:vAlign w:val="bottom"/>
            <w:shd w:val="clear" w:color="auto" w:fill="DBDBDB"/>
          </w:tcPr>
          <w:p>
            <w:pPr>
              <w:jc w:val="center"/>
              <w:ind w:left="160"/>
              <w:spacing w:after="0"/>
              <w:rPr>
                <w:sz w:val="20"/>
                <w:szCs w:val="20"/>
                <w:color w:val="auto"/>
              </w:rPr>
            </w:pPr>
            <w:r>
              <w:rPr>
                <w:rFonts w:ascii="Arial" w:cs="Arial" w:eastAsia="Arial" w:hAnsi="Arial"/>
                <w:sz w:val="16"/>
                <w:szCs w:val="16"/>
                <w:color w:val="auto"/>
                <w:w w:val="99"/>
              </w:rPr>
              <w:t>95.80%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tcPr>
          <w:p>
            <w:pPr>
              <w:spacing w:after="0"/>
              <w:rPr>
                <w:sz w:val="20"/>
                <w:szCs w:val="20"/>
                <w:color w:val="auto"/>
              </w:rPr>
            </w:pPr>
            <w:r>
              <w:rPr>
                <w:rFonts w:ascii="Arial" w:cs="Arial" w:eastAsia="Arial" w:hAnsi="Arial"/>
                <w:sz w:val="16"/>
                <w:szCs w:val="16"/>
                <w:color w:val="auto"/>
              </w:rPr>
              <w:t>Ross F. Jatou</w:t>
            </w:r>
          </w:p>
        </w:tc>
        <w:tc>
          <w:tcPr>
            <w:tcW w:w="2760" w:type="dxa"/>
            <w:vAlign w:val="bottom"/>
          </w:tcPr>
          <w:p>
            <w:pPr>
              <w:jc w:val="center"/>
              <w:ind w:left="2"/>
              <w:spacing w:after="0"/>
              <w:rPr>
                <w:sz w:val="20"/>
                <w:szCs w:val="20"/>
                <w:color w:val="auto"/>
              </w:rPr>
            </w:pPr>
            <w:r>
              <w:rPr>
                <w:rFonts w:ascii="Arial" w:cs="Arial" w:eastAsia="Arial" w:hAnsi="Arial"/>
                <w:sz w:val="16"/>
                <w:szCs w:val="16"/>
                <w:color w:val="auto"/>
              </w:rPr>
              <w:t>100.00%</w:t>
            </w:r>
          </w:p>
        </w:tc>
        <w:tc>
          <w:tcPr>
            <w:tcW w:w="2460" w:type="dxa"/>
            <w:vAlign w:val="bottom"/>
          </w:tcPr>
          <w:p>
            <w:pPr>
              <w:jc w:val="center"/>
              <w:ind w:left="162"/>
              <w:spacing w:after="0"/>
              <w:rPr>
                <w:sz w:val="20"/>
                <w:szCs w:val="20"/>
                <w:color w:val="auto"/>
              </w:rPr>
            </w:pPr>
            <w:r>
              <w:rPr>
                <w:rFonts w:ascii="Arial" w:cs="Arial" w:eastAsia="Arial" w:hAnsi="Arial"/>
                <w:sz w:val="16"/>
                <w:szCs w:val="16"/>
                <w:color w:val="auto"/>
                <w:w w:val="99"/>
              </w:rPr>
              <w:t>89.06%</w:t>
            </w:r>
          </w:p>
        </w:tc>
        <w:tc>
          <w:tcPr>
            <w:tcW w:w="2940" w:type="dxa"/>
            <w:vAlign w:val="bottom"/>
          </w:tcPr>
          <w:p>
            <w:pPr>
              <w:jc w:val="center"/>
              <w:ind w:left="160"/>
              <w:spacing w:after="0"/>
              <w:rPr>
                <w:sz w:val="20"/>
                <w:szCs w:val="20"/>
                <w:color w:val="auto"/>
              </w:rPr>
            </w:pPr>
            <w:r>
              <w:rPr>
                <w:rFonts w:ascii="Arial" w:cs="Arial" w:eastAsia="Arial" w:hAnsi="Arial"/>
                <w:sz w:val="16"/>
                <w:szCs w:val="16"/>
                <w:color w:val="auto"/>
                <w:w w:val="99"/>
              </w:rPr>
              <w:t>94.53%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rPr>
              <w:t>Robert Tong</w:t>
            </w:r>
          </w:p>
        </w:tc>
        <w:tc>
          <w:tcPr>
            <w:tcW w:w="2760" w:type="dxa"/>
            <w:vAlign w:val="bottom"/>
            <w:tcBorders>
              <w:bottom w:val="single" w:sz="8" w:color="auto"/>
            </w:tcBorders>
            <w:shd w:val="clear" w:color="auto" w:fill="DBDBDB"/>
          </w:tcPr>
          <w:p>
            <w:pPr>
              <w:jc w:val="center"/>
              <w:ind w:left="2"/>
              <w:spacing w:after="0"/>
              <w:rPr>
                <w:sz w:val="20"/>
                <w:szCs w:val="20"/>
                <w:color w:val="auto"/>
              </w:rPr>
            </w:pPr>
            <w:r>
              <w:rPr>
                <w:rFonts w:ascii="Arial" w:cs="Arial" w:eastAsia="Arial" w:hAnsi="Arial"/>
                <w:sz w:val="16"/>
                <w:szCs w:val="16"/>
                <w:color w:val="auto"/>
              </w:rPr>
              <w:t>100.00%</w:t>
            </w:r>
          </w:p>
        </w:tc>
        <w:tc>
          <w:tcPr>
            <w:tcW w:w="2460" w:type="dxa"/>
            <w:vAlign w:val="bottom"/>
            <w:tcBorders>
              <w:bottom w:val="single" w:sz="8" w:color="auto"/>
            </w:tcBorders>
            <w:shd w:val="clear" w:color="auto" w:fill="DBDBDB"/>
          </w:tcPr>
          <w:p>
            <w:pPr>
              <w:jc w:val="center"/>
              <w:ind w:left="162"/>
              <w:spacing w:after="0"/>
              <w:rPr>
                <w:sz w:val="20"/>
                <w:szCs w:val="20"/>
                <w:color w:val="auto"/>
              </w:rPr>
            </w:pPr>
            <w:r>
              <w:rPr>
                <w:rFonts w:ascii="Arial" w:cs="Arial" w:eastAsia="Arial" w:hAnsi="Arial"/>
                <w:sz w:val="16"/>
                <w:szCs w:val="16"/>
                <w:color w:val="auto"/>
                <w:w w:val="99"/>
              </w:rPr>
              <w:t>56.38%</w:t>
            </w:r>
          </w:p>
        </w:tc>
        <w:tc>
          <w:tcPr>
            <w:tcW w:w="2940" w:type="dxa"/>
            <w:vAlign w:val="bottom"/>
            <w:tcBorders>
              <w:bottom w:val="single" w:sz="8" w:color="auto"/>
            </w:tcBorders>
            <w:shd w:val="clear" w:color="auto" w:fill="DBDBDB"/>
          </w:tcPr>
          <w:p>
            <w:pPr>
              <w:jc w:val="center"/>
              <w:ind w:left="160"/>
              <w:spacing w:after="0"/>
              <w:rPr>
                <w:sz w:val="20"/>
                <w:szCs w:val="20"/>
                <w:color w:val="auto"/>
              </w:rPr>
            </w:pPr>
            <w:r>
              <w:rPr>
                <w:rFonts w:ascii="Arial" w:cs="Arial" w:eastAsia="Arial" w:hAnsi="Arial"/>
                <w:sz w:val="16"/>
                <w:szCs w:val="16"/>
                <w:color w:val="auto"/>
                <w:w w:val="99"/>
              </w:rPr>
              <w:t>78.19%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 Mr. Hopkin is not included in the table as he was not eligible to earn a payout under the 2022 STI program following his retirement.</w:t>
      </w:r>
    </w:p>
    <w:p>
      <w:pPr>
        <w:spacing w:after="0" w:line="342"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As indicated in the chart above, each of Messrs. El-Khoury, Trent, Keeton and Jatou met nearly all of his NEO Strategic Goals for 2022, resulting in achievement at 89% or greater on NEO Strategic Goals and, when combined with the level of achievement of his NEO Financial</w:t>
      </w:r>
    </w:p>
    <w:p>
      <w:pPr>
        <w:jc w:val="both"/>
        <w:spacing w:after="0" w:line="226" w:lineRule="auto"/>
        <w:rPr>
          <w:sz w:val="20"/>
          <w:szCs w:val="20"/>
          <w:color w:val="auto"/>
        </w:rPr>
      </w:pPr>
      <w:r>
        <w:rPr>
          <w:rFonts w:ascii="Arial" w:cs="Arial" w:eastAsia="Arial" w:hAnsi="Arial"/>
          <w:sz w:val="18"/>
          <w:szCs w:val="18"/>
          <w:color w:val="auto"/>
        </w:rPr>
        <w:t>Goals, 94% or greater on his final Individual Goal achievement percentage. With respect to Mr. Tong’s NEO Strategic Goals, his degree of achievement was negatively impacted by delays in meeting certain quarterly product development milestones (under our scoring</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methodology, points are deducted even if those milestones are met later in the year) and a shift in strategic focus for his business unit (ASG), which culminated in a decision to wind down one of its divisions (our legacy Quantenna business). As a result, Mr. Tong’s final Individual Goal achievement percentage for 2022 was just over 78%.</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u w:val="single" w:color="auto"/>
          <w:color w:val="auto"/>
        </w:rPr>
        <w:t>Use of Non-GAAP Measures</w:t>
      </w:r>
      <w:r>
        <w:rPr>
          <w:rFonts w:ascii="Arial" w:cs="Arial" w:eastAsia="Arial" w:hAnsi="Arial"/>
          <w:sz w:val="18"/>
          <w:szCs w:val="18"/>
          <w:color w:val="auto"/>
        </w:rPr>
        <w:t>. Several of the financial targets in the Corporate Multiplier and NEO Financial Goals were non-GAAP measures. The HCC determined that non-GAAP metrics should be used for the 2022 STI program rather than GAAP metrics to prevent</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payments under the 2022 STI program from being significantly impacted (positively or negatively) by extraordinary or unusual events or non-cash items. The HCC Committee also considered adjustments eliminating the effect of certain non-cash items to be appropriate, believing that the adjusted numbers are a better indicator of current actual Company operating performance.</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u w:val="single" w:color="auto"/>
          <w:color w:val="auto"/>
        </w:rPr>
        <w:t>Final Payouts under the 2022 STI Program</w:t>
      </w:r>
      <w:r>
        <w:rPr>
          <w:rFonts w:ascii="Arial" w:cs="Arial" w:eastAsia="Arial" w:hAnsi="Arial"/>
          <w:sz w:val="18"/>
          <w:szCs w:val="18"/>
          <w:color w:val="auto"/>
        </w:rPr>
        <w:t>. After evaluating the performance results of these components, the HCC Committee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payouts to our NEOs under the 2022 STI program:</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80" w:type="dxa"/>
            <w:vAlign w:val="bottom"/>
            <w:shd w:val="clear" w:color="auto" w:fill="465E66"/>
          </w:tcPr>
          <w:p>
            <w:pPr>
              <w:spacing w:after="0"/>
              <w:rPr>
                <w:sz w:val="14"/>
                <w:szCs w:val="14"/>
                <w:color w:val="auto"/>
              </w:rPr>
            </w:pPr>
          </w:p>
        </w:tc>
        <w:tc>
          <w:tcPr>
            <w:tcW w:w="1860" w:type="dxa"/>
            <w:vAlign w:val="bottom"/>
            <w:vMerge w:val="restart"/>
            <w:shd w:val="clear" w:color="auto" w:fill="465E66"/>
          </w:tcPr>
          <w:p>
            <w:pPr>
              <w:ind w:left="380"/>
              <w:spacing w:after="0"/>
              <w:rPr>
                <w:sz w:val="20"/>
                <w:szCs w:val="20"/>
                <w:color w:val="auto"/>
              </w:rPr>
            </w:pPr>
            <w:r>
              <w:rPr>
                <w:rFonts w:ascii="Arial" w:cs="Arial" w:eastAsia="Arial" w:hAnsi="Arial"/>
                <w:sz w:val="14"/>
                <w:szCs w:val="14"/>
                <w:b w:val="1"/>
                <w:bCs w:val="1"/>
                <w:color w:val="FFFFFF"/>
              </w:rPr>
              <w:t>Corporate Multiplier</w:t>
            </w:r>
          </w:p>
        </w:tc>
        <w:tc>
          <w:tcPr>
            <w:tcW w:w="2260" w:type="dxa"/>
            <w:vAlign w:val="bottom"/>
            <w:shd w:val="clear" w:color="auto" w:fill="465E66"/>
          </w:tcPr>
          <w:p>
            <w:pPr>
              <w:jc w:val="center"/>
              <w:ind w:right="2"/>
              <w:spacing w:after="0"/>
              <w:rPr>
                <w:sz w:val="20"/>
                <w:szCs w:val="20"/>
                <w:color w:val="auto"/>
              </w:rPr>
            </w:pPr>
            <w:r>
              <w:rPr>
                <w:rFonts w:ascii="Arial" w:cs="Arial" w:eastAsia="Arial" w:hAnsi="Arial"/>
                <w:sz w:val="14"/>
                <w:szCs w:val="14"/>
                <w:b w:val="1"/>
                <w:bCs w:val="1"/>
                <w:color w:val="FFFFFF"/>
              </w:rPr>
              <w:t>Individual Goal Achievement</w:t>
            </w:r>
          </w:p>
        </w:tc>
        <w:tc>
          <w:tcPr>
            <w:tcW w:w="1780" w:type="dxa"/>
            <w:vAlign w:val="bottom"/>
            <w:vMerge w:val="restart"/>
            <w:shd w:val="clear" w:color="auto" w:fill="465E66"/>
          </w:tcPr>
          <w:p>
            <w:pPr>
              <w:jc w:val="center"/>
              <w:ind w:right="102"/>
              <w:spacing w:after="0"/>
              <w:rPr>
                <w:sz w:val="20"/>
                <w:szCs w:val="20"/>
                <w:color w:val="auto"/>
              </w:rPr>
            </w:pPr>
            <w:r>
              <w:rPr>
                <w:rFonts w:ascii="Arial" w:cs="Arial" w:eastAsia="Arial" w:hAnsi="Arial"/>
                <w:sz w:val="14"/>
                <w:szCs w:val="14"/>
                <w:b w:val="1"/>
                <w:bCs w:val="1"/>
                <w:color w:val="FFFFFF"/>
                <w:w w:val="99"/>
              </w:rPr>
              <w:t>STI Target</w:t>
            </w:r>
          </w:p>
        </w:tc>
        <w:tc>
          <w:tcPr>
            <w:tcW w:w="15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Eligible</w:t>
            </w:r>
          </w:p>
        </w:tc>
        <w:tc>
          <w:tcPr>
            <w:tcW w:w="16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Final Cash</w:t>
            </w:r>
          </w:p>
        </w:tc>
        <w:tc>
          <w:tcPr>
            <w:tcW w:w="0" w:type="dxa"/>
            <w:vAlign w:val="bottom"/>
          </w:tcPr>
          <w:p>
            <w:pPr>
              <w:spacing w:after="0"/>
              <w:rPr>
                <w:sz w:val="1"/>
                <w:szCs w:val="1"/>
                <w:color w:val="auto"/>
              </w:rPr>
            </w:pPr>
          </w:p>
        </w:tc>
      </w:tr>
      <w:tr>
        <w:trPr>
          <w:trHeight w:val="148"/>
        </w:trPr>
        <w:tc>
          <w:tcPr>
            <w:tcW w:w="178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NEO (1)</w:t>
            </w:r>
          </w:p>
        </w:tc>
        <w:tc>
          <w:tcPr>
            <w:tcW w:w="1860" w:type="dxa"/>
            <w:vAlign w:val="bottom"/>
            <w:vMerge w:val="continue"/>
            <w:shd w:val="clear" w:color="auto" w:fill="465E66"/>
          </w:tcPr>
          <w:p>
            <w:pPr>
              <w:spacing w:after="0"/>
              <w:rPr>
                <w:sz w:val="12"/>
                <w:szCs w:val="12"/>
                <w:color w:val="auto"/>
              </w:rPr>
            </w:pPr>
          </w:p>
        </w:tc>
        <w:tc>
          <w:tcPr>
            <w:tcW w:w="2260" w:type="dxa"/>
            <w:vAlign w:val="bottom"/>
            <w:shd w:val="clear" w:color="auto" w:fill="465E66"/>
          </w:tcPr>
          <w:p>
            <w:pPr>
              <w:jc w:val="center"/>
              <w:ind w:right="2"/>
              <w:spacing w:after="0" w:line="149" w:lineRule="exact"/>
              <w:rPr>
                <w:sz w:val="20"/>
                <w:szCs w:val="20"/>
                <w:color w:val="auto"/>
              </w:rPr>
            </w:pPr>
            <w:r>
              <w:rPr>
                <w:rFonts w:ascii="Arial" w:cs="Arial" w:eastAsia="Arial" w:hAnsi="Arial"/>
                <w:sz w:val="14"/>
                <w:szCs w:val="14"/>
                <w:b w:val="1"/>
                <w:bCs w:val="1"/>
                <w:color w:val="FFFFFF"/>
              </w:rPr>
              <w:t>Percentage</w:t>
            </w:r>
          </w:p>
        </w:tc>
        <w:tc>
          <w:tcPr>
            <w:tcW w:w="1780" w:type="dxa"/>
            <w:vAlign w:val="bottom"/>
            <w:vMerge w:val="continue"/>
            <w:shd w:val="clear" w:color="auto" w:fill="465E66"/>
          </w:tcPr>
          <w:p>
            <w:pPr>
              <w:spacing w:after="0"/>
              <w:rPr>
                <w:sz w:val="12"/>
                <w:szCs w:val="12"/>
                <w:color w:val="auto"/>
              </w:rPr>
            </w:pPr>
          </w:p>
        </w:tc>
        <w:tc>
          <w:tcPr>
            <w:tcW w:w="1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Earnings (2)</w:t>
            </w:r>
          </w:p>
        </w:tc>
        <w:tc>
          <w:tcPr>
            <w:tcW w:w="16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STI Payment</w:t>
            </w:r>
          </w:p>
        </w:tc>
        <w:tc>
          <w:tcPr>
            <w:tcW w:w="0" w:type="dxa"/>
            <w:vAlign w:val="bottom"/>
          </w:tcPr>
          <w:p>
            <w:pPr>
              <w:spacing w:after="0"/>
              <w:rPr>
                <w:sz w:val="1"/>
                <w:szCs w:val="1"/>
                <w:color w:val="auto"/>
              </w:rPr>
            </w:pPr>
          </w:p>
        </w:tc>
      </w:tr>
      <w:tr>
        <w:trPr>
          <w:trHeight w:val="185"/>
        </w:trPr>
        <w:tc>
          <w:tcPr>
            <w:tcW w:w="1780" w:type="dxa"/>
            <w:vAlign w:val="bottom"/>
            <w:vMerge w:val="continue"/>
            <w:shd w:val="clear" w:color="auto" w:fill="465E66"/>
          </w:tcPr>
          <w:p>
            <w:pPr>
              <w:spacing w:after="0"/>
              <w:rPr>
                <w:sz w:val="16"/>
                <w:szCs w:val="16"/>
                <w:color w:val="auto"/>
              </w:rPr>
            </w:pPr>
          </w:p>
        </w:tc>
        <w:tc>
          <w:tcPr>
            <w:tcW w:w="1860" w:type="dxa"/>
            <w:vAlign w:val="bottom"/>
            <w:shd w:val="clear" w:color="auto" w:fill="465E66"/>
          </w:tcPr>
          <w:p>
            <w:pPr>
              <w:jc w:val="center"/>
              <w:ind w:left="202"/>
              <w:spacing w:after="0"/>
              <w:rPr>
                <w:sz w:val="20"/>
                <w:szCs w:val="20"/>
                <w:color w:val="auto"/>
              </w:rPr>
            </w:pPr>
            <w:r>
              <w:rPr>
                <w:rFonts w:ascii="Arial" w:cs="Arial" w:eastAsia="Arial" w:hAnsi="Arial"/>
                <w:sz w:val="14"/>
                <w:szCs w:val="14"/>
                <w:b w:val="1"/>
                <w:bCs w:val="1"/>
                <w:color w:val="FFFFFF"/>
              </w:rPr>
              <w:t>(%)</w:t>
            </w:r>
          </w:p>
        </w:tc>
        <w:tc>
          <w:tcPr>
            <w:tcW w:w="2260" w:type="dxa"/>
            <w:vAlign w:val="bottom"/>
            <w:shd w:val="clear" w:color="auto" w:fill="465E66"/>
          </w:tcPr>
          <w:p>
            <w:pPr>
              <w:jc w:val="center"/>
              <w:ind w:right="2"/>
              <w:spacing w:after="0"/>
              <w:rPr>
                <w:sz w:val="20"/>
                <w:szCs w:val="20"/>
                <w:color w:val="auto"/>
              </w:rPr>
            </w:pPr>
            <w:r>
              <w:rPr>
                <w:rFonts w:ascii="Arial" w:cs="Arial" w:eastAsia="Arial" w:hAnsi="Arial"/>
                <w:sz w:val="14"/>
                <w:szCs w:val="14"/>
                <w:b w:val="1"/>
                <w:bCs w:val="1"/>
                <w:color w:val="FFFFFF"/>
              </w:rPr>
              <w:t>(%)</w:t>
            </w:r>
          </w:p>
        </w:tc>
        <w:tc>
          <w:tcPr>
            <w:tcW w:w="1780" w:type="dxa"/>
            <w:vAlign w:val="bottom"/>
            <w:shd w:val="clear" w:color="auto" w:fill="465E66"/>
          </w:tcPr>
          <w:p>
            <w:pPr>
              <w:jc w:val="center"/>
              <w:ind w:right="102"/>
              <w:spacing w:after="0"/>
              <w:rPr>
                <w:sz w:val="20"/>
                <w:szCs w:val="20"/>
                <w:color w:val="auto"/>
              </w:rPr>
            </w:pPr>
            <w:r>
              <w:rPr>
                <w:rFonts w:ascii="Arial" w:cs="Arial" w:eastAsia="Arial" w:hAnsi="Arial"/>
                <w:sz w:val="14"/>
                <w:szCs w:val="14"/>
                <w:b w:val="1"/>
                <w:bCs w:val="1"/>
                <w:color w:val="FFFFFF"/>
              </w:rPr>
              <w:t>(% of Base Salary)</w:t>
            </w:r>
          </w:p>
        </w:tc>
        <w:tc>
          <w:tcPr>
            <w:tcW w:w="15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Hassane El-Khoury</w:t>
            </w:r>
          </w:p>
        </w:tc>
        <w:tc>
          <w:tcPr>
            <w:tcW w:w="1860" w:type="dxa"/>
            <w:vAlign w:val="bottom"/>
            <w:shd w:val="clear" w:color="auto" w:fill="DBDBDB"/>
          </w:tcPr>
          <w:p>
            <w:pPr>
              <w:jc w:val="center"/>
              <w:ind w:left="202"/>
              <w:spacing w:after="0"/>
              <w:rPr>
                <w:sz w:val="20"/>
                <w:szCs w:val="20"/>
                <w:color w:val="auto"/>
              </w:rPr>
            </w:pPr>
            <w:r>
              <w:rPr>
                <w:rFonts w:ascii="Arial" w:cs="Arial" w:eastAsia="Arial" w:hAnsi="Arial"/>
                <w:sz w:val="16"/>
                <w:szCs w:val="16"/>
                <w:color w:val="auto"/>
              </w:rPr>
              <w:t>200%</w:t>
            </w:r>
          </w:p>
        </w:tc>
        <w:tc>
          <w:tcPr>
            <w:tcW w:w="2260" w:type="dxa"/>
            <w:vAlign w:val="bottom"/>
            <w:shd w:val="clear" w:color="auto" w:fill="DBDBDB"/>
          </w:tcPr>
          <w:p>
            <w:pPr>
              <w:jc w:val="center"/>
              <w:ind w:right="2"/>
              <w:spacing w:after="0"/>
              <w:rPr>
                <w:sz w:val="20"/>
                <w:szCs w:val="20"/>
                <w:color w:val="auto"/>
              </w:rPr>
            </w:pPr>
            <w:r>
              <w:rPr>
                <w:rFonts w:ascii="Arial" w:cs="Arial" w:eastAsia="Arial" w:hAnsi="Arial"/>
                <w:sz w:val="16"/>
                <w:szCs w:val="16"/>
                <w:color w:val="auto"/>
                <w:w w:val="99"/>
              </w:rPr>
              <w:t>99.47%</w:t>
            </w:r>
          </w:p>
        </w:tc>
        <w:tc>
          <w:tcPr>
            <w:tcW w:w="1780" w:type="dxa"/>
            <w:vAlign w:val="bottom"/>
            <w:shd w:val="clear" w:color="auto" w:fill="DBDBDB"/>
          </w:tcPr>
          <w:p>
            <w:pPr>
              <w:jc w:val="center"/>
              <w:ind w:right="102"/>
              <w:spacing w:after="0"/>
              <w:rPr>
                <w:sz w:val="20"/>
                <w:szCs w:val="20"/>
                <w:color w:val="auto"/>
              </w:rPr>
            </w:pPr>
            <w:r>
              <w:rPr>
                <w:rFonts w:ascii="Arial" w:cs="Arial" w:eastAsia="Arial" w:hAnsi="Arial"/>
                <w:sz w:val="16"/>
                <w:szCs w:val="16"/>
                <w:color w:val="auto"/>
                <w:w w:val="97"/>
              </w:rPr>
              <w:t>150%</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984,615</w:t>
            </w:r>
          </w:p>
        </w:tc>
        <w:tc>
          <w:tcPr>
            <w:tcW w:w="16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2,938,191</w:t>
            </w:r>
          </w:p>
        </w:tc>
        <w:tc>
          <w:tcPr>
            <w:tcW w:w="0" w:type="dxa"/>
            <w:vAlign w:val="bottom"/>
          </w:tcPr>
          <w:p>
            <w:pPr>
              <w:spacing w:after="0"/>
              <w:rPr>
                <w:sz w:val="1"/>
                <w:szCs w:val="1"/>
                <w:color w:val="auto"/>
              </w:rPr>
            </w:pPr>
          </w:p>
        </w:tc>
      </w:tr>
      <w:tr>
        <w:trPr>
          <w:trHeight w:val="215"/>
        </w:trPr>
        <w:tc>
          <w:tcPr>
            <w:tcW w:w="1780" w:type="dxa"/>
            <w:vAlign w:val="bottom"/>
          </w:tcPr>
          <w:p>
            <w:pPr>
              <w:ind w:left="20"/>
              <w:spacing w:after="0"/>
              <w:rPr>
                <w:sz w:val="20"/>
                <w:szCs w:val="20"/>
                <w:color w:val="auto"/>
              </w:rPr>
            </w:pPr>
            <w:r>
              <w:rPr>
                <w:rFonts w:ascii="Arial" w:cs="Arial" w:eastAsia="Arial" w:hAnsi="Arial"/>
                <w:sz w:val="16"/>
                <w:szCs w:val="16"/>
                <w:color w:val="auto"/>
              </w:rPr>
              <w:t>Thad Trent</w:t>
            </w:r>
          </w:p>
        </w:tc>
        <w:tc>
          <w:tcPr>
            <w:tcW w:w="1860" w:type="dxa"/>
            <w:vAlign w:val="bottom"/>
          </w:tcPr>
          <w:p>
            <w:pPr>
              <w:jc w:val="center"/>
              <w:ind w:left="202"/>
              <w:spacing w:after="0"/>
              <w:rPr>
                <w:sz w:val="20"/>
                <w:szCs w:val="20"/>
                <w:color w:val="auto"/>
              </w:rPr>
            </w:pPr>
            <w:r>
              <w:rPr>
                <w:rFonts w:ascii="Arial" w:cs="Arial" w:eastAsia="Arial" w:hAnsi="Arial"/>
                <w:sz w:val="16"/>
                <w:szCs w:val="16"/>
                <w:color w:val="auto"/>
              </w:rPr>
              <w:t>200%</w:t>
            </w:r>
          </w:p>
        </w:tc>
        <w:tc>
          <w:tcPr>
            <w:tcW w:w="2260" w:type="dxa"/>
            <w:vAlign w:val="bottom"/>
          </w:tcPr>
          <w:p>
            <w:pPr>
              <w:jc w:val="center"/>
              <w:ind w:right="2"/>
              <w:spacing w:after="0"/>
              <w:rPr>
                <w:sz w:val="20"/>
                <w:szCs w:val="20"/>
                <w:color w:val="auto"/>
              </w:rPr>
            </w:pPr>
            <w:r>
              <w:rPr>
                <w:rFonts w:ascii="Arial" w:cs="Arial" w:eastAsia="Arial" w:hAnsi="Arial"/>
                <w:sz w:val="16"/>
                <w:szCs w:val="16"/>
                <w:color w:val="auto"/>
                <w:w w:val="99"/>
              </w:rPr>
              <w:t>98.75%</w:t>
            </w:r>
          </w:p>
        </w:tc>
        <w:tc>
          <w:tcPr>
            <w:tcW w:w="1780" w:type="dxa"/>
            <w:vAlign w:val="bottom"/>
          </w:tcPr>
          <w:p>
            <w:pPr>
              <w:jc w:val="center"/>
              <w:ind w:right="102"/>
              <w:spacing w:after="0"/>
              <w:rPr>
                <w:sz w:val="20"/>
                <w:szCs w:val="20"/>
                <w:color w:val="auto"/>
              </w:rPr>
            </w:pPr>
            <w:r>
              <w:rPr>
                <w:rFonts w:ascii="Arial" w:cs="Arial" w:eastAsia="Arial" w:hAnsi="Arial"/>
                <w:sz w:val="16"/>
                <w:szCs w:val="16"/>
                <w:color w:val="auto"/>
                <w:w w:val="97"/>
              </w:rPr>
              <w:t>100%</w:t>
            </w:r>
          </w:p>
        </w:tc>
        <w:tc>
          <w:tcPr>
            <w:tcW w:w="1580" w:type="dxa"/>
            <w:vAlign w:val="bottom"/>
          </w:tcPr>
          <w:p>
            <w:pPr>
              <w:jc w:val="center"/>
              <w:spacing w:after="0"/>
              <w:rPr>
                <w:sz w:val="20"/>
                <w:szCs w:val="20"/>
                <w:color w:val="auto"/>
              </w:rPr>
            </w:pPr>
            <w:r>
              <w:rPr>
                <w:rFonts w:ascii="Arial" w:cs="Arial" w:eastAsia="Arial" w:hAnsi="Arial"/>
                <w:sz w:val="16"/>
                <w:szCs w:val="16"/>
                <w:color w:val="auto"/>
              </w:rPr>
              <w:t>600,000</w:t>
            </w:r>
          </w:p>
        </w:tc>
        <w:tc>
          <w:tcPr>
            <w:tcW w:w="1680" w:type="dxa"/>
            <w:vAlign w:val="bottom"/>
          </w:tcPr>
          <w:p>
            <w:pPr>
              <w:jc w:val="center"/>
              <w:spacing w:after="0"/>
              <w:rPr>
                <w:sz w:val="20"/>
                <w:szCs w:val="20"/>
                <w:color w:val="auto"/>
              </w:rPr>
            </w:pPr>
            <w:r>
              <w:rPr>
                <w:rFonts w:ascii="Arial" w:cs="Arial" w:eastAsia="Arial" w:hAnsi="Arial"/>
                <w:sz w:val="16"/>
                <w:szCs w:val="16"/>
                <w:color w:val="auto"/>
              </w:rPr>
              <w:t>1,185,000</w:t>
            </w:r>
          </w:p>
        </w:tc>
        <w:tc>
          <w:tcPr>
            <w:tcW w:w="0" w:type="dxa"/>
            <w:vAlign w:val="bottom"/>
          </w:tcPr>
          <w:p>
            <w:pPr>
              <w:spacing w:after="0"/>
              <w:rPr>
                <w:sz w:val="1"/>
                <w:szCs w:val="1"/>
                <w:color w:val="auto"/>
              </w:rPr>
            </w:pPr>
          </w:p>
        </w:tc>
      </w:tr>
      <w:tr>
        <w:trPr>
          <w:trHeight w:val="217"/>
        </w:trPr>
        <w:tc>
          <w:tcPr>
            <w:tcW w:w="1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Simon Keeton</w:t>
            </w:r>
          </w:p>
        </w:tc>
        <w:tc>
          <w:tcPr>
            <w:tcW w:w="1860" w:type="dxa"/>
            <w:vAlign w:val="bottom"/>
            <w:shd w:val="clear" w:color="auto" w:fill="DBDBDB"/>
          </w:tcPr>
          <w:p>
            <w:pPr>
              <w:jc w:val="center"/>
              <w:ind w:left="202"/>
              <w:spacing w:after="0"/>
              <w:rPr>
                <w:sz w:val="20"/>
                <w:szCs w:val="20"/>
                <w:color w:val="auto"/>
              </w:rPr>
            </w:pPr>
            <w:r>
              <w:rPr>
                <w:rFonts w:ascii="Arial" w:cs="Arial" w:eastAsia="Arial" w:hAnsi="Arial"/>
                <w:sz w:val="16"/>
                <w:szCs w:val="16"/>
                <w:color w:val="auto"/>
              </w:rPr>
              <w:t>200%</w:t>
            </w:r>
          </w:p>
        </w:tc>
        <w:tc>
          <w:tcPr>
            <w:tcW w:w="2260" w:type="dxa"/>
            <w:vAlign w:val="bottom"/>
            <w:shd w:val="clear" w:color="auto" w:fill="DBDBDB"/>
          </w:tcPr>
          <w:p>
            <w:pPr>
              <w:jc w:val="center"/>
              <w:ind w:right="2"/>
              <w:spacing w:after="0"/>
              <w:rPr>
                <w:sz w:val="20"/>
                <w:szCs w:val="20"/>
                <w:color w:val="auto"/>
              </w:rPr>
            </w:pPr>
            <w:r>
              <w:rPr>
                <w:rFonts w:ascii="Arial" w:cs="Arial" w:eastAsia="Arial" w:hAnsi="Arial"/>
                <w:sz w:val="16"/>
                <w:szCs w:val="16"/>
                <w:color w:val="auto"/>
                <w:w w:val="99"/>
              </w:rPr>
              <w:t>95.80%</w:t>
            </w:r>
          </w:p>
        </w:tc>
        <w:tc>
          <w:tcPr>
            <w:tcW w:w="1780" w:type="dxa"/>
            <w:vAlign w:val="bottom"/>
            <w:shd w:val="clear" w:color="auto" w:fill="DBDBDB"/>
          </w:tcPr>
          <w:p>
            <w:pPr>
              <w:jc w:val="center"/>
              <w:ind w:right="102"/>
              <w:spacing w:after="0"/>
              <w:rPr>
                <w:sz w:val="20"/>
                <w:szCs w:val="20"/>
                <w:color w:val="auto"/>
              </w:rPr>
            </w:pPr>
            <w:r>
              <w:rPr>
                <w:rFonts w:ascii="Arial" w:cs="Arial" w:eastAsia="Arial" w:hAnsi="Arial"/>
                <w:sz w:val="16"/>
                <w:szCs w:val="16"/>
                <w:color w:val="auto"/>
                <w:w w:val="99"/>
              </w:rPr>
              <w:t>85%</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517,308</w:t>
            </w:r>
          </w:p>
        </w:tc>
        <w:tc>
          <w:tcPr>
            <w:tcW w:w="16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842,487</w:t>
            </w:r>
          </w:p>
        </w:tc>
        <w:tc>
          <w:tcPr>
            <w:tcW w:w="0" w:type="dxa"/>
            <w:vAlign w:val="bottom"/>
          </w:tcPr>
          <w:p>
            <w:pPr>
              <w:spacing w:after="0"/>
              <w:rPr>
                <w:sz w:val="1"/>
                <w:szCs w:val="1"/>
                <w:color w:val="auto"/>
              </w:rPr>
            </w:pPr>
          </w:p>
        </w:tc>
      </w:tr>
      <w:tr>
        <w:trPr>
          <w:trHeight w:val="215"/>
        </w:trPr>
        <w:tc>
          <w:tcPr>
            <w:tcW w:w="1780" w:type="dxa"/>
            <w:vAlign w:val="bottom"/>
          </w:tcPr>
          <w:p>
            <w:pPr>
              <w:ind w:left="20"/>
              <w:spacing w:after="0"/>
              <w:rPr>
                <w:sz w:val="20"/>
                <w:szCs w:val="20"/>
                <w:color w:val="auto"/>
              </w:rPr>
            </w:pPr>
            <w:r>
              <w:rPr>
                <w:rFonts w:ascii="Arial" w:cs="Arial" w:eastAsia="Arial" w:hAnsi="Arial"/>
                <w:sz w:val="16"/>
                <w:szCs w:val="16"/>
                <w:color w:val="auto"/>
              </w:rPr>
              <w:t>Ross F. Jatou</w:t>
            </w:r>
          </w:p>
        </w:tc>
        <w:tc>
          <w:tcPr>
            <w:tcW w:w="1860" w:type="dxa"/>
            <w:vAlign w:val="bottom"/>
          </w:tcPr>
          <w:p>
            <w:pPr>
              <w:jc w:val="center"/>
              <w:ind w:left="202"/>
              <w:spacing w:after="0"/>
              <w:rPr>
                <w:sz w:val="20"/>
                <w:szCs w:val="20"/>
                <w:color w:val="auto"/>
              </w:rPr>
            </w:pPr>
            <w:r>
              <w:rPr>
                <w:rFonts w:ascii="Arial" w:cs="Arial" w:eastAsia="Arial" w:hAnsi="Arial"/>
                <w:sz w:val="16"/>
                <w:szCs w:val="16"/>
                <w:color w:val="auto"/>
              </w:rPr>
              <w:t>200%</w:t>
            </w:r>
          </w:p>
        </w:tc>
        <w:tc>
          <w:tcPr>
            <w:tcW w:w="2260" w:type="dxa"/>
            <w:vAlign w:val="bottom"/>
          </w:tcPr>
          <w:p>
            <w:pPr>
              <w:jc w:val="center"/>
              <w:ind w:right="2"/>
              <w:spacing w:after="0"/>
              <w:rPr>
                <w:sz w:val="20"/>
                <w:szCs w:val="20"/>
                <w:color w:val="auto"/>
              </w:rPr>
            </w:pPr>
            <w:r>
              <w:rPr>
                <w:rFonts w:ascii="Arial" w:cs="Arial" w:eastAsia="Arial" w:hAnsi="Arial"/>
                <w:sz w:val="16"/>
                <w:szCs w:val="16"/>
                <w:color w:val="auto"/>
                <w:w w:val="99"/>
              </w:rPr>
              <w:t>94.53%</w:t>
            </w:r>
          </w:p>
        </w:tc>
        <w:tc>
          <w:tcPr>
            <w:tcW w:w="1780" w:type="dxa"/>
            <w:vAlign w:val="bottom"/>
          </w:tcPr>
          <w:p>
            <w:pPr>
              <w:jc w:val="center"/>
              <w:ind w:right="102"/>
              <w:spacing w:after="0"/>
              <w:rPr>
                <w:sz w:val="20"/>
                <w:szCs w:val="20"/>
                <w:color w:val="auto"/>
              </w:rPr>
            </w:pPr>
            <w:r>
              <w:rPr>
                <w:rFonts w:ascii="Arial" w:cs="Arial" w:eastAsia="Arial" w:hAnsi="Arial"/>
                <w:sz w:val="16"/>
                <w:szCs w:val="16"/>
                <w:color w:val="auto"/>
                <w:w w:val="99"/>
              </w:rPr>
              <w:t>85%</w:t>
            </w:r>
          </w:p>
        </w:tc>
        <w:tc>
          <w:tcPr>
            <w:tcW w:w="1580" w:type="dxa"/>
            <w:vAlign w:val="bottom"/>
          </w:tcPr>
          <w:p>
            <w:pPr>
              <w:jc w:val="center"/>
              <w:spacing w:after="0"/>
              <w:rPr>
                <w:sz w:val="20"/>
                <w:szCs w:val="20"/>
                <w:color w:val="auto"/>
              </w:rPr>
            </w:pPr>
            <w:r>
              <w:rPr>
                <w:rFonts w:ascii="Arial" w:cs="Arial" w:eastAsia="Arial" w:hAnsi="Arial"/>
                <w:sz w:val="16"/>
                <w:szCs w:val="16"/>
                <w:color w:val="auto"/>
              </w:rPr>
              <w:t>450,000</w:t>
            </w:r>
          </w:p>
        </w:tc>
        <w:tc>
          <w:tcPr>
            <w:tcW w:w="1680" w:type="dxa"/>
            <w:vAlign w:val="bottom"/>
          </w:tcPr>
          <w:p>
            <w:pPr>
              <w:jc w:val="center"/>
              <w:spacing w:after="0"/>
              <w:rPr>
                <w:sz w:val="20"/>
                <w:szCs w:val="20"/>
                <w:color w:val="auto"/>
              </w:rPr>
            </w:pPr>
            <w:r>
              <w:rPr>
                <w:rFonts w:ascii="Arial" w:cs="Arial" w:eastAsia="Arial" w:hAnsi="Arial"/>
                <w:sz w:val="16"/>
                <w:szCs w:val="16"/>
                <w:color w:val="auto"/>
              </w:rPr>
              <w:t>723,155</w:t>
            </w: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Robert Tong</w:t>
            </w:r>
          </w:p>
        </w:tc>
        <w:tc>
          <w:tcPr>
            <w:tcW w:w="1860" w:type="dxa"/>
            <w:vAlign w:val="bottom"/>
            <w:tcBorders>
              <w:bottom w:val="single" w:sz="8" w:color="auto"/>
            </w:tcBorders>
            <w:shd w:val="clear" w:color="auto" w:fill="DBDBDB"/>
          </w:tcPr>
          <w:p>
            <w:pPr>
              <w:jc w:val="center"/>
              <w:ind w:left="202"/>
              <w:spacing w:after="0"/>
              <w:rPr>
                <w:sz w:val="20"/>
                <w:szCs w:val="20"/>
                <w:color w:val="auto"/>
              </w:rPr>
            </w:pPr>
            <w:r>
              <w:rPr>
                <w:rFonts w:ascii="Arial" w:cs="Arial" w:eastAsia="Arial" w:hAnsi="Arial"/>
                <w:sz w:val="16"/>
                <w:szCs w:val="16"/>
                <w:color w:val="auto"/>
              </w:rPr>
              <w:t>200%</w:t>
            </w:r>
          </w:p>
        </w:tc>
        <w:tc>
          <w:tcPr>
            <w:tcW w:w="2260" w:type="dxa"/>
            <w:vAlign w:val="bottom"/>
            <w:tcBorders>
              <w:bottom w:val="single" w:sz="8" w:color="auto"/>
            </w:tcBorders>
            <w:shd w:val="clear" w:color="auto" w:fill="DBDBDB"/>
          </w:tcPr>
          <w:p>
            <w:pPr>
              <w:jc w:val="center"/>
              <w:ind w:right="2"/>
              <w:spacing w:after="0"/>
              <w:rPr>
                <w:sz w:val="20"/>
                <w:szCs w:val="20"/>
                <w:color w:val="auto"/>
              </w:rPr>
            </w:pPr>
            <w:r>
              <w:rPr>
                <w:rFonts w:ascii="Arial" w:cs="Arial" w:eastAsia="Arial" w:hAnsi="Arial"/>
                <w:sz w:val="16"/>
                <w:szCs w:val="16"/>
                <w:color w:val="auto"/>
                <w:w w:val="99"/>
              </w:rPr>
              <w:t>78.19%</w:t>
            </w:r>
          </w:p>
        </w:tc>
        <w:tc>
          <w:tcPr>
            <w:tcW w:w="1780" w:type="dxa"/>
            <w:vAlign w:val="bottom"/>
            <w:tcBorders>
              <w:bottom w:val="single" w:sz="8" w:color="auto"/>
            </w:tcBorders>
            <w:shd w:val="clear" w:color="auto" w:fill="DBDBDB"/>
          </w:tcPr>
          <w:p>
            <w:pPr>
              <w:jc w:val="center"/>
              <w:ind w:right="102"/>
              <w:spacing w:after="0"/>
              <w:rPr>
                <w:sz w:val="20"/>
                <w:szCs w:val="20"/>
                <w:color w:val="auto"/>
              </w:rPr>
            </w:pPr>
            <w:r>
              <w:rPr>
                <w:rFonts w:ascii="Arial" w:cs="Arial" w:eastAsia="Arial" w:hAnsi="Arial"/>
                <w:sz w:val="16"/>
                <w:szCs w:val="16"/>
                <w:color w:val="auto"/>
                <w:w w:val="99"/>
              </w:rPr>
              <w:t>85%</w:t>
            </w:r>
          </w:p>
        </w:tc>
        <w:tc>
          <w:tcPr>
            <w:tcW w:w="15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424,808</w:t>
            </w:r>
          </w:p>
        </w:tc>
        <w:tc>
          <w:tcPr>
            <w:tcW w:w="16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564,668</w:t>
            </w:r>
          </w:p>
        </w:tc>
        <w:tc>
          <w:tcPr>
            <w:tcW w:w="0" w:type="dxa"/>
            <w:vAlign w:val="bottom"/>
          </w:tcPr>
          <w:p>
            <w:pPr>
              <w:spacing w:after="0"/>
              <w:rPr>
                <w:sz w:val="1"/>
                <w:szCs w:val="1"/>
                <w:color w:val="auto"/>
              </w:rPr>
            </w:pPr>
          </w:p>
        </w:tc>
      </w:tr>
    </w:tbl>
    <w:p>
      <w:pPr>
        <w:ind w:left="420" w:hanging="246"/>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Hopkin is not included in the table as he was not eligible to earn a payout under the 2022 STI program following his retirement.</w:t>
      </w:r>
    </w:p>
    <w:p>
      <w:pPr>
        <w:spacing w:after="0" w:line="31" w:lineRule="exact"/>
        <w:rPr>
          <w:rFonts w:ascii="Arial" w:cs="Arial" w:eastAsia="Arial" w:hAnsi="Arial"/>
          <w:sz w:val="16"/>
          <w:szCs w:val="16"/>
          <w:color w:val="auto"/>
        </w:rPr>
      </w:pPr>
    </w:p>
    <w:p>
      <w:pPr>
        <w:ind w:left="420" w:hanging="246"/>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base salary actually paid during the year.</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Program</w:t>
      </w:r>
      <w:r>
        <w:rPr>
          <w:rFonts w:ascii="Arial" w:cs="Arial" w:eastAsia="Arial" w:hAnsi="Arial"/>
          <w:sz w:val="18"/>
          <w:szCs w:val="18"/>
          <w:color w:val="auto"/>
        </w:rPr>
        <w:t>. Our 2022 LTI program reflects the following principles:</w:t>
      </w:r>
    </w:p>
    <w:p>
      <w:pPr>
        <w:spacing w:after="0" w:line="239" w:lineRule="exact"/>
        <w:rPr>
          <w:sz w:val="20"/>
          <w:szCs w:val="20"/>
          <w:color w:val="auto"/>
        </w:rPr>
      </w:pPr>
    </w:p>
    <w:p>
      <w:pPr>
        <w:ind w:left="660" w:right="20" w:hanging="328"/>
        <w:spacing w:after="0" w:line="245"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equity-based awards should comprise the largest percentage of each NEO’s annual target TDC in order to further align NEO and stockholder interests;</w:t>
      </w:r>
    </w:p>
    <w:p>
      <w:pPr>
        <w:ind w:left="660" w:hanging="328"/>
        <w:spacing w:after="0" w:line="23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equity grants are budgeted consistent with market practice with actual grants awarded based on performance and potential;</w:t>
      </w:r>
    </w:p>
    <w:p>
      <w:pPr>
        <w:ind w:left="660" w:hanging="328"/>
        <w:spacing w:after="0" w:line="226"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performance goals underlying our PBRSUs are designed to drive behavior in support of our annual operating plan and long-term business strategies;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above target or above stretch levels should provide commensurate payout opportunities; and</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company, department and individual performance may drive above-market equity grants in the following annual cycle.</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February 2022, the HCC Committee made annual LTI awards (the 2022 LTI program) to each NEO as described in the following table. These LTI awards consisted of 60% PBRSUs (the 2022 PBRSUs) and 40% RSUs (the 2022 RSUs), which were granted under the SIP. The HCC Committee determined that this allocation between PBRSUs and RSUs provided a reasonable balance between performance-based and retention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shd w:val="clear" w:color="auto" w:fill="465E66"/>
          </w:tcPr>
          <w:p>
            <w:pPr>
              <w:spacing w:after="0"/>
              <w:rPr>
                <w:sz w:val="14"/>
                <w:szCs w:val="14"/>
                <w:color w:val="auto"/>
              </w:rPr>
            </w:pPr>
          </w:p>
        </w:tc>
        <w:tc>
          <w:tcPr>
            <w:tcW w:w="1960" w:type="dxa"/>
            <w:vAlign w:val="bottom"/>
            <w:shd w:val="clear" w:color="auto" w:fill="465E66"/>
          </w:tcPr>
          <w:p>
            <w:pPr>
              <w:jc w:val="center"/>
              <w:ind w:left="122"/>
              <w:spacing w:after="0"/>
              <w:rPr>
                <w:sz w:val="20"/>
                <w:szCs w:val="20"/>
                <w:color w:val="auto"/>
              </w:rPr>
            </w:pPr>
            <w:r>
              <w:rPr>
                <w:rFonts w:ascii="Arial" w:cs="Arial" w:eastAsia="Arial" w:hAnsi="Arial"/>
                <w:sz w:val="14"/>
                <w:szCs w:val="14"/>
                <w:b w:val="1"/>
                <w:bCs w:val="1"/>
                <w:color w:val="FFFFFF"/>
              </w:rPr>
              <w:t>Target 2022 PBRSU</w:t>
            </w:r>
          </w:p>
        </w:tc>
        <w:tc>
          <w:tcPr>
            <w:tcW w:w="13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2022 PBRSUs</w:t>
            </w:r>
          </w:p>
        </w:tc>
        <w:tc>
          <w:tcPr>
            <w:tcW w:w="1960" w:type="dxa"/>
            <w:vAlign w:val="bottom"/>
            <w:vMerge w:val="restart"/>
            <w:shd w:val="clear" w:color="auto" w:fill="465E66"/>
          </w:tcPr>
          <w:p>
            <w:pPr>
              <w:ind w:left="200"/>
              <w:spacing w:after="0"/>
              <w:rPr>
                <w:sz w:val="20"/>
                <w:szCs w:val="20"/>
                <w:color w:val="auto"/>
              </w:rPr>
            </w:pPr>
            <w:r>
              <w:rPr>
                <w:rFonts w:ascii="Arial" w:cs="Arial" w:eastAsia="Arial" w:hAnsi="Arial"/>
                <w:sz w:val="14"/>
                <w:szCs w:val="14"/>
                <w:b w:val="1"/>
                <w:bCs w:val="1"/>
                <w:color w:val="FFFFFF"/>
              </w:rPr>
              <w:t>Target 2022 RSU Value</w:t>
            </w:r>
          </w:p>
        </w:tc>
        <w:tc>
          <w:tcPr>
            <w:tcW w:w="1380" w:type="dxa"/>
            <w:vAlign w:val="bottom"/>
            <w:vMerge w:val="restart"/>
            <w:shd w:val="clear" w:color="auto" w:fill="465E66"/>
          </w:tcPr>
          <w:p>
            <w:pPr>
              <w:ind w:left="220"/>
              <w:spacing w:after="0"/>
              <w:rPr>
                <w:sz w:val="20"/>
                <w:szCs w:val="20"/>
                <w:color w:val="auto"/>
              </w:rPr>
            </w:pPr>
            <w:r>
              <w:rPr>
                <w:rFonts w:ascii="Arial" w:cs="Arial" w:eastAsia="Arial" w:hAnsi="Arial"/>
                <w:sz w:val="14"/>
                <w:szCs w:val="14"/>
                <w:b w:val="1"/>
                <w:bCs w:val="1"/>
                <w:color w:val="FFFFFF"/>
              </w:rPr>
              <w:t>2022 RSUs</w:t>
            </w:r>
          </w:p>
        </w:tc>
        <w:tc>
          <w:tcPr>
            <w:tcW w:w="26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Total Target 2022 LTI Value</w:t>
            </w:r>
          </w:p>
        </w:tc>
        <w:tc>
          <w:tcPr>
            <w:tcW w:w="0" w:type="dxa"/>
            <w:vAlign w:val="bottom"/>
          </w:tcPr>
          <w:p>
            <w:pPr>
              <w:spacing w:after="0"/>
              <w:rPr>
                <w:sz w:val="1"/>
                <w:szCs w:val="1"/>
                <w:color w:val="auto"/>
              </w:rPr>
            </w:pPr>
          </w:p>
        </w:tc>
      </w:tr>
      <w:tr>
        <w:trPr>
          <w:trHeight w:val="144"/>
        </w:trPr>
        <w:tc>
          <w:tcPr>
            <w:tcW w:w="19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NEO</w:t>
            </w:r>
          </w:p>
        </w:tc>
        <w:tc>
          <w:tcPr>
            <w:tcW w:w="1960" w:type="dxa"/>
            <w:vAlign w:val="bottom"/>
            <w:shd w:val="clear" w:color="auto" w:fill="465E66"/>
          </w:tcPr>
          <w:p>
            <w:pPr>
              <w:jc w:val="center"/>
              <w:ind w:left="122"/>
              <w:spacing w:after="0" w:line="145" w:lineRule="exact"/>
              <w:rPr>
                <w:sz w:val="20"/>
                <w:szCs w:val="20"/>
                <w:color w:val="auto"/>
              </w:rPr>
            </w:pPr>
            <w:r>
              <w:rPr>
                <w:rFonts w:ascii="Arial" w:cs="Arial" w:eastAsia="Arial" w:hAnsi="Arial"/>
                <w:sz w:val="14"/>
                <w:szCs w:val="14"/>
                <w:b w:val="1"/>
                <w:bCs w:val="1"/>
                <w:color w:val="FFFFFF"/>
                <w:w w:val="96"/>
              </w:rPr>
              <w:t>Value</w:t>
            </w:r>
          </w:p>
        </w:tc>
        <w:tc>
          <w:tcPr>
            <w:tcW w:w="1360" w:type="dxa"/>
            <w:vAlign w:val="bottom"/>
            <w:shd w:val="clear" w:color="auto" w:fill="465E66"/>
          </w:tcPr>
          <w:p>
            <w:pPr>
              <w:jc w:val="center"/>
              <w:ind w:left="22"/>
              <w:spacing w:after="0" w:line="145" w:lineRule="exact"/>
              <w:rPr>
                <w:sz w:val="20"/>
                <w:szCs w:val="20"/>
                <w:color w:val="auto"/>
              </w:rPr>
            </w:pPr>
            <w:r>
              <w:rPr>
                <w:rFonts w:ascii="Arial" w:cs="Arial" w:eastAsia="Arial" w:hAnsi="Arial"/>
                <w:sz w:val="14"/>
                <w:szCs w:val="14"/>
                <w:b w:val="1"/>
                <w:bCs w:val="1"/>
                <w:color w:val="FFFFFF"/>
              </w:rPr>
              <w:t>(at Target)</w:t>
            </w:r>
          </w:p>
        </w:tc>
        <w:tc>
          <w:tcPr>
            <w:tcW w:w="1960" w:type="dxa"/>
            <w:vAlign w:val="bottom"/>
            <w:vMerge w:val="continue"/>
            <w:shd w:val="clear" w:color="auto" w:fill="465E66"/>
          </w:tcPr>
          <w:p>
            <w:pPr>
              <w:spacing w:after="0"/>
              <w:rPr>
                <w:sz w:val="12"/>
                <w:szCs w:val="12"/>
                <w:color w:val="auto"/>
              </w:rPr>
            </w:pPr>
          </w:p>
        </w:tc>
        <w:tc>
          <w:tcPr>
            <w:tcW w:w="1380" w:type="dxa"/>
            <w:vAlign w:val="bottom"/>
            <w:vMerge w:val="continue"/>
            <w:shd w:val="clear" w:color="auto" w:fill="465E66"/>
          </w:tcPr>
          <w:p>
            <w:pPr>
              <w:spacing w:after="0"/>
              <w:rPr>
                <w:sz w:val="12"/>
                <w:szCs w:val="12"/>
                <w:color w:val="auto"/>
              </w:rPr>
            </w:pPr>
          </w:p>
        </w:tc>
        <w:tc>
          <w:tcPr>
            <w:tcW w:w="262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(PBRSUs + RSUs)</w:t>
            </w:r>
          </w:p>
        </w:tc>
        <w:tc>
          <w:tcPr>
            <w:tcW w:w="0" w:type="dxa"/>
            <w:vAlign w:val="bottom"/>
          </w:tcPr>
          <w:p>
            <w:pPr>
              <w:spacing w:after="0"/>
              <w:rPr>
                <w:sz w:val="1"/>
                <w:szCs w:val="1"/>
                <w:color w:val="auto"/>
              </w:rPr>
            </w:pPr>
          </w:p>
        </w:tc>
      </w:tr>
      <w:tr>
        <w:trPr>
          <w:trHeight w:val="189"/>
        </w:trPr>
        <w:tc>
          <w:tcPr>
            <w:tcW w:w="1960" w:type="dxa"/>
            <w:vAlign w:val="bottom"/>
            <w:vMerge w:val="continue"/>
            <w:shd w:val="clear" w:color="auto" w:fill="465E66"/>
          </w:tcPr>
          <w:p>
            <w:pPr>
              <w:spacing w:after="0"/>
              <w:rPr>
                <w:sz w:val="16"/>
                <w:szCs w:val="16"/>
                <w:color w:val="auto"/>
              </w:rPr>
            </w:pPr>
          </w:p>
        </w:tc>
        <w:tc>
          <w:tcPr>
            <w:tcW w:w="1960" w:type="dxa"/>
            <w:vAlign w:val="bottom"/>
            <w:shd w:val="clear" w:color="auto" w:fill="465E66"/>
          </w:tcPr>
          <w:p>
            <w:pPr>
              <w:jc w:val="center"/>
              <w:ind w:left="122"/>
              <w:spacing w:after="0"/>
              <w:rPr>
                <w:sz w:val="20"/>
                <w:szCs w:val="20"/>
                <w:color w:val="auto"/>
              </w:rPr>
            </w:pPr>
            <w:r>
              <w:rPr>
                <w:rFonts w:ascii="Arial" w:cs="Arial" w:eastAsia="Arial" w:hAnsi="Arial"/>
                <w:sz w:val="14"/>
                <w:szCs w:val="14"/>
                <w:b w:val="1"/>
                <w:bCs w:val="1"/>
                <w:color w:val="FFFFFF"/>
                <w:w w:val="93"/>
              </w:rPr>
              <w:t>($)</w:t>
            </w:r>
          </w:p>
        </w:tc>
        <w:tc>
          <w:tcPr>
            <w:tcW w:w="1360" w:type="dxa"/>
            <w:vAlign w:val="bottom"/>
            <w:shd w:val="clear" w:color="auto" w:fill="465E66"/>
          </w:tcPr>
          <w:p>
            <w:pPr>
              <w:jc w:val="center"/>
              <w:ind w:left="22"/>
              <w:spacing w:after="0"/>
              <w:rPr>
                <w:sz w:val="20"/>
                <w:szCs w:val="20"/>
                <w:color w:val="auto"/>
              </w:rPr>
            </w:pPr>
            <w:r>
              <w:rPr>
                <w:rFonts w:ascii="Arial" w:cs="Arial" w:eastAsia="Arial" w:hAnsi="Arial"/>
                <w:sz w:val="14"/>
                <w:szCs w:val="14"/>
                <w:b w:val="1"/>
                <w:bCs w:val="1"/>
                <w:color w:val="FFFFFF"/>
              </w:rPr>
              <w:t>(#)</w:t>
            </w:r>
          </w:p>
        </w:tc>
        <w:tc>
          <w:tcPr>
            <w:tcW w:w="19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465E66"/>
          </w:tcPr>
          <w:p>
            <w:pPr>
              <w:jc w:val="center"/>
              <w:ind w:right="61"/>
              <w:spacing w:after="0"/>
              <w:rPr>
                <w:sz w:val="20"/>
                <w:szCs w:val="20"/>
                <w:color w:val="auto"/>
              </w:rPr>
            </w:pPr>
            <w:r>
              <w:rPr>
                <w:rFonts w:ascii="Arial" w:cs="Arial" w:eastAsia="Arial" w:hAnsi="Arial"/>
                <w:sz w:val="14"/>
                <w:szCs w:val="14"/>
                <w:b w:val="1"/>
                <w:bCs w:val="1"/>
                <w:color w:val="FFFFFF"/>
                <w:w w:val="93"/>
              </w:rPr>
              <w:t>(#)</w:t>
            </w:r>
          </w:p>
        </w:tc>
        <w:tc>
          <w:tcPr>
            <w:tcW w:w="26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Hassane El-Khoury</w:t>
            </w:r>
          </w:p>
        </w:tc>
        <w:tc>
          <w:tcPr>
            <w:tcW w:w="1960" w:type="dxa"/>
            <w:vAlign w:val="bottom"/>
            <w:shd w:val="clear" w:color="auto" w:fill="DBDBDB"/>
          </w:tcPr>
          <w:p>
            <w:pPr>
              <w:jc w:val="center"/>
              <w:ind w:left="122"/>
              <w:spacing w:after="0"/>
              <w:rPr>
                <w:sz w:val="20"/>
                <w:szCs w:val="20"/>
                <w:color w:val="auto"/>
              </w:rPr>
            </w:pPr>
            <w:r>
              <w:rPr>
                <w:rFonts w:ascii="Arial" w:cs="Arial" w:eastAsia="Arial" w:hAnsi="Arial"/>
                <w:sz w:val="16"/>
                <w:szCs w:val="16"/>
                <w:color w:val="auto"/>
              </w:rPr>
              <w:t>6,900,000</w:t>
            </w:r>
          </w:p>
        </w:tc>
        <w:tc>
          <w:tcPr>
            <w:tcW w:w="1360" w:type="dxa"/>
            <w:vAlign w:val="bottom"/>
            <w:shd w:val="clear" w:color="auto" w:fill="DBDBDB"/>
          </w:tcPr>
          <w:p>
            <w:pPr>
              <w:jc w:val="center"/>
              <w:ind w:left="22"/>
              <w:spacing w:after="0"/>
              <w:rPr>
                <w:sz w:val="20"/>
                <w:szCs w:val="20"/>
                <w:color w:val="auto"/>
              </w:rPr>
            </w:pPr>
            <w:r>
              <w:rPr>
                <w:rFonts w:ascii="Arial" w:cs="Arial" w:eastAsia="Arial" w:hAnsi="Arial"/>
                <w:sz w:val="16"/>
                <w:szCs w:val="16"/>
                <w:color w:val="auto"/>
              </w:rPr>
              <w:t>117,009</w:t>
            </w:r>
          </w:p>
        </w:tc>
        <w:tc>
          <w:tcPr>
            <w:tcW w:w="19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4,600,000</w:t>
            </w:r>
          </w:p>
        </w:tc>
        <w:tc>
          <w:tcPr>
            <w:tcW w:w="1380" w:type="dxa"/>
            <w:vAlign w:val="bottom"/>
            <w:shd w:val="clear" w:color="auto" w:fill="DBDBDB"/>
          </w:tcPr>
          <w:p>
            <w:pPr>
              <w:jc w:val="center"/>
              <w:ind w:right="61"/>
              <w:spacing w:after="0"/>
              <w:rPr>
                <w:sz w:val="20"/>
                <w:szCs w:val="20"/>
                <w:color w:val="auto"/>
              </w:rPr>
            </w:pPr>
            <w:r>
              <w:rPr>
                <w:rFonts w:ascii="Arial" w:cs="Arial" w:eastAsia="Arial" w:hAnsi="Arial"/>
                <w:sz w:val="16"/>
                <w:szCs w:val="16"/>
                <w:color w:val="auto"/>
                <w:w w:val="98"/>
              </w:rPr>
              <w:t>78,006</w:t>
            </w:r>
          </w:p>
        </w:tc>
        <w:tc>
          <w:tcPr>
            <w:tcW w:w="26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11,500,000</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Thad Trent</w:t>
            </w:r>
          </w:p>
        </w:tc>
        <w:tc>
          <w:tcPr>
            <w:tcW w:w="1960" w:type="dxa"/>
            <w:vAlign w:val="bottom"/>
          </w:tcPr>
          <w:p>
            <w:pPr>
              <w:jc w:val="center"/>
              <w:ind w:left="122"/>
              <w:spacing w:after="0"/>
              <w:rPr>
                <w:sz w:val="20"/>
                <w:szCs w:val="20"/>
                <w:color w:val="auto"/>
              </w:rPr>
            </w:pPr>
            <w:r>
              <w:rPr>
                <w:rFonts w:ascii="Arial" w:cs="Arial" w:eastAsia="Arial" w:hAnsi="Arial"/>
                <w:sz w:val="16"/>
                <w:szCs w:val="16"/>
                <w:color w:val="auto"/>
              </w:rPr>
              <w:t>2,550,000</w:t>
            </w:r>
          </w:p>
        </w:tc>
        <w:tc>
          <w:tcPr>
            <w:tcW w:w="1360" w:type="dxa"/>
            <w:vAlign w:val="bottom"/>
          </w:tcPr>
          <w:p>
            <w:pPr>
              <w:jc w:val="center"/>
              <w:ind w:left="22"/>
              <w:spacing w:after="0"/>
              <w:rPr>
                <w:sz w:val="20"/>
                <w:szCs w:val="20"/>
                <w:color w:val="auto"/>
              </w:rPr>
            </w:pPr>
            <w:r>
              <w:rPr>
                <w:rFonts w:ascii="Arial" w:cs="Arial" w:eastAsia="Arial" w:hAnsi="Arial"/>
                <w:sz w:val="16"/>
                <w:szCs w:val="16"/>
                <w:color w:val="auto"/>
              </w:rPr>
              <w:t>40,209</w:t>
            </w:r>
          </w:p>
        </w:tc>
        <w:tc>
          <w:tcPr>
            <w:tcW w:w="1960" w:type="dxa"/>
            <w:vAlign w:val="bottom"/>
          </w:tcPr>
          <w:p>
            <w:pPr>
              <w:jc w:val="center"/>
              <w:spacing w:after="0"/>
              <w:rPr>
                <w:sz w:val="20"/>
                <w:szCs w:val="20"/>
                <w:color w:val="auto"/>
              </w:rPr>
            </w:pPr>
            <w:r>
              <w:rPr>
                <w:rFonts w:ascii="Arial" w:cs="Arial" w:eastAsia="Arial" w:hAnsi="Arial"/>
                <w:sz w:val="16"/>
                <w:szCs w:val="16"/>
                <w:color w:val="auto"/>
              </w:rPr>
              <w:t>1,700,000</w:t>
            </w:r>
          </w:p>
        </w:tc>
        <w:tc>
          <w:tcPr>
            <w:tcW w:w="1380" w:type="dxa"/>
            <w:vAlign w:val="bottom"/>
          </w:tcPr>
          <w:p>
            <w:pPr>
              <w:jc w:val="center"/>
              <w:ind w:right="61"/>
              <w:spacing w:after="0"/>
              <w:rPr>
                <w:sz w:val="20"/>
                <w:szCs w:val="20"/>
                <w:color w:val="auto"/>
              </w:rPr>
            </w:pPr>
            <w:r>
              <w:rPr>
                <w:rFonts w:ascii="Arial" w:cs="Arial" w:eastAsia="Arial" w:hAnsi="Arial"/>
                <w:sz w:val="16"/>
                <w:szCs w:val="16"/>
                <w:color w:val="auto"/>
                <w:w w:val="98"/>
              </w:rPr>
              <w:t>26,806</w:t>
            </w:r>
          </w:p>
        </w:tc>
        <w:tc>
          <w:tcPr>
            <w:tcW w:w="2620" w:type="dxa"/>
            <w:vAlign w:val="bottom"/>
          </w:tcPr>
          <w:p>
            <w:pPr>
              <w:jc w:val="center"/>
              <w:spacing w:after="0"/>
              <w:rPr>
                <w:sz w:val="20"/>
                <w:szCs w:val="20"/>
                <w:color w:val="auto"/>
              </w:rPr>
            </w:pPr>
            <w:r>
              <w:rPr>
                <w:rFonts w:ascii="Arial" w:cs="Arial" w:eastAsia="Arial" w:hAnsi="Arial"/>
                <w:sz w:val="16"/>
                <w:szCs w:val="16"/>
                <w:color w:val="auto"/>
              </w:rPr>
              <w:t>4,250,000</w:t>
            </w:r>
          </w:p>
        </w:tc>
        <w:tc>
          <w:tcPr>
            <w:tcW w:w="0" w:type="dxa"/>
            <w:vAlign w:val="bottom"/>
          </w:tcPr>
          <w:p>
            <w:pPr>
              <w:spacing w:after="0"/>
              <w:rPr>
                <w:sz w:val="1"/>
                <w:szCs w:val="1"/>
                <w:color w:val="auto"/>
              </w:rPr>
            </w:pPr>
          </w:p>
        </w:tc>
      </w:tr>
      <w:tr>
        <w:trPr>
          <w:trHeight w:val="217"/>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Simon Keeton</w:t>
            </w:r>
          </w:p>
        </w:tc>
        <w:tc>
          <w:tcPr>
            <w:tcW w:w="1960" w:type="dxa"/>
            <w:vAlign w:val="bottom"/>
            <w:shd w:val="clear" w:color="auto" w:fill="DBDBDB"/>
          </w:tcPr>
          <w:p>
            <w:pPr>
              <w:jc w:val="center"/>
              <w:ind w:left="122"/>
              <w:spacing w:after="0"/>
              <w:rPr>
                <w:sz w:val="20"/>
                <w:szCs w:val="20"/>
                <w:color w:val="auto"/>
              </w:rPr>
            </w:pPr>
            <w:r>
              <w:rPr>
                <w:rFonts w:ascii="Arial" w:cs="Arial" w:eastAsia="Arial" w:hAnsi="Arial"/>
                <w:sz w:val="16"/>
                <w:szCs w:val="16"/>
                <w:color w:val="auto"/>
              </w:rPr>
              <w:t>1,350,000</w:t>
            </w:r>
          </w:p>
        </w:tc>
        <w:tc>
          <w:tcPr>
            <w:tcW w:w="1360" w:type="dxa"/>
            <w:vAlign w:val="bottom"/>
            <w:shd w:val="clear" w:color="auto" w:fill="DBDBDB"/>
          </w:tcPr>
          <w:p>
            <w:pPr>
              <w:jc w:val="center"/>
              <w:ind w:left="22"/>
              <w:spacing w:after="0"/>
              <w:rPr>
                <w:sz w:val="20"/>
                <w:szCs w:val="20"/>
                <w:color w:val="auto"/>
              </w:rPr>
            </w:pPr>
            <w:r>
              <w:rPr>
                <w:rFonts w:ascii="Arial" w:cs="Arial" w:eastAsia="Arial" w:hAnsi="Arial"/>
                <w:sz w:val="16"/>
                <w:szCs w:val="16"/>
                <w:color w:val="auto"/>
              </w:rPr>
              <w:t>21,287</w:t>
            </w:r>
          </w:p>
        </w:tc>
        <w:tc>
          <w:tcPr>
            <w:tcW w:w="19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900,000</w:t>
            </w:r>
          </w:p>
        </w:tc>
        <w:tc>
          <w:tcPr>
            <w:tcW w:w="1380" w:type="dxa"/>
            <w:vAlign w:val="bottom"/>
            <w:shd w:val="clear" w:color="auto" w:fill="DBDBDB"/>
          </w:tcPr>
          <w:p>
            <w:pPr>
              <w:jc w:val="center"/>
              <w:ind w:right="61"/>
              <w:spacing w:after="0"/>
              <w:rPr>
                <w:sz w:val="20"/>
                <w:szCs w:val="20"/>
                <w:color w:val="auto"/>
              </w:rPr>
            </w:pPr>
            <w:r>
              <w:rPr>
                <w:rFonts w:ascii="Arial" w:cs="Arial" w:eastAsia="Arial" w:hAnsi="Arial"/>
                <w:sz w:val="16"/>
                <w:szCs w:val="16"/>
                <w:color w:val="auto"/>
                <w:w w:val="98"/>
              </w:rPr>
              <w:t>14,192</w:t>
            </w:r>
          </w:p>
        </w:tc>
        <w:tc>
          <w:tcPr>
            <w:tcW w:w="26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2,250,000</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Ross F. Jatou</w:t>
            </w:r>
          </w:p>
        </w:tc>
        <w:tc>
          <w:tcPr>
            <w:tcW w:w="1960" w:type="dxa"/>
            <w:vAlign w:val="bottom"/>
          </w:tcPr>
          <w:p>
            <w:pPr>
              <w:jc w:val="center"/>
              <w:ind w:left="122"/>
              <w:spacing w:after="0"/>
              <w:rPr>
                <w:sz w:val="20"/>
                <w:szCs w:val="20"/>
                <w:color w:val="auto"/>
              </w:rPr>
            </w:pPr>
            <w:r>
              <w:rPr>
                <w:rFonts w:ascii="Arial" w:cs="Arial" w:eastAsia="Arial" w:hAnsi="Arial"/>
                <w:sz w:val="16"/>
                <w:szCs w:val="16"/>
                <w:color w:val="auto"/>
              </w:rPr>
              <w:t>840,000</w:t>
            </w:r>
          </w:p>
        </w:tc>
        <w:tc>
          <w:tcPr>
            <w:tcW w:w="1360" w:type="dxa"/>
            <w:vAlign w:val="bottom"/>
          </w:tcPr>
          <w:p>
            <w:pPr>
              <w:jc w:val="center"/>
              <w:ind w:left="22"/>
              <w:spacing w:after="0"/>
              <w:rPr>
                <w:sz w:val="20"/>
                <w:szCs w:val="20"/>
                <w:color w:val="auto"/>
              </w:rPr>
            </w:pPr>
            <w:r>
              <w:rPr>
                <w:rFonts w:ascii="Arial" w:cs="Arial" w:eastAsia="Arial" w:hAnsi="Arial"/>
                <w:sz w:val="16"/>
                <w:szCs w:val="16"/>
                <w:color w:val="auto"/>
              </w:rPr>
              <w:t>13,246</w:t>
            </w:r>
          </w:p>
        </w:tc>
        <w:tc>
          <w:tcPr>
            <w:tcW w:w="1960" w:type="dxa"/>
            <w:vAlign w:val="bottom"/>
          </w:tcPr>
          <w:p>
            <w:pPr>
              <w:jc w:val="center"/>
              <w:spacing w:after="0"/>
              <w:rPr>
                <w:sz w:val="20"/>
                <w:szCs w:val="20"/>
                <w:color w:val="auto"/>
              </w:rPr>
            </w:pPr>
            <w:r>
              <w:rPr>
                <w:rFonts w:ascii="Arial" w:cs="Arial" w:eastAsia="Arial" w:hAnsi="Arial"/>
                <w:sz w:val="16"/>
                <w:szCs w:val="16"/>
                <w:color w:val="auto"/>
              </w:rPr>
              <w:t>560,000</w:t>
            </w:r>
          </w:p>
        </w:tc>
        <w:tc>
          <w:tcPr>
            <w:tcW w:w="1380" w:type="dxa"/>
            <w:vAlign w:val="bottom"/>
          </w:tcPr>
          <w:p>
            <w:pPr>
              <w:jc w:val="center"/>
              <w:ind w:right="61"/>
              <w:spacing w:after="0"/>
              <w:rPr>
                <w:sz w:val="20"/>
                <w:szCs w:val="20"/>
                <w:color w:val="auto"/>
              </w:rPr>
            </w:pPr>
            <w:r>
              <w:rPr>
                <w:rFonts w:ascii="Arial" w:cs="Arial" w:eastAsia="Arial" w:hAnsi="Arial"/>
                <w:sz w:val="16"/>
                <w:szCs w:val="16"/>
                <w:color w:val="auto"/>
                <w:w w:val="99"/>
              </w:rPr>
              <w:t>8,831</w:t>
            </w:r>
          </w:p>
        </w:tc>
        <w:tc>
          <w:tcPr>
            <w:tcW w:w="2620" w:type="dxa"/>
            <w:vAlign w:val="bottom"/>
          </w:tcPr>
          <w:p>
            <w:pPr>
              <w:jc w:val="center"/>
              <w:spacing w:after="0"/>
              <w:rPr>
                <w:sz w:val="20"/>
                <w:szCs w:val="20"/>
                <w:color w:val="auto"/>
              </w:rPr>
            </w:pPr>
            <w:r>
              <w:rPr>
                <w:rFonts w:ascii="Arial" w:cs="Arial" w:eastAsia="Arial" w:hAnsi="Arial"/>
                <w:sz w:val="16"/>
                <w:szCs w:val="16"/>
                <w:color w:val="auto"/>
              </w:rPr>
              <w:t>1,400,000</w:t>
            </w:r>
          </w:p>
        </w:tc>
        <w:tc>
          <w:tcPr>
            <w:tcW w:w="0" w:type="dxa"/>
            <w:vAlign w:val="bottom"/>
          </w:tcPr>
          <w:p>
            <w:pPr>
              <w:spacing w:after="0"/>
              <w:rPr>
                <w:sz w:val="1"/>
                <w:szCs w:val="1"/>
                <w:color w:val="auto"/>
              </w:rPr>
            </w:pPr>
          </w:p>
        </w:tc>
      </w:tr>
      <w:tr>
        <w:trPr>
          <w:trHeight w:val="217"/>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Robert Tong (1)</w:t>
            </w:r>
          </w:p>
        </w:tc>
        <w:tc>
          <w:tcPr>
            <w:tcW w:w="1960" w:type="dxa"/>
            <w:vAlign w:val="bottom"/>
            <w:shd w:val="clear" w:color="auto" w:fill="DBDBDB"/>
          </w:tcPr>
          <w:p>
            <w:pPr>
              <w:jc w:val="center"/>
              <w:ind w:left="122"/>
              <w:spacing w:after="0"/>
              <w:rPr>
                <w:sz w:val="20"/>
                <w:szCs w:val="20"/>
                <w:color w:val="auto"/>
              </w:rPr>
            </w:pPr>
            <w:r>
              <w:rPr>
                <w:rFonts w:ascii="Arial" w:cs="Arial" w:eastAsia="Arial" w:hAnsi="Arial"/>
                <w:sz w:val="16"/>
                <w:szCs w:val="16"/>
                <w:color w:val="auto"/>
              </w:rPr>
              <w:t>300,000</w:t>
            </w:r>
          </w:p>
        </w:tc>
        <w:tc>
          <w:tcPr>
            <w:tcW w:w="1360" w:type="dxa"/>
            <w:vAlign w:val="bottom"/>
            <w:shd w:val="clear" w:color="auto" w:fill="DBDBDB"/>
          </w:tcPr>
          <w:p>
            <w:pPr>
              <w:jc w:val="center"/>
              <w:ind w:left="2"/>
              <w:spacing w:after="0"/>
              <w:rPr>
                <w:sz w:val="20"/>
                <w:szCs w:val="20"/>
                <w:color w:val="auto"/>
              </w:rPr>
            </w:pPr>
            <w:r>
              <w:rPr>
                <w:rFonts w:ascii="Arial" w:cs="Arial" w:eastAsia="Arial" w:hAnsi="Arial"/>
                <w:sz w:val="16"/>
                <w:szCs w:val="16"/>
                <w:color w:val="auto"/>
                <w:w w:val="99"/>
              </w:rPr>
              <w:t>4,731</w:t>
            </w:r>
          </w:p>
        </w:tc>
        <w:tc>
          <w:tcPr>
            <w:tcW w:w="19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200,000</w:t>
            </w:r>
          </w:p>
        </w:tc>
        <w:tc>
          <w:tcPr>
            <w:tcW w:w="1380" w:type="dxa"/>
            <w:vAlign w:val="bottom"/>
            <w:shd w:val="clear" w:color="auto" w:fill="DBDBDB"/>
          </w:tcPr>
          <w:p>
            <w:pPr>
              <w:jc w:val="center"/>
              <w:ind w:right="61"/>
              <w:spacing w:after="0"/>
              <w:rPr>
                <w:sz w:val="20"/>
                <w:szCs w:val="20"/>
                <w:color w:val="auto"/>
              </w:rPr>
            </w:pPr>
            <w:r>
              <w:rPr>
                <w:rFonts w:ascii="Arial" w:cs="Arial" w:eastAsia="Arial" w:hAnsi="Arial"/>
                <w:sz w:val="16"/>
                <w:szCs w:val="16"/>
                <w:color w:val="auto"/>
                <w:w w:val="99"/>
              </w:rPr>
              <w:t>3,154</w:t>
            </w:r>
          </w:p>
        </w:tc>
        <w:tc>
          <w:tcPr>
            <w:tcW w:w="26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Vincent C. Hopkin (2)</w:t>
            </w:r>
          </w:p>
        </w:tc>
        <w:tc>
          <w:tcPr>
            <w:tcW w:w="1960" w:type="dxa"/>
            <w:vAlign w:val="bottom"/>
          </w:tcPr>
          <w:p>
            <w:pPr>
              <w:jc w:val="center"/>
              <w:ind w:left="122"/>
              <w:spacing w:after="0"/>
              <w:rPr>
                <w:sz w:val="20"/>
                <w:szCs w:val="20"/>
                <w:color w:val="auto"/>
              </w:rPr>
            </w:pPr>
            <w:r>
              <w:rPr>
                <w:rFonts w:ascii="Arial" w:cs="Arial" w:eastAsia="Arial" w:hAnsi="Arial"/>
                <w:sz w:val="16"/>
                <w:szCs w:val="16"/>
                <w:color w:val="auto"/>
              </w:rPr>
              <w:t>1,320,000</w:t>
            </w:r>
          </w:p>
        </w:tc>
        <w:tc>
          <w:tcPr>
            <w:tcW w:w="1360" w:type="dxa"/>
            <w:vAlign w:val="bottom"/>
          </w:tcPr>
          <w:p>
            <w:pPr>
              <w:jc w:val="center"/>
              <w:ind w:left="22"/>
              <w:spacing w:after="0"/>
              <w:rPr>
                <w:sz w:val="20"/>
                <w:szCs w:val="20"/>
                <w:color w:val="auto"/>
              </w:rPr>
            </w:pPr>
            <w:r>
              <w:rPr>
                <w:rFonts w:ascii="Arial" w:cs="Arial" w:eastAsia="Arial" w:hAnsi="Arial"/>
                <w:sz w:val="16"/>
                <w:szCs w:val="16"/>
                <w:color w:val="auto"/>
              </w:rPr>
              <w:t>20,817</w:t>
            </w:r>
          </w:p>
        </w:tc>
        <w:tc>
          <w:tcPr>
            <w:tcW w:w="1960" w:type="dxa"/>
            <w:vAlign w:val="bottom"/>
          </w:tcPr>
          <w:p>
            <w:pPr>
              <w:jc w:val="center"/>
              <w:spacing w:after="0"/>
              <w:rPr>
                <w:sz w:val="20"/>
                <w:szCs w:val="20"/>
                <w:color w:val="auto"/>
              </w:rPr>
            </w:pPr>
            <w:r>
              <w:rPr>
                <w:rFonts w:ascii="Arial" w:cs="Arial" w:eastAsia="Arial" w:hAnsi="Arial"/>
                <w:sz w:val="16"/>
                <w:szCs w:val="16"/>
                <w:color w:val="auto"/>
              </w:rPr>
              <w:t>880,000</w:t>
            </w:r>
          </w:p>
        </w:tc>
        <w:tc>
          <w:tcPr>
            <w:tcW w:w="1380" w:type="dxa"/>
            <w:vAlign w:val="bottom"/>
          </w:tcPr>
          <w:p>
            <w:pPr>
              <w:jc w:val="center"/>
              <w:ind w:right="61"/>
              <w:spacing w:after="0"/>
              <w:rPr>
                <w:sz w:val="20"/>
                <w:szCs w:val="20"/>
                <w:color w:val="auto"/>
              </w:rPr>
            </w:pPr>
            <w:r>
              <w:rPr>
                <w:rFonts w:ascii="Arial" w:cs="Arial" w:eastAsia="Arial" w:hAnsi="Arial"/>
                <w:sz w:val="16"/>
                <w:szCs w:val="16"/>
                <w:color w:val="auto"/>
                <w:w w:val="98"/>
              </w:rPr>
              <w:t>13,876</w:t>
            </w:r>
          </w:p>
        </w:tc>
        <w:tc>
          <w:tcPr>
            <w:tcW w:w="2620" w:type="dxa"/>
            <w:vAlign w:val="bottom"/>
          </w:tcPr>
          <w:p>
            <w:pPr>
              <w:jc w:val="center"/>
              <w:spacing w:after="0"/>
              <w:rPr>
                <w:sz w:val="20"/>
                <w:szCs w:val="20"/>
                <w:color w:val="auto"/>
              </w:rPr>
            </w:pPr>
            <w:r>
              <w:rPr>
                <w:rFonts w:ascii="Arial" w:cs="Arial" w:eastAsia="Arial" w:hAnsi="Arial"/>
                <w:sz w:val="16"/>
                <w:szCs w:val="16"/>
                <w:color w:val="auto"/>
              </w:rPr>
              <w:t>2,200,000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60" w:right="280" w:hanging="234"/>
        <w:spacing w:after="0" w:line="252" w:lineRule="auto"/>
        <w:tabs>
          <w:tab w:leader="none" w:pos="233"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figures do not include an off-cycle promotion grant made to Mr. Tong on June 16, 2022 of 7,483 RSUs and 11,224 PBRSUs (total target value of $1 million), which brought his target LTI value for 2022 to $1.5 million.`</w:t>
      </w:r>
    </w:p>
    <w:p>
      <w:pPr>
        <w:ind w:left="240" w:hanging="214"/>
        <w:spacing w:after="0"/>
        <w:tabs>
          <w:tab w:leader="none" w:pos="2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Mr. Hopkin’s 2022 equity awards were forfeited upon his retirement.</w:t>
      </w:r>
    </w:p>
    <w:p>
      <w:pPr>
        <w:spacing w:after="0" w:line="341"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i w:val="1"/>
          <w:iCs w:val="1"/>
          <w:u w:val="single" w:color="auto"/>
          <w:color w:val="auto"/>
        </w:rPr>
        <w:t>Description of 2022 RSUs</w:t>
      </w:r>
      <w:r>
        <w:rPr>
          <w:rFonts w:ascii="Arial" w:cs="Arial" w:eastAsia="Arial" w:hAnsi="Arial"/>
          <w:sz w:val="18"/>
          <w:szCs w:val="18"/>
          <w:color w:val="auto"/>
        </w:rPr>
        <w:t>. As in prior years, the 2022 RSUs are time-based and will vest annually in one-third increments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subject to the NEO’s continued employment through the applicable vesting date.</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u w:val="single" w:color="auto"/>
          <w:color w:val="auto"/>
        </w:rPr>
        <w:t>Description of 2022 PBRSUs</w:t>
      </w:r>
      <w:r>
        <w:rPr>
          <w:rFonts w:ascii="Arial" w:cs="Arial" w:eastAsia="Arial" w:hAnsi="Arial"/>
          <w:sz w:val="18"/>
          <w:szCs w:val="18"/>
          <w:color w:val="auto"/>
        </w:rPr>
        <w:t>. The 2022 PBRSUs are performance-based equity awards for which vesting is contingent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a mix of financial and operational or strategic goals, including a component that adjusts a portion of final payouts, up or</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down, based on our one-, two-, and three-year TSR performance relative to a peer group, to ensure that the awards remain linked to performance over a full three-year period.</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a first step, we measure our performance against six equally-weighted performance goals (the 2022 LTI Performance Goals). As detailed in the below chart, three of the goals are financial (LTI Financial Goals) and the other three are operational (LTI Operational Goals), with each of the six goals scored separately. All six goals measured performance over the 2022 fiscal year but the awards will pay out in equal installments over a three-year period and, as a second step, the payout under each tranche of the LTI Financial Goals (50% of the target award) is further adjusted based on our TSR relative to a peer group over the one-, two- or three-year periods beginning on January 1, 2022 and ending on December 31 prior to each vesting date (the TSR Adjustment).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Type of Goal</w:t>
            </w:r>
          </w:p>
        </w:tc>
        <w:tc>
          <w:tcPr>
            <w:tcW w:w="1280" w:type="dxa"/>
            <w:vAlign w:val="bottom"/>
            <w:vMerge w:val="restart"/>
            <w:shd w:val="clear" w:color="auto" w:fill="465E66"/>
          </w:tcPr>
          <w:p>
            <w:pPr>
              <w:spacing w:after="0"/>
              <w:rPr>
                <w:sz w:val="20"/>
                <w:szCs w:val="20"/>
                <w:color w:val="auto"/>
              </w:rPr>
            </w:pPr>
            <w:r>
              <w:rPr>
                <w:rFonts w:ascii="Arial" w:cs="Arial" w:eastAsia="Arial" w:hAnsi="Arial"/>
                <w:sz w:val="14"/>
                <w:szCs w:val="14"/>
                <w:b w:val="1"/>
                <w:bCs w:val="1"/>
                <w:color w:val="FFFFFF"/>
              </w:rPr>
              <w:t>LTI Goal</w:t>
            </w:r>
          </w:p>
        </w:tc>
        <w:tc>
          <w:tcPr>
            <w:tcW w:w="47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Description and Measurement</w:t>
            </w:r>
          </w:p>
        </w:tc>
        <w:tc>
          <w:tcPr>
            <w:tcW w:w="15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Max Payout</w:t>
            </w:r>
          </w:p>
        </w:tc>
        <w:tc>
          <w:tcPr>
            <w:tcW w:w="23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Subject to Step 2</w:t>
            </w:r>
          </w:p>
        </w:tc>
        <w:tc>
          <w:tcPr>
            <w:tcW w:w="0" w:type="dxa"/>
            <w:vAlign w:val="bottom"/>
          </w:tcPr>
          <w:p>
            <w:pPr>
              <w:spacing w:after="0"/>
              <w:rPr>
                <w:sz w:val="1"/>
                <w:szCs w:val="1"/>
                <w:color w:val="auto"/>
              </w:rPr>
            </w:pPr>
          </w:p>
        </w:tc>
      </w:tr>
      <w:tr>
        <w:trPr>
          <w:trHeight w:val="189"/>
        </w:trPr>
        <w:tc>
          <w:tcPr>
            <w:tcW w:w="1340" w:type="dxa"/>
            <w:vAlign w:val="bottom"/>
            <w:vMerge w:val="continue"/>
            <w:shd w:val="clear" w:color="auto" w:fill="465E66"/>
          </w:tcPr>
          <w:p>
            <w:pPr>
              <w:spacing w:after="0"/>
              <w:rPr>
                <w:sz w:val="16"/>
                <w:szCs w:val="16"/>
                <w:color w:val="auto"/>
              </w:rPr>
            </w:pPr>
          </w:p>
        </w:tc>
        <w:tc>
          <w:tcPr>
            <w:tcW w:w="1280" w:type="dxa"/>
            <w:vAlign w:val="bottom"/>
            <w:vMerge w:val="continue"/>
            <w:shd w:val="clear" w:color="auto" w:fill="465E66"/>
          </w:tcPr>
          <w:p>
            <w:pPr>
              <w:spacing w:after="0"/>
              <w:rPr>
                <w:sz w:val="16"/>
                <w:szCs w:val="16"/>
                <w:color w:val="auto"/>
              </w:rPr>
            </w:pPr>
          </w:p>
        </w:tc>
        <w:tc>
          <w:tcPr>
            <w:tcW w:w="4760" w:type="dxa"/>
            <w:vAlign w:val="bottom"/>
            <w:vMerge w:val="continue"/>
            <w:shd w:val="clear" w:color="auto" w:fill="465E66"/>
          </w:tcPr>
          <w:p>
            <w:pPr>
              <w:spacing w:after="0"/>
              <w:rPr>
                <w:sz w:val="16"/>
                <w:szCs w:val="16"/>
                <w:color w:val="auto"/>
              </w:rPr>
            </w:pPr>
          </w:p>
        </w:tc>
        <w:tc>
          <w:tcPr>
            <w:tcW w:w="15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(as a % of Target)</w:t>
            </w:r>
          </w:p>
        </w:tc>
        <w:tc>
          <w:tcPr>
            <w:tcW w:w="23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TSR Adjustment?</w:t>
            </w:r>
          </w:p>
        </w:tc>
        <w:tc>
          <w:tcPr>
            <w:tcW w:w="0" w:type="dxa"/>
            <w:vAlign w:val="bottom"/>
          </w:tcPr>
          <w:p>
            <w:pPr>
              <w:spacing w:after="0"/>
              <w:rPr>
                <w:sz w:val="1"/>
                <w:szCs w:val="1"/>
                <w:color w:val="auto"/>
              </w:rPr>
            </w:pPr>
          </w:p>
        </w:tc>
      </w:tr>
      <w:tr>
        <w:trPr>
          <w:trHeight w:val="215"/>
        </w:trPr>
        <w:tc>
          <w:tcPr>
            <w:tcW w:w="13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20"/>
                <w:szCs w:val="20"/>
                <w:color w:val="auto"/>
              </w:rPr>
            </w:pPr>
            <w:r>
              <w:rPr>
                <w:rFonts w:ascii="Arial" w:cs="Arial" w:eastAsia="Arial" w:hAnsi="Arial"/>
                <w:sz w:val="16"/>
                <w:szCs w:val="16"/>
                <w:color w:val="auto"/>
              </w:rPr>
              <w:t>Revenue</w:t>
            </w:r>
          </w:p>
        </w:tc>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As reported in our 2022 financial statements</w:t>
            </w:r>
          </w:p>
        </w:tc>
        <w:tc>
          <w:tcPr>
            <w:tcW w:w="15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150%</w:t>
            </w:r>
          </w:p>
        </w:tc>
        <w:tc>
          <w:tcPr>
            <w:tcW w:w="2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0"/>
                <w:szCs w:val="20"/>
                <w:color w:val="auto"/>
              </w:rPr>
            </w:pPr>
            <w:r>
              <w:rPr>
                <w:rFonts w:ascii="Arial" w:cs="Arial" w:eastAsia="Arial" w:hAnsi="Arial"/>
                <w:sz w:val="16"/>
                <w:szCs w:val="16"/>
                <w:color w:val="auto"/>
              </w:rPr>
              <w:t>Non-GAAP</w:t>
            </w:r>
          </w:p>
        </w:tc>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Derived from our 2022 financials and calculated as described in</w:t>
            </w:r>
          </w:p>
        </w:tc>
        <w:tc>
          <w:tcPr>
            <w:tcW w:w="15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150%</w:t>
            </w:r>
          </w:p>
        </w:tc>
        <w:tc>
          <w:tcPr>
            <w:tcW w:w="23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34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Financial</w:t>
            </w:r>
          </w:p>
        </w:tc>
        <w:tc>
          <w:tcPr>
            <w:tcW w:w="1280" w:type="dxa"/>
            <w:vAlign w:val="bottom"/>
            <w:vMerge w:val="restart"/>
            <w:shd w:val="clear" w:color="auto" w:fill="DBDBDB"/>
          </w:tcPr>
          <w:p>
            <w:pPr>
              <w:spacing w:after="0"/>
              <w:rPr>
                <w:sz w:val="20"/>
                <w:szCs w:val="20"/>
                <w:color w:val="auto"/>
              </w:rPr>
            </w:pPr>
            <w:r>
              <w:rPr>
                <w:rFonts w:ascii="Arial" w:cs="Arial" w:eastAsia="Arial" w:hAnsi="Arial"/>
                <w:sz w:val="16"/>
                <w:szCs w:val="16"/>
                <w:color w:val="auto"/>
              </w:rPr>
              <w:t>Gross Margin</w:t>
            </w:r>
          </w:p>
        </w:tc>
        <w:tc>
          <w:tcPr>
            <w:tcW w:w="476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the GAAP reconciliation appendix to our earnings release</w:t>
            </w:r>
          </w:p>
        </w:tc>
        <w:tc>
          <w:tcPr>
            <w:tcW w:w="1500" w:type="dxa"/>
            <w:vAlign w:val="bottom"/>
            <w:vMerge w:val="continue"/>
            <w:shd w:val="clear" w:color="auto" w:fill="DBDBDB"/>
          </w:tcPr>
          <w:p>
            <w:pPr>
              <w:spacing w:after="0"/>
              <w:rPr>
                <w:sz w:val="11"/>
                <w:szCs w:val="11"/>
                <w:color w:val="auto"/>
              </w:rPr>
            </w:pPr>
          </w:p>
        </w:tc>
        <w:tc>
          <w:tcPr>
            <w:tcW w:w="236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Yes (see below for details)</w:t>
            </w:r>
          </w:p>
        </w:tc>
        <w:tc>
          <w:tcPr>
            <w:tcW w:w="0" w:type="dxa"/>
            <w:vAlign w:val="bottom"/>
          </w:tcPr>
          <w:p>
            <w:pPr>
              <w:spacing w:after="0"/>
              <w:rPr>
                <w:sz w:val="1"/>
                <w:szCs w:val="1"/>
                <w:color w:val="auto"/>
              </w:rPr>
            </w:pPr>
          </w:p>
        </w:tc>
      </w:tr>
      <w:tr>
        <w:trPr>
          <w:trHeight w:val="82"/>
        </w:trPr>
        <w:tc>
          <w:tcPr>
            <w:tcW w:w="1340" w:type="dxa"/>
            <w:vAlign w:val="bottom"/>
            <w:vMerge w:val="continue"/>
            <w:shd w:val="clear" w:color="auto" w:fill="DBDBDB"/>
          </w:tcPr>
          <w:p>
            <w:pPr>
              <w:spacing w:after="0"/>
              <w:rPr>
                <w:sz w:val="7"/>
                <w:szCs w:val="7"/>
                <w:color w:val="auto"/>
              </w:rPr>
            </w:pPr>
          </w:p>
        </w:tc>
        <w:tc>
          <w:tcPr>
            <w:tcW w:w="1280" w:type="dxa"/>
            <w:vAlign w:val="bottom"/>
            <w:vMerge w:val="continue"/>
            <w:shd w:val="clear" w:color="auto" w:fill="DBDBDB"/>
          </w:tcPr>
          <w:p>
            <w:pPr>
              <w:spacing w:after="0"/>
              <w:rPr>
                <w:sz w:val="7"/>
                <w:szCs w:val="7"/>
                <w:color w:val="auto"/>
              </w:rPr>
            </w:pPr>
          </w:p>
        </w:tc>
        <w:tc>
          <w:tcPr>
            <w:tcW w:w="4760" w:type="dxa"/>
            <w:vAlign w:val="bottom"/>
            <w:vMerge w:val="continue"/>
            <w:shd w:val="clear" w:color="auto" w:fill="DBDBDB"/>
          </w:tcPr>
          <w:p>
            <w:pPr>
              <w:spacing w:after="0"/>
              <w:rPr>
                <w:sz w:val="7"/>
                <w:szCs w:val="7"/>
                <w:color w:val="auto"/>
              </w:rPr>
            </w:pPr>
          </w:p>
        </w:tc>
        <w:tc>
          <w:tcPr>
            <w:tcW w:w="1500" w:type="dxa"/>
            <w:vAlign w:val="bottom"/>
            <w:shd w:val="clear" w:color="auto" w:fill="DBDBDB"/>
          </w:tcPr>
          <w:p>
            <w:pPr>
              <w:spacing w:after="0"/>
              <w:rPr>
                <w:sz w:val="7"/>
                <w:szCs w:val="7"/>
                <w:color w:val="auto"/>
              </w:rPr>
            </w:pPr>
          </w:p>
        </w:tc>
        <w:tc>
          <w:tcPr>
            <w:tcW w:w="236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shd w:val="clear" w:color="auto" w:fill="DBDBDB"/>
          </w:tcPr>
          <w:p>
            <w:pPr>
              <w:spacing w:after="0"/>
              <w:rPr>
                <w:sz w:val="6"/>
                <w:szCs w:val="6"/>
                <w:color w:val="auto"/>
              </w:rPr>
            </w:pPr>
          </w:p>
        </w:tc>
        <w:tc>
          <w:tcPr>
            <w:tcW w:w="1280" w:type="dxa"/>
            <w:vAlign w:val="bottom"/>
            <w:shd w:val="clear" w:color="auto" w:fill="DBDBDB"/>
          </w:tcPr>
          <w:p>
            <w:pPr>
              <w:spacing w:after="0"/>
              <w:rPr>
                <w:sz w:val="6"/>
                <w:szCs w:val="6"/>
                <w:color w:val="auto"/>
              </w:rPr>
            </w:pPr>
          </w:p>
        </w:tc>
        <w:tc>
          <w:tcPr>
            <w:tcW w:w="4760" w:type="dxa"/>
            <w:vAlign w:val="bottom"/>
            <w:shd w:val="clear" w:color="auto" w:fill="DBDBDB"/>
          </w:tcPr>
          <w:p>
            <w:pPr>
              <w:spacing w:after="0"/>
              <w:rPr>
                <w:sz w:val="6"/>
                <w:szCs w:val="6"/>
                <w:color w:val="auto"/>
              </w:rPr>
            </w:pPr>
          </w:p>
        </w:tc>
        <w:tc>
          <w:tcPr>
            <w:tcW w:w="1500" w:type="dxa"/>
            <w:vAlign w:val="bottom"/>
            <w:shd w:val="clear" w:color="auto" w:fill="DBDBDB"/>
          </w:tcPr>
          <w:p>
            <w:pPr>
              <w:spacing w:after="0"/>
              <w:rPr>
                <w:sz w:val="6"/>
                <w:szCs w:val="6"/>
                <w:color w:val="auto"/>
              </w:rPr>
            </w:pPr>
          </w:p>
        </w:tc>
        <w:tc>
          <w:tcPr>
            <w:tcW w:w="236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13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0"/>
                <w:szCs w:val="20"/>
                <w:color w:val="auto"/>
              </w:rPr>
            </w:pPr>
            <w:r>
              <w:rPr>
                <w:rFonts w:ascii="Arial" w:cs="Arial" w:eastAsia="Arial" w:hAnsi="Arial"/>
                <w:sz w:val="16"/>
                <w:szCs w:val="16"/>
                <w:color w:val="auto"/>
              </w:rPr>
              <w:t>Non-GAAP</w:t>
            </w:r>
          </w:p>
        </w:tc>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Derived from our 2022 financials and calculated as described in</w:t>
            </w:r>
          </w:p>
        </w:tc>
        <w:tc>
          <w:tcPr>
            <w:tcW w:w="15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150%</w:t>
            </w:r>
          </w:p>
        </w:tc>
        <w:tc>
          <w:tcPr>
            <w:tcW w:w="23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340" w:type="dxa"/>
            <w:vAlign w:val="bottom"/>
            <w:shd w:val="clear" w:color="auto" w:fill="DBDBDB"/>
          </w:tcPr>
          <w:p>
            <w:pPr>
              <w:spacing w:after="0"/>
              <w:rPr>
                <w:sz w:val="11"/>
                <w:szCs w:val="11"/>
                <w:color w:val="auto"/>
              </w:rPr>
            </w:pPr>
          </w:p>
        </w:tc>
        <w:tc>
          <w:tcPr>
            <w:tcW w:w="1280" w:type="dxa"/>
            <w:vAlign w:val="bottom"/>
            <w:vMerge w:val="restart"/>
            <w:shd w:val="clear" w:color="auto" w:fill="DBDBDB"/>
          </w:tcPr>
          <w:p>
            <w:pPr>
              <w:spacing w:after="0"/>
              <w:rPr>
                <w:sz w:val="20"/>
                <w:szCs w:val="20"/>
                <w:color w:val="auto"/>
              </w:rPr>
            </w:pPr>
            <w:r>
              <w:rPr>
                <w:rFonts w:ascii="Arial" w:cs="Arial" w:eastAsia="Arial" w:hAnsi="Arial"/>
                <w:sz w:val="16"/>
                <w:szCs w:val="16"/>
                <w:color w:val="auto"/>
              </w:rPr>
              <w:t>Operating Margin</w:t>
            </w:r>
          </w:p>
        </w:tc>
        <w:tc>
          <w:tcPr>
            <w:tcW w:w="476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the GAAP reconciliation appendix to our earnings release</w:t>
            </w:r>
          </w:p>
        </w:tc>
        <w:tc>
          <w:tcPr>
            <w:tcW w:w="1500" w:type="dxa"/>
            <w:vAlign w:val="bottom"/>
            <w:vMerge w:val="continue"/>
            <w:shd w:val="clear" w:color="auto" w:fill="DBDBDB"/>
          </w:tcPr>
          <w:p>
            <w:pPr>
              <w:spacing w:after="0"/>
              <w:rPr>
                <w:sz w:val="11"/>
                <w:szCs w:val="11"/>
                <w:color w:val="auto"/>
              </w:rPr>
            </w:pPr>
          </w:p>
        </w:tc>
        <w:tc>
          <w:tcPr>
            <w:tcW w:w="23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340" w:type="dxa"/>
            <w:vAlign w:val="bottom"/>
            <w:shd w:val="clear" w:color="auto" w:fill="DBDBDB"/>
          </w:tcPr>
          <w:p>
            <w:pPr>
              <w:spacing w:after="0"/>
              <w:rPr>
                <w:sz w:val="7"/>
                <w:szCs w:val="7"/>
                <w:color w:val="auto"/>
              </w:rPr>
            </w:pPr>
          </w:p>
        </w:tc>
        <w:tc>
          <w:tcPr>
            <w:tcW w:w="1280" w:type="dxa"/>
            <w:vAlign w:val="bottom"/>
            <w:vMerge w:val="continue"/>
            <w:shd w:val="clear" w:color="auto" w:fill="DBDBDB"/>
          </w:tcPr>
          <w:p>
            <w:pPr>
              <w:spacing w:after="0"/>
              <w:rPr>
                <w:sz w:val="7"/>
                <w:szCs w:val="7"/>
                <w:color w:val="auto"/>
              </w:rPr>
            </w:pPr>
          </w:p>
        </w:tc>
        <w:tc>
          <w:tcPr>
            <w:tcW w:w="4760" w:type="dxa"/>
            <w:vAlign w:val="bottom"/>
            <w:vMerge w:val="continue"/>
            <w:shd w:val="clear" w:color="auto" w:fill="DBDBDB"/>
          </w:tcPr>
          <w:p>
            <w:pPr>
              <w:spacing w:after="0"/>
              <w:rPr>
                <w:sz w:val="7"/>
                <w:szCs w:val="7"/>
                <w:color w:val="auto"/>
              </w:rPr>
            </w:pPr>
          </w:p>
        </w:tc>
        <w:tc>
          <w:tcPr>
            <w:tcW w:w="1500" w:type="dxa"/>
            <w:vAlign w:val="bottom"/>
            <w:shd w:val="clear" w:color="auto" w:fill="DBDBDB"/>
          </w:tcPr>
          <w:p>
            <w:pPr>
              <w:spacing w:after="0"/>
              <w:rPr>
                <w:sz w:val="7"/>
                <w:szCs w:val="7"/>
                <w:color w:val="auto"/>
              </w:rPr>
            </w:pPr>
          </w:p>
        </w:tc>
        <w:tc>
          <w:tcPr>
            <w:tcW w:w="23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340" w:type="dxa"/>
            <w:vAlign w:val="bottom"/>
            <w:tcBorders>
              <w:bottom w:val="single" w:sz="8" w:color="auto"/>
            </w:tcBorders>
            <w:shd w:val="clear" w:color="auto" w:fill="DBDBDB"/>
          </w:tcPr>
          <w:p>
            <w:pPr>
              <w:spacing w:after="0"/>
              <w:rPr>
                <w:sz w:val="7"/>
                <w:szCs w:val="7"/>
                <w:color w:val="auto"/>
              </w:rPr>
            </w:pPr>
          </w:p>
        </w:tc>
        <w:tc>
          <w:tcPr>
            <w:tcW w:w="1280" w:type="dxa"/>
            <w:vAlign w:val="bottom"/>
            <w:tcBorders>
              <w:bottom w:val="single" w:sz="8" w:color="auto"/>
            </w:tcBorders>
            <w:shd w:val="clear" w:color="auto" w:fill="DBDBDB"/>
          </w:tcPr>
          <w:p>
            <w:pPr>
              <w:spacing w:after="0"/>
              <w:rPr>
                <w:sz w:val="7"/>
                <w:szCs w:val="7"/>
                <w:color w:val="auto"/>
              </w:rPr>
            </w:pPr>
          </w:p>
        </w:tc>
        <w:tc>
          <w:tcPr>
            <w:tcW w:w="4760" w:type="dxa"/>
            <w:vAlign w:val="bottom"/>
            <w:tcBorders>
              <w:bottom w:val="single" w:sz="8" w:color="auto"/>
            </w:tcBorders>
            <w:shd w:val="clear" w:color="auto" w:fill="DBDBDB"/>
          </w:tcPr>
          <w:p>
            <w:pPr>
              <w:spacing w:after="0"/>
              <w:rPr>
                <w:sz w:val="7"/>
                <w:szCs w:val="7"/>
                <w:color w:val="auto"/>
              </w:rPr>
            </w:pPr>
          </w:p>
        </w:tc>
        <w:tc>
          <w:tcPr>
            <w:tcW w:w="1500" w:type="dxa"/>
            <w:vAlign w:val="bottom"/>
            <w:tcBorders>
              <w:bottom w:val="single" w:sz="8" w:color="auto"/>
            </w:tcBorders>
            <w:shd w:val="clear" w:color="auto" w:fill="DBDBDB"/>
          </w:tcPr>
          <w:p>
            <w:pPr>
              <w:spacing w:after="0"/>
              <w:rPr>
                <w:sz w:val="7"/>
                <w:szCs w:val="7"/>
                <w:color w:val="auto"/>
              </w:rPr>
            </w:pPr>
          </w:p>
        </w:tc>
        <w:tc>
          <w:tcPr>
            <w:tcW w:w="2360" w:type="dxa"/>
            <w:vAlign w:val="bottom"/>
            <w:tcBorders>
              <w:bottom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61" w:right="339" w:bottom="1440" w:gutter="0" w:footer="0" w:header="0"/>
        </w:sectPr>
      </w:pPr>
    </w:p>
    <w:tbl>
      <w:tblPr>
        <w:tblLayout w:type="fixed"/>
        <w:tblInd w:w="2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480" w:type="dxa"/>
            <w:vAlign w:val="bottom"/>
            <w:vMerge w:val="restart"/>
          </w:tcPr>
          <w:p>
            <w:pPr>
              <w:ind w:left="240"/>
              <w:spacing w:after="0"/>
              <w:rPr>
                <w:sz w:val="20"/>
                <w:szCs w:val="20"/>
                <w:color w:val="auto"/>
              </w:rPr>
            </w:pPr>
            <w:r>
              <w:rPr>
                <w:rFonts w:ascii="Arial" w:cs="Arial" w:eastAsia="Arial" w:hAnsi="Arial"/>
                <w:sz w:val="16"/>
                <w:szCs w:val="16"/>
                <w:color w:val="auto"/>
              </w:rPr>
              <w:t>SiC Ramp</w:t>
            </w:r>
          </w:p>
        </w:tc>
        <w:tc>
          <w:tcPr>
            <w:tcW w:w="4720" w:type="dxa"/>
            <w:vAlign w:val="bottom"/>
          </w:tcPr>
          <w:p>
            <w:pPr>
              <w:ind w:left="60"/>
              <w:spacing w:after="0" w:line="162" w:lineRule="exact"/>
              <w:rPr>
                <w:sz w:val="20"/>
                <w:szCs w:val="20"/>
                <w:color w:val="auto"/>
              </w:rPr>
            </w:pPr>
            <w:r>
              <w:rPr>
                <w:rFonts w:ascii="Arial" w:cs="Arial" w:eastAsia="Arial" w:hAnsi="Arial"/>
                <w:sz w:val="16"/>
                <w:szCs w:val="16"/>
                <w:color w:val="auto"/>
              </w:rPr>
              <w:t>Measured based on the revenue we generated for new SiC</w:t>
            </w:r>
          </w:p>
        </w:tc>
        <w:tc>
          <w:tcPr>
            <w:tcW w:w="0" w:type="dxa"/>
            <w:vAlign w:val="bottom"/>
          </w:tcPr>
          <w:p>
            <w:pPr>
              <w:spacing w:after="0"/>
              <w:rPr>
                <w:sz w:val="1"/>
                <w:szCs w:val="1"/>
                <w:color w:val="auto"/>
              </w:rPr>
            </w:pPr>
          </w:p>
        </w:tc>
      </w:tr>
      <w:tr>
        <w:trPr>
          <w:trHeight w:val="133"/>
        </w:trPr>
        <w:tc>
          <w:tcPr>
            <w:tcW w:w="10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4720" w:type="dxa"/>
            <w:vAlign w:val="bottom"/>
            <w:vMerge w:val="restart"/>
          </w:tcPr>
          <w:p>
            <w:pPr>
              <w:ind w:left="60"/>
              <w:spacing w:after="0" w:line="162" w:lineRule="exact"/>
              <w:rPr>
                <w:sz w:val="20"/>
                <w:szCs w:val="20"/>
                <w:color w:val="auto"/>
              </w:rPr>
            </w:pPr>
            <w:r>
              <w:rPr>
                <w:rFonts w:ascii="Arial" w:cs="Arial" w:eastAsia="Arial" w:hAnsi="Arial"/>
                <w:sz w:val="16"/>
                <w:szCs w:val="16"/>
                <w:color w:val="auto"/>
              </w:rPr>
              <w:t>products as compared to 2021 (i.e., one-, two- or three-times the</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Pr>
          <w:p>
            <w:pPr>
              <w:spacing w:after="0"/>
              <w:rPr>
                <w:sz w:val="18"/>
                <w:szCs w:val="18"/>
                <w:color w:val="auto"/>
              </w:rPr>
            </w:pPr>
          </w:p>
        </w:tc>
        <w:tc>
          <w:tcPr>
            <w:tcW w:w="6200" w:type="dxa"/>
            <w:vAlign w:val="bottom"/>
            <w:gridSpan w:val="2"/>
          </w:tcPr>
          <w:p>
            <w:pPr>
              <w:ind w:left="240"/>
              <w:spacing w:after="0" w:line="216" w:lineRule="exact"/>
              <w:rPr>
                <w:sz w:val="20"/>
                <w:szCs w:val="20"/>
                <w:color w:val="auto"/>
              </w:rPr>
            </w:pPr>
            <w:r>
              <w:rPr>
                <w:rFonts w:ascii="Arial" w:cs="Arial" w:eastAsia="Arial" w:hAnsi="Arial"/>
                <w:sz w:val="24"/>
                <w:szCs w:val="24"/>
                <w:color w:val="auto"/>
                <w:vertAlign w:val="superscript"/>
              </w:rPr>
              <w:t>Product Revenue</w:t>
            </w:r>
            <w:r>
              <w:rPr>
                <w:rFonts w:ascii="Arial" w:cs="Arial" w:eastAsia="Arial" w:hAnsi="Arial"/>
                <w:sz w:val="13"/>
                <w:szCs w:val="13"/>
                <w:color w:val="auto"/>
              </w:rPr>
              <w:t xml:space="preserve"> prior year’s revenue)</w:t>
            </w: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20" w:type="dxa"/>
            <w:vAlign w:val="bottom"/>
          </w:tcPr>
          <w:p>
            <w:pPr>
              <w:ind w:left="60"/>
              <w:spacing w:after="0" w:line="163" w:lineRule="exact"/>
              <w:rPr>
                <w:sz w:val="20"/>
                <w:szCs w:val="20"/>
                <w:color w:val="auto"/>
              </w:rPr>
            </w:pPr>
            <w:r>
              <w:rPr>
                <w:rFonts w:ascii="Arial" w:cs="Arial" w:eastAsia="Arial" w:hAnsi="Arial"/>
                <w:sz w:val="16"/>
                <w:szCs w:val="16"/>
                <w:color w:val="auto"/>
              </w:rPr>
              <w:t>Measured based on our progress in establishing baseline</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480" w:type="dxa"/>
            <w:vAlign w:val="bottom"/>
            <w:vMerge w:val="restart"/>
          </w:tcPr>
          <w:p>
            <w:pPr>
              <w:ind w:left="240"/>
              <w:spacing w:after="0"/>
              <w:rPr>
                <w:sz w:val="20"/>
                <w:szCs w:val="20"/>
                <w:color w:val="auto"/>
              </w:rPr>
            </w:pPr>
            <w:r>
              <w:rPr>
                <w:rFonts w:ascii="Arial" w:cs="Arial" w:eastAsia="Arial" w:hAnsi="Arial"/>
                <w:sz w:val="16"/>
                <w:szCs w:val="16"/>
                <w:color w:val="auto"/>
              </w:rPr>
              <w:t>ESG Baseline</w:t>
            </w:r>
          </w:p>
        </w:tc>
        <w:tc>
          <w:tcPr>
            <w:tcW w:w="4720" w:type="dxa"/>
            <w:vAlign w:val="bottom"/>
          </w:tcPr>
          <w:p>
            <w:pPr>
              <w:ind w:left="60"/>
              <w:spacing w:after="0" w:line="162" w:lineRule="exact"/>
              <w:rPr>
                <w:sz w:val="20"/>
                <w:szCs w:val="20"/>
                <w:color w:val="auto"/>
              </w:rPr>
            </w:pPr>
            <w:r>
              <w:rPr>
                <w:rFonts w:ascii="Arial" w:cs="Arial" w:eastAsia="Arial" w:hAnsi="Arial"/>
                <w:sz w:val="16"/>
                <w:szCs w:val="16"/>
                <w:color w:val="auto"/>
              </w:rPr>
              <w:t>emissions for each of Scopes 1, 2 and 3 and then taking the next</w:t>
            </w:r>
          </w:p>
        </w:tc>
        <w:tc>
          <w:tcPr>
            <w:tcW w:w="0" w:type="dxa"/>
            <w:vAlign w:val="bottom"/>
          </w:tcPr>
          <w:p>
            <w:pPr>
              <w:spacing w:after="0"/>
              <w:rPr>
                <w:sz w:val="1"/>
                <w:szCs w:val="1"/>
                <w:color w:val="auto"/>
              </w:rPr>
            </w:pPr>
          </w:p>
        </w:tc>
      </w:tr>
      <w:tr>
        <w:trPr>
          <w:trHeight w:val="81"/>
        </w:trPr>
        <w:tc>
          <w:tcPr>
            <w:tcW w:w="1080" w:type="dxa"/>
            <w:vAlign w:val="bottom"/>
            <w:vMerge w:val="restart"/>
          </w:tcPr>
          <w:p>
            <w:pPr>
              <w:spacing w:after="0" w:line="178" w:lineRule="exact"/>
              <w:rPr>
                <w:sz w:val="20"/>
                <w:szCs w:val="20"/>
                <w:color w:val="auto"/>
              </w:rPr>
            </w:pPr>
            <w:r>
              <w:rPr>
                <w:rFonts w:ascii="Arial" w:cs="Arial" w:eastAsia="Arial" w:hAnsi="Arial"/>
                <w:sz w:val="16"/>
                <w:szCs w:val="16"/>
                <w:color w:val="auto"/>
              </w:rPr>
              <w:t>Operational</w:t>
            </w:r>
          </w:p>
        </w:tc>
        <w:tc>
          <w:tcPr>
            <w:tcW w:w="1480" w:type="dxa"/>
            <w:vAlign w:val="bottom"/>
            <w:vMerge w:val="continue"/>
          </w:tcPr>
          <w:p>
            <w:pPr>
              <w:spacing w:after="0"/>
              <w:rPr>
                <w:sz w:val="7"/>
                <w:szCs w:val="7"/>
                <w:color w:val="auto"/>
              </w:rPr>
            </w:pPr>
          </w:p>
        </w:tc>
        <w:tc>
          <w:tcPr>
            <w:tcW w:w="4720" w:type="dxa"/>
            <w:vAlign w:val="bottom"/>
            <w:vMerge w:val="restart"/>
          </w:tcPr>
          <w:p>
            <w:pPr>
              <w:ind w:left="60"/>
              <w:spacing w:after="0" w:line="178" w:lineRule="exact"/>
              <w:rPr>
                <w:sz w:val="20"/>
                <w:szCs w:val="20"/>
                <w:color w:val="auto"/>
              </w:rPr>
            </w:pPr>
            <w:r>
              <w:rPr>
                <w:rFonts w:ascii="Arial" w:cs="Arial" w:eastAsia="Arial" w:hAnsi="Arial"/>
                <w:sz w:val="16"/>
                <w:szCs w:val="16"/>
                <w:color w:val="auto"/>
              </w:rPr>
              <w:t>step—no baseline emissions are established, baseline emissions</w:t>
            </w:r>
          </w:p>
        </w:tc>
        <w:tc>
          <w:tcPr>
            <w:tcW w:w="0" w:type="dxa"/>
            <w:vAlign w:val="bottom"/>
          </w:tcPr>
          <w:p>
            <w:pPr>
              <w:spacing w:after="0"/>
              <w:rPr>
                <w:sz w:val="1"/>
                <w:szCs w:val="1"/>
                <w:color w:val="auto"/>
              </w:rPr>
            </w:pPr>
          </w:p>
        </w:tc>
      </w:tr>
      <w:tr>
        <w:trPr>
          <w:trHeight w:val="96"/>
        </w:trPr>
        <w:tc>
          <w:tcPr>
            <w:tcW w:w="1080" w:type="dxa"/>
            <w:vAlign w:val="bottom"/>
            <w:vMerge w:val="continue"/>
          </w:tcPr>
          <w:p>
            <w:pPr>
              <w:spacing w:after="0"/>
              <w:rPr>
                <w:sz w:val="8"/>
                <w:szCs w:val="8"/>
                <w:color w:val="auto"/>
              </w:rPr>
            </w:pPr>
          </w:p>
        </w:tc>
        <w:tc>
          <w:tcPr>
            <w:tcW w:w="1480" w:type="dxa"/>
            <w:vAlign w:val="bottom"/>
          </w:tcPr>
          <w:p>
            <w:pPr>
              <w:ind w:left="240"/>
              <w:spacing w:after="0" w:line="96" w:lineRule="exact"/>
              <w:rPr>
                <w:sz w:val="20"/>
                <w:szCs w:val="20"/>
                <w:color w:val="auto"/>
              </w:rPr>
            </w:pPr>
            <w:r>
              <w:rPr>
                <w:rFonts w:ascii="Arial" w:cs="Arial" w:eastAsia="Arial" w:hAnsi="Arial"/>
                <w:sz w:val="11"/>
                <w:szCs w:val="11"/>
                <w:color w:val="auto"/>
              </w:rPr>
              <w:t>Scopes 1, 2 and</w:t>
            </w:r>
          </w:p>
        </w:tc>
        <w:tc>
          <w:tcPr>
            <w:tcW w:w="4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147"/>
        </w:trPr>
        <w:tc>
          <w:tcPr>
            <w:tcW w:w="1060" w:type="dxa"/>
            <w:vAlign w:val="bottom"/>
            <w:vMerge w:val="restart"/>
          </w:tcPr>
          <w:p>
            <w:pPr>
              <w:spacing w:after="0"/>
              <w:rPr>
                <w:sz w:val="20"/>
                <w:szCs w:val="20"/>
                <w:color w:val="auto"/>
              </w:rPr>
            </w:pPr>
            <w:r>
              <w:rPr>
                <w:rFonts w:ascii="Arial" w:cs="Arial" w:eastAsia="Arial" w:hAnsi="Arial"/>
                <w:sz w:val="16"/>
                <w:szCs w:val="16"/>
                <w:color w:val="auto"/>
              </w:rPr>
              <w:t>3</w:t>
            </w:r>
          </w:p>
        </w:tc>
        <w:tc>
          <w:tcPr>
            <w:tcW w:w="4720" w:type="dxa"/>
            <w:vAlign w:val="bottom"/>
          </w:tcPr>
          <w:p>
            <w:pPr>
              <w:ind w:left="240"/>
              <w:spacing w:after="0" w:line="147" w:lineRule="exact"/>
              <w:rPr>
                <w:sz w:val="20"/>
                <w:szCs w:val="20"/>
                <w:color w:val="auto"/>
              </w:rPr>
            </w:pPr>
            <w:r>
              <w:rPr>
                <w:rFonts w:ascii="Arial" w:cs="Arial" w:eastAsia="Arial" w:hAnsi="Arial"/>
                <w:sz w:val="16"/>
                <w:szCs w:val="16"/>
                <w:color w:val="auto"/>
              </w:rPr>
              <w:t>are established and our roadmap to reducing such Scope</w:t>
            </w:r>
          </w:p>
        </w:tc>
        <w:tc>
          <w:tcPr>
            <w:tcW w:w="0" w:type="dxa"/>
            <w:vAlign w:val="bottom"/>
          </w:tcPr>
          <w:p>
            <w:pPr>
              <w:spacing w:after="0"/>
              <w:rPr>
                <w:sz w:val="1"/>
                <w:szCs w:val="1"/>
                <w:color w:val="auto"/>
              </w:rPr>
            </w:pPr>
          </w:p>
        </w:tc>
      </w:tr>
      <w:tr>
        <w:trPr>
          <w:trHeight w:val="133"/>
        </w:trPr>
        <w:tc>
          <w:tcPr>
            <w:tcW w:w="1060" w:type="dxa"/>
            <w:vAlign w:val="bottom"/>
            <w:vMerge w:val="continue"/>
          </w:tcPr>
          <w:p>
            <w:pPr>
              <w:spacing w:after="0"/>
              <w:rPr>
                <w:sz w:val="11"/>
                <w:szCs w:val="11"/>
                <w:color w:val="auto"/>
              </w:rPr>
            </w:pPr>
          </w:p>
        </w:tc>
        <w:tc>
          <w:tcPr>
            <w:tcW w:w="4720" w:type="dxa"/>
            <w:vAlign w:val="bottom"/>
            <w:vMerge w:val="restart"/>
          </w:tcPr>
          <w:p>
            <w:pPr>
              <w:ind w:left="240"/>
              <w:spacing w:after="0" w:line="162" w:lineRule="exact"/>
              <w:rPr>
                <w:sz w:val="20"/>
                <w:szCs w:val="20"/>
                <w:color w:val="auto"/>
              </w:rPr>
            </w:pPr>
            <w:r>
              <w:rPr>
                <w:rFonts w:ascii="Arial" w:cs="Arial" w:eastAsia="Arial" w:hAnsi="Arial"/>
                <w:sz w:val="16"/>
                <w:szCs w:val="16"/>
                <w:color w:val="auto"/>
              </w:rPr>
              <w:t>emissions to achieve our goal of becoming net zero by 2040 is</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4720" w:type="dxa"/>
            <w:vAlign w:val="bottom"/>
          </w:tcPr>
          <w:p>
            <w:pPr>
              <w:ind w:left="240"/>
              <w:spacing w:after="0"/>
              <w:rPr>
                <w:sz w:val="20"/>
                <w:szCs w:val="20"/>
                <w:color w:val="auto"/>
              </w:rPr>
            </w:pPr>
            <w:r>
              <w:rPr>
                <w:rFonts w:ascii="Arial" w:cs="Arial" w:eastAsia="Arial" w:hAnsi="Arial"/>
                <w:sz w:val="16"/>
                <w:szCs w:val="16"/>
                <w:color w:val="auto"/>
              </w:rPr>
              <w:t>established</w:t>
            </w:r>
          </w:p>
        </w:tc>
        <w:tc>
          <w:tcPr>
            <w:tcW w:w="0" w:type="dxa"/>
            <w:vAlign w:val="bottom"/>
          </w:tcPr>
          <w:p>
            <w:pPr>
              <w:spacing w:after="0"/>
              <w:rPr>
                <w:sz w:val="1"/>
                <w:szCs w:val="1"/>
                <w:color w:val="auto"/>
              </w:rPr>
            </w:pPr>
          </w:p>
        </w:tc>
      </w:tr>
      <w:tr>
        <w:trPr>
          <w:trHeight w:val="163"/>
        </w:trPr>
        <w:tc>
          <w:tcPr>
            <w:tcW w:w="1060" w:type="dxa"/>
            <w:vAlign w:val="bottom"/>
          </w:tcPr>
          <w:p>
            <w:pPr>
              <w:spacing w:after="0" w:line="164" w:lineRule="exact"/>
              <w:rPr>
                <w:sz w:val="20"/>
                <w:szCs w:val="20"/>
                <w:color w:val="auto"/>
              </w:rPr>
            </w:pPr>
            <w:r>
              <w:rPr>
                <w:rFonts w:ascii="Arial" w:cs="Arial" w:eastAsia="Arial" w:hAnsi="Arial"/>
                <w:sz w:val="16"/>
                <w:szCs w:val="16"/>
                <w:color w:val="auto"/>
              </w:rPr>
              <w:t>Customer</w:t>
            </w:r>
          </w:p>
        </w:tc>
        <w:tc>
          <w:tcPr>
            <w:tcW w:w="4720" w:type="dxa"/>
            <w:vAlign w:val="bottom"/>
            <w:vMerge w:val="restart"/>
          </w:tcPr>
          <w:p>
            <w:pPr>
              <w:ind w:left="240"/>
              <w:spacing w:after="0"/>
              <w:rPr>
                <w:sz w:val="20"/>
                <w:szCs w:val="20"/>
                <w:color w:val="auto"/>
              </w:rPr>
            </w:pPr>
            <w:r>
              <w:rPr>
                <w:rFonts w:ascii="Arial" w:cs="Arial" w:eastAsia="Arial" w:hAnsi="Arial"/>
                <w:sz w:val="16"/>
                <w:szCs w:val="16"/>
                <w:color w:val="auto"/>
              </w:rPr>
              <w:t>Measured by how close the program is to being established:</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line="162" w:lineRule="exact"/>
              <w:rPr>
                <w:sz w:val="20"/>
                <w:szCs w:val="20"/>
                <w:color w:val="auto"/>
              </w:rPr>
            </w:pPr>
            <w:r>
              <w:rPr>
                <w:rFonts w:ascii="Arial" w:cs="Arial" w:eastAsia="Arial" w:hAnsi="Arial"/>
                <w:sz w:val="16"/>
                <w:szCs w:val="16"/>
                <w:color w:val="auto"/>
              </w:rPr>
              <w:t>Experience</w:t>
            </w:r>
          </w:p>
        </w:tc>
        <w:tc>
          <w:tcPr>
            <w:tcW w:w="4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4720" w:type="dxa"/>
            <w:vAlign w:val="bottom"/>
            <w:vMerge w:val="restart"/>
          </w:tcPr>
          <w:p>
            <w:pPr>
              <w:ind w:left="240"/>
              <w:spacing w:after="0"/>
              <w:rPr>
                <w:sz w:val="20"/>
                <w:szCs w:val="20"/>
                <w:color w:val="auto"/>
              </w:rPr>
            </w:pPr>
            <w:r>
              <w:rPr>
                <w:rFonts w:ascii="Arial" w:cs="Arial" w:eastAsia="Arial" w:hAnsi="Arial"/>
                <w:sz w:val="16"/>
                <w:szCs w:val="16"/>
                <w:color w:val="auto"/>
              </w:rPr>
              <w:t>50%, 80% or 100%</w:t>
            </w:r>
          </w:p>
        </w:tc>
        <w:tc>
          <w:tcPr>
            <w:tcW w:w="0" w:type="dxa"/>
            <w:vAlign w:val="bottom"/>
          </w:tcPr>
          <w:p>
            <w:pPr>
              <w:spacing w:after="0"/>
              <w:rPr>
                <w:sz w:val="1"/>
                <w:szCs w:val="1"/>
                <w:color w:val="auto"/>
              </w:rPr>
            </w:pPr>
          </w:p>
        </w:tc>
      </w:tr>
      <w:tr>
        <w:trPr>
          <w:trHeight w:val="134"/>
        </w:trPr>
        <w:tc>
          <w:tcPr>
            <w:tcW w:w="1060" w:type="dxa"/>
            <w:vAlign w:val="bottom"/>
            <w:vMerge w:val="restart"/>
          </w:tcPr>
          <w:p>
            <w:pPr>
              <w:spacing w:after="0"/>
              <w:rPr>
                <w:sz w:val="20"/>
                <w:szCs w:val="20"/>
                <w:color w:val="auto"/>
              </w:rPr>
            </w:pPr>
            <w:r>
              <w:rPr>
                <w:rFonts w:ascii="Arial" w:cs="Arial" w:eastAsia="Arial" w:hAnsi="Arial"/>
                <w:sz w:val="16"/>
                <w:szCs w:val="16"/>
                <w:color w:val="auto"/>
              </w:rPr>
              <w:t>Program</w:t>
            </w: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200" w:lineRule="exact"/>
        <w:rPr>
          <w:sz w:val="20"/>
          <w:szCs w:val="20"/>
          <w:color w:val="auto"/>
        </w:rPr>
      </w:pPr>
    </w:p>
    <w:p>
      <w:pPr>
        <w:spacing w:after="0" w:line="399"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color w:val="auto"/>
        </w:rPr>
        <w:t>200%</w:t>
      </w:r>
      <w:r>
        <w:rPr>
          <w:sz w:val="20"/>
          <w:szCs w:val="20"/>
          <w:color w:val="auto"/>
        </w:rPr>
        <w:tab/>
      </w:r>
      <w:r>
        <w:rPr>
          <w:rFonts w:ascii="Arial" w:cs="Arial" w:eastAsia="Arial" w:hAnsi="Arial"/>
          <w:sz w:val="16"/>
          <w:szCs w:val="16"/>
          <w:color w:val="auto"/>
        </w:rPr>
        <w:t>No TSR Adjustment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393" w:lineRule="exact"/>
        <w:rPr>
          <w:sz w:val="20"/>
          <w:szCs w:val="20"/>
          <w:color w:val="auto"/>
        </w:rPr>
      </w:pPr>
    </w:p>
    <w:p>
      <w:pPr>
        <w:sectPr>
          <w:pgSz w:w="11900" w:h="16838" w:orient="portrait"/>
          <w:cols w:equalWidth="0" w:num="2">
            <w:col w:w="7300" w:space="620"/>
            <w:col w:w="3320"/>
          </w:cols>
          <w:pgMar w:left="320" w:top="161" w:right="339" w:bottom="1440" w:gutter="0" w:footer="0" w:header="0"/>
          <w:type w:val="continuous"/>
        </w:sectPr>
      </w:pP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using a mix of performance periods in our LTI program emphasizes different priorities. All six of our 2022 LTI Performance Goals, while measured over a one-year period, are forward-looking and establish a baseline to help us achieve our longer-term strategic</w:t>
      </w:r>
    </w:p>
    <w:p>
      <w:pPr>
        <w:jc w:val="both"/>
        <w:spacing w:after="0" w:line="253" w:lineRule="auto"/>
        <w:rPr>
          <w:sz w:val="20"/>
          <w:szCs w:val="20"/>
          <w:color w:val="auto"/>
        </w:rPr>
      </w:pPr>
      <w:r>
        <w:rPr>
          <w:rFonts w:ascii="Arial" w:cs="Arial" w:eastAsia="Arial" w:hAnsi="Arial"/>
          <w:sz w:val="18"/>
          <w:szCs w:val="18"/>
          <w:color w:val="auto"/>
        </w:rPr>
        <w:t>goals. Having our PBRSUs vest over a three-year period, with a significant portion of the ultimate payout remaining variable, to be adjusted up or down with our relative TSR performance measured from January 1 of the year of grant to December 31 of the year before each scheduled vesting date, links overall payout of these awards to longer-term stockholder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34</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9" w:name="page40"/>
    <w:bookmarkEnd w:id="39"/>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u w:val="single" w:color="auto"/>
          <w:color w:val="auto"/>
        </w:rPr>
        <w:t>Considerations Regarding 2022 LTI Performance Goals</w:t>
      </w:r>
      <w:r>
        <w:rPr>
          <w:rFonts w:ascii="Arial" w:cs="Arial" w:eastAsia="Arial" w:hAnsi="Arial"/>
          <w:sz w:val="18"/>
          <w:szCs w:val="18"/>
          <w:color w:val="auto"/>
        </w:rPr>
        <w:t>. The 2022 LTI program was designed to reward performance consistent with our long-term strategic objectives. Similar to our 2022 STI program, the HCC Committee determined that the use of certain non-GAAP metrics would be more appropriate for our 2022 LTI program than GAAP metrics as it would prevent 2022 LTI payouts from being significantly impacted (positively or negatively) by extraordinary or unusual events or non-cash items. The HCC Committee also considered adjustments eliminating the effect of certain non-cash items to be appropriate, believing that the adjusted numbers are a better indicator of our current actual operating performance.</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HCC Committee also considered the advantages and disadvantages of using absolute versus relative performance measures and believes that the 2022 LTI Program struck an appropriate balance between the two types of measures by using both measures in the PBRSU</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grants. Absolute measures are consistent with stockholder expectations, allow for greater sense of control and influence by the executive, encourage motivation and are consistent with our cash flow and ability to pay. Conversely, relative measures, such as our TSR Adjustment, result in adjustment, up or down, to payouts for our executives based on our performance compared to our peers in a highly competitive marketplace.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specific targets under each of the 2022 LTI Performance Goals:</w:t>
      </w:r>
    </w:p>
    <w:p>
      <w:pPr>
        <w:spacing w:after="0" w:line="29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36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2022 LTI Performance Goals</w:t>
            </w:r>
          </w:p>
        </w:tc>
        <w:tc>
          <w:tcPr>
            <w:tcW w:w="1780" w:type="dxa"/>
            <w:vAlign w:val="bottom"/>
            <w:shd w:val="clear" w:color="auto" w:fill="465E66"/>
          </w:tcPr>
          <w:p>
            <w:pPr>
              <w:jc w:val="center"/>
              <w:ind w:left="128"/>
              <w:spacing w:after="0"/>
              <w:rPr>
                <w:sz w:val="20"/>
                <w:szCs w:val="20"/>
                <w:color w:val="auto"/>
              </w:rPr>
            </w:pPr>
            <w:r>
              <w:rPr>
                <w:rFonts w:ascii="Arial" w:cs="Arial" w:eastAsia="Arial" w:hAnsi="Arial"/>
                <w:sz w:val="14"/>
                <w:szCs w:val="14"/>
                <w:b w:val="1"/>
                <w:bCs w:val="1"/>
                <w:color w:val="FFFFFF"/>
              </w:rPr>
              <w:t>0% Payout</w:t>
            </w:r>
          </w:p>
        </w:tc>
        <w:tc>
          <w:tcPr>
            <w:tcW w:w="1660" w:type="dxa"/>
            <w:vAlign w:val="bottom"/>
            <w:shd w:val="clear" w:color="auto" w:fill="465E66"/>
          </w:tcPr>
          <w:p>
            <w:pPr>
              <w:jc w:val="center"/>
              <w:ind w:left="27"/>
              <w:spacing w:after="0"/>
              <w:rPr>
                <w:sz w:val="20"/>
                <w:szCs w:val="20"/>
                <w:color w:val="auto"/>
              </w:rPr>
            </w:pPr>
            <w:r>
              <w:rPr>
                <w:rFonts w:ascii="Arial" w:cs="Arial" w:eastAsia="Arial" w:hAnsi="Arial"/>
                <w:sz w:val="14"/>
                <w:szCs w:val="14"/>
                <w:b w:val="1"/>
                <w:bCs w:val="1"/>
                <w:color w:val="FFFFFF"/>
              </w:rPr>
              <w:t>100% Payout</w:t>
            </w:r>
          </w:p>
        </w:tc>
        <w:tc>
          <w:tcPr>
            <w:tcW w:w="17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150% or 200% Payout</w:t>
            </w:r>
          </w:p>
        </w:tc>
      </w:tr>
      <w:tr>
        <w:trPr>
          <w:trHeight w:val="185"/>
        </w:trPr>
        <w:tc>
          <w:tcPr>
            <w:tcW w:w="536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Measured after 2022 PBRSU Performance Period (1)</w:t>
            </w:r>
          </w:p>
        </w:tc>
        <w:tc>
          <w:tcPr>
            <w:tcW w:w="1780" w:type="dxa"/>
            <w:vAlign w:val="bottom"/>
            <w:shd w:val="clear" w:color="auto" w:fill="465E66"/>
          </w:tcPr>
          <w:p>
            <w:pPr>
              <w:jc w:val="center"/>
              <w:ind w:left="128"/>
              <w:spacing w:after="0"/>
              <w:rPr>
                <w:sz w:val="20"/>
                <w:szCs w:val="20"/>
                <w:color w:val="auto"/>
              </w:rPr>
            </w:pPr>
            <w:r>
              <w:rPr>
                <w:rFonts w:ascii="Arial" w:cs="Arial" w:eastAsia="Arial" w:hAnsi="Arial"/>
                <w:sz w:val="14"/>
                <w:szCs w:val="14"/>
                <w:b w:val="1"/>
                <w:bCs w:val="1"/>
                <w:color w:val="FFFFFF"/>
              </w:rPr>
              <w:t>(Threshold)</w:t>
            </w:r>
          </w:p>
        </w:tc>
        <w:tc>
          <w:tcPr>
            <w:tcW w:w="1660" w:type="dxa"/>
            <w:vAlign w:val="bottom"/>
            <w:shd w:val="clear" w:color="auto" w:fill="465E66"/>
          </w:tcPr>
          <w:p>
            <w:pPr>
              <w:jc w:val="center"/>
              <w:ind w:left="27"/>
              <w:spacing w:after="0"/>
              <w:rPr>
                <w:sz w:val="20"/>
                <w:szCs w:val="20"/>
                <w:color w:val="auto"/>
              </w:rPr>
            </w:pPr>
            <w:r>
              <w:rPr>
                <w:rFonts w:ascii="Arial" w:cs="Arial" w:eastAsia="Arial" w:hAnsi="Arial"/>
                <w:sz w:val="14"/>
                <w:szCs w:val="14"/>
                <w:b w:val="1"/>
                <w:bCs w:val="1"/>
                <w:color w:val="FFFFFF"/>
                <w:w w:val="99"/>
              </w:rPr>
              <w:t>(Target)</w:t>
            </w:r>
          </w:p>
        </w:tc>
        <w:tc>
          <w:tcPr>
            <w:tcW w:w="17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(Stretch)</w:t>
            </w:r>
          </w:p>
        </w:tc>
      </w:tr>
      <w:tr>
        <w:trPr>
          <w:trHeight w:val="203"/>
        </w:trPr>
        <w:tc>
          <w:tcPr>
            <w:tcW w:w="5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Revenue (weighted 16.7%)</w:t>
            </w:r>
          </w:p>
        </w:tc>
        <w:tc>
          <w:tcPr>
            <w:tcW w:w="1780" w:type="dxa"/>
            <w:vAlign w:val="bottom"/>
            <w:shd w:val="clear" w:color="auto" w:fill="DBDBDB"/>
          </w:tcPr>
          <w:p>
            <w:pPr>
              <w:jc w:val="center"/>
              <w:ind w:left="128"/>
              <w:spacing w:after="0"/>
              <w:rPr>
                <w:sz w:val="20"/>
                <w:szCs w:val="20"/>
                <w:color w:val="auto"/>
              </w:rPr>
            </w:pPr>
            <w:r>
              <w:rPr>
                <w:rFonts w:ascii="Arial" w:cs="Arial" w:eastAsia="Arial" w:hAnsi="Arial"/>
                <w:sz w:val="14"/>
                <w:szCs w:val="14"/>
                <w:color w:val="auto"/>
              </w:rPr>
              <w:t>$6.70 billion</w:t>
            </w:r>
          </w:p>
        </w:tc>
        <w:tc>
          <w:tcPr>
            <w:tcW w:w="1660" w:type="dxa"/>
            <w:vAlign w:val="bottom"/>
            <w:shd w:val="clear" w:color="auto" w:fill="DBDBDB"/>
          </w:tcPr>
          <w:p>
            <w:pPr>
              <w:jc w:val="center"/>
              <w:ind w:left="27"/>
              <w:spacing w:after="0"/>
              <w:rPr>
                <w:sz w:val="20"/>
                <w:szCs w:val="20"/>
                <w:color w:val="auto"/>
              </w:rPr>
            </w:pPr>
            <w:r>
              <w:rPr>
                <w:rFonts w:ascii="Arial" w:cs="Arial" w:eastAsia="Arial" w:hAnsi="Arial"/>
                <w:sz w:val="14"/>
                <w:szCs w:val="14"/>
                <w:color w:val="auto"/>
              </w:rPr>
              <w:t>$7.70 billion</w:t>
            </w:r>
          </w:p>
        </w:tc>
        <w:tc>
          <w:tcPr>
            <w:tcW w:w="17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$8.09 billion</w:t>
            </w: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Non-GAAP Gross Margin (weighted 16.7%) (2)</w:t>
            </w:r>
          </w:p>
        </w:tc>
        <w:tc>
          <w:tcPr>
            <w:tcW w:w="1780" w:type="dxa"/>
            <w:vAlign w:val="bottom"/>
          </w:tcPr>
          <w:p>
            <w:pPr>
              <w:jc w:val="center"/>
              <w:ind w:left="128"/>
              <w:spacing w:after="0"/>
              <w:rPr>
                <w:sz w:val="20"/>
                <w:szCs w:val="20"/>
                <w:color w:val="auto"/>
              </w:rPr>
            </w:pPr>
            <w:r>
              <w:rPr>
                <w:rFonts w:ascii="Arial" w:cs="Arial" w:eastAsia="Arial" w:hAnsi="Arial"/>
                <w:sz w:val="14"/>
                <w:szCs w:val="14"/>
                <w:color w:val="auto"/>
              </w:rPr>
              <w:t>40.4%</w:t>
            </w:r>
          </w:p>
        </w:tc>
        <w:tc>
          <w:tcPr>
            <w:tcW w:w="1660" w:type="dxa"/>
            <w:vAlign w:val="bottom"/>
          </w:tcPr>
          <w:p>
            <w:pPr>
              <w:jc w:val="center"/>
              <w:ind w:left="27"/>
              <w:spacing w:after="0"/>
              <w:rPr>
                <w:sz w:val="20"/>
                <w:szCs w:val="20"/>
                <w:color w:val="auto"/>
              </w:rPr>
            </w:pPr>
            <w:r>
              <w:rPr>
                <w:rFonts w:ascii="Arial" w:cs="Arial" w:eastAsia="Arial" w:hAnsi="Arial"/>
                <w:sz w:val="14"/>
                <w:szCs w:val="14"/>
                <w:color w:val="auto"/>
              </w:rPr>
              <w:t>46.8%</w:t>
            </w:r>
          </w:p>
        </w:tc>
        <w:tc>
          <w:tcPr>
            <w:tcW w:w="1740" w:type="dxa"/>
            <w:vAlign w:val="bottom"/>
          </w:tcPr>
          <w:p>
            <w:pPr>
              <w:jc w:val="center"/>
              <w:spacing w:after="0"/>
              <w:rPr>
                <w:sz w:val="20"/>
                <w:szCs w:val="20"/>
                <w:color w:val="auto"/>
              </w:rPr>
            </w:pPr>
            <w:r>
              <w:rPr>
                <w:rFonts w:ascii="Arial" w:cs="Arial" w:eastAsia="Arial" w:hAnsi="Arial"/>
                <w:sz w:val="14"/>
                <w:szCs w:val="14"/>
                <w:color w:val="auto"/>
              </w:rPr>
              <w:t>47.8%</w:t>
            </w:r>
          </w:p>
        </w:tc>
      </w:tr>
      <w:tr>
        <w:trPr>
          <w:trHeight w:val="207"/>
        </w:trPr>
        <w:tc>
          <w:tcPr>
            <w:tcW w:w="5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Non-GAAP Operating Margin (weighted 16.7%) (3)</w:t>
            </w:r>
          </w:p>
        </w:tc>
        <w:tc>
          <w:tcPr>
            <w:tcW w:w="1780" w:type="dxa"/>
            <w:vAlign w:val="bottom"/>
            <w:shd w:val="clear" w:color="auto" w:fill="DBDBDB"/>
          </w:tcPr>
          <w:p>
            <w:pPr>
              <w:jc w:val="center"/>
              <w:ind w:left="128"/>
              <w:spacing w:after="0"/>
              <w:rPr>
                <w:sz w:val="20"/>
                <w:szCs w:val="20"/>
                <w:color w:val="auto"/>
              </w:rPr>
            </w:pPr>
            <w:r>
              <w:rPr>
                <w:rFonts w:ascii="Arial" w:cs="Arial" w:eastAsia="Arial" w:hAnsi="Arial"/>
                <w:sz w:val="14"/>
                <w:szCs w:val="14"/>
                <w:color w:val="auto"/>
              </w:rPr>
              <w:t>21.9%</w:t>
            </w:r>
          </w:p>
        </w:tc>
        <w:tc>
          <w:tcPr>
            <w:tcW w:w="1660" w:type="dxa"/>
            <w:vAlign w:val="bottom"/>
            <w:shd w:val="clear" w:color="auto" w:fill="DBDBDB"/>
          </w:tcPr>
          <w:p>
            <w:pPr>
              <w:jc w:val="center"/>
              <w:ind w:left="27"/>
              <w:spacing w:after="0"/>
              <w:rPr>
                <w:sz w:val="20"/>
                <w:szCs w:val="20"/>
                <w:color w:val="auto"/>
              </w:rPr>
            </w:pPr>
            <w:r>
              <w:rPr>
                <w:rFonts w:ascii="Arial" w:cs="Arial" w:eastAsia="Arial" w:hAnsi="Arial"/>
                <w:sz w:val="14"/>
                <w:szCs w:val="14"/>
                <w:color w:val="auto"/>
              </w:rPr>
              <w:t>30.2%</w:t>
            </w:r>
          </w:p>
        </w:tc>
        <w:tc>
          <w:tcPr>
            <w:tcW w:w="17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31.2%</w:t>
            </w: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Ramp SiC Product Revenue (weighted 16.7%)</w:t>
            </w:r>
          </w:p>
        </w:tc>
        <w:tc>
          <w:tcPr>
            <w:tcW w:w="1780" w:type="dxa"/>
            <w:vAlign w:val="bottom"/>
          </w:tcPr>
          <w:p>
            <w:pPr>
              <w:jc w:val="center"/>
              <w:ind w:left="128"/>
              <w:spacing w:after="0"/>
              <w:rPr>
                <w:sz w:val="20"/>
                <w:szCs w:val="20"/>
                <w:color w:val="auto"/>
              </w:rPr>
            </w:pPr>
            <w:r>
              <w:rPr>
                <w:rFonts w:ascii="Arial" w:cs="Arial" w:eastAsia="Arial" w:hAnsi="Arial"/>
                <w:sz w:val="14"/>
                <w:szCs w:val="14"/>
                <w:color w:val="auto"/>
                <w:w w:val="94"/>
              </w:rPr>
              <w:t>1x</w:t>
            </w:r>
          </w:p>
        </w:tc>
        <w:tc>
          <w:tcPr>
            <w:tcW w:w="1660" w:type="dxa"/>
            <w:vAlign w:val="bottom"/>
          </w:tcPr>
          <w:p>
            <w:pPr>
              <w:jc w:val="center"/>
              <w:ind w:left="27"/>
              <w:spacing w:after="0"/>
              <w:rPr>
                <w:sz w:val="20"/>
                <w:szCs w:val="20"/>
                <w:color w:val="auto"/>
              </w:rPr>
            </w:pPr>
            <w:r>
              <w:rPr>
                <w:rFonts w:ascii="Arial" w:cs="Arial" w:eastAsia="Arial" w:hAnsi="Arial"/>
                <w:sz w:val="14"/>
                <w:szCs w:val="14"/>
                <w:color w:val="auto"/>
              </w:rPr>
              <w:t>2x</w:t>
            </w:r>
          </w:p>
        </w:tc>
        <w:tc>
          <w:tcPr>
            <w:tcW w:w="1740" w:type="dxa"/>
            <w:vAlign w:val="bottom"/>
          </w:tcPr>
          <w:p>
            <w:pPr>
              <w:jc w:val="center"/>
              <w:spacing w:after="0"/>
              <w:rPr>
                <w:sz w:val="20"/>
                <w:szCs w:val="20"/>
                <w:color w:val="auto"/>
              </w:rPr>
            </w:pPr>
            <w:r>
              <w:rPr>
                <w:rFonts w:ascii="Arial" w:cs="Arial" w:eastAsia="Arial" w:hAnsi="Arial"/>
                <w:sz w:val="14"/>
                <w:szCs w:val="14"/>
                <w:color w:val="auto"/>
              </w:rPr>
              <w:t>3x</w:t>
            </w:r>
          </w:p>
        </w:tc>
      </w:tr>
      <w:tr>
        <w:trPr>
          <w:trHeight w:val="207"/>
        </w:trPr>
        <w:tc>
          <w:tcPr>
            <w:tcW w:w="5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ESG Baseline Scopes 1, 2 and 3 (weighted 16.7%) (4)</w:t>
            </w:r>
          </w:p>
        </w:tc>
        <w:tc>
          <w:tcPr>
            <w:tcW w:w="1780" w:type="dxa"/>
            <w:vAlign w:val="bottom"/>
            <w:shd w:val="clear" w:color="auto" w:fill="DBDBDB"/>
          </w:tcPr>
          <w:p>
            <w:pPr>
              <w:jc w:val="center"/>
              <w:ind w:left="128"/>
              <w:spacing w:after="0"/>
              <w:rPr>
                <w:sz w:val="20"/>
                <w:szCs w:val="20"/>
                <w:color w:val="auto"/>
              </w:rPr>
            </w:pPr>
            <w:r>
              <w:rPr>
                <w:rFonts w:ascii="Arial" w:cs="Arial" w:eastAsia="Arial" w:hAnsi="Arial"/>
                <w:sz w:val="14"/>
                <w:szCs w:val="14"/>
                <w:color w:val="auto"/>
              </w:rPr>
              <w:t>No baseline (x3)</w:t>
            </w:r>
          </w:p>
        </w:tc>
        <w:tc>
          <w:tcPr>
            <w:tcW w:w="1660" w:type="dxa"/>
            <w:vAlign w:val="bottom"/>
            <w:shd w:val="clear" w:color="auto" w:fill="DBDBDB"/>
          </w:tcPr>
          <w:p>
            <w:pPr>
              <w:jc w:val="center"/>
              <w:ind w:left="27"/>
              <w:spacing w:after="0"/>
              <w:rPr>
                <w:sz w:val="20"/>
                <w:szCs w:val="20"/>
                <w:color w:val="auto"/>
              </w:rPr>
            </w:pPr>
            <w:r>
              <w:rPr>
                <w:rFonts w:ascii="Arial" w:cs="Arial" w:eastAsia="Arial" w:hAnsi="Arial"/>
                <w:sz w:val="14"/>
                <w:szCs w:val="14"/>
                <w:color w:val="auto"/>
              </w:rPr>
              <w:t>Baseline (x3)</w:t>
            </w:r>
          </w:p>
        </w:tc>
        <w:tc>
          <w:tcPr>
            <w:tcW w:w="17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2040 Roadmap</w:t>
            </w: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Customer Experience Program (weighted 16.7%)</w:t>
            </w:r>
          </w:p>
        </w:tc>
        <w:tc>
          <w:tcPr>
            <w:tcW w:w="1780" w:type="dxa"/>
            <w:vAlign w:val="bottom"/>
          </w:tcPr>
          <w:p>
            <w:pPr>
              <w:jc w:val="center"/>
              <w:ind w:left="128"/>
              <w:spacing w:after="0"/>
              <w:rPr>
                <w:sz w:val="20"/>
                <w:szCs w:val="20"/>
                <w:color w:val="auto"/>
              </w:rPr>
            </w:pPr>
            <w:r>
              <w:rPr>
                <w:rFonts w:ascii="Arial" w:cs="Arial" w:eastAsia="Arial" w:hAnsi="Arial"/>
                <w:sz w:val="14"/>
                <w:szCs w:val="14"/>
                <w:color w:val="auto"/>
              </w:rPr>
              <w:t>50%</w:t>
            </w:r>
          </w:p>
        </w:tc>
        <w:tc>
          <w:tcPr>
            <w:tcW w:w="1660" w:type="dxa"/>
            <w:vAlign w:val="bottom"/>
          </w:tcPr>
          <w:p>
            <w:pPr>
              <w:jc w:val="center"/>
              <w:ind w:left="27"/>
              <w:spacing w:after="0"/>
              <w:rPr>
                <w:sz w:val="20"/>
                <w:szCs w:val="20"/>
                <w:color w:val="auto"/>
              </w:rPr>
            </w:pPr>
            <w:r>
              <w:rPr>
                <w:rFonts w:ascii="Arial" w:cs="Arial" w:eastAsia="Arial" w:hAnsi="Arial"/>
                <w:sz w:val="14"/>
                <w:szCs w:val="14"/>
                <w:color w:val="auto"/>
                <w:w w:val="99"/>
              </w:rPr>
              <w:t>80%</w:t>
            </w:r>
          </w:p>
        </w:tc>
        <w:tc>
          <w:tcPr>
            <w:tcW w:w="1740" w:type="dxa"/>
            <w:vAlign w:val="bottom"/>
          </w:tcPr>
          <w:p>
            <w:pPr>
              <w:jc w:val="center"/>
              <w:spacing w:after="0"/>
              <w:rPr>
                <w:sz w:val="20"/>
                <w:szCs w:val="20"/>
                <w:color w:val="auto"/>
              </w:rPr>
            </w:pPr>
            <w:r>
              <w:rPr>
                <w:rFonts w:ascii="Arial" w:cs="Arial" w:eastAsia="Arial" w:hAnsi="Arial"/>
                <w:sz w:val="14"/>
                <w:szCs w:val="14"/>
                <w:color w:val="auto"/>
              </w:rPr>
              <w:t>100%</w:t>
            </w:r>
          </w:p>
        </w:tc>
      </w:tr>
      <w:tr>
        <w:trPr>
          <w:trHeight w:val="207"/>
        </w:trPr>
        <w:tc>
          <w:tcPr>
            <w:tcW w:w="5360" w:type="dxa"/>
            <w:vAlign w:val="bottom"/>
            <w:shd w:val="clear" w:color="auto" w:fill="465E66"/>
          </w:tcPr>
          <w:p>
            <w:pPr>
              <w:ind w:left="620"/>
              <w:spacing w:after="0"/>
              <w:rPr>
                <w:sz w:val="20"/>
                <w:szCs w:val="20"/>
                <w:color w:val="auto"/>
              </w:rPr>
            </w:pPr>
            <w:r>
              <w:rPr>
                <w:rFonts w:ascii="Arial" w:cs="Arial" w:eastAsia="Arial" w:hAnsi="Arial"/>
                <w:sz w:val="14"/>
                <w:szCs w:val="14"/>
                <w:b w:val="1"/>
                <w:bCs w:val="1"/>
                <w:color w:val="FFFFFF"/>
              </w:rPr>
              <w:t>TSR Adjustment Measured after each TSR Performance Period</w:t>
            </w:r>
          </w:p>
        </w:tc>
        <w:tc>
          <w:tcPr>
            <w:tcW w:w="1780" w:type="dxa"/>
            <w:vAlign w:val="bottom"/>
            <w:shd w:val="clear" w:color="auto" w:fill="465E66"/>
          </w:tcPr>
          <w:p>
            <w:pPr>
              <w:spacing w:after="0"/>
              <w:rPr>
                <w:sz w:val="17"/>
                <w:szCs w:val="17"/>
                <w:color w:val="auto"/>
              </w:rPr>
            </w:pPr>
          </w:p>
        </w:tc>
        <w:tc>
          <w:tcPr>
            <w:tcW w:w="1660" w:type="dxa"/>
            <w:vAlign w:val="bottom"/>
            <w:shd w:val="clear" w:color="auto" w:fill="465E66"/>
          </w:tcPr>
          <w:p>
            <w:pPr>
              <w:jc w:val="center"/>
              <w:ind w:left="27"/>
              <w:spacing w:after="0"/>
              <w:rPr>
                <w:sz w:val="20"/>
                <w:szCs w:val="20"/>
                <w:color w:val="auto"/>
              </w:rPr>
            </w:pPr>
            <w:r>
              <w:rPr>
                <w:rFonts w:ascii="Arial" w:cs="Arial" w:eastAsia="Arial" w:hAnsi="Arial"/>
                <w:sz w:val="14"/>
                <w:szCs w:val="14"/>
                <w:b w:val="1"/>
                <w:bCs w:val="1"/>
                <w:color w:val="FFFFFF"/>
              </w:rPr>
              <w:t>Payout Range</w:t>
            </w:r>
          </w:p>
        </w:tc>
        <w:tc>
          <w:tcPr>
            <w:tcW w:w="1740" w:type="dxa"/>
            <w:vAlign w:val="bottom"/>
            <w:shd w:val="clear" w:color="auto" w:fill="465E66"/>
          </w:tcPr>
          <w:p>
            <w:pPr>
              <w:spacing w:after="0"/>
              <w:rPr>
                <w:sz w:val="17"/>
                <w:szCs w:val="17"/>
                <w:color w:val="auto"/>
              </w:rPr>
            </w:pPr>
          </w:p>
        </w:tc>
      </w:tr>
      <w:tr>
        <w:trPr>
          <w:trHeight w:val="215"/>
        </w:trPr>
        <w:tc>
          <w:tcPr>
            <w:tcW w:w="53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Relative TSR</w:t>
            </w:r>
          </w:p>
        </w:tc>
        <w:tc>
          <w:tcPr>
            <w:tcW w:w="1780" w:type="dxa"/>
            <w:vAlign w:val="bottom"/>
            <w:tcBorders>
              <w:bottom w:val="single" w:sz="8" w:color="auto"/>
            </w:tcBorders>
            <w:shd w:val="clear" w:color="auto" w:fill="DBDBDB"/>
          </w:tcPr>
          <w:p>
            <w:pPr>
              <w:spacing w:after="0"/>
              <w:rPr>
                <w:sz w:val="18"/>
                <w:szCs w:val="18"/>
                <w:color w:val="auto"/>
              </w:rPr>
            </w:pPr>
          </w:p>
        </w:tc>
        <w:tc>
          <w:tcPr>
            <w:tcW w:w="1660" w:type="dxa"/>
            <w:vAlign w:val="bottom"/>
            <w:tcBorders>
              <w:bottom w:val="single" w:sz="8" w:color="auto"/>
            </w:tcBorders>
            <w:shd w:val="clear" w:color="auto" w:fill="DBDBDB"/>
          </w:tcPr>
          <w:p>
            <w:pPr>
              <w:jc w:val="center"/>
              <w:ind w:left="27"/>
              <w:spacing w:after="0"/>
              <w:rPr>
                <w:sz w:val="20"/>
                <w:szCs w:val="20"/>
                <w:color w:val="auto"/>
              </w:rPr>
            </w:pPr>
            <w:r>
              <w:rPr>
                <w:rFonts w:ascii="Arial" w:cs="Arial" w:eastAsia="Arial" w:hAnsi="Arial"/>
                <w:sz w:val="16"/>
                <w:szCs w:val="16"/>
                <w:color w:val="auto"/>
              </w:rPr>
              <w:t>50% to 150% (5)</w:t>
            </w:r>
          </w:p>
        </w:tc>
        <w:tc>
          <w:tcPr>
            <w:tcW w:w="1740" w:type="dxa"/>
            <w:vAlign w:val="bottom"/>
            <w:tcBorders>
              <w:bottom w:val="single" w:sz="8" w:color="auto"/>
            </w:tcBorders>
            <w:shd w:val="clear" w:color="auto" w:fill="DBDBDB"/>
          </w:tcPr>
          <w:p>
            <w:pPr>
              <w:spacing w:after="0"/>
              <w:rPr>
                <w:sz w:val="18"/>
                <w:szCs w:val="18"/>
                <w:color w:val="auto"/>
              </w:rPr>
            </w:pPr>
          </w:p>
        </w:tc>
      </w:tr>
    </w:tbl>
    <w:p>
      <w:pPr>
        <w:spacing w:after="0" w:line="4" w:lineRule="exact"/>
        <w:rPr>
          <w:sz w:val="20"/>
          <w:szCs w:val="20"/>
          <w:color w:val="auto"/>
        </w:rPr>
      </w:pPr>
    </w:p>
    <w:p>
      <w:pPr>
        <w:ind w:left="620" w:right="480" w:hanging="250"/>
        <w:spacing w:after="0" w:line="235" w:lineRule="auto"/>
        <w:tabs>
          <w:tab w:leader="none" w:pos="593" w:val="left"/>
        </w:tabs>
        <w:numPr>
          <w:ilvl w:val="0"/>
          <w:numId w:val="61"/>
        </w:numPr>
        <w:rPr>
          <w:rFonts w:ascii="Arial" w:cs="Arial" w:eastAsia="Arial" w:hAnsi="Arial"/>
          <w:sz w:val="14"/>
          <w:szCs w:val="14"/>
          <w:color w:val="auto"/>
        </w:rPr>
      </w:pPr>
      <w:r>
        <w:rPr>
          <w:rFonts w:ascii="Arial" w:cs="Arial" w:eastAsia="Arial" w:hAnsi="Arial"/>
          <w:sz w:val="14"/>
          <w:szCs w:val="14"/>
          <w:color w:val="auto"/>
        </w:rPr>
        <w:t>All LTI Financial Goals and the goal concerning the ramping of SiC products are calculated in a manner consistent with how we calculate these figures for purposes of our earnings releases. Payouts under each 2022 LTI Performance Goal—aside from the threshold and target levels for the Scope emissions goal— are determined using linear interpolation from threshold to target and from target to stretch.</w:t>
      </w:r>
    </w:p>
    <w:p>
      <w:pPr>
        <w:spacing w:after="0" w:line="13" w:lineRule="exact"/>
        <w:rPr>
          <w:rFonts w:ascii="Arial" w:cs="Arial" w:eastAsia="Arial" w:hAnsi="Arial"/>
          <w:sz w:val="14"/>
          <w:szCs w:val="14"/>
          <w:color w:val="auto"/>
        </w:rPr>
      </w:pPr>
    </w:p>
    <w:p>
      <w:pPr>
        <w:ind w:left="620" w:right="520" w:hanging="250"/>
        <w:spacing w:after="0" w:line="252" w:lineRule="auto"/>
        <w:tabs>
          <w:tab w:leader="none" w:pos="593"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target goal represented approximately a 640 bps increase relative to actual results achieved for the prior fiscal year of 40.4%. For purposes of the 2022 LTI program, non-GAAP gross margin is calculated and adjusted by the HCC Committee in the same manner as for the 2022 STI program (discussed above).</w:t>
      </w:r>
    </w:p>
    <w:p>
      <w:pPr>
        <w:ind w:left="620" w:right="500" w:hanging="250"/>
        <w:spacing w:after="0" w:line="251" w:lineRule="auto"/>
        <w:tabs>
          <w:tab w:leader="none" w:pos="593" w:val="left"/>
        </w:tabs>
        <w:numPr>
          <w:ilvl w:val="0"/>
          <w:numId w:val="61"/>
        </w:numPr>
        <w:rPr>
          <w:rFonts w:ascii="Arial" w:cs="Arial" w:eastAsia="Arial" w:hAnsi="Arial"/>
          <w:sz w:val="14"/>
          <w:szCs w:val="14"/>
          <w:color w:val="auto"/>
        </w:rPr>
      </w:pPr>
      <w:r>
        <w:rPr>
          <w:rFonts w:ascii="Arial" w:cs="Arial" w:eastAsia="Arial" w:hAnsi="Arial"/>
          <w:sz w:val="14"/>
          <w:szCs w:val="14"/>
          <w:color w:val="auto"/>
        </w:rPr>
        <w:t>Non-GAAP operating margin measures the percentage growth from our actual results achieved for the prior fiscal year. It is calculated and adjusted by the HCC Committee in the same manner as for the 2022 STI program (discussed above).</w:t>
      </w:r>
    </w:p>
    <w:p>
      <w:pPr>
        <w:ind w:left="580" w:hanging="210"/>
        <w:spacing w:after="0"/>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Overall, this goal is weighted 16.7% in the aggregate. Broken down further, the performance goal is weighted 5.555% for each of Scopes 1, 2 and 3.</w:t>
      </w:r>
    </w:p>
    <w:p>
      <w:pPr>
        <w:spacing w:after="0" w:line="40" w:lineRule="exact"/>
        <w:rPr>
          <w:rFonts w:ascii="Arial" w:cs="Arial" w:eastAsia="Arial" w:hAnsi="Arial"/>
          <w:sz w:val="14"/>
          <w:szCs w:val="14"/>
          <w:color w:val="auto"/>
        </w:rPr>
      </w:pPr>
    </w:p>
    <w:p>
      <w:pPr>
        <w:ind w:left="620" w:right="580" w:hanging="250"/>
        <w:spacing w:after="0" w:line="264" w:lineRule="auto"/>
        <w:tabs>
          <w:tab w:leader="none" w:pos="593" w:val="left"/>
        </w:tabs>
        <w:numPr>
          <w:ilvl w:val="0"/>
          <w:numId w:val="61"/>
        </w:numPr>
        <w:rPr>
          <w:rFonts w:ascii="Arial" w:cs="Arial" w:eastAsia="Arial" w:hAnsi="Arial"/>
          <w:sz w:val="14"/>
          <w:szCs w:val="14"/>
          <w:color w:val="auto"/>
        </w:rPr>
      </w:pPr>
      <w:r>
        <w:rPr>
          <w:rFonts w:ascii="Arial" w:cs="Arial" w:eastAsia="Arial" w:hAnsi="Arial"/>
          <w:sz w:val="14"/>
          <w:szCs w:val="14"/>
          <w:color w:val="auto"/>
        </w:rPr>
        <w:t>As described above, the TSR Adjustment, which applies to the LTI Financial Goals, is a further adjustment (50%-150%) to the number of shares earned on the basis of our performance as measured against each LTI Financial Goal.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Following the end of 2022, the HCC Committee determined the number of PBRSUs deemed to be preliminarily earned based on the results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each of the 2022 LTI Performance Goals. These units will then vest and pay out in shares of our common stock in three equal annual installments in 2023, 2024 and 2025, subject to any applicable TSR Adjustment as described below and provided the NEO remains</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employed on the applicable vesting date. For a discussion of our 2022 performance results, please see below under “Results for PBRSUs with Performance Periods Ending in 2022.”</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One-, Two- and Three-Year TSR Adjustments</w:t>
      </w:r>
      <w:r>
        <w:rPr>
          <w:rFonts w:ascii="Arial" w:cs="Arial" w:eastAsia="Arial" w:hAnsi="Arial"/>
          <w:sz w:val="18"/>
          <w:szCs w:val="18"/>
          <w:color w:val="auto"/>
        </w:rPr>
        <w:t>. As noted above, we include a relative TSR Adjustment in the design of our PBRSUs to emphasize the importance of our stock performance as compared to an industry peer group. Specifically, the number of PBRSUs vesting in each tranche as a result of the LTI Financial Goals will be adjusted based on our relative TSR over the performance period beginning on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January 1, 2022 and ending on December 31 of the year immediately preceding the vesting date. This means that, for the portion of any PBRSUs subject to the TSR Adjustment, the number of shares preliminarily earned based on our results relative to the LTI Financial Goals will be further adjusted, on a tranche-by-tranche basis, by our one-year (first tranche), two-year (second tranche) and three-year relative TSR</w:t>
      </w:r>
    </w:p>
    <w:p>
      <w:pPr>
        <w:spacing w:after="0" w:line="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(third tranche). The TSR Adjustment is a percentage (between 50-150%) that is then multiplied by the number of shares preliminary earned under each of the three LTI Financial Goals in a given tranche as follows:</w:t>
      </w:r>
    </w:p>
    <w:p>
      <w:pPr>
        <w:spacing w:after="0" w:line="18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150%, if our relative TSR for the applicable performance period is equal to or greater than the 75th percentile;</w:t>
      </w:r>
    </w:p>
    <w:p>
      <w:pPr>
        <w:spacing w:after="0" w:line="13" w:lineRule="exact"/>
        <w:rPr>
          <w:rFonts w:ascii="Arial" w:cs="Arial" w:eastAsia="Arial" w:hAnsi="Arial"/>
          <w:sz w:val="18"/>
          <w:szCs w:val="18"/>
          <w:color w:val="auto"/>
        </w:rPr>
      </w:pPr>
    </w:p>
    <w:p>
      <w:pPr>
        <w:ind w:left="660" w:right="20" w:hanging="328"/>
        <w:spacing w:after="0" w:line="22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100%, if our relative TSR for the applicable performance period is (x) equal to or greater than the 25th percentile, but also (y) equal to or less than the 50th percentile;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percentage determined based on straight-line linear interpolation, if our relative TSR for the applicable performance period is (x) greater than the 50th percentile, but also (y) less than the 75th percentile; and</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50%, if our relative TSR for the applicable performance period is less than the 25th percentile.</w:t>
      </w: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u w:val="single" w:color="auto"/>
          <w:color w:val="auto"/>
        </w:rPr>
        <w:t>TSR Peer Companies</w:t>
      </w:r>
      <w:r>
        <w:rPr>
          <w:rFonts w:ascii="Arial" w:cs="Arial" w:eastAsia="Arial" w:hAnsi="Arial"/>
          <w:sz w:val="18"/>
          <w:szCs w:val="18"/>
          <w:color w:val="auto"/>
        </w:rPr>
        <w:t>. To determine our relative TSR at the end of the applicable period, we calculate the percentage change between the beginning stock price and the ending stock price for our stock and that of each TSR peer company. For purposes of this calculation, we use the average closing stock price for fourth fiscal quarter of 2021 as the beginning stock price and the average closing stock price for the fourth fiscal quarter of the last year in the TSR performance period (2022, 2023, or 2024) as the ending stock price. Any dividends paid are treated as reinvested and the companies are then ordered by percentage change. Unless the HCC Committee determines otherwise, any peer company that is no longer trading on a national securities market on the last day of the performance period will be removed from the list for purposes of the relative TSR calculation for that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2022 PBRSUs, our TSR peer companies consist of the following companies:</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520" w:type="dxa"/>
            <w:vAlign w:val="bottom"/>
            <w:shd w:val="clear" w:color="auto" w:fill="465E66"/>
          </w:tcPr>
          <w:p>
            <w:pPr>
              <w:spacing w:after="0"/>
              <w:rPr>
                <w:sz w:val="17"/>
                <w:szCs w:val="17"/>
                <w:color w:val="auto"/>
              </w:rPr>
            </w:pPr>
          </w:p>
        </w:tc>
        <w:tc>
          <w:tcPr>
            <w:tcW w:w="3400" w:type="dxa"/>
            <w:vAlign w:val="bottom"/>
            <w:shd w:val="clear" w:color="auto" w:fill="465E66"/>
          </w:tcPr>
          <w:p>
            <w:pPr>
              <w:ind w:left="1260"/>
              <w:spacing w:after="0"/>
              <w:rPr>
                <w:sz w:val="20"/>
                <w:szCs w:val="20"/>
                <w:color w:val="auto"/>
              </w:rPr>
            </w:pPr>
            <w:r>
              <w:rPr>
                <w:rFonts w:ascii="Arial" w:cs="Arial" w:eastAsia="Arial" w:hAnsi="Arial"/>
                <w:sz w:val="14"/>
                <w:szCs w:val="14"/>
                <w:b w:val="1"/>
                <w:bCs w:val="1"/>
                <w:color w:val="FFFFFF"/>
              </w:rPr>
              <w:t>TSR Peer Companies</w:t>
            </w:r>
          </w:p>
        </w:tc>
        <w:tc>
          <w:tcPr>
            <w:tcW w:w="4100" w:type="dxa"/>
            <w:vAlign w:val="bottom"/>
            <w:shd w:val="clear" w:color="auto" w:fill="465E66"/>
          </w:tcPr>
          <w:p>
            <w:pPr>
              <w:spacing w:after="0"/>
              <w:rPr>
                <w:sz w:val="17"/>
                <w:szCs w:val="17"/>
                <w:color w:val="auto"/>
              </w:rPr>
            </w:pPr>
          </w:p>
        </w:tc>
      </w:tr>
      <w:tr>
        <w:trPr>
          <w:trHeight w:val="216"/>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Ambarella Inc.</w:t>
            </w:r>
          </w:p>
        </w:tc>
        <w:tc>
          <w:tcPr>
            <w:tcW w:w="34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Maxlinear Inc.</w:t>
            </w:r>
          </w:p>
        </w:tc>
        <w:tc>
          <w:tcPr>
            <w:tcW w:w="4100" w:type="dxa"/>
            <w:vAlign w:val="bottom"/>
            <w:shd w:val="clear" w:color="auto" w:fill="DBDBDB"/>
          </w:tcPr>
          <w:p>
            <w:pPr>
              <w:ind w:left="540"/>
              <w:spacing w:after="0"/>
              <w:rPr>
                <w:sz w:val="20"/>
                <w:szCs w:val="20"/>
                <w:color w:val="auto"/>
              </w:rPr>
            </w:pPr>
            <w:r>
              <w:rPr>
                <w:rFonts w:ascii="Arial" w:cs="Arial" w:eastAsia="Arial" w:hAnsi="Arial"/>
                <w:sz w:val="16"/>
                <w:szCs w:val="16"/>
                <w:color w:val="auto"/>
              </w:rPr>
              <w:t>Renesas Electronics Corporation</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ams AG</w:t>
            </w:r>
          </w:p>
        </w:tc>
        <w:tc>
          <w:tcPr>
            <w:tcW w:w="3400" w:type="dxa"/>
            <w:vAlign w:val="bottom"/>
          </w:tcPr>
          <w:p>
            <w:pPr>
              <w:ind w:left="360"/>
              <w:spacing w:after="0"/>
              <w:rPr>
                <w:sz w:val="20"/>
                <w:szCs w:val="20"/>
                <w:color w:val="auto"/>
              </w:rPr>
            </w:pPr>
            <w:r>
              <w:rPr>
                <w:rFonts w:ascii="Arial" w:cs="Arial" w:eastAsia="Arial" w:hAnsi="Arial"/>
                <w:sz w:val="16"/>
                <w:szCs w:val="16"/>
                <w:color w:val="auto"/>
              </w:rPr>
              <w:t>Melexis N.V.</w:t>
            </w:r>
          </w:p>
        </w:tc>
        <w:tc>
          <w:tcPr>
            <w:tcW w:w="4100" w:type="dxa"/>
            <w:vAlign w:val="bottom"/>
          </w:tcPr>
          <w:p>
            <w:pPr>
              <w:ind w:left="540"/>
              <w:spacing w:after="0"/>
              <w:rPr>
                <w:sz w:val="20"/>
                <w:szCs w:val="20"/>
                <w:color w:val="auto"/>
              </w:rPr>
            </w:pPr>
            <w:r>
              <w:rPr>
                <w:rFonts w:ascii="Arial" w:cs="Arial" w:eastAsia="Arial" w:hAnsi="Arial"/>
                <w:sz w:val="16"/>
                <w:szCs w:val="16"/>
                <w:color w:val="auto"/>
              </w:rPr>
              <w:t>Rohm Co., Ltd.</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Analog Devices, Inc.</w:t>
            </w:r>
          </w:p>
        </w:tc>
        <w:tc>
          <w:tcPr>
            <w:tcW w:w="34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Microchip Technology Incorporated</w:t>
            </w:r>
          </w:p>
        </w:tc>
        <w:tc>
          <w:tcPr>
            <w:tcW w:w="4100" w:type="dxa"/>
            <w:vAlign w:val="bottom"/>
            <w:shd w:val="clear" w:color="auto" w:fill="DBDBDB"/>
          </w:tcPr>
          <w:p>
            <w:pPr>
              <w:ind w:left="540"/>
              <w:spacing w:after="0"/>
              <w:rPr>
                <w:sz w:val="20"/>
                <w:szCs w:val="20"/>
                <w:color w:val="auto"/>
              </w:rPr>
            </w:pPr>
            <w:r>
              <w:rPr>
                <w:rFonts w:ascii="Arial" w:cs="Arial" w:eastAsia="Arial" w:hAnsi="Arial"/>
                <w:sz w:val="16"/>
                <w:szCs w:val="16"/>
                <w:color w:val="auto"/>
              </w:rPr>
              <w:t>Semtech Corporation</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Broadcom Inc.</w:t>
            </w:r>
          </w:p>
        </w:tc>
        <w:tc>
          <w:tcPr>
            <w:tcW w:w="3400" w:type="dxa"/>
            <w:vAlign w:val="bottom"/>
          </w:tcPr>
          <w:p>
            <w:pPr>
              <w:ind w:left="360"/>
              <w:spacing w:after="0"/>
              <w:rPr>
                <w:sz w:val="20"/>
                <w:szCs w:val="20"/>
                <w:color w:val="auto"/>
              </w:rPr>
            </w:pPr>
            <w:r>
              <w:rPr>
                <w:rFonts w:ascii="Arial" w:cs="Arial" w:eastAsia="Arial" w:hAnsi="Arial"/>
                <w:sz w:val="16"/>
                <w:szCs w:val="16"/>
                <w:color w:val="auto"/>
              </w:rPr>
              <w:t>MKS Instruments, Inc.</w:t>
            </w:r>
          </w:p>
        </w:tc>
        <w:tc>
          <w:tcPr>
            <w:tcW w:w="4100" w:type="dxa"/>
            <w:vAlign w:val="bottom"/>
          </w:tcPr>
          <w:p>
            <w:pPr>
              <w:ind w:left="540"/>
              <w:spacing w:after="0"/>
              <w:rPr>
                <w:sz w:val="20"/>
                <w:szCs w:val="20"/>
                <w:color w:val="auto"/>
              </w:rPr>
            </w:pPr>
            <w:r>
              <w:rPr>
                <w:rFonts w:ascii="Arial" w:cs="Arial" w:eastAsia="Arial" w:hAnsi="Arial"/>
                <w:sz w:val="16"/>
                <w:szCs w:val="16"/>
                <w:color w:val="auto"/>
              </w:rPr>
              <w:t>Sensata Technologies Holding plc</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Cirrus Logic, Inc.</w:t>
            </w:r>
          </w:p>
        </w:tc>
        <w:tc>
          <w:tcPr>
            <w:tcW w:w="34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Monolithic Power Systems, Inc.</w:t>
            </w:r>
          </w:p>
        </w:tc>
        <w:tc>
          <w:tcPr>
            <w:tcW w:w="4100" w:type="dxa"/>
            <w:vAlign w:val="bottom"/>
            <w:shd w:val="clear" w:color="auto" w:fill="DBDBDB"/>
          </w:tcPr>
          <w:p>
            <w:pPr>
              <w:ind w:left="540"/>
              <w:spacing w:after="0"/>
              <w:rPr>
                <w:sz w:val="20"/>
                <w:szCs w:val="20"/>
                <w:color w:val="auto"/>
              </w:rPr>
            </w:pPr>
            <w:r>
              <w:rPr>
                <w:rFonts w:ascii="Arial" w:cs="Arial" w:eastAsia="Arial" w:hAnsi="Arial"/>
                <w:sz w:val="16"/>
                <w:szCs w:val="16"/>
                <w:color w:val="auto"/>
              </w:rPr>
              <w:t>Silicon Laboratories Inc.</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Diodes Incorporated</w:t>
            </w:r>
          </w:p>
        </w:tc>
        <w:tc>
          <w:tcPr>
            <w:tcW w:w="3400" w:type="dxa"/>
            <w:vAlign w:val="bottom"/>
          </w:tcPr>
          <w:p>
            <w:pPr>
              <w:ind w:left="360"/>
              <w:spacing w:after="0"/>
              <w:rPr>
                <w:sz w:val="20"/>
                <w:szCs w:val="20"/>
                <w:color w:val="auto"/>
              </w:rPr>
            </w:pPr>
            <w:r>
              <w:rPr>
                <w:rFonts w:ascii="Arial" w:cs="Arial" w:eastAsia="Arial" w:hAnsi="Arial"/>
                <w:sz w:val="16"/>
                <w:szCs w:val="16"/>
                <w:color w:val="auto"/>
              </w:rPr>
              <w:t>Murata Manufacturing Co., Ltd.</w:t>
            </w:r>
          </w:p>
        </w:tc>
        <w:tc>
          <w:tcPr>
            <w:tcW w:w="4100" w:type="dxa"/>
            <w:vAlign w:val="bottom"/>
          </w:tcPr>
          <w:p>
            <w:pPr>
              <w:ind w:left="540"/>
              <w:spacing w:after="0"/>
              <w:rPr>
                <w:sz w:val="20"/>
                <w:szCs w:val="20"/>
                <w:color w:val="auto"/>
              </w:rPr>
            </w:pPr>
            <w:r>
              <w:rPr>
                <w:rFonts w:ascii="Arial" w:cs="Arial" w:eastAsia="Arial" w:hAnsi="Arial"/>
                <w:sz w:val="16"/>
                <w:szCs w:val="16"/>
                <w:color w:val="auto"/>
              </w:rPr>
              <w:t>Skyworks Solutions, Inc.</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Infineon Technologies AG</w:t>
            </w:r>
          </w:p>
        </w:tc>
        <w:tc>
          <w:tcPr>
            <w:tcW w:w="34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National Instruments Corporation</w:t>
            </w:r>
          </w:p>
        </w:tc>
        <w:tc>
          <w:tcPr>
            <w:tcW w:w="4100" w:type="dxa"/>
            <w:vAlign w:val="bottom"/>
            <w:shd w:val="clear" w:color="auto" w:fill="DBDBDB"/>
          </w:tcPr>
          <w:p>
            <w:pPr>
              <w:ind w:left="540"/>
              <w:spacing w:after="0"/>
              <w:rPr>
                <w:sz w:val="20"/>
                <w:szCs w:val="20"/>
                <w:color w:val="auto"/>
              </w:rPr>
            </w:pPr>
            <w:r>
              <w:rPr>
                <w:rFonts w:ascii="Arial" w:cs="Arial" w:eastAsia="Arial" w:hAnsi="Arial"/>
                <w:sz w:val="16"/>
                <w:szCs w:val="16"/>
                <w:color w:val="auto"/>
              </w:rPr>
              <w:t>STMicroelectronics N.V.</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Knowles Corporation</w:t>
            </w:r>
          </w:p>
        </w:tc>
        <w:tc>
          <w:tcPr>
            <w:tcW w:w="3400" w:type="dxa"/>
            <w:vAlign w:val="bottom"/>
          </w:tcPr>
          <w:p>
            <w:pPr>
              <w:ind w:left="360"/>
              <w:spacing w:after="0"/>
              <w:rPr>
                <w:sz w:val="20"/>
                <w:szCs w:val="20"/>
                <w:color w:val="auto"/>
              </w:rPr>
            </w:pPr>
            <w:r>
              <w:rPr>
                <w:rFonts w:ascii="Arial" w:cs="Arial" w:eastAsia="Arial" w:hAnsi="Arial"/>
                <w:sz w:val="16"/>
                <w:szCs w:val="16"/>
                <w:color w:val="auto"/>
              </w:rPr>
              <w:t>NXP Semiconductors N.V.</w:t>
            </w:r>
          </w:p>
        </w:tc>
        <w:tc>
          <w:tcPr>
            <w:tcW w:w="4100" w:type="dxa"/>
            <w:vAlign w:val="bottom"/>
          </w:tcPr>
          <w:p>
            <w:pPr>
              <w:ind w:left="540"/>
              <w:spacing w:after="0"/>
              <w:rPr>
                <w:sz w:val="20"/>
                <w:szCs w:val="20"/>
                <w:color w:val="auto"/>
              </w:rPr>
            </w:pPr>
            <w:r>
              <w:rPr>
                <w:rFonts w:ascii="Arial" w:cs="Arial" w:eastAsia="Arial" w:hAnsi="Arial"/>
                <w:sz w:val="16"/>
                <w:szCs w:val="16"/>
                <w:color w:val="auto"/>
              </w:rPr>
              <w:t>Synaptics Incorporated</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Lattice Semiconductor Corporation</w:t>
            </w:r>
          </w:p>
        </w:tc>
        <w:tc>
          <w:tcPr>
            <w:tcW w:w="34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Parade Technologies, Ltd.</w:t>
            </w:r>
          </w:p>
        </w:tc>
        <w:tc>
          <w:tcPr>
            <w:tcW w:w="4100" w:type="dxa"/>
            <w:vAlign w:val="bottom"/>
            <w:shd w:val="clear" w:color="auto" w:fill="DBDBDB"/>
          </w:tcPr>
          <w:p>
            <w:pPr>
              <w:ind w:left="540"/>
              <w:spacing w:after="0"/>
              <w:rPr>
                <w:sz w:val="20"/>
                <w:szCs w:val="20"/>
                <w:color w:val="auto"/>
              </w:rPr>
            </w:pPr>
            <w:r>
              <w:rPr>
                <w:rFonts w:ascii="Arial" w:cs="Arial" w:eastAsia="Arial" w:hAnsi="Arial"/>
                <w:sz w:val="16"/>
                <w:szCs w:val="16"/>
                <w:color w:val="auto"/>
              </w:rPr>
              <w:t>Texas Instruments Incorporated</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Littelfuse, Inc.</w:t>
            </w:r>
          </w:p>
        </w:tc>
        <w:tc>
          <w:tcPr>
            <w:tcW w:w="3400" w:type="dxa"/>
            <w:vAlign w:val="bottom"/>
          </w:tcPr>
          <w:p>
            <w:pPr>
              <w:ind w:left="360"/>
              <w:spacing w:after="0"/>
              <w:rPr>
                <w:sz w:val="20"/>
                <w:szCs w:val="20"/>
                <w:color w:val="auto"/>
              </w:rPr>
            </w:pPr>
            <w:r>
              <w:rPr>
                <w:rFonts w:ascii="Arial" w:cs="Arial" w:eastAsia="Arial" w:hAnsi="Arial"/>
                <w:sz w:val="16"/>
                <w:szCs w:val="16"/>
                <w:color w:val="auto"/>
              </w:rPr>
              <w:t>Power Integrations, Inc.</w:t>
            </w:r>
          </w:p>
        </w:tc>
        <w:tc>
          <w:tcPr>
            <w:tcW w:w="4100" w:type="dxa"/>
            <w:vAlign w:val="bottom"/>
          </w:tcPr>
          <w:p>
            <w:pPr>
              <w:ind w:left="540"/>
              <w:spacing w:after="0"/>
              <w:rPr>
                <w:sz w:val="20"/>
                <w:szCs w:val="20"/>
                <w:color w:val="auto"/>
              </w:rPr>
            </w:pPr>
            <w:r>
              <w:rPr>
                <w:rFonts w:ascii="Arial" w:cs="Arial" w:eastAsia="Arial" w:hAnsi="Arial"/>
                <w:sz w:val="16"/>
                <w:szCs w:val="16"/>
                <w:color w:val="auto"/>
              </w:rPr>
              <w:t>Vishay Intertechnology, Inc.</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Macom Technology Solutions Holdings, Inc.</w:t>
            </w:r>
          </w:p>
        </w:tc>
        <w:tc>
          <w:tcPr>
            <w:tcW w:w="34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Qorvo, Inc.</w:t>
            </w:r>
          </w:p>
        </w:tc>
        <w:tc>
          <w:tcPr>
            <w:tcW w:w="4100" w:type="dxa"/>
            <w:vAlign w:val="bottom"/>
            <w:shd w:val="clear" w:color="auto" w:fill="DBDBDB"/>
          </w:tcPr>
          <w:p>
            <w:pPr>
              <w:ind w:left="540"/>
              <w:spacing w:after="0"/>
              <w:rPr>
                <w:sz w:val="20"/>
                <w:szCs w:val="20"/>
                <w:color w:val="auto"/>
              </w:rPr>
            </w:pPr>
            <w:r>
              <w:rPr>
                <w:rFonts w:ascii="Arial" w:cs="Arial" w:eastAsia="Arial" w:hAnsi="Arial"/>
                <w:sz w:val="16"/>
                <w:szCs w:val="16"/>
                <w:color w:val="auto"/>
              </w:rPr>
              <w:t>Wolfspeed, Inc.</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Marvell Technology, Inc.</w:t>
            </w:r>
          </w:p>
        </w:tc>
        <w:tc>
          <w:tcPr>
            <w:tcW w:w="3400" w:type="dxa"/>
            <w:vAlign w:val="bottom"/>
          </w:tcPr>
          <w:p>
            <w:pPr>
              <w:ind w:left="360"/>
              <w:spacing w:after="0"/>
              <w:rPr>
                <w:sz w:val="20"/>
                <w:szCs w:val="20"/>
                <w:color w:val="auto"/>
              </w:rPr>
            </w:pPr>
            <w:r>
              <w:rPr>
                <w:rFonts w:ascii="Arial" w:cs="Arial" w:eastAsia="Arial" w:hAnsi="Arial"/>
                <w:sz w:val="16"/>
                <w:szCs w:val="16"/>
                <w:color w:val="auto"/>
              </w:rPr>
              <w:t>Realtek Semiconductor Corp.</w:t>
            </w:r>
          </w:p>
        </w:tc>
        <w:tc>
          <w:tcPr>
            <w:tcW w:w="4100" w:type="dxa"/>
            <w:vAlign w:val="bottom"/>
          </w:tcPr>
          <w:p>
            <w:pPr>
              <w:ind w:left="540"/>
              <w:spacing w:after="0"/>
              <w:rPr>
                <w:sz w:val="20"/>
                <w:szCs w:val="20"/>
                <w:color w:val="auto"/>
              </w:rPr>
            </w:pPr>
            <w:r>
              <w:rPr>
                <w:rFonts w:ascii="Arial" w:cs="Arial" w:eastAsia="Arial" w:hAnsi="Arial"/>
                <w:sz w:val="16"/>
                <w:szCs w:val="16"/>
                <w:color w:val="auto"/>
              </w:rPr>
              <w:t>Xilinx, Inc.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(1) Xilinx, Inc. was acquired by Advanced Micro Devices, Inc. in February 2022.</w:t>
      </w: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TSR peer companies listed above represent a mix of companies listed on the PHLX Semiconductor Index and other publicly traded semiconductor companies whose product and service offerings, market capitalization, business model and other characteristics are similar to ours.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for PBRSUs with Performance Periods Ending in 2022</w:t>
      </w:r>
      <w:r>
        <w:rPr>
          <w:rFonts w:ascii="Arial" w:cs="Arial" w:eastAsia="Arial" w:hAnsi="Arial"/>
          <w:sz w:val="18"/>
          <w:szCs w:val="18"/>
          <w:color w:val="auto"/>
        </w:rPr>
        <w:t>.</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CEO New Hire Grant</w:t>
      </w:r>
      <w:r>
        <w:rPr>
          <w:rFonts w:ascii="Arial" w:cs="Arial" w:eastAsia="Arial" w:hAnsi="Arial"/>
          <w:sz w:val="18"/>
          <w:szCs w:val="18"/>
          <w:color w:val="auto"/>
        </w:rPr>
        <w:t>. In connection with our appointment of Mr. El-Khoury as our CEO in December 2020, the HCC Committee granted him</w:t>
      </w:r>
      <w:r>
        <w:rPr>
          <w:rFonts w:ascii="Arial" w:cs="Arial" w:eastAsia="Arial" w:hAnsi="Arial"/>
          <w:sz w:val="18"/>
          <w:szCs w:val="18"/>
          <w:i w:val="1"/>
          <w:iCs w:val="1"/>
          <w:color w:val="auto"/>
        </w:rPr>
        <w:t xml:space="preserve"> </w:t>
      </w:r>
      <w:r>
        <w:rPr>
          <w:rFonts w:ascii="Arial" w:cs="Arial" w:eastAsia="Arial" w:hAnsi="Arial"/>
          <w:sz w:val="18"/>
          <w:szCs w:val="18"/>
          <w:color w:val="auto"/>
        </w:rPr>
        <w:t>an onboarding LTI award, including PBRSUs with a grant date value of approximately $7 million. As previously disclosed, vesting of these PBRSUs would vary between 0-100% depending upon our TSR over the two-year period following Mr. El-Khoury’s appointment (December 7, 2020 through December 6, 2022), relative to the TSR of our defined group of peer companies (same group and calculation principles as our 2021 PBRSUs). Following the end of the performance period, the HCC Committee confirmed that 100% of the PBRSUs were earned, as our TSR was highest among the peer group. These PBRSUs vested on December 20, 2022.</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Second Tranche of 2021 PBRSUs. </w:t>
      </w:r>
      <w:r>
        <w:rPr>
          <w:rFonts w:ascii="Arial" w:cs="Arial" w:eastAsia="Arial" w:hAnsi="Arial"/>
          <w:sz w:val="18"/>
          <w:szCs w:val="18"/>
          <w:color w:val="auto"/>
        </w:rPr>
        <w:t>In early 2023, the HCC Committee determined that our two-year relative TSR was ranked first amongst</w:t>
      </w:r>
      <w:r>
        <w:rPr>
          <w:rFonts w:ascii="Arial" w:cs="Arial" w:eastAsia="Arial" w:hAnsi="Arial"/>
          <w:sz w:val="18"/>
          <w:szCs w:val="18"/>
          <w:i w:val="1"/>
          <w:iCs w:val="1"/>
          <w:color w:val="auto"/>
        </w:rPr>
        <w:t xml:space="preserve"> </w:t>
      </w:r>
      <w:r>
        <w:rPr>
          <w:rFonts w:ascii="Arial" w:cs="Arial" w:eastAsia="Arial" w:hAnsi="Arial"/>
          <w:sz w:val="18"/>
          <w:szCs w:val="18"/>
          <w:color w:val="auto"/>
        </w:rPr>
        <w:t>our peer group for purposes of the 2021 PBRSUs subject to a TSR Adjustment. As a result, for officers holding those awards, their second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tranche payout, as originally determined on the basis of 2021 financial metrics, was multiplied by 150%. Following the HCC Committee’s certification of the results, these PBRSUs vested on February 15, 2023. The peer group for these awards was the same as the TSR peer group for our 2022 PBRSUs plus three additional companies (Dialog Semiconductor PLC, Inphi Corporation, and Maxim Integrated Products) that were no longer trading at the end of the performance period. Those three companies and Xilinx, Inc. (which had been acquired in February 2022) were excluded from the calculation.</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First Tranche of 2022 PBRSUs</w:t>
      </w:r>
      <w:r>
        <w:rPr>
          <w:rFonts w:ascii="Arial" w:cs="Arial" w:eastAsia="Arial" w:hAnsi="Arial"/>
          <w:sz w:val="18"/>
          <w:szCs w:val="18"/>
          <w:color w:val="auto"/>
        </w:rPr>
        <w:t>. In early 2023, the HCC Committee reviewed the LTI Performance Goals underlying our 2022 PBRSUs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our LTI Financial Goals were achieved at an aggregate 150% and our LTI Operational Goals were achieved at an aggregate 185%. Additionally, our relative TSR for 2022 exceeded the maximum performance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36</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1" w:name="page42"/>
    <w:bookmarkEnd w:id="41"/>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level and thus, for those awards with a TSR Adjustment, the officer earned an additional number of shares equal to 150% of the number of 2022 PBRSUs earned on financial goals in the first tranche (for an aggregate payout of 225% on the LTI Financial Goals). In calculating our relative one-year TSR, we excluded Xilinx, Inc. from the TSR peer companies as it was no longer trading at the end of the performance period. A breakdown of performance by LTI Performance Goal is shown in the chart below. For 2022 PBRSUs with a TSR Adjustment, payout on each of the second and third tranches (in 2024 and 2025, respectively) will be adjusted based on our relative TSR for the applicable two- or three-year period once those performance periods are complete. Based on performance thus far, the combined payout percentage for each of the second and third tranches will range between 130-205% of the original target for that tranche.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40" w:type="dxa"/>
            <w:vAlign w:val="bottom"/>
            <w:tcBorders>
              <w:top w:val="single" w:sz="8" w:color="465E66"/>
            </w:tcBorders>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Type of Goal</w:t>
            </w:r>
          </w:p>
        </w:tc>
        <w:tc>
          <w:tcPr>
            <w:tcW w:w="2400" w:type="dxa"/>
            <w:vAlign w:val="bottom"/>
            <w:tcBorders>
              <w:top w:val="single" w:sz="8" w:color="465E66"/>
            </w:tcBorders>
            <w:shd w:val="clear" w:color="auto" w:fill="465E66"/>
          </w:tcPr>
          <w:p>
            <w:pPr>
              <w:spacing w:after="0"/>
              <w:rPr>
                <w:sz w:val="14"/>
                <w:szCs w:val="14"/>
                <w:color w:val="auto"/>
              </w:rPr>
            </w:pPr>
          </w:p>
        </w:tc>
        <w:tc>
          <w:tcPr>
            <w:tcW w:w="1500" w:type="dxa"/>
            <w:vAlign w:val="bottom"/>
            <w:tcBorders>
              <w:top w:val="single" w:sz="8" w:color="465E66"/>
            </w:tcBorders>
            <w:vMerge w:val="restart"/>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0% Payout</w:t>
            </w:r>
          </w:p>
        </w:tc>
        <w:tc>
          <w:tcPr>
            <w:tcW w:w="1260" w:type="dxa"/>
            <w:vAlign w:val="bottom"/>
            <w:tcBorders>
              <w:top w:val="single" w:sz="8" w:color="465E66"/>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100% Payout</w:t>
            </w:r>
          </w:p>
        </w:tc>
        <w:tc>
          <w:tcPr>
            <w:tcW w:w="1320" w:type="dxa"/>
            <w:vAlign w:val="bottom"/>
            <w:tcBorders>
              <w:top w:val="single" w:sz="8" w:color="465E66"/>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150% or 200%</w:t>
            </w:r>
          </w:p>
        </w:tc>
        <w:tc>
          <w:tcPr>
            <w:tcW w:w="1320" w:type="dxa"/>
            <w:vAlign w:val="bottom"/>
            <w:tcBorders>
              <w:top w:val="single" w:sz="8" w:color="465E66"/>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Actual 2022</w:t>
            </w:r>
          </w:p>
        </w:tc>
        <w:tc>
          <w:tcPr>
            <w:tcW w:w="1220" w:type="dxa"/>
            <w:vAlign w:val="bottom"/>
            <w:tcBorders>
              <w:top w:val="single" w:sz="8" w:color="465E66"/>
              <w:right w:val="single" w:sz="8" w:color="auto"/>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Resulting Goal</w:t>
            </w:r>
          </w:p>
        </w:tc>
        <w:tc>
          <w:tcPr>
            <w:tcW w:w="1180" w:type="dxa"/>
            <w:vAlign w:val="bottom"/>
            <w:tcBorders>
              <w:top w:val="single" w:sz="8" w:color="auto"/>
              <w:right w:val="single" w:sz="8" w:color="auto"/>
            </w:tcBorders>
            <w:gridSpan w:val="3"/>
            <w:shd w:val="clear" w:color="auto" w:fill="465E66"/>
          </w:tcPr>
          <w:p>
            <w:pPr>
              <w:jc w:val="center"/>
              <w:ind w:right="40"/>
              <w:spacing w:after="0"/>
              <w:rPr>
                <w:sz w:val="20"/>
                <w:szCs w:val="20"/>
                <w:color w:val="auto"/>
              </w:rPr>
            </w:pPr>
            <w:r>
              <w:rPr>
                <w:rFonts w:ascii="Arial" w:cs="Arial" w:eastAsia="Arial" w:hAnsi="Arial"/>
                <w:sz w:val="14"/>
                <w:szCs w:val="14"/>
                <w:b w:val="1"/>
                <w:bCs w:val="1"/>
                <w:color w:val="FFFFFF"/>
              </w:rPr>
              <w:t>Final Payout</w:t>
            </w:r>
          </w:p>
        </w:tc>
        <w:tc>
          <w:tcPr>
            <w:tcW w:w="0" w:type="dxa"/>
            <w:vAlign w:val="bottom"/>
          </w:tcPr>
          <w:p>
            <w:pPr>
              <w:spacing w:after="0"/>
              <w:rPr>
                <w:sz w:val="1"/>
                <w:szCs w:val="1"/>
                <w:color w:val="auto"/>
              </w:rPr>
            </w:pPr>
          </w:p>
        </w:tc>
      </w:tr>
      <w:tr>
        <w:trPr>
          <w:trHeight w:val="148"/>
        </w:trPr>
        <w:tc>
          <w:tcPr>
            <w:tcW w:w="1040" w:type="dxa"/>
            <w:vAlign w:val="bottom"/>
            <w:vMerge w:val="continue"/>
            <w:shd w:val="clear" w:color="auto" w:fill="465E66"/>
          </w:tcPr>
          <w:p>
            <w:pPr>
              <w:spacing w:after="0"/>
              <w:rPr>
                <w:sz w:val="12"/>
                <w:szCs w:val="12"/>
                <w:color w:val="auto"/>
              </w:rPr>
            </w:pPr>
          </w:p>
        </w:tc>
        <w:tc>
          <w:tcPr>
            <w:tcW w:w="240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LTI Performance Goal</w:t>
            </w:r>
          </w:p>
        </w:tc>
        <w:tc>
          <w:tcPr>
            <w:tcW w:w="1500" w:type="dxa"/>
            <w:vAlign w:val="bottom"/>
            <w:vMerge w:val="continue"/>
            <w:shd w:val="clear" w:color="auto" w:fill="465E66"/>
          </w:tcPr>
          <w:p>
            <w:pPr>
              <w:spacing w:after="0"/>
              <w:rPr>
                <w:sz w:val="12"/>
                <w:szCs w:val="12"/>
                <w:color w:val="auto"/>
              </w:rPr>
            </w:pPr>
          </w:p>
        </w:tc>
        <w:tc>
          <w:tcPr>
            <w:tcW w:w="1260" w:type="dxa"/>
            <w:vAlign w:val="bottom"/>
            <w:vMerge w:val="continue"/>
            <w:shd w:val="clear" w:color="auto" w:fill="465E66"/>
          </w:tcPr>
          <w:p>
            <w:pPr>
              <w:spacing w:after="0"/>
              <w:rPr>
                <w:sz w:val="12"/>
                <w:szCs w:val="12"/>
                <w:color w:val="auto"/>
              </w:rPr>
            </w:pPr>
          </w:p>
        </w:tc>
        <w:tc>
          <w:tcPr>
            <w:tcW w:w="13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Payout</w:t>
            </w:r>
          </w:p>
        </w:tc>
        <w:tc>
          <w:tcPr>
            <w:tcW w:w="1320" w:type="dxa"/>
            <w:vAlign w:val="bottom"/>
            <w:vMerge w:val="continue"/>
            <w:shd w:val="clear" w:color="auto" w:fill="465E66"/>
          </w:tcPr>
          <w:p>
            <w:pPr>
              <w:spacing w:after="0"/>
              <w:rPr>
                <w:sz w:val="12"/>
                <w:szCs w:val="12"/>
                <w:color w:val="auto"/>
              </w:rPr>
            </w:pPr>
          </w:p>
        </w:tc>
        <w:tc>
          <w:tcPr>
            <w:tcW w:w="1220" w:type="dxa"/>
            <w:vAlign w:val="bottom"/>
            <w:tcBorders>
              <w:right w:val="single" w:sz="8" w:color="auto"/>
            </w:tcBorders>
            <w:shd w:val="clear" w:color="auto" w:fill="465E66"/>
          </w:tcPr>
          <w:p>
            <w:pPr>
              <w:jc w:val="center"/>
              <w:ind w:right="8"/>
              <w:spacing w:after="0" w:line="149" w:lineRule="exact"/>
              <w:rPr>
                <w:sz w:val="20"/>
                <w:szCs w:val="20"/>
                <w:color w:val="auto"/>
              </w:rPr>
            </w:pPr>
            <w:r>
              <w:rPr>
                <w:rFonts w:ascii="Arial" w:cs="Arial" w:eastAsia="Arial" w:hAnsi="Arial"/>
                <w:sz w:val="14"/>
                <w:szCs w:val="14"/>
                <w:b w:val="1"/>
                <w:bCs w:val="1"/>
                <w:color w:val="FFFFFF"/>
              </w:rPr>
              <w:t>Achievement</w:t>
            </w:r>
          </w:p>
        </w:tc>
        <w:tc>
          <w:tcPr>
            <w:tcW w:w="1180" w:type="dxa"/>
            <w:vAlign w:val="bottom"/>
            <w:tcBorders>
              <w:right w:val="single" w:sz="8" w:color="auto"/>
            </w:tcBorders>
            <w:gridSpan w:val="3"/>
            <w:shd w:val="clear" w:color="auto" w:fill="465E66"/>
          </w:tcPr>
          <w:p>
            <w:pPr>
              <w:jc w:val="center"/>
              <w:ind w:right="40"/>
              <w:spacing w:after="0" w:line="149" w:lineRule="exact"/>
              <w:rPr>
                <w:sz w:val="20"/>
                <w:szCs w:val="20"/>
                <w:color w:val="auto"/>
              </w:rPr>
            </w:pPr>
            <w:r>
              <w:rPr>
                <w:rFonts w:ascii="Arial" w:cs="Arial" w:eastAsia="Arial" w:hAnsi="Arial"/>
                <w:sz w:val="14"/>
                <w:szCs w:val="14"/>
                <w:b w:val="1"/>
                <w:bCs w:val="1"/>
                <w:color w:val="FFFFFF"/>
              </w:rPr>
              <w:t>Percentage for</w:t>
            </w:r>
          </w:p>
        </w:tc>
        <w:tc>
          <w:tcPr>
            <w:tcW w:w="0" w:type="dxa"/>
            <w:vAlign w:val="bottom"/>
          </w:tcPr>
          <w:p>
            <w:pPr>
              <w:spacing w:after="0"/>
              <w:rPr>
                <w:sz w:val="1"/>
                <w:szCs w:val="1"/>
                <w:color w:val="auto"/>
              </w:rPr>
            </w:pPr>
          </w:p>
        </w:tc>
      </w:tr>
      <w:tr>
        <w:trPr>
          <w:trHeight w:val="185"/>
        </w:trPr>
        <w:tc>
          <w:tcPr>
            <w:tcW w:w="104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(1)</w:t>
            </w:r>
          </w:p>
        </w:tc>
        <w:tc>
          <w:tcPr>
            <w:tcW w:w="2400" w:type="dxa"/>
            <w:vAlign w:val="bottom"/>
            <w:vMerge w:val="continue"/>
            <w:shd w:val="clear" w:color="auto" w:fill="465E66"/>
          </w:tcPr>
          <w:p>
            <w:pPr>
              <w:spacing w:after="0"/>
              <w:rPr>
                <w:sz w:val="16"/>
                <w:szCs w:val="16"/>
                <w:color w:val="auto"/>
              </w:rPr>
            </w:pPr>
          </w:p>
        </w:tc>
        <w:tc>
          <w:tcPr>
            <w:tcW w:w="1500" w:type="dxa"/>
            <w:vAlign w:val="bottom"/>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(Threshold)</w:t>
            </w:r>
          </w:p>
        </w:tc>
        <w:tc>
          <w:tcPr>
            <w:tcW w:w="12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(Target)</w:t>
            </w:r>
          </w:p>
        </w:tc>
        <w:tc>
          <w:tcPr>
            <w:tcW w:w="13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(Stretch)</w:t>
            </w:r>
          </w:p>
        </w:tc>
        <w:tc>
          <w:tcPr>
            <w:tcW w:w="13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Performance</w:t>
            </w:r>
          </w:p>
        </w:tc>
        <w:tc>
          <w:tcPr>
            <w:tcW w:w="1220" w:type="dxa"/>
            <w:vAlign w:val="bottom"/>
            <w:tcBorders>
              <w:right w:val="single" w:sz="8" w:color="auto"/>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Percentage (2)</w:t>
            </w:r>
          </w:p>
        </w:tc>
        <w:tc>
          <w:tcPr>
            <w:tcW w:w="1180" w:type="dxa"/>
            <w:vAlign w:val="bottom"/>
            <w:tcBorders>
              <w:right w:val="single" w:sz="8" w:color="auto"/>
            </w:tcBorders>
            <w:gridSpan w:val="3"/>
            <w:shd w:val="clear" w:color="auto" w:fill="465E66"/>
          </w:tcPr>
          <w:p>
            <w:pPr>
              <w:jc w:val="center"/>
              <w:ind w:right="20"/>
              <w:spacing w:after="0"/>
              <w:rPr>
                <w:sz w:val="20"/>
                <w:szCs w:val="20"/>
                <w:color w:val="auto"/>
              </w:rPr>
            </w:pPr>
            <w:r>
              <w:rPr>
                <w:rFonts w:ascii="Arial" w:cs="Arial" w:eastAsia="Arial" w:hAnsi="Arial"/>
                <w:sz w:val="14"/>
                <w:szCs w:val="14"/>
                <w:b w:val="1"/>
                <w:bCs w:val="1"/>
                <w:color w:val="FFFFFF"/>
              </w:rPr>
              <w:t>First Tranche (3)</w:t>
            </w:r>
          </w:p>
        </w:tc>
        <w:tc>
          <w:tcPr>
            <w:tcW w:w="0" w:type="dxa"/>
            <w:vAlign w:val="bottom"/>
          </w:tcPr>
          <w:p>
            <w:pPr>
              <w:spacing w:after="0"/>
              <w:rPr>
                <w:sz w:val="1"/>
                <w:szCs w:val="1"/>
                <w:color w:val="auto"/>
              </w:rPr>
            </w:pPr>
          </w:p>
        </w:tc>
      </w:tr>
      <w:tr>
        <w:trPr>
          <w:trHeight w:val="216"/>
        </w:trPr>
        <w:tc>
          <w:tcPr>
            <w:tcW w:w="1040" w:type="dxa"/>
            <w:vAlign w:val="bottom"/>
            <w:shd w:val="clear" w:color="auto" w:fill="DBDBDB"/>
          </w:tcPr>
          <w:p>
            <w:pPr>
              <w:spacing w:after="0"/>
              <w:rPr>
                <w:sz w:val="18"/>
                <w:szCs w:val="18"/>
                <w:color w:val="auto"/>
              </w:rPr>
            </w:pPr>
          </w:p>
        </w:tc>
        <w:tc>
          <w:tcPr>
            <w:tcW w:w="2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Revenue</w:t>
            </w:r>
          </w:p>
        </w:tc>
        <w:tc>
          <w:tcPr>
            <w:tcW w:w="150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$6.70 billion</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$7.70 billion</w:t>
            </w:r>
          </w:p>
        </w:tc>
        <w:tc>
          <w:tcPr>
            <w:tcW w:w="1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$8.09 billion</w:t>
            </w:r>
          </w:p>
        </w:tc>
        <w:tc>
          <w:tcPr>
            <w:tcW w:w="1320" w:type="dxa"/>
            <w:vAlign w:val="bottom"/>
            <w:shd w:val="clear" w:color="auto" w:fill="DBDBDB"/>
          </w:tcPr>
          <w:p>
            <w:pPr>
              <w:ind w:left="500"/>
              <w:spacing w:after="0"/>
              <w:rPr>
                <w:sz w:val="20"/>
                <w:szCs w:val="20"/>
                <w:color w:val="auto"/>
              </w:rPr>
            </w:pPr>
            <w:r>
              <w:rPr>
                <w:rFonts w:ascii="Arial" w:cs="Arial" w:eastAsia="Arial" w:hAnsi="Arial"/>
                <w:sz w:val="14"/>
                <w:szCs w:val="14"/>
                <w:color w:val="auto"/>
              </w:rPr>
              <w:t>$8.30 billion</w:t>
            </w:r>
          </w:p>
        </w:tc>
        <w:tc>
          <w:tcPr>
            <w:tcW w:w="12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150%</w:t>
            </w:r>
          </w:p>
        </w:tc>
        <w:tc>
          <w:tcPr>
            <w:tcW w:w="1180" w:type="dxa"/>
            <w:vAlign w:val="bottom"/>
            <w:tcBorders>
              <w:right w:val="single" w:sz="8" w:color="auto"/>
            </w:tcBorders>
            <w:gridSpan w:val="3"/>
            <w:shd w:val="clear" w:color="auto" w:fill="DBDBDB"/>
          </w:tcPr>
          <w:p>
            <w:pPr>
              <w:jc w:val="center"/>
              <w:ind w:right="40"/>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12"/>
        </w:trPr>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Financial</w:t>
            </w:r>
          </w:p>
        </w:tc>
        <w:tc>
          <w:tcPr>
            <w:tcW w:w="2400" w:type="dxa"/>
            <w:vAlign w:val="bottom"/>
          </w:tcPr>
          <w:p>
            <w:pPr>
              <w:ind w:left="20"/>
              <w:spacing w:after="0"/>
              <w:rPr>
                <w:sz w:val="20"/>
                <w:szCs w:val="20"/>
                <w:color w:val="auto"/>
              </w:rPr>
            </w:pPr>
            <w:r>
              <w:rPr>
                <w:rFonts w:ascii="Arial" w:cs="Arial" w:eastAsia="Arial" w:hAnsi="Arial"/>
                <w:sz w:val="14"/>
                <w:szCs w:val="14"/>
                <w:color w:val="auto"/>
              </w:rPr>
              <w:t>Non-GAAP Gross Margin</w:t>
            </w:r>
          </w:p>
        </w:tc>
        <w:tc>
          <w:tcPr>
            <w:tcW w:w="1500" w:type="dxa"/>
            <w:vAlign w:val="bottom"/>
          </w:tcPr>
          <w:p>
            <w:pPr>
              <w:jc w:val="center"/>
              <w:ind w:left="48"/>
              <w:spacing w:after="0"/>
              <w:rPr>
                <w:sz w:val="20"/>
                <w:szCs w:val="20"/>
                <w:color w:val="auto"/>
              </w:rPr>
            </w:pPr>
            <w:r>
              <w:rPr>
                <w:rFonts w:ascii="Arial" w:cs="Arial" w:eastAsia="Arial" w:hAnsi="Arial"/>
                <w:sz w:val="14"/>
                <w:szCs w:val="14"/>
                <w:color w:val="auto"/>
              </w:rPr>
              <w:t>40.4%</w:t>
            </w:r>
          </w:p>
        </w:tc>
        <w:tc>
          <w:tcPr>
            <w:tcW w:w="1260" w:type="dxa"/>
            <w:vAlign w:val="bottom"/>
          </w:tcPr>
          <w:p>
            <w:pPr>
              <w:jc w:val="center"/>
              <w:spacing w:after="0"/>
              <w:rPr>
                <w:sz w:val="20"/>
                <w:szCs w:val="20"/>
                <w:color w:val="auto"/>
              </w:rPr>
            </w:pPr>
            <w:r>
              <w:rPr>
                <w:rFonts w:ascii="Arial" w:cs="Arial" w:eastAsia="Arial" w:hAnsi="Arial"/>
                <w:sz w:val="14"/>
                <w:szCs w:val="14"/>
                <w:color w:val="auto"/>
              </w:rPr>
              <w:t>46.8%</w:t>
            </w:r>
          </w:p>
        </w:tc>
        <w:tc>
          <w:tcPr>
            <w:tcW w:w="1320" w:type="dxa"/>
            <w:vAlign w:val="bottom"/>
          </w:tcPr>
          <w:p>
            <w:pPr>
              <w:jc w:val="center"/>
              <w:spacing w:after="0"/>
              <w:rPr>
                <w:sz w:val="20"/>
                <w:szCs w:val="20"/>
                <w:color w:val="auto"/>
              </w:rPr>
            </w:pPr>
            <w:r>
              <w:rPr>
                <w:rFonts w:ascii="Arial" w:cs="Arial" w:eastAsia="Arial" w:hAnsi="Arial"/>
                <w:sz w:val="14"/>
                <w:szCs w:val="14"/>
                <w:color w:val="auto"/>
              </w:rPr>
              <w:t>47.80%</w:t>
            </w:r>
          </w:p>
        </w:tc>
        <w:tc>
          <w:tcPr>
            <w:tcW w:w="1320" w:type="dxa"/>
            <w:vAlign w:val="bottom"/>
          </w:tcPr>
          <w:p>
            <w:pPr>
              <w:jc w:val="center"/>
              <w:spacing w:after="0"/>
              <w:rPr>
                <w:sz w:val="20"/>
                <w:szCs w:val="20"/>
                <w:color w:val="auto"/>
              </w:rPr>
            </w:pPr>
            <w:r>
              <w:rPr>
                <w:rFonts w:ascii="Arial" w:cs="Arial" w:eastAsia="Arial" w:hAnsi="Arial"/>
                <w:sz w:val="14"/>
                <w:szCs w:val="14"/>
                <w:color w:val="auto"/>
              </w:rPr>
              <w:t>49.4%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11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20"/>
        </w:trPr>
        <w:tc>
          <w:tcPr>
            <w:tcW w:w="1040" w:type="dxa"/>
            <w:vAlign w:val="bottom"/>
            <w:shd w:val="clear" w:color="auto" w:fill="DBDBDB"/>
          </w:tcPr>
          <w:p>
            <w:pPr>
              <w:spacing w:after="0"/>
              <w:rPr>
                <w:sz w:val="19"/>
                <w:szCs w:val="19"/>
                <w:color w:val="auto"/>
              </w:rPr>
            </w:pPr>
          </w:p>
        </w:tc>
        <w:tc>
          <w:tcPr>
            <w:tcW w:w="2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Non-GAAP Operating Margin</w:t>
            </w:r>
          </w:p>
        </w:tc>
        <w:tc>
          <w:tcPr>
            <w:tcW w:w="150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21.9%</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30.2%</w:t>
            </w:r>
          </w:p>
        </w:tc>
        <w:tc>
          <w:tcPr>
            <w:tcW w:w="1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31.20%</w:t>
            </w:r>
          </w:p>
        </w:tc>
        <w:tc>
          <w:tcPr>
            <w:tcW w:w="1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35.4%</w:t>
            </w:r>
          </w:p>
        </w:tc>
        <w:tc>
          <w:tcPr>
            <w:tcW w:w="12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150%</w:t>
            </w:r>
          </w:p>
        </w:tc>
        <w:tc>
          <w:tcPr>
            <w:tcW w:w="1180" w:type="dxa"/>
            <w:vAlign w:val="bottom"/>
            <w:tcBorders>
              <w:right w:val="single" w:sz="8" w:color="auto"/>
            </w:tcBorders>
            <w:gridSpan w:val="3"/>
            <w:shd w:val="clear" w:color="auto" w:fill="DBDBDB"/>
          </w:tcPr>
          <w:p>
            <w:pPr>
              <w:jc w:val="center"/>
              <w:ind w:right="40"/>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4"/>
                <w:szCs w:val="14"/>
                <w:color w:val="auto"/>
              </w:rPr>
              <w:t>Ramp SiC Product Revenue</w:t>
            </w:r>
          </w:p>
        </w:tc>
        <w:tc>
          <w:tcPr>
            <w:tcW w:w="1500" w:type="dxa"/>
            <w:vAlign w:val="bottom"/>
          </w:tcPr>
          <w:p>
            <w:pPr>
              <w:jc w:val="center"/>
              <w:ind w:left="48"/>
              <w:spacing w:after="0"/>
              <w:rPr>
                <w:sz w:val="20"/>
                <w:szCs w:val="20"/>
                <w:color w:val="auto"/>
              </w:rPr>
            </w:pPr>
            <w:r>
              <w:rPr>
                <w:rFonts w:ascii="Arial" w:cs="Arial" w:eastAsia="Arial" w:hAnsi="Arial"/>
                <w:sz w:val="14"/>
                <w:szCs w:val="14"/>
                <w:color w:val="auto"/>
                <w:w w:val="94"/>
              </w:rPr>
              <w:t>1x</w:t>
            </w: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2x</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3x</w:t>
            </w:r>
          </w:p>
        </w:tc>
        <w:tc>
          <w:tcPr>
            <w:tcW w:w="1320" w:type="dxa"/>
            <w:vAlign w:val="bottom"/>
          </w:tcPr>
          <w:p>
            <w:pPr>
              <w:jc w:val="center"/>
              <w:spacing w:after="0"/>
              <w:rPr>
                <w:sz w:val="20"/>
                <w:szCs w:val="20"/>
                <w:color w:val="auto"/>
              </w:rPr>
            </w:pPr>
            <w:r>
              <w:rPr>
                <w:rFonts w:ascii="Arial" w:cs="Arial" w:eastAsia="Arial" w:hAnsi="Arial"/>
                <w:sz w:val="14"/>
                <w:szCs w:val="14"/>
                <w:color w:val="auto"/>
              </w:rPr>
              <w:t>2.55x</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155%</w:t>
            </w:r>
          </w:p>
        </w:tc>
        <w:tc>
          <w:tcPr>
            <w:tcW w:w="11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20"/>
        </w:trPr>
        <w:tc>
          <w:tcPr>
            <w:tcW w:w="1040" w:type="dxa"/>
            <w:vAlign w:val="bottom"/>
          </w:tcPr>
          <w:p>
            <w:pPr>
              <w:ind w:left="20"/>
              <w:spacing w:after="0"/>
              <w:rPr>
                <w:sz w:val="20"/>
                <w:szCs w:val="20"/>
                <w:color w:val="auto"/>
              </w:rPr>
            </w:pPr>
            <w:r>
              <w:rPr>
                <w:rFonts w:ascii="Arial" w:cs="Arial" w:eastAsia="Arial" w:hAnsi="Arial"/>
                <w:sz w:val="14"/>
                <w:szCs w:val="14"/>
                <w:color w:val="auto"/>
              </w:rPr>
              <w:t>Operational</w:t>
            </w:r>
          </w:p>
        </w:tc>
        <w:tc>
          <w:tcPr>
            <w:tcW w:w="2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ESG Baseline Scopes 1, 2 and 3</w:t>
            </w:r>
          </w:p>
        </w:tc>
        <w:tc>
          <w:tcPr>
            <w:tcW w:w="150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No baseline (x3)</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Baseline (x3)</w:t>
            </w:r>
          </w:p>
        </w:tc>
        <w:tc>
          <w:tcPr>
            <w:tcW w:w="1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2040 Roadmap</w:t>
            </w:r>
          </w:p>
        </w:tc>
        <w:tc>
          <w:tcPr>
            <w:tcW w:w="1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2040 Roadmap</w:t>
            </w:r>
          </w:p>
        </w:tc>
        <w:tc>
          <w:tcPr>
            <w:tcW w:w="12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200%</w:t>
            </w:r>
          </w:p>
        </w:tc>
        <w:tc>
          <w:tcPr>
            <w:tcW w:w="1180" w:type="dxa"/>
            <w:vAlign w:val="bottom"/>
            <w:tcBorders>
              <w:right w:val="single" w:sz="8" w:color="auto"/>
            </w:tcBorders>
            <w:gridSpan w:val="3"/>
            <w:shd w:val="clear" w:color="auto" w:fill="DBDBDB"/>
          </w:tcPr>
          <w:p>
            <w:pPr>
              <w:jc w:val="center"/>
              <w:ind w:right="4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12"/>
        </w:trPr>
        <w:tc>
          <w:tcPr>
            <w:tcW w:w="10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Experience Program</w:t>
            </w:r>
          </w:p>
        </w:tc>
        <w:tc>
          <w:tcPr>
            <w:tcW w:w="15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50%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w:t>
            </w:r>
          </w:p>
        </w:tc>
        <w:tc>
          <w:tcPr>
            <w:tcW w:w="11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60" w:type="dxa"/>
            <w:vAlign w:val="bottom"/>
            <w:gridSpan w:val="3"/>
          </w:tcPr>
          <w:p>
            <w:pPr>
              <w:ind w:left="1120"/>
              <w:spacing w:after="0" w:line="159" w:lineRule="exact"/>
              <w:rPr>
                <w:sz w:val="20"/>
                <w:szCs w:val="20"/>
                <w:color w:val="auto"/>
              </w:rPr>
            </w:pPr>
            <w:r>
              <w:rPr>
                <w:rFonts w:ascii="Arial" w:cs="Arial" w:eastAsia="Arial" w:hAnsi="Arial"/>
                <w:sz w:val="14"/>
                <w:szCs w:val="14"/>
                <w:i w:val="1"/>
                <w:iCs w:val="1"/>
                <w:color w:val="auto"/>
              </w:rPr>
              <w:t>First tranche combined payout percentage</w:t>
            </w:r>
          </w:p>
        </w:tc>
        <w:tc>
          <w:tcPr>
            <w:tcW w:w="380" w:type="dxa"/>
            <w:vAlign w:val="bottom"/>
          </w:tcPr>
          <w:p>
            <w:pPr>
              <w:spacing w:after="0"/>
              <w:rPr>
                <w:sz w:val="13"/>
                <w:szCs w:val="13"/>
                <w:color w:val="auto"/>
              </w:rPr>
            </w:pPr>
          </w:p>
        </w:tc>
        <w:tc>
          <w:tcPr>
            <w:tcW w:w="3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205%</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151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 w:lineRule="exact"/>
        <w:rPr>
          <w:sz w:val="20"/>
          <w:szCs w:val="20"/>
          <w:color w:val="auto"/>
        </w:rPr>
      </w:pPr>
    </w:p>
    <w:p>
      <w:pPr>
        <w:ind w:left="20" w:right="60" w:firstLine="6"/>
        <w:spacing w:after="0" w:line="252" w:lineRule="auto"/>
        <w:tabs>
          <w:tab w:leader="none" w:pos="245"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noted above, our LTI Financial Goals are subject to a second-step TSR Adjustment on a tranche-by-tranche basis. As such, the maximum payout at stretch levels for those goals, without giving effect to any TSR Adjustment, is 150%.</w:t>
      </w:r>
    </w:p>
    <w:p>
      <w:pPr>
        <w:jc w:val="both"/>
        <w:ind w:left="20" w:right="40" w:firstLine="6"/>
        <w:spacing w:after="0" w:line="229" w:lineRule="auto"/>
        <w:tabs>
          <w:tab w:leader="none" w:pos="24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This column reflects the degree of achievement on each of the six goals, without giving effect to any TSR Adjustment. To calculate the number of PBRSUs preliminarily earned under each goal, we multiply this figure by the number of target PBRSUs granted to the NEO that were associated with that goal, then divide the result into three equal tranches. For the tranches associated with LTI Operational Goals, that number of PBRSUs is fixed and will be paid over a three-year period, subject to the NEO’s continued employment through each vesting date. The tranches associated with LTI Financial Goals are not fixed but rather will be adjusted, on a tranche-by-tranche basis, for our relative TSR performance over the one-, two- or three-year performance period, as applicable.</w:t>
      </w:r>
    </w:p>
    <w:p>
      <w:pPr>
        <w:spacing w:after="0" w:line="1" w:lineRule="exact"/>
        <w:rPr>
          <w:rFonts w:ascii="Arial" w:cs="Arial" w:eastAsia="Arial" w:hAnsi="Arial"/>
          <w:sz w:val="14"/>
          <w:szCs w:val="14"/>
          <w:color w:val="auto"/>
        </w:rPr>
      </w:pPr>
    </w:p>
    <w:p>
      <w:pPr>
        <w:ind w:left="20" w:right="60" w:firstLine="6"/>
        <w:spacing w:after="0" w:line="263" w:lineRule="auto"/>
        <w:tabs>
          <w:tab w:leader="none" w:pos="237"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This column reflects the payout percentages under each of the six goals for the first tranche, with the payout for each LTI Financial Goal adjusted based on our relative TSR performance for 2022 (achieved at the maximum level, which meant that the resulting goal achievement percentage for each LTI Financial Goal was multiplied by 150%).</w:t>
      </w: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Post-Termination Compensation. </w:t>
      </w:r>
      <w:r>
        <w:rPr>
          <w:rFonts w:ascii="Arial" w:cs="Arial" w:eastAsia="Arial" w:hAnsi="Arial"/>
          <w:sz w:val="18"/>
          <w:szCs w:val="18"/>
          <w:color w:val="auto"/>
        </w:rPr>
        <w:t>In addition to the compensation received by our NEOs during 2022 and the other benefits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available to all eligible employees, we also provide certain post-termination benefits to our executive officers as described below.</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u w:val="single" w:color="auto"/>
          <w:color w:val="auto"/>
        </w:rPr>
        <w:t>Severance and Change in Control Arrangements</w:t>
      </w:r>
      <w:r>
        <w:rPr>
          <w:rFonts w:ascii="Arial" w:cs="Arial" w:eastAsia="Arial" w:hAnsi="Arial"/>
          <w:sz w:val="18"/>
          <w:szCs w:val="18"/>
          <w:color w:val="auto"/>
        </w:rPr>
        <w:t>. We have entered into arrangements with our NEOs that provide for post-termination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in the event of a qualifying termination both in connection with a change in control, and outside of the context of a change in control. In addition, certain of our RSU and PBRSU agreements provide for accelerated vesting upon certain qualifying terminations. For more detail regarding the severance and change in control provisions of the employment agreements and equity awards for our NEOs, see “Compensation of Executive Officers — Employment, Severance and Change in Control Arrangements” and “Compensation of Executive Officers — Potential Payments Upon Termination of Employment or Change in Control” below in this proxy statement.</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u w:val="single" w:color="auto"/>
          <w:color w:val="auto"/>
        </w:rPr>
        <w:t>Retirement Provisions – Legacy RSU Award Agreements and Actual Payouts to Mr. Hopkin</w:t>
      </w:r>
      <w:r>
        <w:rPr>
          <w:rFonts w:ascii="Arial" w:cs="Arial" w:eastAsia="Arial" w:hAnsi="Arial"/>
          <w:sz w:val="18"/>
          <w:szCs w:val="18"/>
          <w:color w:val="auto"/>
        </w:rPr>
        <w:t>. Under our 2020 RSU award agreements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Messrs. Keeton and Hopkin, subject to certain advance notice, age and service requirements, any RSUs granted to the NEO in 2020 that were unvested as of the date of his retirement would become fully vested but continue to pay out in accordance with their original schedule. The RSUs granted to our NEOs in 2021 and 2022 do not contain any accelerated vesting provisions that would be triggered upon the officer’s retirement.</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Hopkin, who retired in 2022, qualified for and received accelerated vesting of his 2020 RSUs. Although his 2021 RSU award did not contain a similar provision, in consideration of his contributions to and long tenure with the Company, the HCC Committee approved the acceleration of vesting of the remainder of his unvested, time-based 2021 RSUs effective upon his retirement. Like his 2020 RSUs, the 2021 RSUs will continue to pay out in accordance with their original schedule. All other equity awards held by Mr. Hopkin that were unvested as of the date of his retirement were forfeited upon his retirement, including the entirety of his 2022 LTI award.</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u w:val="single" w:color="auto"/>
          <w:color w:val="auto"/>
        </w:rPr>
        <w:t>Release Requirement and Restrictive Covenants</w:t>
      </w:r>
      <w:r>
        <w:rPr>
          <w:rFonts w:ascii="Arial" w:cs="Arial" w:eastAsia="Arial" w:hAnsi="Arial"/>
          <w:sz w:val="18"/>
          <w:szCs w:val="18"/>
          <w:color w:val="auto"/>
        </w:rPr>
        <w:t>. The HCC Committee believes that our post-termination compensation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our NEOs are aligned with existing market practices related to, and are consistent with, the principal objectives of our</w:t>
      </w:r>
    </w:p>
    <w:p>
      <w:pPr>
        <w:jc w:val="both"/>
        <w:spacing w:after="0" w:line="226" w:lineRule="auto"/>
        <w:rPr>
          <w:sz w:val="20"/>
          <w:szCs w:val="20"/>
          <w:color w:val="auto"/>
        </w:rPr>
      </w:pPr>
      <w:r>
        <w:rPr>
          <w:rFonts w:ascii="Arial" w:cs="Arial" w:eastAsia="Arial" w:hAnsi="Arial"/>
          <w:sz w:val="18"/>
          <w:szCs w:val="18"/>
          <w:color w:val="auto"/>
        </w:rPr>
        <w:t>compensation programs. To the extent a NEO’s employment agreement contains severance benefits or a change in control provision, such benefits are predicated upon the NEO being terminated without cause or resigning for good reason. In addition, our change in control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provisions do not include excise tax gross-ups, and our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severance benefits are subject to the NEO signing a general release and waiver and complying with certain restrictive covenants, including non-solicitation, confidentiality and non-disparagement agreements, as well as non-competition or non-interference agreements, all of which serve the best interests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and our stockholders.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u w:val="single" w:color="auto"/>
          <w:color w:val="auto"/>
        </w:rPr>
        <w:t>Advantages of Our Double-Trigger Change in Control Arrangements</w:t>
      </w:r>
      <w:r>
        <w:rPr>
          <w:rFonts w:ascii="Arial" w:cs="Arial" w:eastAsia="Arial" w:hAnsi="Arial"/>
          <w:sz w:val="18"/>
          <w:szCs w:val="18"/>
          <w:color w:val="auto"/>
        </w:rPr>
        <w:t>. The HCC Committee believes that our management plays a critical role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success of our company and that it is important to protect them with a baseline of guaranteed compensation in the event of an involuntary (or constructive) termination in connection with a change in control. Change of control protections for our executive officers and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 key personnel are an important part of good corporate governance, as they alleviate individual concerns about the possible involuntary loss of employment and ensure that the interests of our executives will be materially consistent with the interests of other stockholders when</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 xml:space="preserve">considering corporate transactions. In addition, we believe that these change of control protections preserve morale and productivity and encourage retention in the face of the potential disruptive impact of an actual or potential change of control of </w:t>
      </w:r>
      <w:r>
        <w:rPr>
          <w:rFonts w:ascii="Arial" w:cs="Arial" w:eastAsia="Arial" w:hAnsi="Arial"/>
          <w:sz w:val="18"/>
          <w:szCs w:val="18"/>
          <w:b w:val="1"/>
          <w:bCs w:val="1"/>
          <w:color w:val="auto"/>
        </w:rPr>
        <w:t>onsemi</w:t>
      </w:r>
      <w:r>
        <w:rPr>
          <w:rFonts w:ascii="Arial" w:cs="Arial" w:eastAsia="Arial" w:hAnsi="Arial"/>
          <w:sz w:val="18"/>
          <w:szCs w:val="18"/>
          <w:color w:val="auto"/>
        </w:rPr>
        <w:t>.</w:t>
      </w:r>
    </w:p>
    <w:p>
      <w:pPr>
        <w:spacing w:after="0" w:line="18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Limited Perquisites</w:t>
      </w:r>
      <w:r>
        <w:rPr>
          <w:rFonts w:ascii="Arial" w:cs="Arial" w:eastAsia="Arial" w:hAnsi="Arial"/>
          <w:sz w:val="18"/>
          <w:szCs w:val="18"/>
          <w:color w:val="auto"/>
        </w:rPr>
        <w:t>. Consistent with our pay-for-performance compensation philosophy, we generally do not provide our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significant perquisites other than the following, which are selected for competitive purposes:</w:t>
      </w:r>
    </w:p>
    <w:p>
      <w:pPr>
        <w:spacing w:after="0" w:line="18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monthly auto allowance;</w:t>
      </w:r>
    </w:p>
    <w:p>
      <w:pPr>
        <w:spacing w:after="0" w:line="13"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enhanced coverage for life insurance (coverage of $1,000,000, which is $500,000 above the maximum allowed standard coverage of two times base salary that is afforded to all employees);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executive physical examination; and</w:t>
      </w: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planning services reimbursement up to $10,000 per year.</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HCC Committee believes these limited perquisites help to maintain the competitiveness of our compensation package vis-à-vis our peer companies and provide value at a reasonable cost to us.</w:t>
      </w:r>
    </w:p>
    <w:p>
      <w:pPr>
        <w:spacing w:after="0" w:line="181"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Other Benefit Plans and Programs</w:t>
      </w:r>
      <w:r>
        <w:rPr>
          <w:rFonts w:ascii="Arial" w:cs="Arial" w:eastAsia="Arial" w:hAnsi="Arial"/>
          <w:sz w:val="18"/>
          <w:szCs w:val="18"/>
          <w:color w:val="auto"/>
        </w:rPr>
        <w:t>. We do not offer special executive retirement plans, pension benefits or non-qualified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plans. Executives are eligible to participate in benefit programs available to all of our full-time employees. These generally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available programs, which are designed to provide competitive capital accumulation and other benefits, include:</w:t>
      </w:r>
    </w:p>
    <w:p>
      <w:pPr>
        <w:spacing w:after="0" w:line="22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tax-qualified employee stock purchase plan;</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401(k) savings plan; and</w:t>
      </w: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medical, dental, disability and life insurance programs.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Process and Procedures for Considering and Determining Executive Compensation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Among other responsibilities, our HCC Committee is primarily responsible for establishing the compensation programs for our NEOs and other senior executives, including the CEO, as well as monitoring, annually reviewing and approving the goals and objectives relevant to these programs.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Role of Compensation Consultants</w:t>
      </w:r>
      <w:r>
        <w:rPr>
          <w:rFonts w:ascii="Arial" w:cs="Arial" w:eastAsia="Arial" w:hAnsi="Arial"/>
          <w:sz w:val="18"/>
          <w:szCs w:val="18"/>
          <w:color w:val="auto"/>
        </w:rPr>
        <w:t>. In August 2022, the HCC Committee engaged FW Cook as its primary independent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to assist in recommending the form and amount of executive and director compensation. The HCC Committee previously engaged Pearl Meyer in the same role. Among other things, with respect to our 2022 compensation programs, Pearl Meyer was requested to:</w:t>
      </w:r>
    </w:p>
    <w:p>
      <w:pPr>
        <w:spacing w:after="0" w:line="22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perform an executive compensation review, including a peer group review and competitive pay assessments;</w:t>
      </w:r>
    </w:p>
    <w:p>
      <w:pPr>
        <w:spacing w:after="0" w:line="8" w:lineRule="exact"/>
        <w:rPr>
          <w:rFonts w:ascii="Arial" w:cs="Arial" w:eastAsia="Arial" w:hAnsi="Arial"/>
          <w:sz w:val="22"/>
          <w:szCs w:val="22"/>
          <w:color w:val="auto"/>
        </w:rPr>
      </w:pPr>
    </w:p>
    <w:p>
      <w:pPr>
        <w:ind w:left="660" w:hanging="328"/>
        <w:spacing w:after="0" w:line="209"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perform a short-term incentive plan and equity grant review;</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perform a non-employee director compensation review;</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provide legislative and regulatory updates;</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18"/>
          <w:szCs w:val="18"/>
          <w:color w:val="auto"/>
        </w:rPr>
        <w:t>provide additional assistance, as requested, in analyzing and determining senior executive compensation and reviewing the CD&amp;A; and</w:t>
      </w:r>
    </w:p>
    <w:p>
      <w:pPr>
        <w:ind w:left="660" w:hanging="328"/>
        <w:spacing w:after="0" w:line="230"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attend meetings of the HCC as requested.</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considering the independence of each of its consultants (Pearl Meyer through July 2022, FW Cook beginning in August 2022) in light of applicable SEC rules and Nasdaq listing standards, the HCC Committee has concluded that each was independent and that neither consultant’s work for the HCC Committee raised any conflict of interest.</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38</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3" w:name="page44"/>
    <w:bookmarkEnd w:id="43"/>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determining compensation for our non-employee directors and executive officers, the HCC Committee considers information and advice provided by its independent compensation consultant. Much as it did previously with respect to Pearl Meyer, the HCC Committee believes that FW Cook has the requisite skills, knowledge, industry expertise and experience, as well as the necessary resources, to provide a comprehensive approach to executive and non-employee director compensation planning, strategy and governance. While the HCC Committee considers the advice and recommendations of its independent consultant, ultimately, the HCC Committee has the decision-making authority with respect to our compensation programs, including the specific amounts paid to our executive officers.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Role of Senior Executives in Determining Executive Compensation</w:t>
      </w:r>
      <w:r>
        <w:rPr>
          <w:rFonts w:ascii="Arial" w:cs="Arial" w:eastAsia="Arial" w:hAnsi="Arial"/>
          <w:sz w:val="18"/>
          <w:szCs w:val="18"/>
          <w:color w:val="auto"/>
        </w:rPr>
        <w:t>. The HCC Committee made all compensation decisions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NEO compensation in 2022. However, our CEO and other senior executives regularly provide information and recommendations to the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HCC Committee on the compensation and performance of other officers. Specifically, the CEO presents the HCC Committee with an individual performance overview for each executive officer, describing the officer’s accomplishments for the prior year, as well as his or her strengths, areas of improvement and development plans. The senior executives also assist the HCC Committee in determining the level of achievement of the performance targets underlying performance-based awards and incentives and provide other information specifically requested by the HCC Committee from time to time. With respect to the compensation of the CEO, the independent consultant works directly with the HCC Committee. The CEO does not make, and the HCC Committee does not seek from him, recommendations on the level of his compensation, nor does any NEO or any other member of management make recommendations on the level of his or her compensation.</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18"/>
          <w:szCs w:val="18"/>
          <w:b w:val="1"/>
          <w:bCs w:val="1"/>
          <w:i w:val="1"/>
          <w:iCs w:val="1"/>
          <w:color w:val="auto"/>
        </w:rPr>
        <w:t>Use of Market Data</w:t>
      </w:r>
      <w:r>
        <w:rPr>
          <w:rFonts w:ascii="Arial" w:cs="Arial" w:eastAsia="Arial" w:hAnsi="Arial"/>
          <w:sz w:val="18"/>
          <w:szCs w:val="18"/>
          <w:color w:val="auto"/>
        </w:rPr>
        <w:t>. The HCC Committee considers competitive market data, among other factors, in determining the individual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programs and in allocating between cash and non-cash compensation and between STI and LTI compensation. Although the peer company or other survey data is a starting point and a significant factor in the HCC Committee’s compensation determinations, it is not the only factor. In late 2021, Pearl Meyer conducted an executive compensation study and made recommendations regarding changes to</w:t>
      </w:r>
    </w:p>
    <w:p>
      <w:pPr>
        <w:jc w:val="both"/>
        <w:spacing w:after="0" w:line="226" w:lineRule="auto"/>
        <w:rPr>
          <w:sz w:val="20"/>
          <w:szCs w:val="20"/>
          <w:color w:val="auto"/>
        </w:rPr>
      </w:pPr>
      <w:r>
        <w:rPr>
          <w:rFonts w:ascii="Arial" w:cs="Arial" w:eastAsia="Arial" w:hAnsi="Arial"/>
          <w:sz w:val="18"/>
          <w:szCs w:val="18"/>
          <w:color w:val="auto"/>
        </w:rPr>
        <w:t>compensation design for the 2022 program (the Pearl Meyer Report). The HCC Committee used data provided in the Pearl Meyer Report to assist in structuring the 2022 compensation packages for our NEOs. In connection with its preparation of this report, Pearl Meyer</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recommended changes to the peer group in light of consolidation within the semiconductor industry and changes to the revenue and market capitalization of our prior peer group companies. Criteria used to screen the peer group generally included:</w:t>
      </w:r>
    </w:p>
    <w:p>
      <w:pPr>
        <w:spacing w:after="0" w:line="199"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revenue between $2.4 billion and $17.7 billion, which was approximately 0.4 to 3 times our revenue;</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market capitalization between $6.5 billion and $98.5 billion, which was approximately 0.33 to 5 times our market capitalization; and</w:t>
      </w:r>
    </w:p>
    <w:p>
      <w:pPr>
        <w:ind w:left="660" w:right="20" w:hanging="328"/>
        <w:spacing w:after="0" w:line="250"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semiconductor or semiconductor equipment companies, including selected companies that may fall outside of the revenue and market capitalization ranges shown above.</w:t>
      </w:r>
    </w:p>
    <w:p>
      <w:pPr>
        <w:spacing w:after="0" w:line="19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considering these criteria, the HCC Committee determined that the peer group identified in 2021 to inform 2022 compensation decisions (the 2022 Peer Group) would consist of:</w:t>
      </w:r>
    </w:p>
    <w:p>
      <w:pPr>
        <w:spacing w:after="0" w:line="240" w:lineRule="exact"/>
        <w:rPr>
          <w:sz w:val="20"/>
          <w:szCs w:val="20"/>
          <w:color w:val="auto"/>
        </w:rPr>
      </w:pPr>
    </w:p>
    <w:tbl>
      <w:tblPr>
        <w:tblLayout w:type="fixed"/>
        <w:tblInd w:w="2080" w:type="dxa"/>
        <w:tblCellMar>
          <w:top w:w="0" w:type="dxa"/>
          <w:left w:w="0" w:type="dxa"/>
          <w:bottom w:w="0" w:type="dxa"/>
          <w:right w:w="0" w:type="dxa"/>
        </w:tblCellMar>
      </w:tblPr>
      <w:tr>
        <w:trPr>
          <w:trHeight w:val="203"/>
        </w:trPr>
        <w:tc>
          <w:tcPr>
            <w:tcW w:w="2760" w:type="dxa"/>
            <w:vAlign w:val="bottom"/>
            <w:shd w:val="clear" w:color="auto" w:fill="465E66"/>
          </w:tcPr>
          <w:p>
            <w:pPr>
              <w:spacing w:after="0"/>
              <w:rPr>
                <w:sz w:val="17"/>
                <w:szCs w:val="17"/>
                <w:color w:val="auto"/>
              </w:rPr>
            </w:pPr>
          </w:p>
        </w:tc>
        <w:tc>
          <w:tcPr>
            <w:tcW w:w="4320" w:type="dxa"/>
            <w:vAlign w:val="bottom"/>
            <w:shd w:val="clear" w:color="auto" w:fill="465E66"/>
          </w:tcPr>
          <w:p>
            <w:pPr>
              <w:ind w:left="220"/>
              <w:spacing w:after="0"/>
              <w:rPr>
                <w:sz w:val="20"/>
                <w:szCs w:val="20"/>
                <w:color w:val="auto"/>
              </w:rPr>
            </w:pPr>
            <w:r>
              <w:rPr>
                <w:rFonts w:ascii="Arial" w:cs="Arial" w:eastAsia="Arial" w:hAnsi="Arial"/>
                <w:sz w:val="14"/>
                <w:szCs w:val="14"/>
                <w:b w:val="1"/>
                <w:bCs w:val="1"/>
                <w:color w:val="FFFFFF"/>
              </w:rPr>
              <w:t>2022 Peer Group</w:t>
            </w:r>
          </w:p>
        </w:tc>
      </w:tr>
      <w:tr>
        <w:trPr>
          <w:trHeight w:val="216"/>
        </w:trPr>
        <w:tc>
          <w:tcPr>
            <w:tcW w:w="2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Advanced Micro Devices, Inc.</w:t>
            </w:r>
          </w:p>
        </w:tc>
        <w:tc>
          <w:tcPr>
            <w:tcW w:w="4320" w:type="dxa"/>
            <w:vAlign w:val="bottom"/>
            <w:shd w:val="clear" w:color="auto" w:fill="DBDBDB"/>
          </w:tcPr>
          <w:p>
            <w:pPr>
              <w:ind w:left="780"/>
              <w:spacing w:after="0"/>
              <w:rPr>
                <w:sz w:val="20"/>
                <w:szCs w:val="20"/>
                <w:color w:val="auto"/>
              </w:rPr>
            </w:pPr>
            <w:r>
              <w:rPr>
                <w:rFonts w:ascii="Arial" w:cs="Arial" w:eastAsia="Arial" w:hAnsi="Arial"/>
                <w:sz w:val="16"/>
                <w:szCs w:val="16"/>
                <w:color w:val="auto"/>
              </w:rPr>
              <w:t>Microchip Technology Incorporated</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Analog Devices, Inc.</w:t>
            </w:r>
          </w:p>
        </w:tc>
        <w:tc>
          <w:tcPr>
            <w:tcW w:w="4320" w:type="dxa"/>
            <w:vAlign w:val="bottom"/>
          </w:tcPr>
          <w:p>
            <w:pPr>
              <w:ind w:left="780"/>
              <w:spacing w:after="0"/>
              <w:rPr>
                <w:sz w:val="20"/>
                <w:szCs w:val="20"/>
                <w:color w:val="auto"/>
              </w:rPr>
            </w:pPr>
            <w:r>
              <w:rPr>
                <w:rFonts w:ascii="Arial" w:cs="Arial" w:eastAsia="Arial" w:hAnsi="Arial"/>
                <w:sz w:val="16"/>
                <w:szCs w:val="16"/>
                <w:color w:val="auto"/>
              </w:rPr>
              <w:t>Monolithic Power Systems, Inc.</w:t>
            </w:r>
          </w:p>
        </w:tc>
      </w:tr>
      <w:tr>
        <w:trPr>
          <w:trHeight w:val="217"/>
        </w:trPr>
        <w:tc>
          <w:tcPr>
            <w:tcW w:w="2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Applied Materials, Inc.</w:t>
            </w:r>
          </w:p>
        </w:tc>
        <w:tc>
          <w:tcPr>
            <w:tcW w:w="4320" w:type="dxa"/>
            <w:vAlign w:val="bottom"/>
            <w:shd w:val="clear" w:color="auto" w:fill="DBDBDB"/>
          </w:tcPr>
          <w:p>
            <w:pPr>
              <w:ind w:left="780"/>
              <w:spacing w:after="0"/>
              <w:rPr>
                <w:sz w:val="20"/>
                <w:szCs w:val="20"/>
                <w:color w:val="auto"/>
              </w:rPr>
            </w:pPr>
            <w:r>
              <w:rPr>
                <w:rFonts w:ascii="Arial" w:cs="Arial" w:eastAsia="Arial" w:hAnsi="Arial"/>
                <w:sz w:val="16"/>
                <w:szCs w:val="16"/>
                <w:color w:val="auto"/>
              </w:rPr>
              <w:t>Qorvo, Inc.</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First Solar, Inc.</w:t>
            </w:r>
          </w:p>
        </w:tc>
        <w:tc>
          <w:tcPr>
            <w:tcW w:w="4320" w:type="dxa"/>
            <w:vAlign w:val="bottom"/>
          </w:tcPr>
          <w:p>
            <w:pPr>
              <w:ind w:left="780"/>
              <w:spacing w:after="0"/>
              <w:rPr>
                <w:sz w:val="20"/>
                <w:szCs w:val="20"/>
                <w:color w:val="auto"/>
              </w:rPr>
            </w:pPr>
            <w:r>
              <w:rPr>
                <w:rFonts w:ascii="Arial" w:cs="Arial" w:eastAsia="Arial" w:hAnsi="Arial"/>
                <w:sz w:val="16"/>
                <w:szCs w:val="16"/>
                <w:color w:val="auto"/>
              </w:rPr>
              <w:t>Skyworks Solutions, Inc.</w:t>
            </w:r>
          </w:p>
        </w:tc>
      </w:tr>
      <w:tr>
        <w:trPr>
          <w:trHeight w:val="217"/>
        </w:trPr>
        <w:tc>
          <w:tcPr>
            <w:tcW w:w="2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Lam Research Corporation</w:t>
            </w:r>
          </w:p>
        </w:tc>
        <w:tc>
          <w:tcPr>
            <w:tcW w:w="4320" w:type="dxa"/>
            <w:vAlign w:val="bottom"/>
            <w:shd w:val="clear" w:color="auto" w:fill="DBDBDB"/>
          </w:tcPr>
          <w:p>
            <w:pPr>
              <w:ind w:left="780"/>
              <w:spacing w:after="0"/>
              <w:rPr>
                <w:sz w:val="20"/>
                <w:szCs w:val="20"/>
                <w:color w:val="auto"/>
              </w:rPr>
            </w:pPr>
            <w:r>
              <w:rPr>
                <w:rFonts w:ascii="Arial" w:cs="Arial" w:eastAsia="Arial" w:hAnsi="Arial"/>
                <w:sz w:val="16"/>
                <w:szCs w:val="16"/>
                <w:color w:val="auto"/>
              </w:rPr>
              <w:t>Texas Instruments Incorporated</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Marvell Technology, Inc.</w:t>
            </w:r>
          </w:p>
        </w:tc>
        <w:tc>
          <w:tcPr>
            <w:tcW w:w="4320" w:type="dxa"/>
            <w:vAlign w:val="bottom"/>
          </w:tcPr>
          <w:p>
            <w:pPr>
              <w:ind w:left="780"/>
              <w:spacing w:after="0"/>
              <w:rPr>
                <w:sz w:val="20"/>
                <w:szCs w:val="20"/>
                <w:color w:val="auto"/>
              </w:rPr>
            </w:pPr>
            <w:r>
              <w:rPr>
                <w:rFonts w:ascii="Arial" w:cs="Arial" w:eastAsia="Arial" w:hAnsi="Arial"/>
                <w:sz w:val="16"/>
                <w:szCs w:val="16"/>
                <w:color w:val="auto"/>
              </w:rPr>
              <w:t>Xilinx, Inc. (2)</w:t>
            </w:r>
          </w:p>
        </w:tc>
      </w:tr>
      <w:tr>
        <w:trPr>
          <w:trHeight w:val="216"/>
        </w:trPr>
        <w:tc>
          <w:tcPr>
            <w:tcW w:w="2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Maxim Integrated Products, Inc. (1)</w:t>
            </w:r>
          </w:p>
        </w:tc>
        <w:tc>
          <w:tcPr>
            <w:tcW w:w="432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Wolfspeed, Inc.</w:t>
            </w:r>
          </w:p>
        </w:tc>
      </w:tr>
    </w:tbl>
    <w:p>
      <w:pPr>
        <w:spacing w:after="0" w:line="4" w:lineRule="exact"/>
        <w:rPr>
          <w:sz w:val="20"/>
          <w:szCs w:val="20"/>
          <w:color w:val="auto"/>
        </w:rPr>
      </w:pPr>
    </w:p>
    <w:p>
      <w:pPr>
        <w:ind w:left="2320" w:hanging="215"/>
        <w:spacing w:after="0"/>
        <w:tabs>
          <w:tab w:leader="none" w:pos="2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Maxim Integrated Products, Inc. was acquired by Analog Devices, Inc. in August 2021.</w:t>
      </w:r>
    </w:p>
    <w:p>
      <w:pPr>
        <w:spacing w:after="0" w:line="41" w:lineRule="exact"/>
        <w:rPr>
          <w:rFonts w:ascii="Arial" w:cs="Arial" w:eastAsia="Arial" w:hAnsi="Arial"/>
          <w:sz w:val="14"/>
          <w:szCs w:val="14"/>
          <w:color w:val="auto"/>
        </w:rPr>
      </w:pPr>
    </w:p>
    <w:p>
      <w:pPr>
        <w:ind w:left="2320" w:hanging="215"/>
        <w:spacing w:after="0"/>
        <w:tabs>
          <w:tab w:leader="none" w:pos="2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Xilinx, Inc. was acquired by Advanced Micro Devices, Inc. in February 2022.</w:t>
      </w:r>
    </w:p>
    <w:p>
      <w:pPr>
        <w:spacing w:after="0" w:line="32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evaluating the competitiveness of the Company’s compensation program, the Pearl Meyer Report compared the compensation of NEOs to that of their functional matches among the market, which consists of the 2022 Peer Group as well as data from three compensation surveys</w:t>
      </w:r>
    </w:p>
    <w:p>
      <w:pPr>
        <w:ind w:right="100"/>
        <w:spacing w:after="0" w:line="242" w:lineRule="auto"/>
        <w:rPr>
          <w:sz w:val="20"/>
          <w:szCs w:val="20"/>
          <w:color w:val="auto"/>
        </w:rPr>
      </w:pPr>
      <w:r>
        <w:rPr>
          <w:rFonts w:ascii="Arial" w:cs="Arial" w:eastAsia="Arial" w:hAnsi="Arial"/>
          <w:sz w:val="18"/>
          <w:szCs w:val="18"/>
          <w:color w:val="auto"/>
        </w:rPr>
        <w:t>— the 2021 Radford Global Technology Survey, the 2021 Pearl Meyer Executive and Senior Management Survey and the 2021 Willis Tower Watson Compensation Survey – that are primarily reflective of companies in the semiconductor industry, broader technology segments and general industry. The Pearl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Meyer Report included information on each executive’s competitive position for base salary, total cash compensation at target (base salary and target STI awards), actual total cash compensation, LTI awards (based on grant date fair value) and TDC at target and actual (base salary, STI awards and LTI awards).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Other Factors</w:t>
      </w:r>
      <w:r>
        <w:rPr>
          <w:rFonts w:ascii="Arial" w:cs="Arial" w:eastAsia="Arial" w:hAnsi="Arial"/>
          <w:sz w:val="18"/>
          <w:szCs w:val="18"/>
          <w:color w:val="auto"/>
        </w:rPr>
        <w:t>. In addition to the market data provided by the independent compensation consultant, the HCC Committee also assesses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factors when making compensation decisions, including, but not limited to</w:t>
      </w:r>
    </w:p>
    <w:p>
      <w:pPr>
        <w:spacing w:after="0" w:line="18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executive’s individual responsibilities, skills, expertise and value added through performance;</w:t>
      </w:r>
    </w:p>
    <w:p>
      <w:pPr>
        <w:spacing w:after="0" w:line="13"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executive’s prior compensation and LTI award accumulation;</w:t>
      </w:r>
    </w:p>
    <w:p>
      <w:pPr>
        <w:ind w:left="660" w:hanging="328"/>
        <w:spacing w:after="0" w:line="23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contractual commitments with the executives, such as the terms of their respective employment agreements;</w:t>
      </w:r>
    </w:p>
    <w:p>
      <w:pPr>
        <w:ind w:left="660" w:hanging="328"/>
        <w:spacing w:after="0" w:line="234"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LTI awards, equity availability and usage, the potential voting power dilution to our stockholders and the projected impact on our earnings per share for the relevant years;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internal pay equity, although the HCC Committee does not have a policy requiring any set levels of internal pay differentiation.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HCC Committee separately reviews CEO performance based on, among other factors considered relevant, Company performance, including revenue growth, earnings growth, gross margin improvement, free cash flow and earnings per share, and further considers downturns or volatility in general economic conditions and other issues facing the Company.</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Risk Analysis</w:t>
      </w:r>
      <w:r>
        <w:rPr>
          <w:rFonts w:ascii="Arial" w:cs="Arial" w:eastAsia="Arial" w:hAnsi="Arial"/>
          <w:sz w:val="18"/>
          <w:szCs w:val="18"/>
          <w:color w:val="auto"/>
        </w:rPr>
        <w:t>. The HCC Committee considers the potential for unacceptable risk-taking in its compensation design and performs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assessments with respect to its duties and actions. The HCC Committee believes that the design of our executive compensation program does not unduly incentivize our executives to take actions that may conflict with our long-term best interests. Material risk in our compensation design is mitigated in several ways, including as follows:</w:t>
      </w:r>
    </w:p>
    <w:p>
      <w:pPr>
        <w:spacing w:after="0" w:line="201" w:lineRule="exact"/>
        <w:rPr>
          <w:sz w:val="20"/>
          <w:szCs w:val="20"/>
          <w:color w:val="auto"/>
        </w:rPr>
      </w:pPr>
    </w:p>
    <w:p>
      <w:pPr>
        <w:ind w:left="660" w:hanging="328"/>
        <w:spacing w:after="0" w:line="23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Performance-based pay opportunities are designed with goals that are rigorous but attainable without the need to take inappropriate risks and with the goal of driving long-term value to our stockholders.</w:t>
      </w:r>
    </w:p>
    <w:p>
      <w:pPr>
        <w:ind w:left="660" w:hanging="328"/>
        <w:spacing w:after="0" w:line="23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program consists of an appropriate mix of pay elements, with total compensation not overly weighted toward any one compensation component.</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base salaries of our NEOs, although comprising a relatively modest component of aggregate total compensation, nevertheless are adequate to discourage undue risk-taking.</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Opportunities under our STI and LTI programs are capped so that the upside potential is not so large as to encourage excessive risk-taking.</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stock-based incentives vest or are earned over a multi-year period, which provides long-term upside potential, but also requires the executive to bear the economic risk of the award over the vesting period.</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generally use different performance metrics in different programs and awards, which provides balance and lessens the opportunity to take undue risk in meeting a single goal.</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stock components inherent in our LTI program, combined with our stock ownership guidelines, align the interests of our executives with a goal of long-term preservation and appreciation of stockholder value.</w:t>
      </w:r>
    </w:p>
    <w:p>
      <w:pPr>
        <w:spacing w:after="0" w:line="1" w:lineRule="exact"/>
        <w:rPr>
          <w:rFonts w:ascii="Arial" w:cs="Arial" w:eastAsia="Arial" w:hAnsi="Arial"/>
          <w:sz w:val="18"/>
          <w:szCs w:val="18"/>
          <w:color w:val="auto"/>
        </w:rPr>
      </w:pPr>
    </w:p>
    <w:p>
      <w:pPr>
        <w:ind w:left="660" w:right="20" w:hanging="328"/>
        <w:spacing w:after="0" w:line="226"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Incentive payments and awards are subject to clawback in the event of a material restatement of our financial results and in certain other cases.</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Consideration of the compensation design of comparator companies helps avoid unusually high pay opportunities relative to the Company’s peers.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utilize severance programs with reasonable terms and double-trigger change in control provisions to support retention of our executives.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Policies Relating to Executive Compensation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Hedging / Pledging Transactions</w:t>
      </w:r>
      <w:r>
        <w:rPr>
          <w:rFonts w:ascii="Arial" w:cs="Arial" w:eastAsia="Arial" w:hAnsi="Arial"/>
          <w:sz w:val="18"/>
          <w:szCs w:val="18"/>
          <w:color w:val="auto"/>
        </w:rPr>
        <w:t>. We have a comprehensive Insider Trading Policy, which, among other things, prohibits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and non-employee directors from engaging in transactions that hedge or offset, or are designed to hedge or offset, any decrease in the market value of Company securities or that otherwise have economic consequences comparable to the same. Our executive officers and non-employee directors are also prohibited from any pledging or margin transactions with respect to our stock, including, but not limited to, holding our securities in a margin account or otherwise pledging such securities as collateral for a loan. Our other employees are also encouraged to adhere to these rules.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Stock Ownership and Retention Guidelines for Officers</w:t>
      </w:r>
      <w:r>
        <w:rPr>
          <w:rFonts w:ascii="Arial" w:cs="Arial" w:eastAsia="Arial" w:hAnsi="Arial"/>
          <w:sz w:val="18"/>
          <w:szCs w:val="18"/>
          <w:color w:val="auto"/>
        </w:rPr>
        <w:t>. We have adopted robust stock ownership guidelines for our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non-employee directors. The minimum stock ownership guideline varies based on position, ranging from two times base salary (for anyone holding the title of Senior Vice President) to six times base salary for our CEO. For purposes of the guidelines, we count only fully-vested, unrestricted shares of our common stock (not any unvested equity awards). As of the record date, all of our NEOs were either in compliance with, or within the five-year grace period for</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40</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5" w:name="page46"/>
    <w:bookmarkEnd w:id="45"/>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compliance under, these guidelines. For additional information regarding these guidelines, please see the section entitled, “Director and Officer Stock Ownership and Retention Guidelines” in the Stock Ownership section of this proxy statement.</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Clawback Policy</w:t>
      </w:r>
      <w:r>
        <w:rPr>
          <w:rFonts w:ascii="Arial" w:cs="Arial" w:eastAsia="Arial" w:hAnsi="Arial"/>
          <w:sz w:val="18"/>
          <w:szCs w:val="18"/>
          <w:color w:val="auto"/>
        </w:rPr>
        <w:t>. In 2014, we adopted our Clawback Policy, which requires us to seek to recover any incentive-based compensation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payments made to any covered person in the event that: (i) we are required to prepare a financial restatement resulting from material noncompliance with any financial reporting requirements under the federal securities laws, which restatement would have resulted in payment of a lesser incentive as determined by the Board; (ii) there has occurred any intentional misconduct by the covered person that is materially injurious to </w:t>
      </w:r>
      <w:r>
        <w:rPr>
          <w:rFonts w:ascii="Arial" w:cs="Arial" w:eastAsia="Arial" w:hAnsi="Arial"/>
          <w:sz w:val="18"/>
          <w:szCs w:val="18"/>
          <w:b w:val="1"/>
          <w:bCs w:val="1"/>
          <w:color w:val="auto"/>
        </w:rPr>
        <w:t>onsemi</w:t>
      </w:r>
      <w:r>
        <w:rPr>
          <w:rFonts w:ascii="Arial" w:cs="Arial" w:eastAsia="Arial" w:hAnsi="Arial"/>
          <w:sz w:val="18"/>
          <w:szCs w:val="18"/>
          <w:color w:val="auto"/>
        </w:rPr>
        <w:t xml:space="preserve"> or (iii) there has occurred any breach by the covered person of any material provision in his or her employment agreement or in any other agreement with </w:t>
      </w:r>
      <w:r>
        <w:rPr>
          <w:rFonts w:ascii="Arial" w:cs="Arial" w:eastAsia="Arial" w:hAnsi="Arial"/>
          <w:sz w:val="18"/>
          <w:szCs w:val="18"/>
          <w:b w:val="1"/>
          <w:bCs w:val="1"/>
          <w:color w:val="auto"/>
        </w:rPr>
        <w:t>onsemi</w:t>
      </w:r>
      <w:r>
        <w:rPr>
          <w:rFonts w:ascii="Arial" w:cs="Arial" w:eastAsia="Arial" w:hAnsi="Arial"/>
          <w:sz w:val="18"/>
          <w:szCs w:val="18"/>
          <w:color w:val="auto"/>
        </w:rPr>
        <w:t xml:space="preserve"> that contains non-solicitation, confidentiality, non-compete, non-disclosure or non-disparagement provisions applicable to the covered person. For purposes of the Clawback Policy, a “covered person” is any current or former Senior Vice President, Executive Vice President or CEO, or any other person as determined by the Board in its sole discretion. Each of our NEOs is a “covered person” under the Clawback Policy. The compensation to be recovered pursuant to the Clawback Policy applies to any award or payment made under any incentive-based compensation plan, including any corporate STI or bonus plan and any RSUs, PBRSUs, stock options or other form of equity award made or paid by us during the applicable recovery period. The applicable recovery period for an accounting restatement is the three-year period preceding the date on which we are required to prepare an accounting restatement (determined in accordance with any applicable law, regulation or interpretation, or otherwise by the Board), which restatement would have resulted in payment of a lesser incentive as determined by the Board. The award agreements for our PBRSU awards contain additional clawback provisions that subject the awards to our compensation recovery policies in place from time to time and that allow us to require the grantee to forfeit all or a portion of any unvested PBRSUs and any shares of stock delivered pursuant to the grant agreement if: (i) the grantee’s employment is terminated for cause (as defined in the grantee’s employment agreement or comparable agreement, or, if the grantee has no employment agreement or comparable agreement, in the SIP); or (ii) the HCC Committee, in its sole and absolute discretion, determines that the grantee engaged in serious misconduct that results or might reasonably be expected to result in financial or reputational harm to </w:t>
      </w:r>
      <w:r>
        <w:rPr>
          <w:rFonts w:ascii="Arial" w:cs="Arial" w:eastAsia="Arial" w:hAnsi="Arial"/>
          <w:sz w:val="18"/>
          <w:szCs w:val="18"/>
          <w:b w:val="1"/>
          <w:bCs w:val="1"/>
          <w:color w:val="auto"/>
        </w:rPr>
        <w:t>onsemi</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and Tax Considerations on Executive Compensation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Accounting considerations play a role in the design of our executive compensation program. Accounting rules require us to expense the grant date fair values of our equity awards (that is, the value of our equity awards based on GAAP), which reduces the amount of our reported profits under GAAP. Because of this stock-based expensing and the impact of dilution to our stockholders, we closely monitor the number, the share amounts and the fair values of the equity awards that are granted each year. The HCC Committee also takes into account tax and other accounting consequences of its total compensation program and weighs these factors when setting total compensation and determining the individual elements of an officer’s compensation package.</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Human Capital and Compensation Committee Interlocks and Insider Participation</w:t>
      </w:r>
    </w:p>
    <w:p>
      <w:pPr>
        <w:spacing w:after="0" w:line="1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members of the HCC Committee during the 2022 fiscal year were Christine Y. Yan, Gilles Delfassy, Paul A. Mascarenas and Gregory Waters, none of whom have ever been an officer or employee of the Company or its subsidiaries. During the 2022 fiscal year, none of the members of the HCC Committee had any relationship requiring disclosure under Item 404 of Regulation S-K. During the 2022 fiscal year, none of our executive officers served on the board of directors or compensation committee of any other entity that had one or more of its executive officers serving on our Board or HCC Committee. None of our current or past executive officers has served on the HCC Committee.</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Compensation Committee Report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HCC Committee has reviewed and discussed the CD&amp;A with management. Based on such review and discussion, the HCC Committee recommended to the Board that the CD&amp;A be included in the Form 10-K and this proxy statement. This report is submitted by the HCC Committee.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Christine Y. Yan, Chair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Gilles Delfassy</w:t>
      </w:r>
    </w:p>
    <w:p>
      <w:pPr>
        <w:ind w:left="340"/>
        <w:spacing w:after="0" w:line="234" w:lineRule="auto"/>
        <w:rPr>
          <w:sz w:val="20"/>
          <w:szCs w:val="20"/>
          <w:color w:val="auto"/>
        </w:rPr>
      </w:pPr>
      <w:r>
        <w:rPr>
          <w:rFonts w:ascii="Arial" w:cs="Arial" w:eastAsia="Arial" w:hAnsi="Arial"/>
          <w:sz w:val="18"/>
          <w:szCs w:val="18"/>
          <w:color w:val="auto"/>
        </w:rPr>
        <w:t>Paul A. Mascarenas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Gregory Waters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set forth information concerning compensation earned by or paid to our NEOs for services provided to us or our subsidiaries for the periods indicated.</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shd w:val="clear" w:color="auto" w:fill="465E66"/>
          </w:tcPr>
          <w:p>
            <w:pPr>
              <w:spacing w:after="0"/>
              <w:rPr>
                <w:sz w:val="14"/>
                <w:szCs w:val="14"/>
                <w:color w:val="auto"/>
              </w:rPr>
            </w:pPr>
          </w:p>
        </w:tc>
        <w:tc>
          <w:tcPr>
            <w:tcW w:w="860" w:type="dxa"/>
            <w:vAlign w:val="bottom"/>
            <w:shd w:val="clear" w:color="auto" w:fill="465E66"/>
          </w:tcPr>
          <w:p>
            <w:pPr>
              <w:spacing w:after="0"/>
              <w:rPr>
                <w:sz w:val="14"/>
                <w:szCs w:val="14"/>
                <w:color w:val="auto"/>
              </w:rPr>
            </w:pPr>
          </w:p>
        </w:tc>
        <w:tc>
          <w:tcPr>
            <w:tcW w:w="1260" w:type="dxa"/>
            <w:vAlign w:val="bottom"/>
            <w:vMerge w:val="restart"/>
            <w:shd w:val="clear" w:color="auto" w:fill="465E66"/>
          </w:tcPr>
          <w:p>
            <w:pPr>
              <w:ind w:left="420"/>
              <w:spacing w:after="0"/>
              <w:rPr>
                <w:sz w:val="20"/>
                <w:szCs w:val="20"/>
                <w:color w:val="auto"/>
              </w:rPr>
            </w:pPr>
            <w:r>
              <w:rPr>
                <w:rFonts w:ascii="Arial" w:cs="Arial" w:eastAsia="Arial" w:hAnsi="Arial"/>
                <w:sz w:val="14"/>
                <w:szCs w:val="14"/>
                <w:b w:val="1"/>
                <w:bCs w:val="1"/>
                <w:color w:val="FFFFFF"/>
              </w:rPr>
              <w:t>Salary</w:t>
            </w:r>
          </w:p>
        </w:tc>
        <w:tc>
          <w:tcPr>
            <w:tcW w:w="960" w:type="dxa"/>
            <w:vAlign w:val="bottom"/>
            <w:vMerge w:val="restart"/>
            <w:shd w:val="clear" w:color="auto" w:fill="465E66"/>
          </w:tcPr>
          <w:p>
            <w:pPr>
              <w:ind w:left="320"/>
              <w:spacing w:after="0"/>
              <w:rPr>
                <w:sz w:val="20"/>
                <w:szCs w:val="20"/>
                <w:color w:val="auto"/>
              </w:rPr>
            </w:pPr>
            <w:r>
              <w:rPr>
                <w:rFonts w:ascii="Arial" w:cs="Arial" w:eastAsia="Arial" w:hAnsi="Arial"/>
                <w:sz w:val="14"/>
                <w:szCs w:val="14"/>
                <w:b w:val="1"/>
                <w:bCs w:val="1"/>
                <w:color w:val="FFFFFF"/>
              </w:rPr>
              <w:t>Bonus</w:t>
            </w:r>
          </w:p>
        </w:tc>
        <w:tc>
          <w:tcPr>
            <w:tcW w:w="1360" w:type="dxa"/>
            <w:vAlign w:val="bottom"/>
            <w:vMerge w:val="restart"/>
            <w:shd w:val="clear" w:color="auto" w:fill="465E66"/>
          </w:tcPr>
          <w:p>
            <w:pPr>
              <w:ind w:left="160"/>
              <w:spacing w:after="0"/>
              <w:rPr>
                <w:sz w:val="20"/>
                <w:szCs w:val="20"/>
                <w:color w:val="auto"/>
              </w:rPr>
            </w:pPr>
            <w:r>
              <w:rPr>
                <w:rFonts w:ascii="Arial" w:cs="Arial" w:eastAsia="Arial" w:hAnsi="Arial"/>
                <w:sz w:val="14"/>
                <w:szCs w:val="14"/>
                <w:b w:val="1"/>
                <w:bCs w:val="1"/>
                <w:color w:val="FFFFFF"/>
              </w:rPr>
              <w:t>Stock Awards (1)</w:t>
            </w: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Non-Equity Incentive</w:t>
            </w:r>
          </w:p>
        </w:tc>
        <w:tc>
          <w:tcPr>
            <w:tcW w:w="1460" w:type="dxa"/>
            <w:vAlign w:val="bottom"/>
            <w:shd w:val="clear" w:color="auto" w:fill="465E66"/>
          </w:tcPr>
          <w:p>
            <w:pPr>
              <w:jc w:val="center"/>
              <w:ind w:right="28"/>
              <w:spacing w:after="0"/>
              <w:rPr>
                <w:sz w:val="20"/>
                <w:szCs w:val="20"/>
                <w:color w:val="auto"/>
              </w:rPr>
            </w:pPr>
            <w:r>
              <w:rPr>
                <w:rFonts w:ascii="Arial" w:cs="Arial" w:eastAsia="Arial" w:hAnsi="Arial"/>
                <w:sz w:val="14"/>
                <w:szCs w:val="14"/>
                <w:b w:val="1"/>
                <w:bCs w:val="1"/>
                <w:color w:val="FFFFFF"/>
              </w:rPr>
              <w:t>All Other</w:t>
            </w:r>
          </w:p>
        </w:tc>
        <w:tc>
          <w:tcPr>
            <w:tcW w:w="1180" w:type="dxa"/>
            <w:vAlign w:val="bottom"/>
            <w:vMerge w:val="restart"/>
            <w:shd w:val="clear" w:color="auto" w:fill="465E66"/>
          </w:tcPr>
          <w:p>
            <w:pPr>
              <w:ind w:left="38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24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 and Principal Position</w:t>
            </w:r>
          </w:p>
        </w:tc>
        <w:tc>
          <w:tcPr>
            <w:tcW w:w="860" w:type="dxa"/>
            <w:vAlign w:val="bottom"/>
            <w:vMerge w:val="restart"/>
            <w:shd w:val="clear" w:color="auto" w:fill="465E66"/>
          </w:tcPr>
          <w:p>
            <w:pPr>
              <w:ind w:left="280"/>
              <w:spacing w:after="0"/>
              <w:rPr>
                <w:sz w:val="20"/>
                <w:szCs w:val="20"/>
                <w:color w:val="auto"/>
              </w:rPr>
            </w:pPr>
            <w:r>
              <w:rPr>
                <w:rFonts w:ascii="Arial" w:cs="Arial" w:eastAsia="Arial" w:hAnsi="Arial"/>
                <w:sz w:val="14"/>
                <w:szCs w:val="14"/>
                <w:b w:val="1"/>
                <w:bCs w:val="1"/>
                <w:color w:val="FFFFFF"/>
              </w:rPr>
              <w:t>Year</w:t>
            </w:r>
          </w:p>
        </w:tc>
        <w:tc>
          <w:tcPr>
            <w:tcW w:w="1260" w:type="dxa"/>
            <w:vAlign w:val="bottom"/>
            <w:vMerge w:val="continue"/>
            <w:shd w:val="clear" w:color="auto" w:fill="465E66"/>
          </w:tcPr>
          <w:p>
            <w:pPr>
              <w:spacing w:after="0"/>
              <w:rPr>
                <w:sz w:val="12"/>
                <w:szCs w:val="12"/>
                <w:color w:val="auto"/>
              </w:rPr>
            </w:pPr>
          </w:p>
        </w:tc>
        <w:tc>
          <w:tcPr>
            <w:tcW w:w="960" w:type="dxa"/>
            <w:vAlign w:val="bottom"/>
            <w:vMerge w:val="continue"/>
            <w:shd w:val="clear" w:color="auto" w:fill="465E66"/>
          </w:tcPr>
          <w:p>
            <w:pPr>
              <w:spacing w:after="0"/>
              <w:rPr>
                <w:sz w:val="12"/>
                <w:szCs w:val="12"/>
                <w:color w:val="auto"/>
              </w:rPr>
            </w:pPr>
          </w:p>
        </w:tc>
        <w:tc>
          <w:tcPr>
            <w:tcW w:w="1360" w:type="dxa"/>
            <w:vAlign w:val="bottom"/>
            <w:vMerge w:val="continue"/>
            <w:shd w:val="clear" w:color="auto" w:fill="465E66"/>
          </w:tcPr>
          <w:p>
            <w:pPr>
              <w:spacing w:after="0"/>
              <w:rPr>
                <w:sz w:val="12"/>
                <w:szCs w:val="12"/>
                <w:color w:val="auto"/>
              </w:rPr>
            </w:pPr>
          </w:p>
        </w:tc>
        <w:tc>
          <w:tcPr>
            <w:tcW w:w="16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Plan Compensation (2)</w:t>
            </w:r>
          </w:p>
        </w:tc>
        <w:tc>
          <w:tcPr>
            <w:tcW w:w="1460" w:type="dxa"/>
            <w:vAlign w:val="bottom"/>
            <w:shd w:val="clear" w:color="auto" w:fill="465E66"/>
          </w:tcPr>
          <w:p>
            <w:pPr>
              <w:jc w:val="center"/>
              <w:ind w:right="48"/>
              <w:spacing w:after="0" w:line="149" w:lineRule="exact"/>
              <w:rPr>
                <w:sz w:val="20"/>
                <w:szCs w:val="20"/>
                <w:color w:val="auto"/>
              </w:rPr>
            </w:pPr>
            <w:r>
              <w:rPr>
                <w:rFonts w:ascii="Arial" w:cs="Arial" w:eastAsia="Arial" w:hAnsi="Arial"/>
                <w:sz w:val="14"/>
                <w:szCs w:val="14"/>
                <w:b w:val="1"/>
                <w:bCs w:val="1"/>
                <w:color w:val="FFFFFF"/>
              </w:rPr>
              <w:t>Compensation (3)</w:t>
            </w:r>
          </w:p>
        </w:tc>
        <w:tc>
          <w:tcPr>
            <w:tcW w:w="118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vMerge w:val="continue"/>
            <w:shd w:val="clear" w:color="auto" w:fill="465E66"/>
          </w:tcPr>
          <w:p>
            <w:pPr>
              <w:spacing w:after="0"/>
              <w:rPr>
                <w:sz w:val="16"/>
                <w:szCs w:val="16"/>
                <w:color w:val="auto"/>
              </w:rPr>
            </w:pPr>
          </w:p>
        </w:tc>
        <w:tc>
          <w:tcPr>
            <w:tcW w:w="860" w:type="dxa"/>
            <w:vAlign w:val="bottom"/>
            <w:vMerge w:val="continue"/>
            <w:shd w:val="clear" w:color="auto" w:fill="465E66"/>
          </w:tcPr>
          <w:p>
            <w:pPr>
              <w:spacing w:after="0"/>
              <w:rPr>
                <w:sz w:val="16"/>
                <w:szCs w:val="16"/>
                <w:color w:val="auto"/>
              </w:rPr>
            </w:pPr>
          </w:p>
        </w:tc>
        <w:tc>
          <w:tcPr>
            <w:tcW w:w="12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465E66"/>
          </w:tcPr>
          <w:p>
            <w:pPr>
              <w:jc w:val="center"/>
              <w:ind w:left="6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465E66"/>
          </w:tcPr>
          <w:p>
            <w:pPr>
              <w:jc w:val="center"/>
              <w:ind w:left="68"/>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465E66"/>
          </w:tcPr>
          <w:p>
            <w:pPr>
              <w:jc w:val="center"/>
              <w:ind w:right="48"/>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465E66"/>
          </w:tcPr>
          <w:p>
            <w:pPr>
              <w:jc w:val="center"/>
              <w:ind w:right="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24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Hassane El-Khoury</w:t>
            </w: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984,615</w:t>
            </w:r>
          </w:p>
        </w:tc>
        <w:tc>
          <w:tcPr>
            <w:tcW w:w="9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12,557,026</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2,938,191</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39,870</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16,519,702</w:t>
            </w:r>
          </w:p>
        </w:tc>
        <w:tc>
          <w:tcPr>
            <w:tcW w:w="0" w:type="dxa"/>
            <w:vAlign w:val="bottom"/>
          </w:tcPr>
          <w:p>
            <w:pPr>
              <w:spacing w:after="0"/>
              <w:rPr>
                <w:sz w:val="1"/>
                <w:szCs w:val="1"/>
                <w:color w:val="auto"/>
              </w:rPr>
            </w:pPr>
          </w:p>
        </w:tc>
      </w:tr>
      <w:tr>
        <w:trPr>
          <w:trHeight w:val="112"/>
        </w:trPr>
        <w:tc>
          <w:tcPr>
            <w:tcW w:w="2460" w:type="dxa"/>
            <w:vAlign w:val="bottom"/>
            <w:shd w:val="clear" w:color="auto" w:fill="DBDBDB"/>
          </w:tcPr>
          <w:p>
            <w:pPr>
              <w:ind w:left="20"/>
              <w:spacing w:after="0" w:line="113" w:lineRule="exact"/>
              <w:rPr>
                <w:sz w:val="20"/>
                <w:szCs w:val="20"/>
                <w:color w:val="auto"/>
              </w:rPr>
            </w:pPr>
            <w:r>
              <w:rPr>
                <w:rFonts w:ascii="Arial" w:cs="Arial" w:eastAsia="Arial" w:hAnsi="Arial"/>
                <w:sz w:val="13"/>
                <w:szCs w:val="13"/>
                <w:color w:val="auto"/>
              </w:rPr>
              <w:t>President and Chief</w:t>
            </w: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950,000</w:t>
            </w:r>
          </w:p>
        </w:tc>
        <w:tc>
          <w:tcPr>
            <w:tcW w:w="960" w:type="dxa"/>
            <w:vAlign w:val="bottom"/>
            <w:vMerge w:val="restart"/>
            <w:shd w:val="clear" w:color="auto" w:fill="DBDBDB"/>
          </w:tcPr>
          <w:p>
            <w:pPr>
              <w:jc w:val="center"/>
              <w:ind w:left="48"/>
              <w:spacing w:after="0"/>
              <w:rPr>
                <w:sz w:val="20"/>
                <w:szCs w:val="20"/>
                <w:color w:val="auto"/>
              </w:rPr>
            </w:pPr>
            <w:r>
              <w:rPr>
                <w:rFonts w:ascii="Arial" w:cs="Arial" w:eastAsia="Arial" w:hAnsi="Arial"/>
                <w:sz w:val="14"/>
                <w:szCs w:val="14"/>
                <w:color w:val="auto"/>
              </w:rPr>
              <w:t>285,000</w:t>
            </w:r>
          </w:p>
        </w:tc>
        <w:tc>
          <w:tcPr>
            <w:tcW w:w="1360" w:type="dxa"/>
            <w:vAlign w:val="bottom"/>
            <w:vMerge w:val="restart"/>
            <w:shd w:val="clear" w:color="auto" w:fill="DBDBDB"/>
          </w:tcPr>
          <w:p>
            <w:pPr>
              <w:jc w:val="center"/>
              <w:ind w:left="88"/>
              <w:spacing w:after="0"/>
              <w:rPr>
                <w:sz w:val="20"/>
                <w:szCs w:val="20"/>
                <w:color w:val="auto"/>
              </w:rPr>
            </w:pPr>
            <w:r>
              <w:rPr>
                <w:rFonts w:ascii="Arial" w:cs="Arial" w:eastAsia="Arial" w:hAnsi="Arial"/>
                <w:sz w:val="14"/>
                <w:szCs w:val="14"/>
                <w:color w:val="auto"/>
              </w:rPr>
              <w:t>9,413,592</w:t>
            </w:r>
          </w:p>
        </w:tc>
        <w:tc>
          <w:tcPr>
            <w:tcW w:w="1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2,137,500</w:t>
            </w:r>
          </w:p>
        </w:tc>
        <w:tc>
          <w:tcPr>
            <w:tcW w:w="146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39,470</w:t>
            </w:r>
          </w:p>
        </w:tc>
        <w:tc>
          <w:tcPr>
            <w:tcW w:w="118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12,825,562</w:t>
            </w:r>
          </w:p>
        </w:tc>
        <w:tc>
          <w:tcPr>
            <w:tcW w:w="0" w:type="dxa"/>
            <w:vAlign w:val="bottom"/>
          </w:tcPr>
          <w:p>
            <w:pPr>
              <w:spacing w:after="0"/>
              <w:rPr>
                <w:sz w:val="1"/>
                <w:szCs w:val="1"/>
                <w:color w:val="auto"/>
              </w:rPr>
            </w:pPr>
          </w:p>
        </w:tc>
      </w:tr>
      <w:tr>
        <w:trPr>
          <w:trHeight w:val="185"/>
        </w:trPr>
        <w:tc>
          <w:tcPr>
            <w:tcW w:w="24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Executive Officer</w:t>
            </w:r>
          </w:p>
        </w:tc>
        <w:tc>
          <w:tcPr>
            <w:tcW w:w="860" w:type="dxa"/>
            <w:vAlign w:val="bottom"/>
            <w:vMerge w:val="continue"/>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360" w:type="dxa"/>
            <w:vAlign w:val="bottom"/>
            <w:vMerge w:val="continue"/>
            <w:shd w:val="clear" w:color="auto" w:fill="DBDBDB"/>
          </w:tcPr>
          <w:p>
            <w:pPr>
              <w:spacing w:after="0"/>
              <w:rPr>
                <w:sz w:val="16"/>
                <w:szCs w:val="16"/>
                <w:color w:val="auto"/>
              </w:rPr>
            </w:pPr>
          </w:p>
        </w:tc>
        <w:tc>
          <w:tcPr>
            <w:tcW w:w="1660" w:type="dxa"/>
            <w:vAlign w:val="bottom"/>
            <w:vMerge w:val="continue"/>
            <w:shd w:val="clear" w:color="auto" w:fill="DBDBDB"/>
          </w:tcPr>
          <w:p>
            <w:pPr>
              <w:spacing w:after="0"/>
              <w:rPr>
                <w:sz w:val="16"/>
                <w:szCs w:val="16"/>
                <w:color w:val="auto"/>
              </w:rPr>
            </w:pPr>
          </w:p>
        </w:tc>
        <w:tc>
          <w:tcPr>
            <w:tcW w:w="1460" w:type="dxa"/>
            <w:vAlign w:val="bottom"/>
            <w:vMerge w:val="continue"/>
            <w:shd w:val="clear" w:color="auto" w:fill="DBDBDB"/>
          </w:tcPr>
          <w:p>
            <w:pPr>
              <w:spacing w:after="0"/>
              <w:rPr>
                <w:sz w:val="16"/>
                <w:szCs w:val="16"/>
                <w:color w:val="auto"/>
              </w:rPr>
            </w:pPr>
          </w:p>
        </w:tc>
        <w:tc>
          <w:tcPr>
            <w:tcW w:w="118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DBDBDB"/>
          </w:tcPr>
          <w:p>
            <w:pPr>
              <w:spacing w:after="0"/>
              <w:rPr>
                <w:sz w:val="21"/>
                <w:szCs w:val="21"/>
                <w:color w:val="auto"/>
              </w:rPr>
            </w:pP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2020</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36,538</w:t>
            </w:r>
          </w:p>
        </w:tc>
        <w:tc>
          <w:tcPr>
            <w:tcW w:w="9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7,578,939</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251,336</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7,866,813</w:t>
            </w: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Arial" w:cs="Arial" w:eastAsia="Arial" w:hAnsi="Arial"/>
                <w:sz w:val="14"/>
                <w:szCs w:val="14"/>
                <w:i w:val="1"/>
                <w:iCs w:val="1"/>
                <w:color w:val="auto"/>
              </w:rPr>
              <w:t>Thad Trent</w:t>
            </w: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600,000</w:t>
            </w:r>
          </w:p>
        </w:tc>
        <w:tc>
          <w:tcPr>
            <w:tcW w:w="96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left="88"/>
              <w:spacing w:after="0"/>
              <w:rPr>
                <w:sz w:val="20"/>
                <w:szCs w:val="20"/>
                <w:color w:val="auto"/>
              </w:rPr>
            </w:pPr>
            <w:r>
              <w:rPr>
                <w:rFonts w:ascii="Arial" w:cs="Arial" w:eastAsia="Arial" w:hAnsi="Arial"/>
                <w:sz w:val="14"/>
                <w:szCs w:val="14"/>
                <w:color w:val="auto"/>
              </w:rPr>
              <w:t>4,667,814</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1,185,000</w:t>
            </w:r>
          </w:p>
        </w:tc>
        <w:tc>
          <w:tcPr>
            <w:tcW w:w="1460" w:type="dxa"/>
            <w:vAlign w:val="bottom"/>
            <w:vMerge w:val="restart"/>
          </w:tcPr>
          <w:p>
            <w:pPr>
              <w:jc w:val="center"/>
              <w:ind w:right="28"/>
              <w:spacing w:after="0"/>
              <w:rPr>
                <w:sz w:val="20"/>
                <w:szCs w:val="20"/>
                <w:color w:val="auto"/>
              </w:rPr>
            </w:pPr>
            <w:r>
              <w:rPr>
                <w:rFonts w:ascii="Arial" w:cs="Arial" w:eastAsia="Arial" w:hAnsi="Arial"/>
                <w:sz w:val="14"/>
                <w:szCs w:val="14"/>
                <w:color w:val="auto"/>
              </w:rPr>
              <w:t>41,567</w:t>
            </w: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6,494,381</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Arial" w:cs="Arial" w:eastAsia="Arial" w:hAnsi="Arial"/>
                <w:sz w:val="14"/>
                <w:szCs w:val="14"/>
                <w:color w:val="auto"/>
              </w:rPr>
              <w:t>Executive Vice President,</w:t>
            </w:r>
          </w:p>
        </w:tc>
        <w:tc>
          <w:tcPr>
            <w:tcW w:w="8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100"/>
              <w:spacing w:after="0" w:line="145" w:lineRule="exact"/>
              <w:rPr>
                <w:sz w:val="20"/>
                <w:szCs w:val="20"/>
                <w:color w:val="auto"/>
              </w:rPr>
            </w:pPr>
            <w:r>
              <w:rPr>
                <w:rFonts w:ascii="Arial" w:cs="Arial" w:eastAsia="Arial" w:hAnsi="Arial"/>
                <w:sz w:val="14"/>
                <w:szCs w:val="14"/>
                <w:color w:val="auto"/>
              </w:rPr>
              <w:t>Chief Financial Officer</w:t>
            </w: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505,385</w:t>
            </w:r>
          </w:p>
        </w:tc>
        <w:tc>
          <w:tcPr>
            <w:tcW w:w="960" w:type="dxa"/>
            <w:vAlign w:val="bottom"/>
            <w:vMerge w:val="restart"/>
          </w:tcPr>
          <w:p>
            <w:pPr>
              <w:jc w:val="center"/>
              <w:ind w:left="48"/>
              <w:spacing w:after="0"/>
              <w:rPr>
                <w:sz w:val="20"/>
                <w:szCs w:val="20"/>
                <w:color w:val="auto"/>
              </w:rPr>
            </w:pPr>
            <w:r>
              <w:rPr>
                <w:rFonts w:ascii="Arial" w:cs="Arial" w:eastAsia="Arial" w:hAnsi="Arial"/>
                <w:sz w:val="14"/>
                <w:szCs w:val="14"/>
                <w:color w:val="auto"/>
              </w:rPr>
              <w:t>101,077</w:t>
            </w:r>
          </w:p>
        </w:tc>
        <w:tc>
          <w:tcPr>
            <w:tcW w:w="1360" w:type="dxa"/>
            <w:vAlign w:val="bottom"/>
            <w:vMerge w:val="restart"/>
          </w:tcPr>
          <w:p>
            <w:pPr>
              <w:jc w:val="center"/>
              <w:ind w:left="88"/>
              <w:spacing w:after="0"/>
              <w:rPr>
                <w:sz w:val="20"/>
                <w:szCs w:val="20"/>
                <w:color w:val="auto"/>
              </w:rPr>
            </w:pPr>
            <w:r>
              <w:rPr>
                <w:rFonts w:ascii="Arial" w:cs="Arial" w:eastAsia="Arial" w:hAnsi="Arial"/>
                <w:sz w:val="14"/>
                <w:szCs w:val="14"/>
                <w:color w:val="auto"/>
              </w:rPr>
              <w:t>9,030,390</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758,077</w:t>
            </w:r>
          </w:p>
        </w:tc>
        <w:tc>
          <w:tcPr>
            <w:tcW w:w="1460" w:type="dxa"/>
            <w:vAlign w:val="bottom"/>
            <w:vMerge w:val="restart"/>
          </w:tcPr>
          <w:p>
            <w:pPr>
              <w:jc w:val="center"/>
              <w:ind w:right="28"/>
              <w:spacing w:after="0"/>
              <w:rPr>
                <w:sz w:val="20"/>
                <w:szCs w:val="20"/>
                <w:color w:val="auto"/>
              </w:rPr>
            </w:pPr>
            <w:r>
              <w:rPr>
                <w:rFonts w:ascii="Arial" w:cs="Arial" w:eastAsia="Arial" w:hAnsi="Arial"/>
                <w:sz w:val="14"/>
                <w:szCs w:val="14"/>
                <w:color w:val="auto"/>
              </w:rPr>
              <w:t>236,588</w:t>
            </w: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10,631,517</w:t>
            </w:r>
          </w:p>
        </w:tc>
        <w:tc>
          <w:tcPr>
            <w:tcW w:w="0" w:type="dxa"/>
            <w:vAlign w:val="bottom"/>
          </w:tcPr>
          <w:p>
            <w:pPr>
              <w:spacing w:after="0"/>
              <w:rPr>
                <w:sz w:val="1"/>
                <w:szCs w:val="1"/>
                <w:color w:val="auto"/>
              </w:rPr>
            </w:pPr>
          </w:p>
        </w:tc>
      </w:tr>
      <w:tr>
        <w:trPr>
          <w:trHeight w:val="113"/>
        </w:trPr>
        <w:tc>
          <w:tcPr>
            <w:tcW w:w="2460" w:type="dxa"/>
            <w:vAlign w:val="bottom"/>
            <w:vMerge w:val="restart"/>
          </w:tcPr>
          <w:p>
            <w:pPr>
              <w:ind w:left="100"/>
              <w:spacing w:after="0"/>
              <w:rPr>
                <w:sz w:val="20"/>
                <w:szCs w:val="20"/>
                <w:color w:val="auto"/>
              </w:rPr>
            </w:pPr>
            <w:r>
              <w:rPr>
                <w:rFonts w:ascii="Arial" w:cs="Arial" w:eastAsia="Arial" w:hAnsi="Arial"/>
                <w:sz w:val="14"/>
                <w:szCs w:val="14"/>
                <w:color w:val="auto"/>
              </w:rPr>
              <w:t>and Treasurer</w:t>
            </w:r>
          </w:p>
        </w:tc>
        <w:tc>
          <w:tcPr>
            <w:tcW w:w="8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4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46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i w:val="1"/>
                <w:iCs w:val="1"/>
                <w:color w:val="auto"/>
              </w:rPr>
              <w:t>Simon Keeton</w:t>
            </w:r>
          </w:p>
        </w:tc>
        <w:tc>
          <w:tcPr>
            <w:tcW w:w="86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166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c>
          <w:tcPr>
            <w:tcW w:w="1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60" w:type="dxa"/>
            <w:vAlign w:val="bottom"/>
            <w:shd w:val="clear" w:color="auto" w:fill="DBDBDB"/>
          </w:tcPr>
          <w:p>
            <w:pPr>
              <w:ind w:left="20"/>
              <w:spacing w:after="0"/>
              <w:rPr>
                <w:sz w:val="20"/>
                <w:szCs w:val="20"/>
                <w:color w:val="auto"/>
              </w:rPr>
            </w:pPr>
            <w:r>
              <w:rPr>
                <w:rFonts w:ascii="Arial" w:cs="Arial" w:eastAsia="Arial" w:hAnsi="Arial"/>
                <w:sz w:val="14"/>
                <w:szCs w:val="14"/>
                <w:color w:val="auto"/>
              </w:rPr>
              <w:t>Executive Vice President</w:t>
            </w: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517,307</w:t>
            </w:r>
          </w:p>
        </w:tc>
        <w:tc>
          <w:tcPr>
            <w:tcW w:w="9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2,471,243</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842,487</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34,761</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3,865,798</w:t>
            </w:r>
          </w:p>
        </w:tc>
        <w:tc>
          <w:tcPr>
            <w:tcW w:w="0" w:type="dxa"/>
            <w:vAlign w:val="bottom"/>
          </w:tcPr>
          <w:p>
            <w:pPr>
              <w:spacing w:after="0"/>
              <w:rPr>
                <w:sz w:val="1"/>
                <w:szCs w:val="1"/>
                <w:color w:val="auto"/>
              </w:rPr>
            </w:pPr>
          </w:p>
        </w:tc>
      </w:tr>
      <w:tr>
        <w:trPr>
          <w:trHeight w:val="108"/>
        </w:trPr>
        <w:tc>
          <w:tcPr>
            <w:tcW w:w="2460" w:type="dxa"/>
            <w:vAlign w:val="bottom"/>
            <w:shd w:val="clear" w:color="auto" w:fill="DBDBDB"/>
          </w:tcPr>
          <w:p>
            <w:pPr>
              <w:ind w:left="100"/>
              <w:spacing w:after="0" w:line="108" w:lineRule="exact"/>
              <w:rPr>
                <w:sz w:val="20"/>
                <w:szCs w:val="20"/>
                <w:color w:val="auto"/>
              </w:rPr>
            </w:pPr>
            <w:r>
              <w:rPr>
                <w:rFonts w:ascii="Arial" w:cs="Arial" w:eastAsia="Arial" w:hAnsi="Arial"/>
                <w:sz w:val="12"/>
                <w:szCs w:val="12"/>
                <w:color w:val="auto"/>
              </w:rPr>
              <w:t>and General Manager,</w:t>
            </w: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473,462</w:t>
            </w:r>
          </w:p>
        </w:tc>
        <w:tc>
          <w:tcPr>
            <w:tcW w:w="960" w:type="dxa"/>
            <w:vAlign w:val="bottom"/>
            <w:vMerge w:val="restart"/>
            <w:shd w:val="clear" w:color="auto" w:fill="DBDBDB"/>
          </w:tcPr>
          <w:p>
            <w:pPr>
              <w:jc w:val="center"/>
              <w:ind w:left="48"/>
              <w:spacing w:after="0"/>
              <w:rPr>
                <w:sz w:val="20"/>
                <w:szCs w:val="20"/>
                <w:color w:val="auto"/>
              </w:rPr>
            </w:pPr>
            <w:r>
              <w:rPr>
                <w:rFonts w:ascii="Arial" w:cs="Arial" w:eastAsia="Arial" w:hAnsi="Arial"/>
                <w:sz w:val="14"/>
                <w:szCs w:val="14"/>
                <w:color w:val="auto"/>
              </w:rPr>
              <w:t>80,488</w:t>
            </w:r>
          </w:p>
        </w:tc>
        <w:tc>
          <w:tcPr>
            <w:tcW w:w="1360" w:type="dxa"/>
            <w:vAlign w:val="bottom"/>
            <w:vMerge w:val="restart"/>
            <w:shd w:val="clear" w:color="auto" w:fill="DBDBDB"/>
          </w:tcPr>
          <w:p>
            <w:pPr>
              <w:jc w:val="center"/>
              <w:ind w:left="88"/>
              <w:spacing w:after="0"/>
              <w:rPr>
                <w:sz w:val="20"/>
                <w:szCs w:val="20"/>
                <w:color w:val="auto"/>
              </w:rPr>
            </w:pPr>
            <w:r>
              <w:rPr>
                <w:rFonts w:ascii="Arial" w:cs="Arial" w:eastAsia="Arial" w:hAnsi="Arial"/>
                <w:sz w:val="14"/>
                <w:szCs w:val="14"/>
                <w:color w:val="auto"/>
              </w:rPr>
              <w:t>2,675,491</w:t>
            </w:r>
          </w:p>
        </w:tc>
        <w:tc>
          <w:tcPr>
            <w:tcW w:w="1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603,664</w:t>
            </w:r>
          </w:p>
        </w:tc>
        <w:tc>
          <w:tcPr>
            <w:tcW w:w="146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33,172</w:t>
            </w:r>
          </w:p>
        </w:tc>
        <w:tc>
          <w:tcPr>
            <w:tcW w:w="118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3,866,277</w:t>
            </w:r>
          </w:p>
        </w:tc>
        <w:tc>
          <w:tcPr>
            <w:tcW w:w="0" w:type="dxa"/>
            <w:vAlign w:val="bottom"/>
          </w:tcPr>
          <w:p>
            <w:pPr>
              <w:spacing w:after="0"/>
              <w:rPr>
                <w:sz w:val="1"/>
                <w:szCs w:val="1"/>
                <w:color w:val="auto"/>
              </w:rPr>
            </w:pPr>
          </w:p>
        </w:tc>
      </w:tr>
      <w:tr>
        <w:trPr>
          <w:trHeight w:val="189"/>
        </w:trPr>
        <w:tc>
          <w:tcPr>
            <w:tcW w:w="24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Power Solutions Group</w:t>
            </w:r>
          </w:p>
        </w:tc>
        <w:tc>
          <w:tcPr>
            <w:tcW w:w="860" w:type="dxa"/>
            <w:vAlign w:val="bottom"/>
            <w:vMerge w:val="continue"/>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360" w:type="dxa"/>
            <w:vAlign w:val="bottom"/>
            <w:vMerge w:val="continue"/>
            <w:shd w:val="clear" w:color="auto" w:fill="DBDBDB"/>
          </w:tcPr>
          <w:p>
            <w:pPr>
              <w:spacing w:after="0"/>
              <w:rPr>
                <w:sz w:val="16"/>
                <w:szCs w:val="16"/>
                <w:color w:val="auto"/>
              </w:rPr>
            </w:pPr>
          </w:p>
        </w:tc>
        <w:tc>
          <w:tcPr>
            <w:tcW w:w="1660" w:type="dxa"/>
            <w:vAlign w:val="bottom"/>
            <w:vMerge w:val="continue"/>
            <w:shd w:val="clear" w:color="auto" w:fill="DBDBDB"/>
          </w:tcPr>
          <w:p>
            <w:pPr>
              <w:spacing w:after="0"/>
              <w:rPr>
                <w:sz w:val="16"/>
                <w:szCs w:val="16"/>
                <w:color w:val="auto"/>
              </w:rPr>
            </w:pPr>
          </w:p>
        </w:tc>
        <w:tc>
          <w:tcPr>
            <w:tcW w:w="1460" w:type="dxa"/>
            <w:vAlign w:val="bottom"/>
            <w:vMerge w:val="continue"/>
            <w:shd w:val="clear" w:color="auto" w:fill="DBDBDB"/>
          </w:tcPr>
          <w:p>
            <w:pPr>
              <w:spacing w:after="0"/>
              <w:rPr>
                <w:sz w:val="16"/>
                <w:szCs w:val="16"/>
                <w:color w:val="auto"/>
              </w:rPr>
            </w:pPr>
          </w:p>
        </w:tc>
        <w:tc>
          <w:tcPr>
            <w:tcW w:w="118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DBDBDB"/>
          </w:tcPr>
          <w:p>
            <w:pPr>
              <w:spacing w:after="0"/>
              <w:rPr>
                <w:sz w:val="21"/>
                <w:szCs w:val="21"/>
                <w:color w:val="auto"/>
              </w:rPr>
            </w:pP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2020</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389,782</w:t>
            </w:r>
          </w:p>
        </w:tc>
        <w:tc>
          <w:tcPr>
            <w:tcW w:w="9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1,624,429</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32,828</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2,047,039</w:t>
            </w: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Arial" w:cs="Arial" w:eastAsia="Arial" w:hAnsi="Arial"/>
                <w:sz w:val="14"/>
                <w:szCs w:val="14"/>
                <w:i w:val="1"/>
                <w:iCs w:val="1"/>
                <w:color w:val="auto"/>
              </w:rPr>
              <w:t>Ross F. Jatou</w:t>
            </w: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450,000</w:t>
            </w:r>
          </w:p>
        </w:tc>
        <w:tc>
          <w:tcPr>
            <w:tcW w:w="96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left="88"/>
              <w:spacing w:after="0"/>
              <w:rPr>
                <w:sz w:val="20"/>
                <w:szCs w:val="20"/>
                <w:color w:val="auto"/>
              </w:rPr>
            </w:pPr>
            <w:r>
              <w:rPr>
                <w:rFonts w:ascii="Arial" w:cs="Arial" w:eastAsia="Arial" w:hAnsi="Arial"/>
                <w:sz w:val="14"/>
                <w:szCs w:val="14"/>
                <w:color w:val="auto"/>
              </w:rPr>
              <w:t>1,537,690</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723,155</w:t>
            </w:r>
          </w:p>
        </w:tc>
        <w:tc>
          <w:tcPr>
            <w:tcW w:w="1460" w:type="dxa"/>
            <w:vAlign w:val="bottom"/>
            <w:vMerge w:val="restart"/>
          </w:tcPr>
          <w:p>
            <w:pPr>
              <w:jc w:val="center"/>
              <w:ind w:right="28"/>
              <w:spacing w:after="0"/>
              <w:rPr>
                <w:sz w:val="20"/>
                <w:szCs w:val="20"/>
                <w:color w:val="auto"/>
              </w:rPr>
            </w:pPr>
            <w:r>
              <w:rPr>
                <w:rFonts w:ascii="Arial" w:cs="Arial" w:eastAsia="Arial" w:hAnsi="Arial"/>
                <w:sz w:val="14"/>
                <w:szCs w:val="14"/>
                <w:color w:val="auto"/>
              </w:rPr>
              <w:t>31,622</w:t>
            </w: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2,742,467</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Arial" w:cs="Arial" w:eastAsia="Arial" w:hAnsi="Arial"/>
                <w:sz w:val="14"/>
                <w:szCs w:val="14"/>
                <w:color w:val="auto"/>
              </w:rPr>
              <w:t>Senior Vice President</w:t>
            </w:r>
          </w:p>
        </w:tc>
        <w:tc>
          <w:tcPr>
            <w:tcW w:w="8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100"/>
              <w:spacing w:after="0" w:line="145" w:lineRule="exact"/>
              <w:rPr>
                <w:sz w:val="20"/>
                <w:szCs w:val="20"/>
                <w:color w:val="auto"/>
              </w:rPr>
            </w:pPr>
            <w:r>
              <w:rPr>
                <w:rFonts w:ascii="Arial" w:cs="Arial" w:eastAsia="Arial" w:hAnsi="Arial"/>
                <w:sz w:val="14"/>
                <w:szCs w:val="14"/>
                <w:color w:val="auto"/>
              </w:rPr>
              <w:t>and General Manager,</w:t>
            </w: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450,000</w:t>
            </w:r>
          </w:p>
        </w:tc>
        <w:tc>
          <w:tcPr>
            <w:tcW w:w="960" w:type="dxa"/>
            <w:vAlign w:val="bottom"/>
            <w:vMerge w:val="restart"/>
          </w:tcPr>
          <w:p>
            <w:pPr>
              <w:jc w:val="center"/>
              <w:ind w:left="48"/>
              <w:spacing w:after="0"/>
              <w:rPr>
                <w:sz w:val="20"/>
                <w:szCs w:val="20"/>
                <w:color w:val="auto"/>
              </w:rPr>
            </w:pPr>
            <w:r>
              <w:rPr>
                <w:rFonts w:ascii="Arial" w:cs="Arial" w:eastAsia="Arial" w:hAnsi="Arial"/>
                <w:sz w:val="14"/>
                <w:szCs w:val="14"/>
                <w:color w:val="auto"/>
              </w:rPr>
              <w:t>76,500</w:t>
            </w:r>
          </w:p>
        </w:tc>
        <w:tc>
          <w:tcPr>
            <w:tcW w:w="1360" w:type="dxa"/>
            <w:vAlign w:val="bottom"/>
            <w:vMerge w:val="restart"/>
          </w:tcPr>
          <w:p>
            <w:pPr>
              <w:jc w:val="center"/>
              <w:ind w:left="88"/>
              <w:spacing w:after="0"/>
              <w:rPr>
                <w:sz w:val="20"/>
                <w:szCs w:val="20"/>
                <w:color w:val="auto"/>
              </w:rPr>
            </w:pPr>
            <w:r>
              <w:rPr>
                <w:rFonts w:ascii="Arial" w:cs="Arial" w:eastAsia="Arial" w:hAnsi="Arial"/>
                <w:sz w:val="14"/>
                <w:szCs w:val="14"/>
                <w:color w:val="auto"/>
              </w:rPr>
              <w:t>1,645,882</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563,805</w:t>
            </w:r>
          </w:p>
        </w:tc>
        <w:tc>
          <w:tcPr>
            <w:tcW w:w="1460" w:type="dxa"/>
            <w:vAlign w:val="bottom"/>
            <w:vMerge w:val="restart"/>
          </w:tcPr>
          <w:p>
            <w:pPr>
              <w:jc w:val="center"/>
              <w:ind w:right="28"/>
              <w:spacing w:after="0"/>
              <w:rPr>
                <w:sz w:val="20"/>
                <w:szCs w:val="20"/>
                <w:color w:val="auto"/>
              </w:rPr>
            </w:pPr>
            <w:r>
              <w:rPr>
                <w:rFonts w:ascii="Arial" w:cs="Arial" w:eastAsia="Arial" w:hAnsi="Arial"/>
                <w:sz w:val="14"/>
                <w:szCs w:val="14"/>
                <w:color w:val="auto"/>
              </w:rPr>
              <w:t>33,522</w:t>
            </w: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2,769,709</w:t>
            </w:r>
          </w:p>
        </w:tc>
        <w:tc>
          <w:tcPr>
            <w:tcW w:w="0" w:type="dxa"/>
            <w:vAlign w:val="bottom"/>
          </w:tcPr>
          <w:p>
            <w:pPr>
              <w:spacing w:after="0"/>
              <w:rPr>
                <w:sz w:val="1"/>
                <w:szCs w:val="1"/>
                <w:color w:val="auto"/>
              </w:rPr>
            </w:pPr>
          </w:p>
        </w:tc>
      </w:tr>
      <w:tr>
        <w:trPr>
          <w:trHeight w:val="113"/>
        </w:trPr>
        <w:tc>
          <w:tcPr>
            <w:tcW w:w="2460" w:type="dxa"/>
            <w:vAlign w:val="bottom"/>
            <w:vMerge w:val="restart"/>
          </w:tcPr>
          <w:p>
            <w:pPr>
              <w:ind w:left="100"/>
              <w:spacing w:after="0"/>
              <w:rPr>
                <w:sz w:val="20"/>
                <w:szCs w:val="20"/>
                <w:color w:val="auto"/>
              </w:rPr>
            </w:pPr>
            <w:r>
              <w:rPr>
                <w:rFonts w:ascii="Arial" w:cs="Arial" w:eastAsia="Arial" w:hAnsi="Arial"/>
                <w:sz w:val="14"/>
                <w:szCs w:val="14"/>
                <w:color w:val="auto"/>
              </w:rPr>
              <w:t>Intelligent Sensing Group</w:t>
            </w:r>
          </w:p>
        </w:tc>
        <w:tc>
          <w:tcPr>
            <w:tcW w:w="8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4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xml:space="preserve">Robert Tong </w:t>
            </w:r>
            <w:r>
              <w:rPr>
                <w:rFonts w:ascii="Arial" w:cs="Arial" w:eastAsia="Arial" w:hAnsi="Arial"/>
                <w:sz w:val="14"/>
                <w:szCs w:val="14"/>
                <w:color w:val="auto"/>
              </w:rPr>
              <w:t>(4)</w:t>
            </w: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424,808</w:t>
            </w:r>
          </w:p>
        </w:tc>
        <w:tc>
          <w:tcPr>
            <w:tcW w:w="9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1,619,331</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564,668</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27,144</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2,635,951</w:t>
            </w:r>
          </w:p>
        </w:tc>
        <w:tc>
          <w:tcPr>
            <w:tcW w:w="0" w:type="dxa"/>
            <w:vAlign w:val="bottom"/>
          </w:tcPr>
          <w:p>
            <w:pPr>
              <w:spacing w:after="0"/>
              <w:rPr>
                <w:sz w:val="1"/>
                <w:szCs w:val="1"/>
                <w:color w:val="auto"/>
              </w:rPr>
            </w:pPr>
          </w:p>
        </w:tc>
      </w:tr>
      <w:tr>
        <w:trPr>
          <w:trHeight w:val="112"/>
        </w:trPr>
        <w:tc>
          <w:tcPr>
            <w:tcW w:w="2460" w:type="dxa"/>
            <w:vAlign w:val="bottom"/>
            <w:shd w:val="clear" w:color="auto" w:fill="DBDBDB"/>
          </w:tcPr>
          <w:p>
            <w:pPr>
              <w:ind w:left="20"/>
              <w:spacing w:after="0" w:line="113" w:lineRule="exact"/>
              <w:rPr>
                <w:sz w:val="20"/>
                <w:szCs w:val="20"/>
                <w:color w:val="auto"/>
              </w:rPr>
            </w:pPr>
            <w:r>
              <w:rPr>
                <w:rFonts w:ascii="Arial" w:cs="Arial" w:eastAsia="Arial" w:hAnsi="Arial"/>
                <w:sz w:val="13"/>
                <w:szCs w:val="13"/>
                <w:color w:val="auto"/>
              </w:rPr>
              <w:t>Senior Vice President</w:t>
            </w:r>
          </w:p>
        </w:tc>
        <w:tc>
          <w:tcPr>
            <w:tcW w:w="86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960" w:type="dxa"/>
            <w:vAlign w:val="bottom"/>
            <w:shd w:val="clear" w:color="auto" w:fill="DBDBDB"/>
          </w:tcPr>
          <w:p>
            <w:pPr>
              <w:spacing w:after="0"/>
              <w:rPr>
                <w:sz w:val="9"/>
                <w:szCs w:val="9"/>
                <w:color w:val="auto"/>
              </w:rPr>
            </w:pPr>
          </w:p>
        </w:tc>
        <w:tc>
          <w:tcPr>
            <w:tcW w:w="1360" w:type="dxa"/>
            <w:vAlign w:val="bottom"/>
            <w:shd w:val="clear" w:color="auto" w:fill="DBDBDB"/>
          </w:tcPr>
          <w:p>
            <w:pPr>
              <w:spacing w:after="0"/>
              <w:rPr>
                <w:sz w:val="9"/>
                <w:szCs w:val="9"/>
                <w:color w:val="auto"/>
              </w:rPr>
            </w:pPr>
          </w:p>
        </w:tc>
        <w:tc>
          <w:tcPr>
            <w:tcW w:w="1660" w:type="dxa"/>
            <w:vAlign w:val="bottom"/>
            <w:shd w:val="clear" w:color="auto" w:fill="DBDBDB"/>
          </w:tcPr>
          <w:p>
            <w:pPr>
              <w:spacing w:after="0"/>
              <w:rPr>
                <w:sz w:val="9"/>
                <w:szCs w:val="9"/>
                <w:color w:val="auto"/>
              </w:rPr>
            </w:pPr>
          </w:p>
        </w:tc>
        <w:tc>
          <w:tcPr>
            <w:tcW w:w="1460" w:type="dxa"/>
            <w:vAlign w:val="bottom"/>
            <w:shd w:val="clear" w:color="auto" w:fill="DBDBDB"/>
          </w:tcPr>
          <w:p>
            <w:pPr>
              <w:spacing w:after="0"/>
              <w:rPr>
                <w:sz w:val="9"/>
                <w:szCs w:val="9"/>
                <w:color w:val="auto"/>
              </w:rPr>
            </w:pPr>
          </w:p>
        </w:tc>
        <w:tc>
          <w:tcPr>
            <w:tcW w:w="118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DBDBDB"/>
          </w:tcPr>
          <w:p>
            <w:pPr>
              <w:ind w:left="100"/>
              <w:spacing w:after="0" w:line="145" w:lineRule="exact"/>
              <w:rPr>
                <w:sz w:val="20"/>
                <w:szCs w:val="20"/>
                <w:color w:val="auto"/>
              </w:rPr>
            </w:pPr>
            <w:r>
              <w:rPr>
                <w:rFonts w:ascii="Arial" w:cs="Arial" w:eastAsia="Arial" w:hAnsi="Arial"/>
                <w:sz w:val="14"/>
                <w:szCs w:val="14"/>
                <w:color w:val="auto"/>
              </w:rPr>
              <w:t>and General Manager,</w:t>
            </w:r>
          </w:p>
        </w:tc>
        <w:tc>
          <w:tcPr>
            <w:tcW w:w="86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1360" w:type="dxa"/>
            <w:vAlign w:val="bottom"/>
            <w:shd w:val="clear" w:color="auto" w:fill="DBDBDB"/>
          </w:tcPr>
          <w:p>
            <w:pPr>
              <w:spacing w:after="0"/>
              <w:rPr>
                <w:sz w:val="12"/>
                <w:szCs w:val="12"/>
                <w:color w:val="auto"/>
              </w:rPr>
            </w:pPr>
          </w:p>
        </w:tc>
        <w:tc>
          <w:tcPr>
            <w:tcW w:w="166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1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Advanced Solutions Group</w:t>
            </w:r>
          </w:p>
        </w:tc>
        <w:tc>
          <w:tcPr>
            <w:tcW w:w="86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166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6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660" w:type="dxa"/>
            <w:vAlign w:val="bottom"/>
            <w:shd w:val="clear" w:color="auto" w:fill="DBDBDB"/>
          </w:tcPr>
          <w:p>
            <w:pPr>
              <w:spacing w:after="0"/>
              <w:rPr>
                <w:sz w:val="21"/>
                <w:szCs w:val="21"/>
                <w:color w:val="auto"/>
              </w:rPr>
            </w:pPr>
          </w:p>
        </w:tc>
        <w:tc>
          <w:tcPr>
            <w:tcW w:w="146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 xml:space="preserve">Vincent C. Hopkin </w:t>
            </w:r>
            <w:r>
              <w:rPr>
                <w:rFonts w:ascii="Arial" w:cs="Arial" w:eastAsia="Arial" w:hAnsi="Arial"/>
                <w:sz w:val="14"/>
                <w:szCs w:val="14"/>
                <w:color w:val="auto"/>
              </w:rPr>
              <w:t>(5)</w:t>
            </w:r>
            <w:r>
              <w:rPr>
                <w:rFonts w:ascii="Arial" w:cs="Arial" w:eastAsia="Arial" w:hAnsi="Arial"/>
                <w:sz w:val="14"/>
                <w:szCs w:val="14"/>
                <w:i w:val="1"/>
                <w:iCs w:val="1"/>
                <w:color w:val="auto"/>
              </w:rPr>
              <w:t xml:space="preserve"> Former</w:t>
            </w:r>
          </w:p>
        </w:tc>
        <w:tc>
          <w:tcPr>
            <w:tcW w:w="860" w:type="dxa"/>
            <w:vAlign w:val="bottom"/>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tcPr>
          <w:p>
            <w:pPr>
              <w:jc w:val="center"/>
              <w:spacing w:after="0"/>
              <w:rPr>
                <w:sz w:val="20"/>
                <w:szCs w:val="20"/>
                <w:color w:val="auto"/>
              </w:rPr>
            </w:pPr>
            <w:r>
              <w:rPr>
                <w:rFonts w:ascii="Arial" w:cs="Arial" w:eastAsia="Arial" w:hAnsi="Arial"/>
                <w:sz w:val="14"/>
                <w:szCs w:val="14"/>
                <w:color w:val="auto"/>
              </w:rPr>
              <w:t>312,731</w:t>
            </w:r>
          </w:p>
        </w:tc>
        <w:tc>
          <w:tcPr>
            <w:tcW w:w="96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88"/>
              <w:spacing w:after="0"/>
              <w:rPr>
                <w:sz w:val="20"/>
                <w:szCs w:val="20"/>
                <w:color w:val="auto"/>
              </w:rPr>
            </w:pPr>
            <w:r>
              <w:rPr>
                <w:rFonts w:ascii="Arial" w:cs="Arial" w:eastAsia="Arial" w:hAnsi="Arial"/>
                <w:sz w:val="14"/>
                <w:szCs w:val="14"/>
                <w:color w:val="auto"/>
              </w:rPr>
              <w:t>2,416,342</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ind w:right="28"/>
              <w:spacing w:after="0"/>
              <w:rPr>
                <w:sz w:val="20"/>
                <w:szCs w:val="20"/>
                <w:color w:val="auto"/>
              </w:rPr>
            </w:pPr>
            <w:r>
              <w:rPr>
                <w:rFonts w:ascii="Arial" w:cs="Arial" w:eastAsia="Arial" w:hAnsi="Arial"/>
                <w:sz w:val="14"/>
                <w:szCs w:val="14"/>
                <w:color w:val="auto"/>
              </w:rPr>
              <w:t>30,907</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2,759,980</w:t>
            </w:r>
          </w:p>
        </w:tc>
        <w:tc>
          <w:tcPr>
            <w:tcW w:w="0" w:type="dxa"/>
            <w:vAlign w:val="bottom"/>
          </w:tcPr>
          <w:p>
            <w:pPr>
              <w:spacing w:after="0"/>
              <w:rPr>
                <w:sz w:val="1"/>
                <w:szCs w:val="1"/>
                <w:color w:val="auto"/>
              </w:rPr>
            </w:pPr>
          </w:p>
        </w:tc>
      </w:tr>
      <w:tr>
        <w:trPr>
          <w:trHeight w:val="141"/>
        </w:trPr>
        <w:tc>
          <w:tcPr>
            <w:tcW w:w="2460" w:type="dxa"/>
            <w:vAlign w:val="bottom"/>
          </w:tcPr>
          <w:p>
            <w:pPr>
              <w:ind w:left="20"/>
              <w:spacing w:after="0" w:line="141" w:lineRule="exact"/>
              <w:rPr>
                <w:sz w:val="20"/>
                <w:szCs w:val="20"/>
                <w:color w:val="auto"/>
              </w:rPr>
            </w:pPr>
            <w:r>
              <w:rPr>
                <w:rFonts w:ascii="Arial" w:cs="Arial" w:eastAsia="Arial" w:hAnsi="Arial"/>
                <w:sz w:val="14"/>
                <w:szCs w:val="14"/>
                <w:i w:val="1"/>
                <w:iCs w:val="1"/>
                <w:color w:val="auto"/>
              </w:rPr>
              <w:t>Executive Vice President and</w:t>
            </w: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473,462</w:t>
            </w:r>
          </w:p>
        </w:tc>
        <w:tc>
          <w:tcPr>
            <w:tcW w:w="960" w:type="dxa"/>
            <w:vAlign w:val="bottom"/>
            <w:vMerge w:val="restart"/>
          </w:tcPr>
          <w:p>
            <w:pPr>
              <w:jc w:val="center"/>
              <w:ind w:left="48"/>
              <w:spacing w:after="0"/>
              <w:rPr>
                <w:sz w:val="20"/>
                <w:szCs w:val="20"/>
                <w:color w:val="auto"/>
              </w:rPr>
            </w:pPr>
            <w:r>
              <w:rPr>
                <w:rFonts w:ascii="Arial" w:cs="Arial" w:eastAsia="Arial" w:hAnsi="Arial"/>
                <w:sz w:val="14"/>
                <w:szCs w:val="14"/>
                <w:color w:val="auto"/>
              </w:rPr>
              <w:t>80,488</w:t>
            </w:r>
          </w:p>
        </w:tc>
        <w:tc>
          <w:tcPr>
            <w:tcW w:w="1360" w:type="dxa"/>
            <w:vAlign w:val="bottom"/>
            <w:vMerge w:val="restart"/>
          </w:tcPr>
          <w:p>
            <w:pPr>
              <w:jc w:val="center"/>
              <w:ind w:left="88"/>
              <w:spacing w:after="0"/>
              <w:rPr>
                <w:sz w:val="20"/>
                <w:szCs w:val="20"/>
                <w:color w:val="auto"/>
              </w:rPr>
            </w:pPr>
            <w:r>
              <w:rPr>
                <w:rFonts w:ascii="Arial" w:cs="Arial" w:eastAsia="Arial" w:hAnsi="Arial"/>
                <w:sz w:val="14"/>
                <w:szCs w:val="14"/>
                <w:color w:val="auto"/>
              </w:rPr>
              <w:t>2,617,186</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583,542</w:t>
            </w:r>
          </w:p>
        </w:tc>
        <w:tc>
          <w:tcPr>
            <w:tcW w:w="1460" w:type="dxa"/>
            <w:vAlign w:val="bottom"/>
            <w:vMerge w:val="restart"/>
          </w:tcPr>
          <w:p>
            <w:pPr>
              <w:jc w:val="center"/>
              <w:ind w:right="28"/>
              <w:spacing w:after="0"/>
              <w:rPr>
                <w:sz w:val="20"/>
                <w:szCs w:val="20"/>
                <w:color w:val="auto"/>
              </w:rPr>
            </w:pPr>
            <w:r>
              <w:rPr>
                <w:rFonts w:ascii="Arial" w:cs="Arial" w:eastAsia="Arial" w:hAnsi="Arial"/>
                <w:sz w:val="14"/>
                <w:szCs w:val="14"/>
                <w:color w:val="auto"/>
              </w:rPr>
              <w:t>29,599</w:t>
            </w: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3,784,277</w:t>
            </w:r>
          </w:p>
        </w:tc>
        <w:tc>
          <w:tcPr>
            <w:tcW w:w="0" w:type="dxa"/>
            <w:vAlign w:val="bottom"/>
          </w:tcPr>
          <w:p>
            <w:pPr>
              <w:spacing w:after="0"/>
              <w:rPr>
                <w:sz w:val="1"/>
                <w:szCs w:val="1"/>
                <w:color w:val="auto"/>
              </w:rPr>
            </w:pPr>
          </w:p>
        </w:tc>
      </w:tr>
      <w:tr>
        <w:trPr>
          <w:trHeight w:val="121"/>
        </w:trPr>
        <w:tc>
          <w:tcPr>
            <w:tcW w:w="2460" w:type="dxa"/>
            <w:vAlign w:val="bottom"/>
            <w:vMerge w:val="restart"/>
          </w:tcPr>
          <w:p>
            <w:pPr>
              <w:ind w:left="20"/>
              <w:spacing w:after="0" w:line="143" w:lineRule="exact"/>
              <w:rPr>
                <w:sz w:val="20"/>
                <w:szCs w:val="20"/>
                <w:color w:val="auto"/>
              </w:rPr>
            </w:pPr>
            <w:r>
              <w:rPr>
                <w:rFonts w:ascii="Arial" w:cs="Arial" w:eastAsia="Arial" w:hAnsi="Arial"/>
                <w:sz w:val="14"/>
                <w:szCs w:val="14"/>
                <w:i w:val="1"/>
                <w:iCs w:val="1"/>
                <w:color w:val="auto"/>
              </w:rPr>
              <w:t>General Manager, Advanced</w:t>
            </w:r>
          </w:p>
        </w:tc>
        <w:tc>
          <w:tcPr>
            <w:tcW w:w="8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460" w:type="dxa"/>
            <w:vAlign w:val="bottom"/>
            <w:vMerge w:val="continue"/>
          </w:tcPr>
          <w:p>
            <w:pPr>
              <w:spacing w:after="0" w:line="20" w:lineRule="exact"/>
              <w:rPr>
                <w:sz w:val="1"/>
                <w:szCs w:val="1"/>
                <w:color w:val="auto"/>
              </w:rPr>
            </w:pP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2020</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381,919</w:t>
            </w:r>
          </w:p>
        </w:tc>
        <w:tc>
          <w:tcPr>
            <w:tcW w:w="96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left="88"/>
              <w:spacing w:after="0"/>
              <w:rPr>
                <w:sz w:val="20"/>
                <w:szCs w:val="20"/>
                <w:color w:val="auto"/>
              </w:rPr>
            </w:pPr>
            <w:r>
              <w:rPr>
                <w:rFonts w:ascii="Arial" w:cs="Arial" w:eastAsia="Arial" w:hAnsi="Arial"/>
                <w:sz w:val="14"/>
                <w:szCs w:val="14"/>
                <w:color w:val="auto"/>
              </w:rPr>
              <w:t>1,624,429</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vMerge w:val="restart"/>
          </w:tcPr>
          <w:p>
            <w:pPr>
              <w:jc w:val="center"/>
              <w:ind w:right="28"/>
              <w:spacing w:after="0"/>
              <w:rPr>
                <w:sz w:val="20"/>
                <w:szCs w:val="20"/>
                <w:color w:val="auto"/>
              </w:rPr>
            </w:pPr>
            <w:r>
              <w:rPr>
                <w:rFonts w:ascii="Arial" w:cs="Arial" w:eastAsia="Arial" w:hAnsi="Arial"/>
                <w:sz w:val="14"/>
                <w:szCs w:val="14"/>
                <w:color w:val="auto"/>
              </w:rPr>
              <w:t>33,918</w:t>
            </w: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2,040,266</w:t>
            </w:r>
          </w:p>
        </w:tc>
        <w:tc>
          <w:tcPr>
            <w:tcW w:w="0" w:type="dxa"/>
            <w:vAlign w:val="bottom"/>
          </w:tcPr>
          <w:p>
            <w:pPr>
              <w:spacing w:after="0" w:line="20" w:lineRule="exact"/>
              <w:rPr>
                <w:sz w:val="1"/>
                <w:szCs w:val="1"/>
                <w:color w:val="auto"/>
              </w:rPr>
            </w:pPr>
          </w:p>
        </w:tc>
      </w:tr>
      <w:tr>
        <w:trPr>
          <w:trHeight w:val="195"/>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Solutions Group</w:t>
            </w:r>
          </w:p>
        </w:tc>
        <w:tc>
          <w:tcPr>
            <w:tcW w:w="8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062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76" w:lineRule="exact"/>
        <w:rPr>
          <w:sz w:val="20"/>
          <w:szCs w:val="20"/>
          <w:color w:val="auto"/>
        </w:rPr>
      </w:pPr>
    </w:p>
    <w:p>
      <w:pPr>
        <w:ind w:left="260" w:right="40" w:hanging="234"/>
        <w:spacing w:after="0" w:line="219" w:lineRule="auto"/>
        <w:tabs>
          <w:tab w:leader="none" w:pos="233" w:val="left"/>
        </w:tabs>
        <w:numPr>
          <w:ilvl w:val="0"/>
          <w:numId w:val="73"/>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awards of PBRSUs and RSUs computed in accordance with FASB ASC Topic 718 using the closing price of our common stock on the date of grant, except that the grant date value of the relative TSR component of our PBRSUs is determined by a third-party valuation firm based on probable outcomes. For the 2022 PBRSUs, this valuation was based upon a 100% attainment, which represents the probable outcomes of the performance conditions for those awards, consistent with the estimate of aggregate compensation cost to be recognized over the service period, determined as of the grant date, excluding the effect of estimated forfeitures. The amounts in this column do not necessarily represent the fair value for expensing purposes or the fair value of awards that were expected to vest as of December 31, 2022. On February 2, 2023, the HCC Committee determined that the first tranche for the 2022 PBRSUs vested at 150% on the financial goals and 185% on the operational goals. Additionally, the Company’s relative TSR for 2022 exceeded the maximum performance level and thus, for those awards with a TSR Adjustment, the officer earned an additional number of shares equal to 150% of the number of PBRSUs earned on financial metrics in the first tranche. For PBRSUs subject to a TSR Adjustment, payout on each of the second and third tranches will be adjusted based on our relative TSR for the two- or three-year period. The estimated number of units which are expected to vest is evaluated and adjusted each reporting period, as necessary, in connection with the Company’s quarterly and annual financial statements. We further discuss the assumptions we made in the valuation of stock awards in Note 11 of the Notes to Consolidated Financial Statements in the Form 10-K. At maximum, the 2022 PBRSUs would pay out to the applicable NEOs as follows: Mr. El-Khoury: $13,660,509; Mr. Trent: $5,089,259; Mr. Keeton: $2,694,301; Mr. Jatou: $1,676,553; Mr. Tong: $1,753,839; and Mr. Hopkin: $2,634,432.</w:t>
      </w:r>
    </w:p>
    <w:p>
      <w:pPr>
        <w:spacing w:after="0" w:line="20" w:lineRule="exact"/>
        <w:rPr>
          <w:rFonts w:ascii="Arial" w:cs="Arial" w:eastAsia="Arial" w:hAnsi="Arial"/>
          <w:sz w:val="14"/>
          <w:szCs w:val="14"/>
          <w:color w:val="auto"/>
        </w:rPr>
      </w:pPr>
    </w:p>
    <w:p>
      <w:pPr>
        <w:ind w:left="260" w:right="600" w:hanging="234"/>
        <w:spacing w:after="0" w:line="264" w:lineRule="auto"/>
        <w:tabs>
          <w:tab w:leader="none" w:pos="233"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in this column reflect annual cash incentives earned by the NEO under our STI program. For information regarding our 2022 STI program, please see “Elements of Our Compensation Program — Short-Term Cash Incentive Program” in the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42</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1" w:right="359" w:bottom="1440" w:gutter="0" w:footer="0" w:header="0"/>
        </w:sectPr>
      </w:pPr>
    </w:p>
    <w:bookmarkStart w:id="47" w:name="page48"/>
    <w:bookmarkEnd w:id="47"/>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 For 2022, amounts in this column consist of following: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shd w:val="clear" w:color="auto" w:fill="465E66"/>
          </w:tcPr>
          <w:p>
            <w:pPr>
              <w:spacing w:after="0"/>
              <w:rPr>
                <w:sz w:val="14"/>
                <w:szCs w:val="14"/>
                <w:color w:val="auto"/>
              </w:rPr>
            </w:pPr>
          </w:p>
        </w:tc>
        <w:tc>
          <w:tcPr>
            <w:tcW w:w="1800" w:type="dxa"/>
            <w:vAlign w:val="bottom"/>
            <w:shd w:val="clear" w:color="auto" w:fill="465E66"/>
          </w:tcPr>
          <w:p>
            <w:pPr>
              <w:spacing w:after="0"/>
              <w:rPr>
                <w:sz w:val="14"/>
                <w:szCs w:val="14"/>
                <w:color w:val="auto"/>
              </w:rPr>
            </w:pPr>
          </w:p>
        </w:tc>
        <w:tc>
          <w:tcPr>
            <w:tcW w:w="1560" w:type="dxa"/>
            <w:vAlign w:val="bottom"/>
            <w:shd w:val="clear" w:color="auto" w:fill="465E66"/>
          </w:tcPr>
          <w:p>
            <w:pPr>
              <w:spacing w:after="0"/>
              <w:rPr>
                <w:sz w:val="14"/>
                <w:szCs w:val="14"/>
                <w:color w:val="auto"/>
              </w:rPr>
            </w:pPr>
          </w:p>
        </w:tc>
        <w:tc>
          <w:tcPr>
            <w:tcW w:w="1540" w:type="dxa"/>
            <w:vAlign w:val="bottom"/>
            <w:shd w:val="clear" w:color="auto" w:fill="465E66"/>
          </w:tcPr>
          <w:p>
            <w:pPr>
              <w:jc w:val="center"/>
              <w:ind w:right="8"/>
              <w:spacing w:after="0"/>
              <w:rPr>
                <w:sz w:val="20"/>
                <w:szCs w:val="20"/>
                <w:color w:val="auto"/>
              </w:rPr>
            </w:pPr>
            <w:r>
              <w:rPr>
                <w:rFonts w:ascii="Arial" w:cs="Arial" w:eastAsia="Arial" w:hAnsi="Arial"/>
                <w:sz w:val="14"/>
                <w:szCs w:val="14"/>
                <w:b w:val="1"/>
                <w:bCs w:val="1"/>
                <w:color w:val="FFFFFF"/>
              </w:rPr>
              <w:t>Premiums Paid by</w:t>
            </w:r>
          </w:p>
        </w:tc>
        <w:tc>
          <w:tcPr>
            <w:tcW w:w="1320" w:type="dxa"/>
            <w:vAlign w:val="bottom"/>
            <w:shd w:val="clear" w:color="auto" w:fill="465E66"/>
          </w:tcPr>
          <w:p>
            <w:pPr>
              <w:spacing w:after="0"/>
              <w:rPr>
                <w:sz w:val="14"/>
                <w:szCs w:val="14"/>
                <w:color w:val="auto"/>
              </w:rPr>
            </w:pPr>
          </w:p>
        </w:tc>
        <w:tc>
          <w:tcPr>
            <w:tcW w:w="1540" w:type="dxa"/>
            <w:vAlign w:val="bottom"/>
            <w:shd w:val="clear" w:color="auto" w:fill="465E66"/>
          </w:tcPr>
          <w:p>
            <w:pPr>
              <w:spacing w:after="0"/>
              <w:rPr>
                <w:sz w:val="14"/>
                <w:szCs w:val="14"/>
                <w:color w:val="auto"/>
              </w:rPr>
            </w:pPr>
          </w:p>
        </w:tc>
        <w:tc>
          <w:tcPr>
            <w:tcW w:w="1640" w:type="dxa"/>
            <w:vAlign w:val="bottom"/>
            <w:shd w:val="clear" w:color="auto" w:fill="465E6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465E66"/>
          </w:tcPr>
          <w:p>
            <w:pPr>
              <w:spacing w:after="0"/>
              <w:rPr>
                <w:sz w:val="12"/>
                <w:szCs w:val="12"/>
                <w:color w:val="auto"/>
              </w:rPr>
            </w:pPr>
          </w:p>
        </w:tc>
        <w:tc>
          <w:tcPr>
            <w:tcW w:w="1800" w:type="dxa"/>
            <w:vAlign w:val="bottom"/>
            <w:shd w:val="clear" w:color="auto" w:fill="465E66"/>
          </w:tcPr>
          <w:p>
            <w:pPr>
              <w:spacing w:after="0"/>
              <w:rPr>
                <w:sz w:val="12"/>
                <w:szCs w:val="12"/>
                <w:color w:val="auto"/>
              </w:rPr>
            </w:pPr>
          </w:p>
        </w:tc>
        <w:tc>
          <w:tcPr>
            <w:tcW w:w="1560" w:type="dxa"/>
            <w:vAlign w:val="bottom"/>
            <w:shd w:val="clear" w:color="auto" w:fill="465E66"/>
          </w:tcPr>
          <w:p>
            <w:pPr>
              <w:spacing w:after="0"/>
              <w:rPr>
                <w:sz w:val="12"/>
                <w:szCs w:val="12"/>
                <w:color w:val="auto"/>
              </w:rPr>
            </w:pPr>
          </w:p>
        </w:tc>
        <w:tc>
          <w:tcPr>
            <w:tcW w:w="1540" w:type="dxa"/>
            <w:vAlign w:val="bottom"/>
            <w:shd w:val="clear" w:color="auto" w:fill="465E66"/>
          </w:tcPr>
          <w:p>
            <w:pPr>
              <w:jc w:val="center"/>
              <w:ind w:right="8"/>
              <w:spacing w:after="0" w:line="145" w:lineRule="exact"/>
              <w:rPr>
                <w:sz w:val="20"/>
                <w:szCs w:val="20"/>
                <w:color w:val="auto"/>
              </w:rPr>
            </w:pPr>
            <w:r>
              <w:rPr>
                <w:rFonts w:ascii="Arial" w:cs="Arial" w:eastAsia="Arial" w:hAnsi="Arial"/>
                <w:sz w:val="14"/>
                <w:szCs w:val="14"/>
                <w:b w:val="1"/>
                <w:bCs w:val="1"/>
                <w:color w:val="FFFFFF"/>
              </w:rPr>
              <w:t>the Company for</w:t>
            </w:r>
          </w:p>
        </w:tc>
        <w:tc>
          <w:tcPr>
            <w:tcW w:w="1320" w:type="dxa"/>
            <w:vAlign w:val="bottom"/>
            <w:shd w:val="clear" w:color="auto" w:fill="465E66"/>
          </w:tcPr>
          <w:p>
            <w:pPr>
              <w:spacing w:after="0"/>
              <w:rPr>
                <w:sz w:val="12"/>
                <w:szCs w:val="12"/>
                <w:color w:val="auto"/>
              </w:rPr>
            </w:pPr>
          </w:p>
        </w:tc>
        <w:tc>
          <w:tcPr>
            <w:tcW w:w="1540" w:type="dxa"/>
            <w:vAlign w:val="bottom"/>
            <w:shd w:val="clear" w:color="auto" w:fill="465E66"/>
          </w:tcPr>
          <w:p>
            <w:pPr>
              <w:spacing w:after="0"/>
              <w:rPr>
                <w:sz w:val="12"/>
                <w:szCs w:val="12"/>
                <w:color w:val="auto"/>
              </w:rPr>
            </w:pPr>
          </w:p>
        </w:tc>
        <w:tc>
          <w:tcPr>
            <w:tcW w:w="1640" w:type="dxa"/>
            <w:vAlign w:val="bottom"/>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shd w:val="clear" w:color="auto" w:fill="465E66"/>
          </w:tcPr>
          <w:p>
            <w:pPr>
              <w:spacing w:after="0"/>
              <w:rPr>
                <w:sz w:val="12"/>
                <w:szCs w:val="12"/>
                <w:color w:val="auto"/>
              </w:rPr>
            </w:pPr>
          </w:p>
        </w:tc>
        <w:tc>
          <w:tcPr>
            <w:tcW w:w="1800" w:type="dxa"/>
            <w:vAlign w:val="bottom"/>
            <w:shd w:val="clear" w:color="auto" w:fill="465E66"/>
          </w:tcPr>
          <w:p>
            <w:pPr>
              <w:spacing w:after="0"/>
              <w:rPr>
                <w:sz w:val="12"/>
                <w:szCs w:val="12"/>
                <w:color w:val="auto"/>
              </w:rPr>
            </w:pPr>
          </w:p>
        </w:tc>
        <w:tc>
          <w:tcPr>
            <w:tcW w:w="1560" w:type="dxa"/>
            <w:vAlign w:val="bottom"/>
            <w:shd w:val="clear" w:color="auto" w:fill="465E66"/>
          </w:tcPr>
          <w:p>
            <w:pPr>
              <w:spacing w:after="0"/>
              <w:rPr>
                <w:sz w:val="12"/>
                <w:szCs w:val="12"/>
                <w:color w:val="auto"/>
              </w:rPr>
            </w:pPr>
          </w:p>
        </w:tc>
        <w:tc>
          <w:tcPr>
            <w:tcW w:w="1540" w:type="dxa"/>
            <w:vAlign w:val="bottom"/>
            <w:shd w:val="clear" w:color="auto" w:fill="465E66"/>
          </w:tcPr>
          <w:p>
            <w:pPr>
              <w:jc w:val="center"/>
              <w:ind w:right="28"/>
              <w:spacing w:after="0" w:line="139" w:lineRule="exact"/>
              <w:rPr>
                <w:sz w:val="20"/>
                <w:szCs w:val="20"/>
                <w:color w:val="auto"/>
              </w:rPr>
            </w:pPr>
            <w:r>
              <w:rPr>
                <w:rFonts w:ascii="Arial" w:cs="Arial" w:eastAsia="Arial" w:hAnsi="Arial"/>
                <w:sz w:val="14"/>
                <w:szCs w:val="14"/>
                <w:b w:val="1"/>
                <w:bCs w:val="1"/>
                <w:color w:val="FFFFFF"/>
              </w:rPr>
              <w:t>Basic Life Insurance</w:t>
            </w:r>
          </w:p>
        </w:tc>
        <w:tc>
          <w:tcPr>
            <w:tcW w:w="1320" w:type="dxa"/>
            <w:vAlign w:val="bottom"/>
            <w:shd w:val="clear" w:color="auto" w:fill="465E66"/>
          </w:tcPr>
          <w:p>
            <w:pPr>
              <w:spacing w:after="0"/>
              <w:rPr>
                <w:sz w:val="12"/>
                <w:szCs w:val="12"/>
                <w:color w:val="auto"/>
              </w:rPr>
            </w:pPr>
          </w:p>
        </w:tc>
        <w:tc>
          <w:tcPr>
            <w:tcW w:w="1540" w:type="dxa"/>
            <w:vAlign w:val="bottom"/>
            <w:shd w:val="clear" w:color="auto" w:fill="465E66"/>
          </w:tcPr>
          <w:p>
            <w:pPr>
              <w:spacing w:after="0"/>
              <w:rPr>
                <w:sz w:val="12"/>
                <w:szCs w:val="12"/>
                <w:color w:val="auto"/>
              </w:rPr>
            </w:pPr>
          </w:p>
        </w:tc>
        <w:tc>
          <w:tcPr>
            <w:tcW w:w="164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Imputed Income for</w:t>
            </w:r>
          </w:p>
        </w:tc>
        <w:tc>
          <w:tcPr>
            <w:tcW w:w="0" w:type="dxa"/>
            <w:vAlign w:val="bottom"/>
          </w:tcPr>
          <w:p>
            <w:pPr>
              <w:spacing w:after="0"/>
              <w:rPr>
                <w:sz w:val="1"/>
                <w:szCs w:val="1"/>
                <w:color w:val="auto"/>
              </w:rPr>
            </w:pPr>
          </w:p>
        </w:tc>
      </w:tr>
      <w:tr>
        <w:trPr>
          <w:trHeight w:val="149"/>
        </w:trPr>
        <w:tc>
          <w:tcPr>
            <w:tcW w:w="1740" w:type="dxa"/>
            <w:vAlign w:val="bottom"/>
            <w:shd w:val="clear" w:color="auto" w:fill="465E66"/>
          </w:tcPr>
          <w:p>
            <w:pPr>
              <w:spacing w:after="0"/>
              <w:rPr>
                <w:sz w:val="12"/>
                <w:szCs w:val="12"/>
                <w:color w:val="auto"/>
              </w:rPr>
            </w:pPr>
          </w:p>
        </w:tc>
        <w:tc>
          <w:tcPr>
            <w:tcW w:w="1800" w:type="dxa"/>
            <w:vAlign w:val="bottom"/>
            <w:vMerge w:val="restart"/>
            <w:shd w:val="clear" w:color="auto" w:fill="465E66"/>
          </w:tcPr>
          <w:p>
            <w:pPr>
              <w:jc w:val="center"/>
              <w:ind w:left="508"/>
              <w:spacing w:after="0"/>
              <w:rPr>
                <w:sz w:val="20"/>
                <w:szCs w:val="20"/>
                <w:color w:val="auto"/>
              </w:rPr>
            </w:pPr>
            <w:r>
              <w:rPr>
                <w:rFonts w:ascii="Arial" w:cs="Arial" w:eastAsia="Arial" w:hAnsi="Arial"/>
                <w:sz w:val="14"/>
                <w:szCs w:val="14"/>
                <w:b w:val="1"/>
                <w:bCs w:val="1"/>
                <w:color w:val="FFFFFF"/>
              </w:rPr>
              <w:t>Company</w:t>
            </w:r>
          </w:p>
        </w:tc>
        <w:tc>
          <w:tcPr>
            <w:tcW w:w="1560" w:type="dxa"/>
            <w:vAlign w:val="bottom"/>
            <w:vMerge w:val="restart"/>
            <w:shd w:val="clear" w:color="auto" w:fill="465E66"/>
          </w:tcPr>
          <w:p>
            <w:pPr>
              <w:ind w:left="260"/>
              <w:spacing w:after="0"/>
              <w:rPr>
                <w:sz w:val="20"/>
                <w:szCs w:val="20"/>
                <w:color w:val="auto"/>
              </w:rPr>
            </w:pPr>
            <w:r>
              <w:rPr>
                <w:rFonts w:ascii="Arial" w:cs="Arial" w:eastAsia="Arial" w:hAnsi="Arial"/>
                <w:sz w:val="14"/>
                <w:szCs w:val="14"/>
                <w:b w:val="1"/>
                <w:bCs w:val="1"/>
                <w:color w:val="FFFFFF"/>
              </w:rPr>
              <w:t>Executive Group</w:t>
            </w:r>
          </w:p>
        </w:tc>
        <w:tc>
          <w:tcPr>
            <w:tcW w:w="1540" w:type="dxa"/>
            <w:vAlign w:val="bottom"/>
            <w:shd w:val="clear" w:color="auto" w:fill="465E66"/>
          </w:tcPr>
          <w:p>
            <w:pPr>
              <w:jc w:val="center"/>
              <w:ind w:right="8"/>
              <w:spacing w:after="0" w:line="149" w:lineRule="exact"/>
              <w:rPr>
                <w:sz w:val="20"/>
                <w:szCs w:val="20"/>
                <w:color w:val="auto"/>
              </w:rPr>
            </w:pPr>
            <w:r>
              <w:rPr>
                <w:rFonts w:ascii="Arial" w:cs="Arial" w:eastAsia="Arial" w:hAnsi="Arial"/>
                <w:sz w:val="14"/>
                <w:szCs w:val="14"/>
                <w:b w:val="1"/>
                <w:bCs w:val="1"/>
                <w:color w:val="FFFFFF"/>
              </w:rPr>
              <w:t>and Accidental</w:t>
            </w:r>
          </w:p>
        </w:tc>
        <w:tc>
          <w:tcPr>
            <w:tcW w:w="1320" w:type="dxa"/>
            <w:vAlign w:val="bottom"/>
            <w:shd w:val="clear" w:color="auto" w:fill="465E66"/>
          </w:tcPr>
          <w:p>
            <w:pPr>
              <w:spacing w:after="0"/>
              <w:rPr>
                <w:sz w:val="12"/>
                <w:szCs w:val="12"/>
                <w:color w:val="auto"/>
              </w:rPr>
            </w:pPr>
          </w:p>
        </w:tc>
        <w:tc>
          <w:tcPr>
            <w:tcW w:w="1540" w:type="dxa"/>
            <w:vAlign w:val="bottom"/>
            <w:shd w:val="clear" w:color="auto" w:fill="465E66"/>
          </w:tcPr>
          <w:p>
            <w:pPr>
              <w:spacing w:after="0"/>
              <w:rPr>
                <w:sz w:val="12"/>
                <w:szCs w:val="12"/>
                <w:color w:val="auto"/>
              </w:rPr>
            </w:pPr>
          </w:p>
        </w:tc>
        <w:tc>
          <w:tcPr>
            <w:tcW w:w="164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465E66"/>
          </w:tcPr>
          <w:p>
            <w:pPr>
              <w:spacing w:after="0"/>
              <w:rPr>
                <w:sz w:val="12"/>
                <w:szCs w:val="12"/>
                <w:color w:val="auto"/>
              </w:rPr>
            </w:pPr>
          </w:p>
        </w:tc>
        <w:tc>
          <w:tcPr>
            <w:tcW w:w="1800" w:type="dxa"/>
            <w:vAlign w:val="bottom"/>
            <w:vMerge w:val="continue"/>
            <w:shd w:val="clear" w:color="auto" w:fill="465E66"/>
          </w:tcPr>
          <w:p>
            <w:pPr>
              <w:spacing w:after="0"/>
              <w:rPr>
                <w:sz w:val="12"/>
                <w:szCs w:val="12"/>
                <w:color w:val="auto"/>
              </w:rPr>
            </w:pPr>
          </w:p>
        </w:tc>
        <w:tc>
          <w:tcPr>
            <w:tcW w:w="1560" w:type="dxa"/>
            <w:vAlign w:val="bottom"/>
            <w:vMerge w:val="continue"/>
            <w:shd w:val="clear" w:color="auto" w:fill="465E66"/>
          </w:tcPr>
          <w:p>
            <w:pPr>
              <w:spacing w:after="0"/>
              <w:rPr>
                <w:sz w:val="12"/>
                <w:szCs w:val="12"/>
                <w:color w:val="auto"/>
              </w:rPr>
            </w:pPr>
          </w:p>
        </w:tc>
        <w:tc>
          <w:tcPr>
            <w:tcW w:w="1540" w:type="dxa"/>
            <w:vAlign w:val="bottom"/>
            <w:shd w:val="clear" w:color="auto" w:fill="465E66"/>
          </w:tcPr>
          <w:p>
            <w:pPr>
              <w:jc w:val="center"/>
              <w:ind w:right="8"/>
              <w:spacing w:after="0" w:line="145" w:lineRule="exact"/>
              <w:rPr>
                <w:sz w:val="20"/>
                <w:szCs w:val="20"/>
                <w:color w:val="auto"/>
              </w:rPr>
            </w:pPr>
            <w:r>
              <w:rPr>
                <w:rFonts w:ascii="Arial" w:cs="Arial" w:eastAsia="Arial" w:hAnsi="Arial"/>
                <w:sz w:val="14"/>
                <w:szCs w:val="14"/>
                <w:b w:val="1"/>
                <w:bCs w:val="1"/>
                <w:color w:val="FFFFFF"/>
              </w:rPr>
              <w:t>Death and</w:t>
            </w:r>
          </w:p>
        </w:tc>
        <w:tc>
          <w:tcPr>
            <w:tcW w:w="1320" w:type="dxa"/>
            <w:vAlign w:val="bottom"/>
            <w:shd w:val="clear" w:color="auto" w:fill="465E66"/>
          </w:tcPr>
          <w:p>
            <w:pPr>
              <w:spacing w:after="0"/>
              <w:rPr>
                <w:sz w:val="12"/>
                <w:szCs w:val="12"/>
                <w:color w:val="auto"/>
              </w:rPr>
            </w:pPr>
          </w:p>
        </w:tc>
        <w:tc>
          <w:tcPr>
            <w:tcW w:w="154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Financial Planning</w:t>
            </w:r>
          </w:p>
        </w:tc>
        <w:tc>
          <w:tcPr>
            <w:tcW w:w="164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Post-Tax Long-Term</w:t>
            </w:r>
          </w:p>
        </w:tc>
        <w:tc>
          <w:tcPr>
            <w:tcW w:w="0" w:type="dxa"/>
            <w:vAlign w:val="bottom"/>
          </w:tcPr>
          <w:p>
            <w:pPr>
              <w:spacing w:after="0"/>
              <w:rPr>
                <w:sz w:val="1"/>
                <w:szCs w:val="1"/>
                <w:color w:val="auto"/>
              </w:rPr>
            </w:pPr>
          </w:p>
        </w:tc>
      </w:tr>
      <w:tr>
        <w:trPr>
          <w:trHeight w:val="135"/>
        </w:trPr>
        <w:tc>
          <w:tcPr>
            <w:tcW w:w="1740" w:type="dxa"/>
            <w:vAlign w:val="bottom"/>
            <w:shd w:val="clear" w:color="auto" w:fill="465E66"/>
          </w:tcPr>
          <w:p>
            <w:pPr>
              <w:spacing w:after="0"/>
              <w:rPr>
                <w:sz w:val="11"/>
                <w:szCs w:val="11"/>
                <w:color w:val="auto"/>
              </w:rPr>
            </w:pPr>
          </w:p>
        </w:tc>
        <w:tc>
          <w:tcPr>
            <w:tcW w:w="3360" w:type="dxa"/>
            <w:vAlign w:val="bottom"/>
            <w:gridSpan w:val="2"/>
            <w:shd w:val="clear" w:color="auto" w:fill="465E66"/>
          </w:tcPr>
          <w:p>
            <w:pPr>
              <w:ind w:left="480"/>
              <w:spacing w:after="0" w:line="135" w:lineRule="exact"/>
              <w:rPr>
                <w:sz w:val="20"/>
                <w:szCs w:val="20"/>
                <w:color w:val="auto"/>
              </w:rPr>
            </w:pPr>
            <w:r>
              <w:rPr>
                <w:rFonts w:ascii="Arial" w:cs="Arial" w:eastAsia="Arial" w:hAnsi="Arial"/>
                <w:sz w:val="14"/>
                <w:szCs w:val="14"/>
                <w:b w:val="1"/>
                <w:bCs w:val="1"/>
                <w:color w:val="FFFFFF"/>
              </w:rPr>
              <w:t>Contributions Under Term Life Insurance</w:t>
            </w:r>
          </w:p>
        </w:tc>
        <w:tc>
          <w:tcPr>
            <w:tcW w:w="1540" w:type="dxa"/>
            <w:vAlign w:val="bottom"/>
            <w:shd w:val="clear" w:color="auto" w:fill="465E66"/>
          </w:tcPr>
          <w:p>
            <w:pPr>
              <w:jc w:val="center"/>
              <w:ind w:right="8"/>
              <w:spacing w:after="0" w:line="135" w:lineRule="exact"/>
              <w:rPr>
                <w:sz w:val="20"/>
                <w:szCs w:val="20"/>
                <w:color w:val="auto"/>
              </w:rPr>
            </w:pPr>
            <w:r>
              <w:rPr>
                <w:rFonts w:ascii="Arial" w:cs="Arial" w:eastAsia="Arial" w:hAnsi="Arial"/>
                <w:sz w:val="14"/>
                <w:szCs w:val="14"/>
                <w:b w:val="1"/>
                <w:bCs w:val="1"/>
                <w:color w:val="FFFFFF"/>
              </w:rPr>
              <w:t>Dismemberment</w:t>
            </w:r>
          </w:p>
        </w:tc>
        <w:tc>
          <w:tcPr>
            <w:tcW w:w="1320" w:type="dxa"/>
            <w:vAlign w:val="bottom"/>
            <w:vMerge w:val="restart"/>
            <w:shd w:val="clear" w:color="auto" w:fill="465E66"/>
          </w:tcPr>
          <w:p>
            <w:pPr>
              <w:ind w:left="120"/>
              <w:spacing w:after="0"/>
              <w:rPr>
                <w:sz w:val="20"/>
                <w:szCs w:val="20"/>
                <w:color w:val="auto"/>
              </w:rPr>
            </w:pPr>
            <w:r>
              <w:rPr>
                <w:rFonts w:ascii="Arial" w:cs="Arial" w:eastAsia="Arial" w:hAnsi="Arial"/>
                <w:sz w:val="14"/>
                <w:szCs w:val="14"/>
                <w:b w:val="1"/>
                <w:bCs w:val="1"/>
                <w:color w:val="FFFFFF"/>
              </w:rPr>
              <w:t>Car Allowance*</w:t>
            </w:r>
          </w:p>
        </w:tc>
        <w:tc>
          <w:tcPr>
            <w:tcW w:w="1540" w:type="dxa"/>
            <w:vAlign w:val="bottom"/>
            <w:vMerge w:val="continue"/>
            <w:shd w:val="clear" w:color="auto" w:fill="465E66"/>
          </w:tcPr>
          <w:p>
            <w:pPr>
              <w:spacing w:after="0"/>
              <w:rPr>
                <w:sz w:val="11"/>
                <w:szCs w:val="11"/>
                <w:color w:val="auto"/>
              </w:rPr>
            </w:pPr>
          </w:p>
        </w:tc>
        <w:tc>
          <w:tcPr>
            <w:tcW w:w="164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Disability Insurance</w:t>
            </w:r>
          </w:p>
        </w:tc>
        <w:tc>
          <w:tcPr>
            <w:tcW w:w="0" w:type="dxa"/>
            <w:vAlign w:val="bottom"/>
          </w:tcPr>
          <w:p>
            <w:pPr>
              <w:spacing w:after="0"/>
              <w:rPr>
                <w:sz w:val="1"/>
                <w:szCs w:val="1"/>
                <w:color w:val="auto"/>
              </w:rPr>
            </w:pPr>
          </w:p>
        </w:tc>
      </w:tr>
      <w:tr>
        <w:trPr>
          <w:trHeight w:val="148"/>
        </w:trPr>
        <w:tc>
          <w:tcPr>
            <w:tcW w:w="174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w:t>
            </w:r>
          </w:p>
        </w:tc>
        <w:tc>
          <w:tcPr>
            <w:tcW w:w="1800" w:type="dxa"/>
            <w:vAlign w:val="bottom"/>
            <w:shd w:val="clear" w:color="auto" w:fill="465E66"/>
          </w:tcPr>
          <w:p>
            <w:pPr>
              <w:jc w:val="center"/>
              <w:ind w:left="488"/>
              <w:spacing w:after="0" w:line="149" w:lineRule="exact"/>
              <w:rPr>
                <w:sz w:val="20"/>
                <w:szCs w:val="20"/>
                <w:color w:val="auto"/>
              </w:rPr>
            </w:pPr>
            <w:r>
              <w:rPr>
                <w:rFonts w:ascii="Arial" w:cs="Arial" w:eastAsia="Arial" w:hAnsi="Arial"/>
                <w:sz w:val="14"/>
                <w:szCs w:val="14"/>
                <w:b w:val="1"/>
                <w:bCs w:val="1"/>
                <w:color w:val="FFFFFF"/>
              </w:rPr>
              <w:t>401(k) Plan</w:t>
            </w:r>
          </w:p>
        </w:tc>
        <w:tc>
          <w:tcPr>
            <w:tcW w:w="1560" w:type="dxa"/>
            <w:vAlign w:val="bottom"/>
            <w:shd w:val="clear" w:color="auto" w:fill="465E66"/>
          </w:tcPr>
          <w:p>
            <w:pPr>
              <w:ind w:left="260"/>
              <w:spacing w:after="0" w:line="149" w:lineRule="exact"/>
              <w:rPr>
                <w:sz w:val="20"/>
                <w:szCs w:val="20"/>
                <w:color w:val="auto"/>
              </w:rPr>
            </w:pPr>
            <w:r>
              <w:rPr>
                <w:rFonts w:ascii="Arial" w:cs="Arial" w:eastAsia="Arial" w:hAnsi="Arial"/>
                <w:sz w:val="14"/>
                <w:szCs w:val="14"/>
                <w:b w:val="1"/>
                <w:bCs w:val="1"/>
                <w:color w:val="FFFFFF"/>
              </w:rPr>
              <w:t>Imputed Income*</w:t>
            </w:r>
          </w:p>
        </w:tc>
        <w:tc>
          <w:tcPr>
            <w:tcW w:w="1540" w:type="dxa"/>
            <w:vAlign w:val="bottom"/>
            <w:shd w:val="clear" w:color="auto" w:fill="465E66"/>
          </w:tcPr>
          <w:p>
            <w:pPr>
              <w:jc w:val="center"/>
              <w:ind w:right="28"/>
              <w:spacing w:after="0" w:line="149" w:lineRule="exact"/>
              <w:rPr>
                <w:sz w:val="20"/>
                <w:szCs w:val="20"/>
                <w:color w:val="auto"/>
              </w:rPr>
            </w:pPr>
            <w:r>
              <w:rPr>
                <w:rFonts w:ascii="Arial" w:cs="Arial" w:eastAsia="Arial" w:hAnsi="Arial"/>
                <w:sz w:val="14"/>
                <w:szCs w:val="14"/>
                <w:b w:val="1"/>
                <w:bCs w:val="1"/>
                <w:color w:val="FFFFFF"/>
              </w:rPr>
              <w:t>Insurance</w:t>
            </w:r>
          </w:p>
        </w:tc>
        <w:tc>
          <w:tcPr>
            <w:tcW w:w="1320" w:type="dxa"/>
            <w:vAlign w:val="bottom"/>
            <w:vMerge w:val="continue"/>
            <w:shd w:val="clear" w:color="auto" w:fill="465E66"/>
          </w:tcPr>
          <w:p>
            <w:pPr>
              <w:spacing w:after="0"/>
              <w:rPr>
                <w:sz w:val="12"/>
                <w:szCs w:val="12"/>
                <w:color w:val="auto"/>
              </w:rPr>
            </w:pPr>
          </w:p>
        </w:tc>
        <w:tc>
          <w:tcPr>
            <w:tcW w:w="154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Services*</w:t>
            </w:r>
          </w:p>
        </w:tc>
        <w:tc>
          <w:tcPr>
            <w:tcW w:w="164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Benefit Payments*</w:t>
            </w:r>
          </w:p>
        </w:tc>
        <w:tc>
          <w:tcPr>
            <w:tcW w:w="0" w:type="dxa"/>
            <w:vAlign w:val="bottom"/>
          </w:tcPr>
          <w:p>
            <w:pPr>
              <w:spacing w:after="0"/>
              <w:rPr>
                <w:sz w:val="1"/>
                <w:szCs w:val="1"/>
                <w:color w:val="auto"/>
              </w:rPr>
            </w:pPr>
          </w:p>
        </w:tc>
      </w:tr>
      <w:tr>
        <w:trPr>
          <w:trHeight w:val="189"/>
        </w:trPr>
        <w:tc>
          <w:tcPr>
            <w:tcW w:w="1740" w:type="dxa"/>
            <w:vAlign w:val="bottom"/>
            <w:vMerge w:val="continue"/>
            <w:shd w:val="clear" w:color="auto" w:fill="465E66"/>
          </w:tcPr>
          <w:p>
            <w:pPr>
              <w:spacing w:after="0"/>
              <w:rPr>
                <w:sz w:val="16"/>
                <w:szCs w:val="16"/>
                <w:color w:val="auto"/>
              </w:rPr>
            </w:pPr>
          </w:p>
        </w:tc>
        <w:tc>
          <w:tcPr>
            <w:tcW w:w="1800" w:type="dxa"/>
            <w:vAlign w:val="bottom"/>
            <w:shd w:val="clear" w:color="auto" w:fill="465E66"/>
          </w:tcPr>
          <w:p>
            <w:pPr>
              <w:jc w:val="center"/>
              <w:ind w:left="508"/>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465E66"/>
          </w:tcPr>
          <w:p>
            <w:pPr>
              <w:jc w:val="center"/>
              <w:ind w:left="28"/>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465E66"/>
          </w:tcPr>
          <w:p>
            <w:pPr>
              <w:jc w:val="center"/>
              <w:ind w:right="8"/>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1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Hassane El-Khoury</w:t>
            </w:r>
          </w:p>
        </w:tc>
        <w:tc>
          <w:tcPr>
            <w:tcW w:w="1800" w:type="dxa"/>
            <w:vAlign w:val="bottom"/>
            <w:shd w:val="clear" w:color="auto" w:fill="DBDBDB"/>
          </w:tcPr>
          <w:p>
            <w:pPr>
              <w:jc w:val="center"/>
              <w:ind w:left="488"/>
              <w:spacing w:after="0"/>
              <w:rPr>
                <w:sz w:val="20"/>
                <w:szCs w:val="20"/>
                <w:color w:val="auto"/>
              </w:rPr>
            </w:pPr>
            <w:r>
              <w:rPr>
                <w:rFonts w:ascii="Arial" w:cs="Arial" w:eastAsia="Arial" w:hAnsi="Arial"/>
                <w:sz w:val="14"/>
                <w:szCs w:val="14"/>
                <w:color w:val="auto"/>
              </w:rPr>
              <w:t>12,200</w:t>
            </w:r>
          </w:p>
        </w:tc>
        <w:tc>
          <w:tcPr>
            <w:tcW w:w="156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540</w:t>
            </w:r>
          </w:p>
        </w:tc>
        <w:tc>
          <w:tcPr>
            <w:tcW w:w="154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1,380</w:t>
            </w:r>
          </w:p>
        </w:tc>
        <w:tc>
          <w:tcPr>
            <w:tcW w:w="1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14,400</w:t>
            </w:r>
          </w:p>
        </w:tc>
        <w:tc>
          <w:tcPr>
            <w:tcW w:w="15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10,000</w:t>
            </w: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4"/>
                <w:szCs w:val="14"/>
                <w:color w:val="auto"/>
              </w:rPr>
              <w:t>Thad Trent</w:t>
            </w:r>
          </w:p>
        </w:tc>
        <w:tc>
          <w:tcPr>
            <w:tcW w:w="1800" w:type="dxa"/>
            <w:vAlign w:val="bottom"/>
          </w:tcPr>
          <w:p>
            <w:pPr>
              <w:jc w:val="center"/>
              <w:ind w:left="488"/>
              <w:spacing w:after="0"/>
              <w:rPr>
                <w:sz w:val="20"/>
                <w:szCs w:val="20"/>
                <w:color w:val="auto"/>
              </w:rPr>
            </w:pPr>
            <w:r>
              <w:rPr>
                <w:rFonts w:ascii="Arial" w:cs="Arial" w:eastAsia="Arial" w:hAnsi="Arial"/>
                <w:sz w:val="14"/>
                <w:szCs w:val="14"/>
                <w:color w:val="auto"/>
              </w:rPr>
              <w:t>12,200</w:t>
            </w:r>
          </w:p>
        </w:tc>
        <w:tc>
          <w:tcPr>
            <w:tcW w:w="1560" w:type="dxa"/>
            <w:vAlign w:val="bottom"/>
          </w:tcPr>
          <w:p>
            <w:pPr>
              <w:jc w:val="center"/>
              <w:ind w:left="48"/>
              <w:spacing w:after="0"/>
              <w:rPr>
                <w:sz w:val="20"/>
                <w:szCs w:val="20"/>
                <w:color w:val="auto"/>
              </w:rPr>
            </w:pPr>
            <w:r>
              <w:rPr>
                <w:rFonts w:ascii="Arial" w:cs="Arial" w:eastAsia="Arial" w:hAnsi="Arial"/>
                <w:sz w:val="14"/>
                <w:szCs w:val="14"/>
                <w:color w:val="auto"/>
              </w:rPr>
              <w:t>2,322</w:t>
            </w:r>
          </w:p>
        </w:tc>
        <w:tc>
          <w:tcPr>
            <w:tcW w:w="1540" w:type="dxa"/>
            <w:vAlign w:val="bottom"/>
          </w:tcPr>
          <w:p>
            <w:pPr>
              <w:jc w:val="center"/>
              <w:ind w:right="28"/>
              <w:spacing w:after="0"/>
              <w:rPr>
                <w:sz w:val="20"/>
                <w:szCs w:val="20"/>
                <w:color w:val="auto"/>
              </w:rPr>
            </w:pPr>
            <w:r>
              <w:rPr>
                <w:rFonts w:ascii="Arial" w:cs="Arial" w:eastAsia="Arial" w:hAnsi="Arial"/>
                <w:sz w:val="14"/>
                <w:szCs w:val="14"/>
                <w:color w:val="auto"/>
              </w:rPr>
              <w:t>1,380</w:t>
            </w:r>
          </w:p>
        </w:tc>
        <w:tc>
          <w:tcPr>
            <w:tcW w:w="1320" w:type="dxa"/>
            <w:vAlign w:val="bottom"/>
          </w:tcPr>
          <w:p>
            <w:pPr>
              <w:jc w:val="center"/>
              <w:spacing w:after="0"/>
              <w:rPr>
                <w:sz w:val="20"/>
                <w:szCs w:val="20"/>
                <w:color w:val="auto"/>
              </w:rPr>
            </w:pPr>
            <w:r>
              <w:rPr>
                <w:rFonts w:ascii="Arial" w:cs="Arial" w:eastAsia="Arial" w:hAnsi="Arial"/>
                <w:sz w:val="14"/>
                <w:szCs w:val="14"/>
                <w:color w:val="auto"/>
              </w:rPr>
              <w:t>14,400</w:t>
            </w:r>
          </w:p>
        </w:tc>
        <w:tc>
          <w:tcPr>
            <w:tcW w:w="1540" w:type="dxa"/>
            <w:vAlign w:val="bottom"/>
          </w:tcPr>
          <w:p>
            <w:pPr>
              <w:jc w:val="center"/>
              <w:spacing w:after="0"/>
              <w:rPr>
                <w:sz w:val="20"/>
                <w:szCs w:val="20"/>
                <w:color w:val="auto"/>
              </w:rPr>
            </w:pPr>
            <w:r>
              <w:rPr>
                <w:rFonts w:ascii="Arial" w:cs="Arial" w:eastAsia="Arial" w:hAnsi="Arial"/>
                <w:sz w:val="14"/>
                <w:szCs w:val="14"/>
                <w:color w:val="auto"/>
              </w:rPr>
              <w:t>10,000</w:t>
            </w:r>
          </w:p>
        </w:tc>
        <w:tc>
          <w:tcPr>
            <w:tcW w:w="1640" w:type="dxa"/>
            <w:vAlign w:val="bottom"/>
          </w:tcPr>
          <w:p>
            <w:pPr>
              <w:jc w:val="center"/>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07"/>
        </w:trPr>
        <w:tc>
          <w:tcPr>
            <w:tcW w:w="1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Simon Keeton</w:t>
            </w:r>
          </w:p>
        </w:tc>
        <w:tc>
          <w:tcPr>
            <w:tcW w:w="1800" w:type="dxa"/>
            <w:vAlign w:val="bottom"/>
            <w:shd w:val="clear" w:color="auto" w:fill="DBDBDB"/>
          </w:tcPr>
          <w:p>
            <w:pPr>
              <w:jc w:val="center"/>
              <w:ind w:left="488"/>
              <w:spacing w:after="0"/>
              <w:rPr>
                <w:sz w:val="20"/>
                <w:szCs w:val="20"/>
                <w:color w:val="auto"/>
              </w:rPr>
            </w:pPr>
            <w:r>
              <w:rPr>
                <w:rFonts w:ascii="Arial" w:cs="Arial" w:eastAsia="Arial" w:hAnsi="Arial"/>
                <w:sz w:val="14"/>
                <w:szCs w:val="14"/>
                <w:color w:val="auto"/>
              </w:rPr>
              <w:t>12,200</w:t>
            </w:r>
          </w:p>
        </w:tc>
        <w:tc>
          <w:tcPr>
            <w:tcW w:w="156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2,622</w:t>
            </w:r>
          </w:p>
        </w:tc>
        <w:tc>
          <w:tcPr>
            <w:tcW w:w="154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1,380</w:t>
            </w:r>
          </w:p>
        </w:tc>
        <w:tc>
          <w:tcPr>
            <w:tcW w:w="1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14,400</w:t>
            </w:r>
          </w:p>
        </w:tc>
        <w:tc>
          <w:tcPr>
            <w:tcW w:w="15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2,998</w:t>
            </w: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4"/>
                <w:szCs w:val="14"/>
                <w:color w:val="auto"/>
              </w:rPr>
              <w:t>Ross F. Jatou</w:t>
            </w:r>
          </w:p>
        </w:tc>
        <w:tc>
          <w:tcPr>
            <w:tcW w:w="1800" w:type="dxa"/>
            <w:vAlign w:val="bottom"/>
          </w:tcPr>
          <w:p>
            <w:pPr>
              <w:jc w:val="center"/>
              <w:ind w:left="488"/>
              <w:spacing w:after="0"/>
              <w:rPr>
                <w:sz w:val="20"/>
                <w:szCs w:val="20"/>
                <w:color w:val="auto"/>
              </w:rPr>
            </w:pPr>
            <w:r>
              <w:rPr>
                <w:rFonts w:ascii="Arial" w:cs="Arial" w:eastAsia="Arial" w:hAnsi="Arial"/>
                <w:sz w:val="14"/>
                <w:szCs w:val="14"/>
                <w:color w:val="auto"/>
              </w:rPr>
              <w:t>12,200</w:t>
            </w:r>
          </w:p>
        </w:tc>
        <w:tc>
          <w:tcPr>
            <w:tcW w:w="1560" w:type="dxa"/>
            <w:vAlign w:val="bottom"/>
          </w:tcPr>
          <w:p>
            <w:pPr>
              <w:jc w:val="center"/>
              <w:ind w:left="48"/>
              <w:spacing w:after="0"/>
              <w:rPr>
                <w:sz w:val="20"/>
                <w:szCs w:val="20"/>
                <w:color w:val="auto"/>
              </w:rPr>
            </w:pPr>
            <w:r>
              <w:rPr>
                <w:rFonts w:ascii="Arial" w:cs="Arial" w:eastAsia="Arial" w:hAnsi="Arial"/>
                <w:sz w:val="14"/>
                <w:szCs w:val="14"/>
                <w:color w:val="auto"/>
              </w:rPr>
              <w:t>1,242</w:t>
            </w:r>
          </w:p>
        </w:tc>
        <w:tc>
          <w:tcPr>
            <w:tcW w:w="1540" w:type="dxa"/>
            <w:vAlign w:val="bottom"/>
          </w:tcPr>
          <w:p>
            <w:pPr>
              <w:jc w:val="center"/>
              <w:ind w:right="28"/>
              <w:spacing w:after="0"/>
              <w:rPr>
                <w:sz w:val="20"/>
                <w:szCs w:val="20"/>
                <w:color w:val="auto"/>
              </w:rPr>
            </w:pPr>
            <w:r>
              <w:rPr>
                <w:rFonts w:ascii="Arial" w:cs="Arial" w:eastAsia="Arial" w:hAnsi="Arial"/>
                <w:sz w:val="14"/>
                <w:szCs w:val="14"/>
                <w:color w:val="auto"/>
              </w:rPr>
              <w:t>1,380</w:t>
            </w:r>
          </w:p>
        </w:tc>
        <w:tc>
          <w:tcPr>
            <w:tcW w:w="1320" w:type="dxa"/>
            <w:vAlign w:val="bottom"/>
          </w:tcPr>
          <w:p>
            <w:pPr>
              <w:jc w:val="center"/>
              <w:spacing w:after="0"/>
              <w:rPr>
                <w:sz w:val="20"/>
                <w:szCs w:val="20"/>
                <w:color w:val="auto"/>
              </w:rPr>
            </w:pPr>
            <w:r>
              <w:rPr>
                <w:rFonts w:ascii="Arial" w:cs="Arial" w:eastAsia="Arial" w:hAnsi="Arial"/>
                <w:sz w:val="14"/>
                <w:szCs w:val="14"/>
                <w:color w:val="auto"/>
              </w:rPr>
              <w:t>16,800</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Robert Tong</w:t>
            </w:r>
          </w:p>
        </w:tc>
        <w:tc>
          <w:tcPr>
            <w:tcW w:w="1800" w:type="dxa"/>
            <w:vAlign w:val="bottom"/>
            <w:shd w:val="clear" w:color="auto" w:fill="DBDBDB"/>
          </w:tcPr>
          <w:p>
            <w:pPr>
              <w:jc w:val="center"/>
              <w:ind w:left="488"/>
              <w:spacing w:after="0"/>
              <w:rPr>
                <w:sz w:val="20"/>
                <w:szCs w:val="20"/>
                <w:color w:val="auto"/>
              </w:rPr>
            </w:pPr>
            <w:r>
              <w:rPr>
                <w:rFonts w:ascii="Arial" w:cs="Arial" w:eastAsia="Arial" w:hAnsi="Arial"/>
                <w:sz w:val="14"/>
                <w:szCs w:val="14"/>
                <w:color w:val="auto"/>
              </w:rPr>
              <w:t>12,200</w:t>
            </w:r>
          </w:p>
        </w:tc>
        <w:tc>
          <w:tcPr>
            <w:tcW w:w="156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3,564</w:t>
            </w:r>
          </w:p>
        </w:tc>
        <w:tc>
          <w:tcPr>
            <w:tcW w:w="154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1,380</w:t>
            </w:r>
          </w:p>
        </w:tc>
        <w:tc>
          <w:tcPr>
            <w:tcW w:w="13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10,000</w:t>
            </w: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4"/>
        </w:trPr>
        <w:tc>
          <w:tcPr>
            <w:tcW w:w="1740" w:type="dxa"/>
            <w:vAlign w:val="bottom"/>
          </w:tcPr>
          <w:p>
            <w:pPr>
              <w:ind w:left="20"/>
              <w:spacing w:after="0"/>
              <w:rPr>
                <w:sz w:val="20"/>
                <w:szCs w:val="20"/>
                <w:color w:val="auto"/>
              </w:rPr>
            </w:pPr>
            <w:r>
              <w:rPr>
                <w:rFonts w:ascii="Arial" w:cs="Arial" w:eastAsia="Arial" w:hAnsi="Arial"/>
                <w:sz w:val="14"/>
                <w:szCs w:val="14"/>
                <w:color w:val="auto"/>
              </w:rPr>
              <w:t>Vincent C. Hopkin</w:t>
            </w:r>
          </w:p>
        </w:tc>
        <w:tc>
          <w:tcPr>
            <w:tcW w:w="1800" w:type="dxa"/>
            <w:vAlign w:val="bottom"/>
          </w:tcPr>
          <w:p>
            <w:pPr>
              <w:jc w:val="center"/>
              <w:ind w:left="488"/>
              <w:spacing w:after="0"/>
              <w:rPr>
                <w:sz w:val="20"/>
                <w:szCs w:val="20"/>
                <w:color w:val="auto"/>
              </w:rPr>
            </w:pPr>
            <w:r>
              <w:rPr>
                <w:rFonts w:ascii="Arial" w:cs="Arial" w:eastAsia="Arial" w:hAnsi="Arial"/>
                <w:sz w:val="14"/>
                <w:szCs w:val="14"/>
                <w:color w:val="auto"/>
              </w:rPr>
              <w:t>12,200</w:t>
            </w:r>
          </w:p>
        </w:tc>
        <w:tc>
          <w:tcPr>
            <w:tcW w:w="1560" w:type="dxa"/>
            <w:vAlign w:val="bottom"/>
          </w:tcPr>
          <w:p>
            <w:pPr>
              <w:jc w:val="center"/>
              <w:ind w:left="48"/>
              <w:spacing w:after="0"/>
              <w:rPr>
                <w:sz w:val="20"/>
                <w:szCs w:val="20"/>
                <w:color w:val="auto"/>
              </w:rPr>
            </w:pPr>
            <w:r>
              <w:rPr>
                <w:rFonts w:ascii="Arial" w:cs="Arial" w:eastAsia="Arial" w:hAnsi="Arial"/>
                <w:sz w:val="14"/>
                <w:szCs w:val="14"/>
                <w:color w:val="auto"/>
              </w:rPr>
              <w:t>4,920</w:t>
            </w:r>
          </w:p>
        </w:tc>
        <w:tc>
          <w:tcPr>
            <w:tcW w:w="1540" w:type="dxa"/>
            <w:vAlign w:val="bottom"/>
          </w:tcPr>
          <w:p>
            <w:pPr>
              <w:jc w:val="center"/>
              <w:ind w:right="28"/>
              <w:spacing w:after="0"/>
              <w:rPr>
                <w:sz w:val="20"/>
                <w:szCs w:val="20"/>
                <w:color w:val="auto"/>
              </w:rPr>
            </w:pPr>
            <w:r>
              <w:rPr>
                <w:rFonts w:ascii="Arial" w:cs="Arial" w:eastAsia="Arial" w:hAnsi="Arial"/>
                <w:sz w:val="14"/>
                <w:szCs w:val="14"/>
                <w:color w:val="auto"/>
              </w:rPr>
              <w:t>920</w:t>
            </w:r>
          </w:p>
        </w:tc>
        <w:tc>
          <w:tcPr>
            <w:tcW w:w="1320" w:type="dxa"/>
            <w:vAlign w:val="bottom"/>
          </w:tcPr>
          <w:p>
            <w:pPr>
              <w:jc w:val="center"/>
              <w:spacing w:after="0"/>
              <w:rPr>
                <w:sz w:val="20"/>
                <w:szCs w:val="20"/>
                <w:color w:val="auto"/>
              </w:rPr>
            </w:pPr>
            <w:r>
              <w:rPr>
                <w:rFonts w:ascii="Arial" w:cs="Arial" w:eastAsia="Arial" w:hAnsi="Arial"/>
                <w:sz w:val="14"/>
                <w:szCs w:val="14"/>
                <w:color w:val="auto"/>
              </w:rPr>
              <w:t>8,400</w:t>
            </w:r>
          </w:p>
        </w:tc>
        <w:tc>
          <w:tcPr>
            <w:tcW w:w="1540" w:type="dxa"/>
            <w:vAlign w:val="bottom"/>
          </w:tcPr>
          <w:p>
            <w:pPr>
              <w:jc w:val="center"/>
              <w:spacing w:after="0"/>
              <w:rPr>
                <w:sz w:val="20"/>
                <w:szCs w:val="20"/>
                <w:color w:val="auto"/>
              </w:rPr>
            </w:pPr>
            <w:r>
              <w:rPr>
                <w:rFonts w:ascii="Arial" w:cs="Arial" w:eastAsia="Arial" w:hAnsi="Arial"/>
                <w:sz w:val="14"/>
                <w:szCs w:val="14"/>
                <w:color w:val="auto"/>
              </w:rPr>
              <w:t>3,755</w:t>
            </w:r>
          </w:p>
        </w:tc>
        <w:tc>
          <w:tcPr>
            <w:tcW w:w="1640" w:type="dxa"/>
            <w:vAlign w:val="bottom"/>
          </w:tcPr>
          <w:p>
            <w:pPr>
              <w:jc w:val="center"/>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0719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Company also pays Medicare tax at the rate of 1.45% on the amounts listed in these columns.</w:t>
      </w:r>
    </w:p>
    <w:p>
      <w:pPr>
        <w:spacing w:after="0" w:line="42" w:lineRule="exact"/>
        <w:rPr>
          <w:sz w:val="20"/>
          <w:szCs w:val="20"/>
          <w:color w:val="auto"/>
        </w:rPr>
      </w:pPr>
    </w:p>
    <w:p>
      <w:pPr>
        <w:ind w:left="240" w:hanging="214"/>
        <w:spacing w:after="0"/>
        <w:tabs>
          <w:tab w:leader="none" w:pos="2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Tong was promoted was promoted to Executive Vice President and General Manager, Advanced Solutions Group effective as of May 27, 2022.</w:t>
      </w:r>
    </w:p>
    <w:p>
      <w:pPr>
        <w:spacing w:after="0" w:line="41" w:lineRule="exact"/>
        <w:rPr>
          <w:rFonts w:ascii="Arial" w:cs="Arial" w:eastAsia="Arial" w:hAnsi="Arial"/>
          <w:sz w:val="14"/>
          <w:szCs w:val="14"/>
          <w:color w:val="auto"/>
        </w:rPr>
      </w:pPr>
    </w:p>
    <w:p>
      <w:pPr>
        <w:ind w:left="260" w:right="300" w:hanging="234"/>
        <w:spacing w:after="0" w:line="235" w:lineRule="auto"/>
        <w:tabs>
          <w:tab w:leader="none" w:pos="233"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Hopkin stepped down from the offices of Senior Vice President and General Manager, Advanced Solutions Group on May 27, 2022 and fully retired from all positions with the Company on August 1, 2022. Upon his retirement, his entire 2022 equity award was forfeited and he was no longer eligible to receive a payout under the 2022 STI program.</w:t>
      </w:r>
    </w:p>
    <w:p>
      <w:pPr>
        <w:spacing w:after="0" w:line="38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Grants of Plan-Based Awards in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463"/>
        </w:trPr>
        <w:tc>
          <w:tcPr>
            <w:tcW w:w="1700" w:type="dxa"/>
            <w:vAlign w:val="bottom"/>
            <w:shd w:val="clear" w:color="auto" w:fill="465E66"/>
          </w:tcPr>
          <w:p>
            <w:pPr>
              <w:spacing w:after="0"/>
              <w:rPr>
                <w:sz w:val="24"/>
                <w:szCs w:val="24"/>
                <w:color w:val="auto"/>
              </w:rPr>
            </w:pPr>
          </w:p>
        </w:tc>
        <w:tc>
          <w:tcPr>
            <w:tcW w:w="1000" w:type="dxa"/>
            <w:vAlign w:val="bottom"/>
            <w:shd w:val="clear" w:color="auto" w:fill="465E66"/>
          </w:tcPr>
          <w:p>
            <w:pPr>
              <w:spacing w:after="0"/>
              <w:rPr>
                <w:sz w:val="24"/>
                <w:szCs w:val="24"/>
                <w:color w:val="auto"/>
              </w:rPr>
            </w:pPr>
          </w:p>
        </w:tc>
        <w:tc>
          <w:tcPr>
            <w:tcW w:w="1380" w:type="dxa"/>
            <w:vAlign w:val="bottom"/>
            <w:shd w:val="clear" w:color="auto" w:fill="465E66"/>
          </w:tcPr>
          <w:p>
            <w:pPr>
              <w:spacing w:after="0"/>
              <w:rPr>
                <w:sz w:val="24"/>
                <w:szCs w:val="24"/>
                <w:color w:val="auto"/>
              </w:rPr>
            </w:pPr>
          </w:p>
        </w:tc>
        <w:tc>
          <w:tcPr>
            <w:tcW w:w="2240" w:type="dxa"/>
            <w:vAlign w:val="bottom"/>
            <w:gridSpan w:val="2"/>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220" w:type="dxa"/>
            <w:vAlign w:val="bottom"/>
            <w:shd w:val="clear" w:color="auto" w:fill="465E66"/>
          </w:tcPr>
          <w:p>
            <w:pPr>
              <w:spacing w:after="0"/>
              <w:rPr>
                <w:sz w:val="24"/>
                <w:szCs w:val="24"/>
                <w:color w:val="auto"/>
              </w:rPr>
            </w:pPr>
          </w:p>
        </w:tc>
        <w:tc>
          <w:tcPr>
            <w:tcW w:w="1140" w:type="dxa"/>
            <w:vAlign w:val="bottom"/>
            <w:shd w:val="clear" w:color="auto" w:fill="465E66"/>
          </w:tcPr>
          <w:p>
            <w:pPr>
              <w:spacing w:after="0"/>
              <w:rPr>
                <w:sz w:val="24"/>
                <w:szCs w:val="24"/>
                <w:color w:val="auto"/>
              </w:rPr>
            </w:pPr>
          </w:p>
        </w:tc>
        <w:tc>
          <w:tcPr>
            <w:tcW w:w="12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All Other Stock</w:t>
            </w:r>
          </w:p>
        </w:tc>
        <w:tc>
          <w:tcPr>
            <w:tcW w:w="1260" w:type="dxa"/>
            <w:vAlign w:val="bottom"/>
            <w:shd w:val="clear" w:color="auto" w:fill="465E66"/>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00" w:type="dxa"/>
            <w:vAlign w:val="bottom"/>
            <w:shd w:val="clear" w:color="auto" w:fill="465E66"/>
          </w:tcPr>
          <w:p>
            <w:pPr>
              <w:spacing w:after="0"/>
              <w:rPr>
                <w:sz w:val="5"/>
                <w:szCs w:val="5"/>
                <w:color w:val="auto"/>
              </w:rPr>
            </w:pPr>
          </w:p>
        </w:tc>
        <w:tc>
          <w:tcPr>
            <w:tcW w:w="1000" w:type="dxa"/>
            <w:vAlign w:val="bottom"/>
            <w:shd w:val="clear" w:color="auto" w:fill="465E66"/>
          </w:tcPr>
          <w:p>
            <w:pPr>
              <w:spacing w:after="0"/>
              <w:rPr>
                <w:sz w:val="5"/>
                <w:szCs w:val="5"/>
                <w:color w:val="auto"/>
              </w:rPr>
            </w:pPr>
          </w:p>
        </w:tc>
        <w:tc>
          <w:tcPr>
            <w:tcW w:w="1380" w:type="dxa"/>
            <w:vAlign w:val="bottom"/>
            <w:shd w:val="clear" w:color="auto" w:fill="465E66"/>
          </w:tcPr>
          <w:p>
            <w:pPr>
              <w:spacing w:after="0"/>
              <w:rPr>
                <w:sz w:val="5"/>
                <w:szCs w:val="5"/>
                <w:color w:val="auto"/>
              </w:rPr>
            </w:pPr>
          </w:p>
        </w:tc>
        <w:tc>
          <w:tcPr>
            <w:tcW w:w="2240" w:type="dxa"/>
            <w:vAlign w:val="bottom"/>
            <w:gridSpan w:val="2"/>
            <w:vMerge w:val="continue"/>
            <w:shd w:val="clear" w:color="auto" w:fill="465E66"/>
          </w:tcPr>
          <w:p>
            <w:pPr>
              <w:spacing w:after="0"/>
              <w:rPr>
                <w:sz w:val="5"/>
                <w:szCs w:val="5"/>
                <w:color w:val="auto"/>
              </w:rPr>
            </w:pPr>
          </w:p>
        </w:tc>
        <w:tc>
          <w:tcPr>
            <w:tcW w:w="2360" w:type="dxa"/>
            <w:vAlign w:val="bottom"/>
            <w:gridSpan w:val="2"/>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Estimated Future Payouts Under</w:t>
            </w:r>
          </w:p>
        </w:tc>
        <w:tc>
          <w:tcPr>
            <w:tcW w:w="12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Awards: Number</w:t>
            </w:r>
          </w:p>
        </w:tc>
        <w:tc>
          <w:tcPr>
            <w:tcW w:w="126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0" w:type="dxa"/>
            <w:vAlign w:val="bottom"/>
          </w:tcPr>
          <w:p>
            <w:pPr>
              <w:spacing w:after="0"/>
              <w:rPr>
                <w:sz w:val="1"/>
                <w:szCs w:val="1"/>
                <w:color w:val="auto"/>
              </w:rPr>
            </w:pPr>
          </w:p>
        </w:tc>
      </w:tr>
      <w:tr>
        <w:trPr>
          <w:trHeight w:val="144"/>
        </w:trPr>
        <w:tc>
          <w:tcPr>
            <w:tcW w:w="1700" w:type="dxa"/>
            <w:vAlign w:val="bottom"/>
            <w:shd w:val="clear" w:color="auto" w:fill="465E66"/>
          </w:tcPr>
          <w:p>
            <w:pPr>
              <w:spacing w:after="0"/>
              <w:rPr>
                <w:sz w:val="12"/>
                <w:szCs w:val="12"/>
                <w:color w:val="auto"/>
              </w:rPr>
            </w:pPr>
          </w:p>
        </w:tc>
        <w:tc>
          <w:tcPr>
            <w:tcW w:w="1000" w:type="dxa"/>
            <w:vAlign w:val="bottom"/>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2240" w:type="dxa"/>
            <w:vAlign w:val="bottom"/>
            <w:gridSpan w:val="2"/>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Under Non-Equity Incentive</w:t>
            </w:r>
          </w:p>
        </w:tc>
        <w:tc>
          <w:tcPr>
            <w:tcW w:w="2360" w:type="dxa"/>
            <w:vAlign w:val="bottom"/>
            <w:gridSpan w:val="2"/>
            <w:vMerge w:val="continue"/>
            <w:shd w:val="clear" w:color="auto" w:fill="465E66"/>
          </w:tcPr>
          <w:p>
            <w:pPr>
              <w:spacing w:after="0"/>
              <w:rPr>
                <w:sz w:val="12"/>
                <w:szCs w:val="12"/>
                <w:color w:val="auto"/>
              </w:rPr>
            </w:pPr>
          </w:p>
        </w:tc>
        <w:tc>
          <w:tcPr>
            <w:tcW w:w="1280" w:type="dxa"/>
            <w:vAlign w:val="bottom"/>
            <w:vMerge w:val="continue"/>
            <w:shd w:val="clear" w:color="auto" w:fill="465E66"/>
          </w:tcPr>
          <w:p>
            <w:pPr>
              <w:spacing w:after="0"/>
              <w:rPr>
                <w:sz w:val="12"/>
                <w:szCs w:val="12"/>
                <w:color w:val="auto"/>
              </w:rPr>
            </w:pPr>
          </w:p>
        </w:tc>
        <w:tc>
          <w:tcPr>
            <w:tcW w:w="126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00" w:type="dxa"/>
            <w:vAlign w:val="bottom"/>
            <w:shd w:val="clear" w:color="auto" w:fill="465E66"/>
          </w:tcPr>
          <w:p>
            <w:pPr>
              <w:spacing w:after="0"/>
              <w:rPr>
                <w:sz w:val="7"/>
                <w:szCs w:val="7"/>
                <w:color w:val="auto"/>
              </w:rPr>
            </w:pPr>
          </w:p>
        </w:tc>
        <w:tc>
          <w:tcPr>
            <w:tcW w:w="1000" w:type="dxa"/>
            <w:vAlign w:val="bottom"/>
            <w:shd w:val="clear" w:color="auto" w:fill="465E66"/>
          </w:tcPr>
          <w:p>
            <w:pPr>
              <w:spacing w:after="0"/>
              <w:rPr>
                <w:sz w:val="7"/>
                <w:szCs w:val="7"/>
                <w:color w:val="auto"/>
              </w:rPr>
            </w:pPr>
          </w:p>
        </w:tc>
        <w:tc>
          <w:tcPr>
            <w:tcW w:w="1380" w:type="dxa"/>
            <w:vAlign w:val="bottom"/>
            <w:shd w:val="clear" w:color="auto" w:fill="465E66"/>
          </w:tcPr>
          <w:p>
            <w:pPr>
              <w:spacing w:after="0"/>
              <w:rPr>
                <w:sz w:val="7"/>
                <w:szCs w:val="7"/>
                <w:color w:val="auto"/>
              </w:rPr>
            </w:pPr>
          </w:p>
        </w:tc>
        <w:tc>
          <w:tcPr>
            <w:tcW w:w="2240" w:type="dxa"/>
            <w:vAlign w:val="bottom"/>
            <w:gridSpan w:val="2"/>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Plan Awards (1)</w:t>
            </w:r>
          </w:p>
        </w:tc>
        <w:tc>
          <w:tcPr>
            <w:tcW w:w="2360" w:type="dxa"/>
            <w:vAlign w:val="bottom"/>
            <w:gridSpan w:val="2"/>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Equity Incentive Plan Awards (2)</w:t>
            </w:r>
          </w:p>
        </w:tc>
        <w:tc>
          <w:tcPr>
            <w:tcW w:w="1280" w:type="dxa"/>
            <w:vAlign w:val="bottom"/>
            <w:shd w:val="clear" w:color="auto" w:fill="465E66"/>
          </w:tcPr>
          <w:p>
            <w:pPr>
              <w:jc w:val="center"/>
              <w:spacing w:after="0" w:line="81" w:lineRule="exact"/>
              <w:rPr>
                <w:sz w:val="20"/>
                <w:szCs w:val="20"/>
                <w:color w:val="auto"/>
              </w:rPr>
            </w:pPr>
            <w:r>
              <w:rPr>
                <w:rFonts w:ascii="Arial" w:cs="Arial" w:eastAsia="Arial" w:hAnsi="Arial"/>
                <w:sz w:val="9"/>
                <w:szCs w:val="9"/>
                <w:b w:val="1"/>
                <w:bCs w:val="1"/>
                <w:color w:val="FFFFFF"/>
              </w:rPr>
              <w:t>of Shares of</w:t>
            </w:r>
          </w:p>
        </w:tc>
        <w:tc>
          <w:tcPr>
            <w:tcW w:w="1260" w:type="dxa"/>
            <w:vAlign w:val="bottom"/>
            <w:shd w:val="clear" w:color="auto" w:fill="465E66"/>
          </w:tcPr>
          <w:p>
            <w:pPr>
              <w:jc w:val="center"/>
              <w:spacing w:after="0" w:line="81" w:lineRule="exact"/>
              <w:rPr>
                <w:sz w:val="20"/>
                <w:szCs w:val="20"/>
                <w:color w:val="auto"/>
              </w:rPr>
            </w:pPr>
            <w:r>
              <w:rPr>
                <w:rFonts w:ascii="Arial" w:cs="Arial" w:eastAsia="Arial" w:hAnsi="Arial"/>
                <w:sz w:val="9"/>
                <w:szCs w:val="9"/>
                <w:b w:val="1"/>
                <w:bCs w:val="1"/>
                <w:color w:val="FFFFFF"/>
              </w:rPr>
              <w:t>Value of Stock</w:t>
            </w:r>
          </w:p>
        </w:tc>
        <w:tc>
          <w:tcPr>
            <w:tcW w:w="0" w:type="dxa"/>
            <w:vAlign w:val="bottom"/>
          </w:tcPr>
          <w:p>
            <w:pPr>
              <w:spacing w:after="0"/>
              <w:rPr>
                <w:sz w:val="1"/>
                <w:szCs w:val="1"/>
                <w:color w:val="auto"/>
              </w:rPr>
            </w:pPr>
          </w:p>
        </w:tc>
      </w:tr>
      <w:tr>
        <w:trPr>
          <w:trHeight w:val="119"/>
        </w:trPr>
        <w:tc>
          <w:tcPr>
            <w:tcW w:w="1700" w:type="dxa"/>
            <w:vAlign w:val="bottom"/>
            <w:shd w:val="clear" w:color="auto" w:fill="465E66"/>
          </w:tcPr>
          <w:p>
            <w:pPr>
              <w:spacing w:after="0"/>
              <w:rPr>
                <w:sz w:val="10"/>
                <w:szCs w:val="10"/>
                <w:color w:val="auto"/>
              </w:rPr>
            </w:pPr>
          </w:p>
        </w:tc>
        <w:tc>
          <w:tcPr>
            <w:tcW w:w="1000" w:type="dxa"/>
            <w:vAlign w:val="bottom"/>
            <w:shd w:val="clear" w:color="auto" w:fill="465E66"/>
          </w:tcPr>
          <w:p>
            <w:pPr>
              <w:spacing w:after="0"/>
              <w:rPr>
                <w:sz w:val="10"/>
                <w:szCs w:val="10"/>
                <w:color w:val="auto"/>
              </w:rPr>
            </w:pPr>
          </w:p>
        </w:tc>
        <w:tc>
          <w:tcPr>
            <w:tcW w:w="1380" w:type="dxa"/>
            <w:vAlign w:val="bottom"/>
            <w:shd w:val="clear" w:color="auto" w:fill="465E66"/>
          </w:tcPr>
          <w:p>
            <w:pPr>
              <w:spacing w:after="0"/>
              <w:rPr>
                <w:sz w:val="10"/>
                <w:szCs w:val="10"/>
                <w:color w:val="auto"/>
              </w:rPr>
            </w:pPr>
          </w:p>
        </w:tc>
        <w:tc>
          <w:tcPr>
            <w:tcW w:w="2240" w:type="dxa"/>
            <w:vAlign w:val="bottom"/>
            <w:gridSpan w:val="2"/>
            <w:vMerge w:val="continue"/>
            <w:shd w:val="clear" w:color="auto" w:fill="465E66"/>
          </w:tcPr>
          <w:p>
            <w:pPr>
              <w:spacing w:after="0"/>
              <w:rPr>
                <w:sz w:val="10"/>
                <w:szCs w:val="10"/>
                <w:color w:val="auto"/>
              </w:rPr>
            </w:pPr>
          </w:p>
        </w:tc>
        <w:tc>
          <w:tcPr>
            <w:tcW w:w="2360" w:type="dxa"/>
            <w:vAlign w:val="bottom"/>
            <w:gridSpan w:val="2"/>
            <w:vMerge w:val="continue"/>
            <w:shd w:val="clear" w:color="auto" w:fill="465E66"/>
          </w:tcPr>
          <w:p>
            <w:pPr>
              <w:spacing w:after="0"/>
              <w:rPr>
                <w:sz w:val="10"/>
                <w:szCs w:val="10"/>
                <w:color w:val="auto"/>
              </w:rPr>
            </w:pPr>
          </w:p>
        </w:tc>
        <w:tc>
          <w:tcPr>
            <w:tcW w:w="1280" w:type="dxa"/>
            <w:vAlign w:val="bottom"/>
            <w:vMerge w:val="restart"/>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Stock or Units</w:t>
            </w:r>
          </w:p>
        </w:tc>
        <w:tc>
          <w:tcPr>
            <w:tcW w:w="1260" w:type="dxa"/>
            <w:vAlign w:val="bottom"/>
            <w:vMerge w:val="restart"/>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and Option</w:t>
            </w:r>
          </w:p>
        </w:tc>
        <w:tc>
          <w:tcPr>
            <w:tcW w:w="0" w:type="dxa"/>
            <w:vAlign w:val="bottom"/>
          </w:tcPr>
          <w:p>
            <w:pPr>
              <w:spacing w:after="0"/>
              <w:rPr>
                <w:sz w:val="1"/>
                <w:szCs w:val="1"/>
                <w:color w:val="auto"/>
              </w:rPr>
            </w:pPr>
          </w:p>
        </w:tc>
      </w:tr>
      <w:tr>
        <w:trPr>
          <w:trHeight w:val="29"/>
        </w:trPr>
        <w:tc>
          <w:tcPr>
            <w:tcW w:w="1700" w:type="dxa"/>
            <w:vAlign w:val="bottom"/>
            <w:shd w:val="clear" w:color="auto" w:fill="465E66"/>
          </w:tcPr>
          <w:p>
            <w:pPr>
              <w:spacing w:after="0"/>
              <w:rPr>
                <w:sz w:val="2"/>
                <w:szCs w:val="2"/>
                <w:color w:val="auto"/>
              </w:rPr>
            </w:pPr>
          </w:p>
        </w:tc>
        <w:tc>
          <w:tcPr>
            <w:tcW w:w="1000" w:type="dxa"/>
            <w:vAlign w:val="bottom"/>
            <w:shd w:val="clear" w:color="auto" w:fill="465E66"/>
          </w:tcPr>
          <w:p>
            <w:pPr>
              <w:spacing w:after="0"/>
              <w:rPr>
                <w:sz w:val="2"/>
                <w:szCs w:val="2"/>
                <w:color w:val="auto"/>
              </w:rPr>
            </w:pPr>
          </w:p>
        </w:tc>
        <w:tc>
          <w:tcPr>
            <w:tcW w:w="1380" w:type="dxa"/>
            <w:vAlign w:val="bottom"/>
            <w:shd w:val="clear" w:color="auto" w:fill="465E66"/>
          </w:tcPr>
          <w:p>
            <w:pPr>
              <w:spacing w:after="0"/>
              <w:rPr>
                <w:sz w:val="2"/>
                <w:szCs w:val="2"/>
                <w:color w:val="auto"/>
              </w:rPr>
            </w:pPr>
          </w:p>
        </w:tc>
        <w:tc>
          <w:tcPr>
            <w:tcW w:w="1240" w:type="dxa"/>
            <w:vAlign w:val="bottom"/>
            <w:vMerge w:val="restart"/>
            <w:shd w:val="clear" w:color="auto" w:fill="465E66"/>
          </w:tcPr>
          <w:p>
            <w:pPr>
              <w:ind w:left="400"/>
              <w:spacing w:after="0"/>
              <w:rPr>
                <w:sz w:val="20"/>
                <w:szCs w:val="20"/>
                <w:color w:val="auto"/>
              </w:rPr>
            </w:pPr>
            <w:r>
              <w:rPr>
                <w:rFonts w:ascii="Arial" w:cs="Arial" w:eastAsia="Arial" w:hAnsi="Arial"/>
                <w:sz w:val="14"/>
                <w:szCs w:val="14"/>
                <w:b w:val="1"/>
                <w:bCs w:val="1"/>
                <w:color w:val="FFFFFF"/>
              </w:rPr>
              <w:t>Target</w:t>
            </w:r>
          </w:p>
        </w:tc>
        <w:tc>
          <w:tcPr>
            <w:tcW w:w="1000" w:type="dxa"/>
            <w:vAlign w:val="bottom"/>
            <w:vMerge w:val="restart"/>
            <w:shd w:val="clear" w:color="auto" w:fill="465E66"/>
          </w:tcPr>
          <w:p>
            <w:pPr>
              <w:ind w:left="160"/>
              <w:spacing w:after="0"/>
              <w:rPr>
                <w:sz w:val="20"/>
                <w:szCs w:val="20"/>
                <w:color w:val="auto"/>
              </w:rPr>
            </w:pPr>
            <w:r>
              <w:rPr>
                <w:rFonts w:ascii="Arial" w:cs="Arial" w:eastAsia="Arial" w:hAnsi="Arial"/>
                <w:sz w:val="14"/>
                <w:szCs w:val="14"/>
                <w:b w:val="1"/>
                <w:bCs w:val="1"/>
                <w:color w:val="FFFFFF"/>
              </w:rPr>
              <w:t>Maximum</w:t>
            </w:r>
          </w:p>
        </w:tc>
        <w:tc>
          <w:tcPr>
            <w:tcW w:w="1220" w:type="dxa"/>
            <w:vAlign w:val="bottom"/>
            <w:vMerge w:val="restart"/>
            <w:shd w:val="clear" w:color="auto" w:fill="465E66"/>
          </w:tcPr>
          <w:p>
            <w:pPr>
              <w:ind w:left="460"/>
              <w:spacing w:after="0"/>
              <w:rPr>
                <w:sz w:val="20"/>
                <w:szCs w:val="20"/>
                <w:color w:val="auto"/>
              </w:rPr>
            </w:pPr>
            <w:r>
              <w:rPr>
                <w:rFonts w:ascii="Arial" w:cs="Arial" w:eastAsia="Arial" w:hAnsi="Arial"/>
                <w:sz w:val="14"/>
                <w:szCs w:val="14"/>
                <w:b w:val="1"/>
                <w:bCs w:val="1"/>
                <w:color w:val="FFFFFF"/>
              </w:rPr>
              <w:t>Target</w:t>
            </w:r>
          </w:p>
        </w:tc>
        <w:tc>
          <w:tcPr>
            <w:tcW w:w="1140" w:type="dxa"/>
            <w:vAlign w:val="bottom"/>
            <w:vMerge w:val="restart"/>
            <w:shd w:val="clear" w:color="auto" w:fill="465E66"/>
          </w:tcPr>
          <w:p>
            <w:pPr>
              <w:ind w:left="300"/>
              <w:spacing w:after="0"/>
              <w:rPr>
                <w:sz w:val="20"/>
                <w:szCs w:val="20"/>
                <w:color w:val="auto"/>
              </w:rPr>
            </w:pPr>
            <w:r>
              <w:rPr>
                <w:rFonts w:ascii="Arial" w:cs="Arial" w:eastAsia="Arial" w:hAnsi="Arial"/>
                <w:sz w:val="14"/>
                <w:szCs w:val="14"/>
                <w:b w:val="1"/>
                <w:bCs w:val="1"/>
                <w:color w:val="FFFFFF"/>
              </w:rPr>
              <w:t>Maximum</w:t>
            </w:r>
          </w:p>
        </w:tc>
        <w:tc>
          <w:tcPr>
            <w:tcW w:w="1280" w:type="dxa"/>
            <w:vAlign w:val="bottom"/>
            <w:vMerge w:val="continue"/>
            <w:shd w:val="clear" w:color="auto" w:fill="465E66"/>
          </w:tcPr>
          <w:p>
            <w:pPr>
              <w:spacing w:after="0"/>
              <w:rPr>
                <w:sz w:val="2"/>
                <w:szCs w:val="2"/>
                <w:color w:val="auto"/>
              </w:rPr>
            </w:pPr>
          </w:p>
        </w:tc>
        <w:tc>
          <w:tcPr>
            <w:tcW w:w="1260" w:type="dxa"/>
            <w:vAlign w:val="bottom"/>
            <w:vMerge w:val="continue"/>
            <w:shd w:val="clear" w:color="auto" w:fill="465E6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70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w:t>
            </w:r>
          </w:p>
        </w:tc>
        <w:tc>
          <w:tcPr>
            <w:tcW w:w="1000" w:type="dxa"/>
            <w:vAlign w:val="bottom"/>
            <w:vMerge w:val="restart"/>
            <w:shd w:val="clear" w:color="auto" w:fill="465E66"/>
          </w:tcPr>
          <w:p>
            <w:pPr>
              <w:jc w:val="right"/>
              <w:ind w:right="68"/>
              <w:spacing w:after="0"/>
              <w:rPr>
                <w:sz w:val="20"/>
                <w:szCs w:val="20"/>
                <w:color w:val="auto"/>
              </w:rPr>
            </w:pPr>
            <w:r>
              <w:rPr>
                <w:rFonts w:ascii="Arial" w:cs="Arial" w:eastAsia="Arial" w:hAnsi="Arial"/>
                <w:sz w:val="14"/>
                <w:szCs w:val="14"/>
                <w:b w:val="1"/>
                <w:bCs w:val="1"/>
                <w:color w:val="FFFFFF"/>
              </w:rPr>
              <w:t>Grant Date</w:t>
            </w:r>
          </w:p>
        </w:tc>
        <w:tc>
          <w:tcPr>
            <w:tcW w:w="1380" w:type="dxa"/>
            <w:vAlign w:val="bottom"/>
            <w:vMerge w:val="restart"/>
            <w:shd w:val="clear" w:color="auto" w:fill="465E66"/>
          </w:tcPr>
          <w:p>
            <w:pPr>
              <w:ind w:left="200"/>
              <w:spacing w:after="0"/>
              <w:rPr>
                <w:sz w:val="20"/>
                <w:szCs w:val="20"/>
                <w:color w:val="auto"/>
              </w:rPr>
            </w:pPr>
            <w:r>
              <w:rPr>
                <w:rFonts w:ascii="Arial" w:cs="Arial" w:eastAsia="Arial" w:hAnsi="Arial"/>
                <w:sz w:val="14"/>
                <w:szCs w:val="14"/>
                <w:b w:val="1"/>
                <w:bCs w:val="1"/>
                <w:color w:val="FFFFFF"/>
              </w:rPr>
              <w:t>Type of Award</w:t>
            </w:r>
          </w:p>
        </w:tc>
        <w:tc>
          <w:tcPr>
            <w:tcW w:w="1240" w:type="dxa"/>
            <w:vAlign w:val="bottom"/>
            <w:vMerge w:val="continue"/>
            <w:shd w:val="clear" w:color="auto" w:fill="465E66"/>
          </w:tcPr>
          <w:p>
            <w:pPr>
              <w:spacing w:after="0"/>
              <w:rPr>
                <w:sz w:val="12"/>
                <w:szCs w:val="12"/>
                <w:color w:val="auto"/>
              </w:rPr>
            </w:pPr>
          </w:p>
        </w:tc>
        <w:tc>
          <w:tcPr>
            <w:tcW w:w="1000" w:type="dxa"/>
            <w:vAlign w:val="bottom"/>
            <w:vMerge w:val="continue"/>
            <w:shd w:val="clear" w:color="auto" w:fill="465E66"/>
          </w:tcPr>
          <w:p>
            <w:pPr>
              <w:spacing w:after="0"/>
              <w:rPr>
                <w:sz w:val="12"/>
                <w:szCs w:val="12"/>
                <w:color w:val="auto"/>
              </w:rPr>
            </w:pPr>
          </w:p>
        </w:tc>
        <w:tc>
          <w:tcPr>
            <w:tcW w:w="1220" w:type="dxa"/>
            <w:vAlign w:val="bottom"/>
            <w:vMerge w:val="continue"/>
            <w:shd w:val="clear" w:color="auto" w:fill="465E66"/>
          </w:tcPr>
          <w:p>
            <w:pPr>
              <w:spacing w:after="0"/>
              <w:rPr>
                <w:sz w:val="12"/>
                <w:szCs w:val="12"/>
                <w:color w:val="auto"/>
              </w:rPr>
            </w:pPr>
          </w:p>
        </w:tc>
        <w:tc>
          <w:tcPr>
            <w:tcW w:w="1140" w:type="dxa"/>
            <w:vAlign w:val="bottom"/>
            <w:vMerge w:val="continue"/>
            <w:shd w:val="clear" w:color="auto" w:fill="465E66"/>
          </w:tcPr>
          <w:p>
            <w:pPr>
              <w:spacing w:after="0"/>
              <w:rPr>
                <w:sz w:val="12"/>
                <w:szCs w:val="12"/>
                <w:color w:val="auto"/>
              </w:rPr>
            </w:pPr>
          </w:p>
        </w:tc>
        <w:tc>
          <w:tcPr>
            <w:tcW w:w="1280" w:type="dxa"/>
            <w:vAlign w:val="bottom"/>
            <w:shd w:val="clear" w:color="auto" w:fill="465E66"/>
          </w:tcPr>
          <w:p>
            <w:pPr>
              <w:jc w:val="center"/>
              <w:spacing w:after="0" w:line="139" w:lineRule="exact"/>
              <w:rPr>
                <w:sz w:val="20"/>
                <w:szCs w:val="20"/>
                <w:color w:val="auto"/>
              </w:rPr>
            </w:pPr>
            <w:r>
              <w:rPr>
                <w:rFonts w:ascii="Arial" w:cs="Arial" w:eastAsia="Arial" w:hAnsi="Arial"/>
                <w:sz w:val="14"/>
                <w:szCs w:val="14"/>
                <w:b w:val="1"/>
                <w:bCs w:val="1"/>
                <w:color w:val="FFFFFF"/>
              </w:rPr>
              <w:t>(3)</w:t>
            </w:r>
          </w:p>
        </w:tc>
        <w:tc>
          <w:tcPr>
            <w:tcW w:w="1260" w:type="dxa"/>
            <w:vAlign w:val="bottom"/>
            <w:shd w:val="clear" w:color="auto" w:fill="465E66"/>
          </w:tcPr>
          <w:p>
            <w:pPr>
              <w:jc w:val="center"/>
              <w:spacing w:after="0" w:line="139" w:lineRule="exact"/>
              <w:rPr>
                <w:sz w:val="20"/>
                <w:szCs w:val="20"/>
                <w:color w:val="auto"/>
              </w:rPr>
            </w:pPr>
            <w:r>
              <w:rPr>
                <w:rFonts w:ascii="Arial" w:cs="Arial" w:eastAsia="Arial" w:hAnsi="Arial"/>
                <w:sz w:val="14"/>
                <w:szCs w:val="14"/>
                <w:b w:val="1"/>
                <w:bCs w:val="1"/>
                <w:color w:val="FFFFFF"/>
              </w:rPr>
              <w:t>Awards (4)</w:t>
            </w:r>
          </w:p>
        </w:tc>
        <w:tc>
          <w:tcPr>
            <w:tcW w:w="0" w:type="dxa"/>
            <w:vAlign w:val="bottom"/>
          </w:tcPr>
          <w:p>
            <w:pPr>
              <w:spacing w:after="0"/>
              <w:rPr>
                <w:sz w:val="1"/>
                <w:szCs w:val="1"/>
                <w:color w:val="auto"/>
              </w:rPr>
            </w:pPr>
          </w:p>
        </w:tc>
      </w:tr>
      <w:tr>
        <w:trPr>
          <w:trHeight w:val="185"/>
        </w:trPr>
        <w:tc>
          <w:tcPr>
            <w:tcW w:w="1700" w:type="dxa"/>
            <w:vAlign w:val="bottom"/>
            <w:vMerge w:val="continue"/>
            <w:shd w:val="clear" w:color="auto" w:fill="465E66"/>
          </w:tcPr>
          <w:p>
            <w:pPr>
              <w:spacing w:after="0"/>
              <w:rPr>
                <w:sz w:val="16"/>
                <w:szCs w:val="16"/>
                <w:color w:val="auto"/>
              </w:rPr>
            </w:pPr>
          </w:p>
        </w:tc>
        <w:tc>
          <w:tcPr>
            <w:tcW w:w="1000" w:type="dxa"/>
            <w:vAlign w:val="bottom"/>
            <w:vMerge w:val="continue"/>
            <w:shd w:val="clear" w:color="auto" w:fill="465E66"/>
          </w:tcPr>
          <w:p>
            <w:pPr>
              <w:spacing w:after="0"/>
              <w:rPr>
                <w:sz w:val="16"/>
                <w:szCs w:val="16"/>
                <w:color w:val="auto"/>
              </w:rPr>
            </w:pPr>
          </w:p>
        </w:tc>
        <w:tc>
          <w:tcPr>
            <w:tcW w:w="1380" w:type="dxa"/>
            <w:vAlign w:val="bottom"/>
            <w:vMerge w:val="continue"/>
            <w:shd w:val="clear" w:color="auto" w:fill="465E66"/>
          </w:tcPr>
          <w:p>
            <w:pPr>
              <w:spacing w:after="0"/>
              <w:rPr>
                <w:sz w:val="16"/>
                <w:szCs w:val="16"/>
                <w:color w:val="auto"/>
              </w:rPr>
            </w:pPr>
          </w:p>
        </w:tc>
        <w:tc>
          <w:tcPr>
            <w:tcW w:w="12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220" w:type="dxa"/>
            <w:vAlign w:val="bottom"/>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08"/>
        </w:trPr>
        <w:tc>
          <w:tcPr>
            <w:tcW w:w="1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Hassane El-Khoury</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Annual Incentive</w:t>
            </w:r>
          </w:p>
        </w:tc>
        <w:tc>
          <w:tcPr>
            <w:tcW w:w="12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1,476,923</w:t>
            </w: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2,953,845</w:t>
            </w:r>
          </w:p>
        </w:tc>
        <w:tc>
          <w:tcPr>
            <w:tcW w:w="12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2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78,006</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4,600,014</w:t>
            </w:r>
          </w:p>
        </w:tc>
        <w:tc>
          <w:tcPr>
            <w:tcW w:w="0" w:type="dxa"/>
            <w:vAlign w:val="bottom"/>
          </w:tcPr>
          <w:p>
            <w:pPr>
              <w:spacing w:after="0"/>
              <w:rPr>
                <w:sz w:val="1"/>
                <w:szCs w:val="1"/>
                <w:color w:val="auto"/>
              </w:rPr>
            </w:pPr>
          </w:p>
        </w:tc>
      </w:tr>
      <w:tr>
        <w:trPr>
          <w:trHeight w:val="211"/>
        </w:trPr>
        <w:tc>
          <w:tcPr>
            <w:tcW w:w="17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PBRSUs</w:t>
            </w:r>
          </w:p>
        </w:tc>
        <w:tc>
          <w:tcPr>
            <w:tcW w:w="12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2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w w:val="98"/>
              </w:rPr>
              <w:t>117,009</w:t>
            </w:r>
          </w:p>
        </w:tc>
        <w:tc>
          <w:tcPr>
            <w:tcW w:w="114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248,644</w:t>
            </w:r>
          </w:p>
        </w:tc>
        <w:tc>
          <w:tcPr>
            <w:tcW w:w="1280" w:type="dxa"/>
            <w:vAlign w:val="bottom"/>
            <w:shd w:val="clear" w:color="auto" w:fill="DBDBDB"/>
          </w:tcPr>
          <w:p>
            <w:pPr>
              <w:spacing w:after="0"/>
              <w:rPr>
                <w:sz w:val="18"/>
                <w:szCs w:val="18"/>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7,957,012</w:t>
            </w:r>
          </w:p>
        </w:tc>
        <w:tc>
          <w:tcPr>
            <w:tcW w:w="0" w:type="dxa"/>
            <w:vAlign w:val="bottom"/>
          </w:tcPr>
          <w:p>
            <w:pPr>
              <w:spacing w:after="0"/>
              <w:rPr>
                <w:sz w:val="1"/>
                <w:szCs w:val="1"/>
                <w:color w:val="auto"/>
              </w:rPr>
            </w:pPr>
          </w:p>
        </w:tc>
      </w:tr>
      <w:tr>
        <w:trPr>
          <w:trHeight w:val="208"/>
        </w:trPr>
        <w:tc>
          <w:tcPr>
            <w:tcW w:w="1700" w:type="dxa"/>
            <w:vAlign w:val="bottom"/>
          </w:tcPr>
          <w:p>
            <w:pPr>
              <w:ind w:left="20"/>
              <w:spacing w:after="0"/>
              <w:rPr>
                <w:sz w:val="20"/>
                <w:szCs w:val="20"/>
                <w:color w:val="auto"/>
              </w:rPr>
            </w:pPr>
            <w:r>
              <w:rPr>
                <w:rFonts w:ascii="Arial" w:cs="Arial" w:eastAsia="Arial" w:hAnsi="Arial"/>
                <w:sz w:val="14"/>
                <w:szCs w:val="14"/>
                <w:color w:val="auto"/>
              </w:rPr>
              <w:t>Thad Trent</w:t>
            </w: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Annual Incentive</w:t>
            </w:r>
          </w:p>
        </w:tc>
        <w:tc>
          <w:tcPr>
            <w:tcW w:w="1240" w:type="dxa"/>
            <w:vAlign w:val="bottom"/>
          </w:tcPr>
          <w:p>
            <w:pPr>
              <w:jc w:val="center"/>
              <w:spacing w:after="0"/>
              <w:rPr>
                <w:sz w:val="20"/>
                <w:szCs w:val="20"/>
                <w:color w:val="auto"/>
              </w:rPr>
            </w:pPr>
            <w:r>
              <w:rPr>
                <w:rFonts w:ascii="Arial" w:cs="Arial" w:eastAsia="Arial" w:hAnsi="Arial"/>
                <w:sz w:val="14"/>
                <w:szCs w:val="14"/>
                <w:color w:val="auto"/>
              </w:rPr>
              <w:t>600,000</w:t>
            </w:r>
          </w:p>
        </w:tc>
        <w:tc>
          <w:tcPr>
            <w:tcW w:w="1000" w:type="dxa"/>
            <w:vAlign w:val="bottom"/>
          </w:tcPr>
          <w:p>
            <w:pPr>
              <w:jc w:val="center"/>
              <w:spacing w:after="0"/>
              <w:rPr>
                <w:sz w:val="20"/>
                <w:szCs w:val="20"/>
                <w:color w:val="auto"/>
              </w:rPr>
            </w:pPr>
            <w:r>
              <w:rPr>
                <w:rFonts w:ascii="Arial" w:cs="Arial" w:eastAsia="Arial" w:hAnsi="Arial"/>
                <w:sz w:val="14"/>
                <w:szCs w:val="14"/>
                <w:color w:val="auto"/>
              </w:rPr>
              <w:t>1,200,000</w:t>
            </w: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RSUs</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26,806</w:t>
            </w:r>
          </w:p>
        </w:tc>
        <w:tc>
          <w:tcPr>
            <w:tcW w:w="1260" w:type="dxa"/>
            <w:vAlign w:val="bottom"/>
          </w:tcPr>
          <w:p>
            <w:pPr>
              <w:jc w:val="center"/>
              <w:spacing w:after="0"/>
              <w:rPr>
                <w:sz w:val="20"/>
                <w:szCs w:val="20"/>
                <w:color w:val="auto"/>
              </w:rPr>
            </w:pPr>
            <w:r>
              <w:rPr>
                <w:rFonts w:ascii="Arial" w:cs="Arial" w:eastAsia="Arial" w:hAnsi="Arial"/>
                <w:sz w:val="14"/>
                <w:szCs w:val="14"/>
                <w:color w:val="auto"/>
              </w:rPr>
              <w:t>1,700,037</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PBRSUs</w:t>
            </w: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40,209</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85,444</w:t>
            </w:r>
          </w:p>
        </w:tc>
        <w:tc>
          <w:tcPr>
            <w:tcW w:w="12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2,967,778</w:t>
            </w:r>
          </w:p>
        </w:tc>
        <w:tc>
          <w:tcPr>
            <w:tcW w:w="0" w:type="dxa"/>
            <w:vAlign w:val="bottom"/>
          </w:tcPr>
          <w:p>
            <w:pPr>
              <w:spacing w:after="0"/>
              <w:rPr>
                <w:sz w:val="1"/>
                <w:szCs w:val="1"/>
                <w:color w:val="auto"/>
              </w:rPr>
            </w:pPr>
          </w:p>
        </w:tc>
      </w:tr>
      <w:tr>
        <w:trPr>
          <w:trHeight w:val="212"/>
        </w:trPr>
        <w:tc>
          <w:tcPr>
            <w:tcW w:w="1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Simon Keeton</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Annual Incentive</w:t>
            </w:r>
          </w:p>
        </w:tc>
        <w:tc>
          <w:tcPr>
            <w:tcW w:w="12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439,711</w:t>
            </w: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879,422</w:t>
            </w:r>
          </w:p>
        </w:tc>
        <w:tc>
          <w:tcPr>
            <w:tcW w:w="12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2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14,192</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900,057</w:t>
            </w:r>
          </w:p>
        </w:tc>
        <w:tc>
          <w:tcPr>
            <w:tcW w:w="0" w:type="dxa"/>
            <w:vAlign w:val="bottom"/>
          </w:tcPr>
          <w:p>
            <w:pPr>
              <w:spacing w:after="0"/>
              <w:rPr>
                <w:sz w:val="1"/>
                <w:szCs w:val="1"/>
                <w:color w:val="auto"/>
              </w:rPr>
            </w:pPr>
          </w:p>
        </w:tc>
      </w:tr>
      <w:tr>
        <w:trPr>
          <w:trHeight w:val="210"/>
        </w:trPr>
        <w:tc>
          <w:tcPr>
            <w:tcW w:w="17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PBRSUs</w:t>
            </w:r>
          </w:p>
        </w:tc>
        <w:tc>
          <w:tcPr>
            <w:tcW w:w="12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2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21,287</w:t>
            </w:r>
          </w:p>
        </w:tc>
        <w:tc>
          <w:tcPr>
            <w:tcW w:w="114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45,235</w:t>
            </w:r>
          </w:p>
        </w:tc>
        <w:tc>
          <w:tcPr>
            <w:tcW w:w="1280" w:type="dxa"/>
            <w:vAlign w:val="bottom"/>
            <w:shd w:val="clear" w:color="auto" w:fill="DBDBDB"/>
          </w:tcPr>
          <w:p>
            <w:pPr>
              <w:spacing w:after="0"/>
              <w:rPr>
                <w:sz w:val="18"/>
                <w:szCs w:val="18"/>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1,571,186</w:t>
            </w:r>
          </w:p>
        </w:tc>
        <w:tc>
          <w:tcPr>
            <w:tcW w:w="0" w:type="dxa"/>
            <w:vAlign w:val="bottom"/>
          </w:tcPr>
          <w:p>
            <w:pPr>
              <w:spacing w:after="0"/>
              <w:rPr>
                <w:sz w:val="1"/>
                <w:szCs w:val="1"/>
                <w:color w:val="auto"/>
              </w:rPr>
            </w:pPr>
          </w:p>
        </w:tc>
      </w:tr>
      <w:tr>
        <w:trPr>
          <w:trHeight w:val="208"/>
        </w:trPr>
        <w:tc>
          <w:tcPr>
            <w:tcW w:w="1700" w:type="dxa"/>
            <w:vAlign w:val="bottom"/>
          </w:tcPr>
          <w:p>
            <w:pPr>
              <w:ind w:left="20"/>
              <w:spacing w:after="0"/>
              <w:rPr>
                <w:sz w:val="20"/>
                <w:szCs w:val="20"/>
                <w:color w:val="auto"/>
              </w:rPr>
            </w:pPr>
            <w:r>
              <w:rPr>
                <w:rFonts w:ascii="Arial" w:cs="Arial" w:eastAsia="Arial" w:hAnsi="Arial"/>
                <w:sz w:val="14"/>
                <w:szCs w:val="14"/>
                <w:color w:val="auto"/>
              </w:rPr>
              <w:t>Ross F. Jatou</w:t>
            </w: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Annual Incentive</w:t>
            </w:r>
          </w:p>
        </w:tc>
        <w:tc>
          <w:tcPr>
            <w:tcW w:w="1240" w:type="dxa"/>
            <w:vAlign w:val="bottom"/>
          </w:tcPr>
          <w:p>
            <w:pPr>
              <w:jc w:val="center"/>
              <w:spacing w:after="0"/>
              <w:rPr>
                <w:sz w:val="20"/>
                <w:szCs w:val="20"/>
                <w:color w:val="auto"/>
              </w:rPr>
            </w:pPr>
            <w:r>
              <w:rPr>
                <w:rFonts w:ascii="Arial" w:cs="Arial" w:eastAsia="Arial" w:hAnsi="Arial"/>
                <w:sz w:val="14"/>
                <w:szCs w:val="14"/>
                <w:color w:val="auto"/>
              </w:rPr>
              <w:t>382,500</w:t>
            </w:r>
          </w:p>
        </w:tc>
        <w:tc>
          <w:tcPr>
            <w:tcW w:w="1000" w:type="dxa"/>
            <w:vAlign w:val="bottom"/>
          </w:tcPr>
          <w:p>
            <w:pPr>
              <w:jc w:val="center"/>
              <w:spacing w:after="0"/>
              <w:rPr>
                <w:sz w:val="20"/>
                <w:szCs w:val="20"/>
                <w:color w:val="auto"/>
              </w:rPr>
            </w:pPr>
            <w:r>
              <w:rPr>
                <w:rFonts w:ascii="Arial" w:cs="Arial" w:eastAsia="Arial" w:hAnsi="Arial"/>
                <w:sz w:val="14"/>
                <w:szCs w:val="14"/>
                <w:color w:val="auto"/>
              </w:rPr>
              <w:t>765,000</w:t>
            </w: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RSUs</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8,831</w:t>
            </w:r>
          </w:p>
        </w:tc>
        <w:tc>
          <w:tcPr>
            <w:tcW w:w="1260" w:type="dxa"/>
            <w:vAlign w:val="bottom"/>
          </w:tcPr>
          <w:p>
            <w:pPr>
              <w:jc w:val="center"/>
              <w:spacing w:after="0"/>
              <w:rPr>
                <w:sz w:val="20"/>
                <w:szCs w:val="20"/>
                <w:color w:val="auto"/>
              </w:rPr>
            </w:pPr>
            <w:r>
              <w:rPr>
                <w:rFonts w:ascii="Arial" w:cs="Arial" w:eastAsia="Arial" w:hAnsi="Arial"/>
                <w:sz w:val="14"/>
                <w:szCs w:val="14"/>
                <w:color w:val="auto"/>
              </w:rPr>
              <w:t>560,062</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PBRSUs</w:t>
            </w: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13,246</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28,147</w:t>
            </w:r>
          </w:p>
        </w:tc>
        <w:tc>
          <w:tcPr>
            <w:tcW w:w="12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977,628</w:t>
            </w:r>
          </w:p>
        </w:tc>
        <w:tc>
          <w:tcPr>
            <w:tcW w:w="0" w:type="dxa"/>
            <w:vAlign w:val="bottom"/>
          </w:tcPr>
          <w:p>
            <w:pPr>
              <w:spacing w:after="0"/>
              <w:rPr>
                <w:sz w:val="1"/>
                <w:szCs w:val="1"/>
                <w:color w:val="auto"/>
              </w:rPr>
            </w:pPr>
          </w:p>
        </w:tc>
      </w:tr>
      <w:tr>
        <w:trPr>
          <w:trHeight w:val="212"/>
        </w:trPr>
        <w:tc>
          <w:tcPr>
            <w:tcW w:w="1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Robert Tong (5)</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Annual Incentive</w:t>
            </w:r>
          </w:p>
        </w:tc>
        <w:tc>
          <w:tcPr>
            <w:tcW w:w="12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361,087</w:t>
            </w: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722,174</w:t>
            </w:r>
          </w:p>
        </w:tc>
        <w:tc>
          <w:tcPr>
            <w:tcW w:w="12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2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3,154</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200,027</w:t>
            </w:r>
          </w:p>
        </w:tc>
        <w:tc>
          <w:tcPr>
            <w:tcW w:w="0" w:type="dxa"/>
            <w:vAlign w:val="bottom"/>
          </w:tcPr>
          <w:p>
            <w:pPr>
              <w:spacing w:after="0"/>
              <w:rPr>
                <w:sz w:val="1"/>
                <w:szCs w:val="1"/>
                <w:color w:val="auto"/>
              </w:rPr>
            </w:pPr>
          </w:p>
        </w:tc>
      </w:tr>
      <w:tr>
        <w:trPr>
          <w:trHeight w:val="203"/>
        </w:trPr>
        <w:tc>
          <w:tcPr>
            <w:tcW w:w="17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PBRSUs</w:t>
            </w:r>
          </w:p>
        </w:tc>
        <w:tc>
          <w:tcPr>
            <w:tcW w:w="12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22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4,731</w:t>
            </w:r>
          </w:p>
        </w:tc>
        <w:tc>
          <w:tcPr>
            <w:tcW w:w="114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8,279</w:t>
            </w:r>
          </w:p>
        </w:tc>
        <w:tc>
          <w:tcPr>
            <w:tcW w:w="1280" w:type="dxa"/>
            <w:vAlign w:val="bottom"/>
            <w:shd w:val="clear" w:color="auto" w:fill="DBDBDB"/>
          </w:tcPr>
          <w:p>
            <w:pPr>
              <w:spacing w:after="0"/>
              <w:rPr>
                <w:sz w:val="17"/>
                <w:szCs w:val="17"/>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300,040</w:t>
            </w:r>
          </w:p>
        </w:tc>
        <w:tc>
          <w:tcPr>
            <w:tcW w:w="0" w:type="dxa"/>
            <w:vAlign w:val="bottom"/>
          </w:tcPr>
          <w:p>
            <w:pPr>
              <w:spacing w:after="0"/>
              <w:rPr>
                <w:sz w:val="1"/>
                <w:szCs w:val="1"/>
                <w:color w:val="auto"/>
              </w:rPr>
            </w:pPr>
          </w:p>
        </w:tc>
      </w:tr>
      <w:tr>
        <w:trPr>
          <w:trHeight w:val="203"/>
        </w:trPr>
        <w:tc>
          <w:tcPr>
            <w:tcW w:w="17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6/16/2022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2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2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7,483</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400,041</w:t>
            </w:r>
          </w:p>
        </w:tc>
        <w:tc>
          <w:tcPr>
            <w:tcW w:w="0" w:type="dxa"/>
            <w:vAlign w:val="bottom"/>
          </w:tcPr>
          <w:p>
            <w:pPr>
              <w:spacing w:after="0"/>
              <w:rPr>
                <w:sz w:val="1"/>
                <w:szCs w:val="1"/>
                <w:color w:val="auto"/>
              </w:rPr>
            </w:pPr>
          </w:p>
        </w:tc>
      </w:tr>
      <w:tr>
        <w:trPr>
          <w:trHeight w:val="211"/>
        </w:trPr>
        <w:tc>
          <w:tcPr>
            <w:tcW w:w="17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6/16/2022</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PBRSUs</w:t>
            </w:r>
          </w:p>
        </w:tc>
        <w:tc>
          <w:tcPr>
            <w:tcW w:w="12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2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w w:val="97"/>
              </w:rPr>
              <w:t>11,224</w:t>
            </w:r>
          </w:p>
        </w:tc>
        <w:tc>
          <w:tcPr>
            <w:tcW w:w="114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23,851</w:t>
            </w:r>
          </w:p>
        </w:tc>
        <w:tc>
          <w:tcPr>
            <w:tcW w:w="1280" w:type="dxa"/>
            <w:vAlign w:val="bottom"/>
            <w:shd w:val="clear" w:color="auto" w:fill="DBDBDB"/>
          </w:tcPr>
          <w:p>
            <w:pPr>
              <w:spacing w:after="0"/>
              <w:rPr>
                <w:sz w:val="18"/>
                <w:szCs w:val="18"/>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719,223</w:t>
            </w:r>
          </w:p>
        </w:tc>
        <w:tc>
          <w:tcPr>
            <w:tcW w:w="0" w:type="dxa"/>
            <w:vAlign w:val="bottom"/>
          </w:tcPr>
          <w:p>
            <w:pPr>
              <w:spacing w:after="0"/>
              <w:rPr>
                <w:sz w:val="1"/>
                <w:szCs w:val="1"/>
                <w:color w:val="auto"/>
              </w:rPr>
            </w:pPr>
          </w:p>
        </w:tc>
      </w:tr>
      <w:tr>
        <w:trPr>
          <w:trHeight w:val="208"/>
        </w:trPr>
        <w:tc>
          <w:tcPr>
            <w:tcW w:w="1700" w:type="dxa"/>
            <w:vAlign w:val="bottom"/>
          </w:tcPr>
          <w:p>
            <w:pPr>
              <w:ind w:left="20"/>
              <w:spacing w:after="0"/>
              <w:rPr>
                <w:sz w:val="20"/>
                <w:szCs w:val="20"/>
                <w:color w:val="auto"/>
              </w:rPr>
            </w:pPr>
            <w:r>
              <w:rPr>
                <w:rFonts w:ascii="Arial" w:cs="Arial" w:eastAsia="Arial" w:hAnsi="Arial"/>
                <w:sz w:val="14"/>
                <w:szCs w:val="14"/>
                <w:color w:val="auto"/>
              </w:rPr>
              <w:t>Vincent C. Hopkin (6)</w:t>
            </w: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Annual Incentive</w:t>
            </w:r>
          </w:p>
        </w:tc>
        <w:tc>
          <w:tcPr>
            <w:tcW w:w="1240" w:type="dxa"/>
            <w:vAlign w:val="bottom"/>
          </w:tcPr>
          <w:p>
            <w:pPr>
              <w:jc w:val="center"/>
              <w:spacing w:after="0"/>
              <w:rPr>
                <w:sz w:val="20"/>
                <w:szCs w:val="20"/>
                <w:color w:val="auto"/>
              </w:rPr>
            </w:pPr>
            <w:r>
              <w:rPr>
                <w:rFonts w:ascii="Arial" w:cs="Arial" w:eastAsia="Arial" w:hAnsi="Arial"/>
                <w:sz w:val="14"/>
                <w:szCs w:val="14"/>
                <w:color w:val="auto"/>
              </w:rPr>
              <w:t>425,000</w:t>
            </w:r>
          </w:p>
        </w:tc>
        <w:tc>
          <w:tcPr>
            <w:tcW w:w="1000" w:type="dxa"/>
            <w:vAlign w:val="bottom"/>
          </w:tcPr>
          <w:p>
            <w:pPr>
              <w:jc w:val="center"/>
              <w:spacing w:after="0"/>
              <w:rPr>
                <w:sz w:val="20"/>
                <w:szCs w:val="20"/>
                <w:color w:val="auto"/>
              </w:rPr>
            </w:pPr>
            <w:r>
              <w:rPr>
                <w:rFonts w:ascii="Arial" w:cs="Arial" w:eastAsia="Arial" w:hAnsi="Arial"/>
                <w:sz w:val="14"/>
                <w:szCs w:val="14"/>
                <w:color w:val="auto"/>
              </w:rPr>
              <w:t>850,000</w:t>
            </w: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RSUs</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13,876</w:t>
            </w:r>
          </w:p>
        </w:tc>
        <w:tc>
          <w:tcPr>
            <w:tcW w:w="1260" w:type="dxa"/>
            <w:vAlign w:val="bottom"/>
          </w:tcPr>
          <w:p>
            <w:pPr>
              <w:jc w:val="center"/>
              <w:spacing w:after="0"/>
              <w:rPr>
                <w:sz w:val="20"/>
                <w:szCs w:val="20"/>
                <w:color w:val="auto"/>
              </w:rPr>
            </w:pPr>
            <w:r>
              <w:rPr>
                <w:rFonts w:ascii="Arial" w:cs="Arial" w:eastAsia="Arial" w:hAnsi="Arial"/>
                <w:sz w:val="14"/>
                <w:szCs w:val="14"/>
                <w:color w:val="auto"/>
              </w:rPr>
              <w:t>880,016</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380" w:type="dxa"/>
            <w:vAlign w:val="bottom"/>
            <w:gridSpan w:val="2"/>
          </w:tcPr>
          <w:p>
            <w:pPr>
              <w:ind w:left="340"/>
              <w:spacing w:after="0"/>
              <w:rPr>
                <w:sz w:val="20"/>
                <w:szCs w:val="20"/>
                <w:color w:val="auto"/>
              </w:rPr>
            </w:pPr>
            <w:r>
              <w:rPr>
                <w:rFonts w:ascii="Arial" w:cs="Arial" w:eastAsia="Arial" w:hAnsi="Arial"/>
                <w:sz w:val="14"/>
                <w:szCs w:val="14"/>
                <w:color w:val="auto"/>
              </w:rPr>
              <w:t>2/10/2022 PBRSUs</w:t>
            </w: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20,814</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44,230</w:t>
            </w:r>
          </w:p>
        </w:tc>
        <w:tc>
          <w:tcPr>
            <w:tcW w:w="12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1,536,326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 w:lineRule="exact"/>
        <w:rPr>
          <w:sz w:val="20"/>
          <w:szCs w:val="20"/>
          <w:color w:val="auto"/>
        </w:rPr>
      </w:pPr>
    </w:p>
    <w:p>
      <w:pPr>
        <w:jc w:val="both"/>
        <w:ind w:left="260" w:right="60" w:hanging="234"/>
        <w:spacing w:after="0"/>
        <w:tabs>
          <w:tab w:leader="none" w:pos="246"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Amounts in these columns represent the range of possible payouts under our 2022 STI program. The 2022 STI program does not have a threshold payout and the maximum that may be earned is 200% of target. If we do not achieve minimum performance levels on the metrics in the Corporate Multiplier, no payouts would be earned. For more information on the 2022 STI program, please see “Elements of Our Compensation Program </w:t>
      </w:r>
      <w:r>
        <w:rPr>
          <w:rFonts w:ascii="Arial" w:cs="Arial" w:eastAsia="Arial" w:hAnsi="Arial"/>
          <w:sz w:val="17"/>
          <w:szCs w:val="17"/>
          <w:color w:val="auto"/>
        </w:rPr>
        <w:t>—</w:t>
      </w:r>
      <w:r>
        <w:rPr>
          <w:rFonts w:ascii="Arial" w:cs="Arial" w:eastAsia="Arial" w:hAnsi="Arial"/>
          <w:sz w:val="14"/>
          <w:szCs w:val="14"/>
          <w:color w:val="auto"/>
        </w:rPr>
        <w:t xml:space="preserve"> Short-Term Cash Incentive Program” in the CD&amp;A. For amounts actually paid under the 2022 STI program based on our performance during the year, please see the amounts reported in the “Non-Equity Incentive Plan Compensation” column in the SCT.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right="220" w:hanging="234"/>
        <w:spacing w:after="0" w:line="225" w:lineRule="auto"/>
        <w:tabs>
          <w:tab w:leader="none" w:pos="233"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amounts shown in these columns represent the number of shares that may be earned under the 2022 PBRSUs, which were granted to our NEOs under our 2022 LTI program and the SIP. The amounts in the “Target” column represent the total number of 2022 PBRSUs that could be earned, assuming that all performance goals are achieved at target but without taking into account any TSR Adjustment. The amounts in the “Maximum” column represent the total number of PBRSUs that could be earned, assuming that all six performance goals are achieved at stretch levels and, for each tranche of PBRSUs related to financial goals, that our relative TSR exceeds the stretch level for each of the three TSR performance periods. If our performance results for the 2022 LTI Performance Goals do not exceed minimum performance levels, all of the PBRSUs will be forfeited.</w:t>
      </w:r>
    </w:p>
    <w:p>
      <w:pPr>
        <w:spacing w:after="0" w:line="12" w:lineRule="exact"/>
        <w:rPr>
          <w:rFonts w:ascii="Arial" w:cs="Arial" w:eastAsia="Arial" w:hAnsi="Arial"/>
          <w:sz w:val="14"/>
          <w:szCs w:val="14"/>
          <w:color w:val="auto"/>
        </w:rPr>
      </w:pPr>
    </w:p>
    <w:p>
      <w:pPr>
        <w:ind w:left="240" w:hanging="214"/>
        <w:spacing w:after="0"/>
        <w:tabs>
          <w:tab w:leader="none" w:pos="2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column represents time-based RSU awards made to our NEOs in 2022.</w:t>
      </w:r>
    </w:p>
    <w:p>
      <w:pPr>
        <w:spacing w:after="0" w:line="41" w:lineRule="exact"/>
        <w:rPr>
          <w:rFonts w:ascii="Arial" w:cs="Arial" w:eastAsia="Arial" w:hAnsi="Arial"/>
          <w:sz w:val="14"/>
          <w:szCs w:val="14"/>
          <w:color w:val="auto"/>
        </w:rPr>
      </w:pPr>
    </w:p>
    <w:p>
      <w:pPr>
        <w:ind w:left="260" w:right="120" w:hanging="234"/>
        <w:spacing w:after="0" w:line="225" w:lineRule="auto"/>
        <w:tabs>
          <w:tab w:leader="none" w:pos="233"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amounts in this column represent the grant date fair value of each award calculated in accordance with FASB ASC Topic 718. The grant date fair value for RSUs and PBRSUs is based on the closing price on the date of grant except for the relative TSR component of the 2022 PBRSUs, which is determined by a third-party valuation firm based on probable outcome. The valuation for the PBRSUs is based upon a 100% attainment for the 2022 PBRSUs, which represents the probable outcome of the performance conditions for those awards, consistent with the estimate of aggregate compensation cost to be recognized over the service period determined as of the grant date under FASB ASC Topic 718, excluding the effect of estimated forfeitures. The amounts in this column do not necessarily represent the fair value for expensing purposes or the fair value of awards that were expected to vest as of December 31, 2022.</w:t>
      </w:r>
    </w:p>
    <w:p>
      <w:pPr>
        <w:spacing w:after="0" w:line="12" w:lineRule="exact"/>
        <w:rPr>
          <w:rFonts w:ascii="Arial" w:cs="Arial" w:eastAsia="Arial" w:hAnsi="Arial"/>
          <w:sz w:val="14"/>
          <w:szCs w:val="14"/>
          <w:color w:val="auto"/>
        </w:rPr>
      </w:pPr>
    </w:p>
    <w:p>
      <w:pPr>
        <w:ind w:left="260" w:right="120" w:hanging="234"/>
        <w:spacing w:after="0" w:line="235" w:lineRule="auto"/>
        <w:tabs>
          <w:tab w:leader="none" w:pos="233" w:val="left"/>
        </w:tabs>
        <w:numPr>
          <w:ilvl w:val="0"/>
          <w:numId w:val="76"/>
        </w:numPr>
        <w:rPr>
          <w:rFonts w:ascii="Arial" w:cs="Arial" w:eastAsia="Arial" w:hAnsi="Arial"/>
          <w:sz w:val="14"/>
          <w:szCs w:val="14"/>
          <w:color w:val="auto"/>
        </w:rPr>
      </w:pPr>
      <w:r>
        <w:rPr>
          <w:rFonts w:ascii="Arial" w:cs="Arial" w:eastAsia="Arial" w:hAnsi="Arial"/>
          <w:sz w:val="14"/>
          <w:szCs w:val="14"/>
          <w:color w:val="auto"/>
        </w:rPr>
        <w:t>Because Mr. Tong was not an executive officer at the time of the February 2022 annual grants, his February 2022 PBRSUs did not include the TSR Adjustment feature and therefore had a maximum possible overall payout of 175%. In June 2022, in consideration of his May 2022 promotion, the HCC Committee granted Mr. Tong an additional LTI award of 7,483 RSUs and 11,224 PBRSUs, the latter of which did include the TSR Adjustment.</w:t>
      </w:r>
    </w:p>
    <w:p>
      <w:pPr>
        <w:spacing w:after="0" w:line="13" w:lineRule="exact"/>
        <w:rPr>
          <w:rFonts w:ascii="Arial" w:cs="Arial" w:eastAsia="Arial" w:hAnsi="Arial"/>
          <w:sz w:val="14"/>
          <w:szCs w:val="14"/>
          <w:color w:val="auto"/>
        </w:rPr>
      </w:pPr>
    </w:p>
    <w:p>
      <w:pPr>
        <w:ind w:left="260" w:right="240" w:hanging="234"/>
        <w:spacing w:after="0" w:line="235" w:lineRule="auto"/>
        <w:tabs>
          <w:tab w:leader="none" w:pos="233"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annual incentive opportunity shown for Mr. Hopkin, a former executive officer, is based on his base salary and target STI opportunity as in effect in February 2022, when the HCC Committee approved his participation in the 2022 STI program. Due to his retirement on August 1, 2022, he was not eligible to receive a payout under the 2022 STI program. In addition, all RSUs and PBRSUs granted to him during 2022 as set forth in this table were forfeited upon his retirement.</w:t>
      </w:r>
    </w:p>
    <w:p>
      <w:pPr>
        <w:spacing w:after="0" w:line="79" w:lineRule="exact"/>
        <w:rPr>
          <w:sz w:val="20"/>
          <w:szCs w:val="20"/>
          <w:color w:val="auto"/>
        </w:rPr>
      </w:pPr>
    </w:p>
    <w:p>
      <w:pPr>
        <w:ind w:right="80"/>
        <w:spacing w:after="0" w:line="289" w:lineRule="auto"/>
        <w:rPr>
          <w:sz w:val="20"/>
          <w:szCs w:val="20"/>
          <w:color w:val="auto"/>
        </w:rPr>
      </w:pPr>
      <w:r>
        <w:rPr>
          <w:rFonts w:ascii="Arial" w:cs="Arial" w:eastAsia="Arial" w:hAnsi="Arial"/>
          <w:sz w:val="25"/>
          <w:szCs w:val="25"/>
          <w:b w:val="1"/>
          <w:bCs w:val="1"/>
          <w:color w:val="465E66"/>
        </w:rPr>
        <w:t>Other Material Factors — Summary Compensation Table and Grants of Plan-Based Awards in 2022 Table</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additional information regarding the material terms of each NEO’s employment agreement, see “Employment, Severance and Change in Control Arrangements” in this proxy statement.</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additional information regarding other material factors related to the SCT and Grants of Plan-Based Awards in 2022 Table, including, but not limited to, an explanation of the amount of salary and STI in proportion to total compensation, please refer to the “Elements of Our Compensation Program — Base Salary” and “Elements of Our Compensation Program — Short-Term Cash Incentive Program” sections of the CD&amp;A.</w:t>
      </w:r>
    </w:p>
    <w:p>
      <w:pPr>
        <w:spacing w:after="0" w:line="20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further information regarding our 2022 LTI awards, please see “Elements of Our Compensation Program — Long-Term Incentive Program” above in the CD&amp;A.</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Outstanding Equity Awards at Fiscal Year-End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0" w:type="dxa"/>
            <w:vAlign w:val="bottom"/>
            <w:shd w:val="clear" w:color="auto" w:fill="465E66"/>
          </w:tcPr>
          <w:p>
            <w:pPr>
              <w:spacing w:after="0"/>
              <w:rPr>
                <w:sz w:val="17"/>
                <w:szCs w:val="17"/>
                <w:color w:val="auto"/>
              </w:rPr>
            </w:pPr>
          </w:p>
        </w:tc>
        <w:tc>
          <w:tcPr>
            <w:tcW w:w="1340" w:type="dxa"/>
            <w:vAlign w:val="bottom"/>
            <w:shd w:val="clear" w:color="auto" w:fill="465E66"/>
          </w:tcPr>
          <w:p>
            <w:pPr>
              <w:spacing w:after="0"/>
              <w:rPr>
                <w:sz w:val="17"/>
                <w:szCs w:val="17"/>
                <w:color w:val="auto"/>
              </w:rPr>
            </w:pPr>
          </w:p>
        </w:tc>
        <w:tc>
          <w:tcPr>
            <w:tcW w:w="1400" w:type="dxa"/>
            <w:vAlign w:val="bottom"/>
            <w:shd w:val="clear" w:color="auto" w:fill="465E66"/>
          </w:tcPr>
          <w:p>
            <w:pPr>
              <w:spacing w:after="0"/>
              <w:rPr>
                <w:sz w:val="17"/>
                <w:szCs w:val="17"/>
                <w:color w:val="auto"/>
              </w:rPr>
            </w:pPr>
          </w:p>
        </w:tc>
        <w:tc>
          <w:tcPr>
            <w:tcW w:w="3280" w:type="dxa"/>
            <w:vAlign w:val="bottom"/>
            <w:gridSpan w:val="2"/>
            <w:shd w:val="clear" w:color="auto" w:fill="465E66"/>
          </w:tcPr>
          <w:p>
            <w:pPr>
              <w:ind w:left="760"/>
              <w:spacing w:after="0"/>
              <w:rPr>
                <w:sz w:val="20"/>
                <w:szCs w:val="20"/>
                <w:color w:val="auto"/>
              </w:rPr>
            </w:pPr>
            <w:r>
              <w:rPr>
                <w:rFonts w:ascii="Arial" w:cs="Arial" w:eastAsia="Arial" w:hAnsi="Arial"/>
                <w:sz w:val="14"/>
                <w:szCs w:val="14"/>
                <w:b w:val="1"/>
                <w:bCs w:val="1"/>
                <w:color w:val="FFFFFF"/>
              </w:rPr>
              <w:t>All Other Stock Awards (1)</w:t>
            </w:r>
          </w:p>
        </w:tc>
        <w:tc>
          <w:tcPr>
            <w:tcW w:w="3420" w:type="dxa"/>
            <w:vAlign w:val="bottom"/>
            <w:gridSpan w:val="2"/>
            <w:shd w:val="clear" w:color="auto" w:fill="465E66"/>
          </w:tcPr>
          <w:p>
            <w:pPr>
              <w:ind w:left="600"/>
              <w:spacing w:after="0"/>
              <w:rPr>
                <w:sz w:val="20"/>
                <w:szCs w:val="20"/>
                <w:color w:val="auto"/>
              </w:rPr>
            </w:pPr>
            <w:r>
              <w:rPr>
                <w:rFonts w:ascii="Arial" w:cs="Arial" w:eastAsia="Arial" w:hAnsi="Arial"/>
                <w:sz w:val="14"/>
                <w:szCs w:val="14"/>
                <w:b w:val="1"/>
                <w:bCs w:val="1"/>
                <w:color w:val="FFFFFF"/>
              </w:rPr>
              <w:t>Equity Incentive Plan Awards (2)</w:t>
            </w:r>
          </w:p>
        </w:tc>
        <w:tc>
          <w:tcPr>
            <w:tcW w:w="0" w:type="dxa"/>
            <w:vAlign w:val="bottom"/>
          </w:tcPr>
          <w:p>
            <w:pPr>
              <w:spacing w:after="0"/>
              <w:rPr>
                <w:sz w:val="1"/>
                <w:szCs w:val="1"/>
                <w:color w:val="auto"/>
              </w:rPr>
            </w:pPr>
          </w:p>
        </w:tc>
      </w:tr>
      <w:tr>
        <w:trPr>
          <w:trHeight w:val="153"/>
        </w:trPr>
        <w:tc>
          <w:tcPr>
            <w:tcW w:w="1800" w:type="dxa"/>
            <w:vAlign w:val="bottom"/>
            <w:shd w:val="clear" w:color="auto" w:fill="465E66"/>
          </w:tcPr>
          <w:p>
            <w:pPr>
              <w:spacing w:after="0"/>
              <w:rPr>
                <w:sz w:val="13"/>
                <w:szCs w:val="13"/>
                <w:color w:val="auto"/>
              </w:rPr>
            </w:pPr>
          </w:p>
        </w:tc>
        <w:tc>
          <w:tcPr>
            <w:tcW w:w="1340" w:type="dxa"/>
            <w:vAlign w:val="bottom"/>
            <w:shd w:val="clear" w:color="auto" w:fill="465E66"/>
          </w:tcPr>
          <w:p>
            <w:pPr>
              <w:spacing w:after="0"/>
              <w:rPr>
                <w:sz w:val="13"/>
                <w:szCs w:val="13"/>
                <w:color w:val="auto"/>
              </w:rPr>
            </w:pPr>
          </w:p>
        </w:tc>
        <w:tc>
          <w:tcPr>
            <w:tcW w:w="1400" w:type="dxa"/>
            <w:vAlign w:val="bottom"/>
            <w:shd w:val="clear" w:color="auto" w:fill="465E66"/>
          </w:tcPr>
          <w:p>
            <w:pPr>
              <w:spacing w:after="0"/>
              <w:rPr>
                <w:sz w:val="13"/>
                <w:szCs w:val="13"/>
                <w:color w:val="auto"/>
              </w:rPr>
            </w:pPr>
          </w:p>
        </w:tc>
        <w:tc>
          <w:tcPr>
            <w:tcW w:w="1700" w:type="dxa"/>
            <w:vAlign w:val="bottom"/>
            <w:shd w:val="clear" w:color="auto" w:fill="465E66"/>
          </w:tcPr>
          <w:p>
            <w:pPr>
              <w:spacing w:after="0"/>
              <w:rPr>
                <w:sz w:val="13"/>
                <w:szCs w:val="13"/>
                <w:color w:val="auto"/>
              </w:rPr>
            </w:pPr>
          </w:p>
        </w:tc>
        <w:tc>
          <w:tcPr>
            <w:tcW w:w="15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Market Value of</w:t>
            </w:r>
          </w:p>
        </w:tc>
        <w:tc>
          <w:tcPr>
            <w:tcW w:w="17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Number of Unearned</w:t>
            </w:r>
          </w:p>
        </w:tc>
        <w:tc>
          <w:tcPr>
            <w:tcW w:w="1720" w:type="dxa"/>
            <w:vAlign w:val="bottom"/>
            <w:shd w:val="clear" w:color="auto" w:fill="465E66"/>
          </w:tcPr>
          <w:p>
            <w:pPr>
              <w:jc w:val="center"/>
              <w:spacing w:after="0" w:line="153" w:lineRule="exact"/>
              <w:rPr>
                <w:sz w:val="20"/>
                <w:szCs w:val="20"/>
                <w:color w:val="auto"/>
              </w:rPr>
            </w:pPr>
            <w:r>
              <w:rPr>
                <w:rFonts w:ascii="Arial" w:cs="Arial" w:eastAsia="Arial" w:hAnsi="Arial"/>
                <w:sz w:val="14"/>
                <w:szCs w:val="14"/>
                <w:b w:val="1"/>
                <w:bCs w:val="1"/>
                <w:color w:val="FFFFFF"/>
              </w:rPr>
              <w:t>Market or Payout Value</w:t>
            </w:r>
          </w:p>
        </w:tc>
        <w:tc>
          <w:tcPr>
            <w:tcW w:w="0" w:type="dxa"/>
            <w:vAlign w:val="bottom"/>
          </w:tcPr>
          <w:p>
            <w:pPr>
              <w:spacing w:after="0"/>
              <w:rPr>
                <w:sz w:val="1"/>
                <w:szCs w:val="1"/>
                <w:color w:val="auto"/>
              </w:rPr>
            </w:pPr>
          </w:p>
        </w:tc>
      </w:tr>
      <w:tr>
        <w:trPr>
          <w:trHeight w:val="148"/>
        </w:trPr>
        <w:tc>
          <w:tcPr>
            <w:tcW w:w="1800" w:type="dxa"/>
            <w:vAlign w:val="bottom"/>
            <w:shd w:val="clear" w:color="auto" w:fill="465E66"/>
          </w:tcPr>
          <w:p>
            <w:pPr>
              <w:spacing w:after="0"/>
              <w:rPr>
                <w:sz w:val="12"/>
                <w:szCs w:val="12"/>
                <w:color w:val="auto"/>
              </w:rPr>
            </w:pPr>
          </w:p>
        </w:tc>
        <w:tc>
          <w:tcPr>
            <w:tcW w:w="1340" w:type="dxa"/>
            <w:vAlign w:val="bottom"/>
            <w:shd w:val="clear" w:color="auto" w:fill="465E66"/>
          </w:tcPr>
          <w:p>
            <w:pPr>
              <w:spacing w:after="0"/>
              <w:rPr>
                <w:sz w:val="12"/>
                <w:szCs w:val="12"/>
                <w:color w:val="auto"/>
              </w:rPr>
            </w:pPr>
          </w:p>
        </w:tc>
        <w:tc>
          <w:tcPr>
            <w:tcW w:w="1400" w:type="dxa"/>
            <w:vAlign w:val="bottom"/>
            <w:shd w:val="clear" w:color="auto" w:fill="465E66"/>
          </w:tcPr>
          <w:p>
            <w:pPr>
              <w:spacing w:after="0"/>
              <w:rPr>
                <w:sz w:val="12"/>
                <w:szCs w:val="12"/>
                <w:color w:val="auto"/>
              </w:rPr>
            </w:pPr>
          </w:p>
        </w:tc>
        <w:tc>
          <w:tcPr>
            <w:tcW w:w="1700" w:type="dxa"/>
            <w:vAlign w:val="bottom"/>
            <w:vMerge w:val="restart"/>
            <w:shd w:val="clear" w:color="auto" w:fill="465E66"/>
          </w:tcPr>
          <w:p>
            <w:pPr>
              <w:jc w:val="center"/>
              <w:ind w:left="1"/>
              <w:spacing w:after="0"/>
              <w:rPr>
                <w:sz w:val="20"/>
                <w:szCs w:val="20"/>
                <w:color w:val="auto"/>
              </w:rPr>
            </w:pPr>
            <w:r>
              <w:rPr>
                <w:rFonts w:ascii="Arial" w:cs="Arial" w:eastAsia="Arial" w:hAnsi="Arial"/>
                <w:sz w:val="14"/>
                <w:szCs w:val="14"/>
                <w:b w:val="1"/>
                <w:bCs w:val="1"/>
                <w:color w:val="FFFFFF"/>
              </w:rPr>
              <w:t>Number of Shares or</w:t>
            </w:r>
          </w:p>
        </w:tc>
        <w:tc>
          <w:tcPr>
            <w:tcW w:w="1580" w:type="dxa"/>
            <w:vAlign w:val="bottom"/>
            <w:vMerge w:val="continue"/>
            <w:shd w:val="clear" w:color="auto" w:fill="465E66"/>
          </w:tcPr>
          <w:p>
            <w:pPr>
              <w:spacing w:after="0"/>
              <w:rPr>
                <w:sz w:val="12"/>
                <w:szCs w:val="12"/>
                <w:color w:val="auto"/>
              </w:rPr>
            </w:pPr>
          </w:p>
        </w:tc>
        <w:tc>
          <w:tcPr>
            <w:tcW w:w="1700" w:type="dxa"/>
            <w:vAlign w:val="bottom"/>
            <w:vMerge w:val="continue"/>
            <w:shd w:val="clear" w:color="auto" w:fill="465E66"/>
          </w:tcPr>
          <w:p>
            <w:pPr>
              <w:spacing w:after="0"/>
              <w:rPr>
                <w:sz w:val="12"/>
                <w:szCs w:val="12"/>
                <w:color w:val="auto"/>
              </w:rPr>
            </w:pPr>
          </w:p>
        </w:tc>
        <w:tc>
          <w:tcPr>
            <w:tcW w:w="17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of Unearned Shares,</w:t>
            </w:r>
          </w:p>
        </w:tc>
        <w:tc>
          <w:tcPr>
            <w:tcW w:w="0" w:type="dxa"/>
            <w:vAlign w:val="bottom"/>
          </w:tcPr>
          <w:p>
            <w:pPr>
              <w:spacing w:after="0"/>
              <w:rPr>
                <w:sz w:val="1"/>
                <w:szCs w:val="1"/>
                <w:color w:val="auto"/>
              </w:rPr>
            </w:pPr>
          </w:p>
        </w:tc>
      </w:tr>
      <w:tr>
        <w:trPr>
          <w:trHeight w:val="144"/>
        </w:trPr>
        <w:tc>
          <w:tcPr>
            <w:tcW w:w="1800" w:type="dxa"/>
            <w:vAlign w:val="bottom"/>
            <w:shd w:val="clear" w:color="auto" w:fill="465E66"/>
          </w:tcPr>
          <w:p>
            <w:pPr>
              <w:spacing w:after="0"/>
              <w:rPr>
                <w:sz w:val="12"/>
                <w:szCs w:val="12"/>
                <w:color w:val="auto"/>
              </w:rPr>
            </w:pPr>
          </w:p>
        </w:tc>
        <w:tc>
          <w:tcPr>
            <w:tcW w:w="1340" w:type="dxa"/>
            <w:vAlign w:val="bottom"/>
            <w:shd w:val="clear" w:color="auto" w:fill="465E66"/>
          </w:tcPr>
          <w:p>
            <w:pPr>
              <w:spacing w:after="0"/>
              <w:rPr>
                <w:sz w:val="12"/>
                <w:szCs w:val="12"/>
                <w:color w:val="auto"/>
              </w:rPr>
            </w:pPr>
          </w:p>
        </w:tc>
        <w:tc>
          <w:tcPr>
            <w:tcW w:w="1400" w:type="dxa"/>
            <w:vAlign w:val="bottom"/>
            <w:shd w:val="clear" w:color="auto" w:fill="465E66"/>
          </w:tcPr>
          <w:p>
            <w:pPr>
              <w:spacing w:after="0"/>
              <w:rPr>
                <w:sz w:val="12"/>
                <w:szCs w:val="12"/>
                <w:color w:val="auto"/>
              </w:rPr>
            </w:pPr>
          </w:p>
        </w:tc>
        <w:tc>
          <w:tcPr>
            <w:tcW w:w="1700" w:type="dxa"/>
            <w:vAlign w:val="bottom"/>
            <w:vMerge w:val="continue"/>
            <w:shd w:val="clear" w:color="auto" w:fill="465E66"/>
          </w:tcPr>
          <w:p>
            <w:pPr>
              <w:spacing w:after="0"/>
              <w:rPr>
                <w:sz w:val="12"/>
                <w:szCs w:val="12"/>
                <w:color w:val="auto"/>
              </w:rPr>
            </w:pPr>
          </w:p>
        </w:tc>
        <w:tc>
          <w:tcPr>
            <w:tcW w:w="158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Shares or Units of</w:t>
            </w:r>
          </w:p>
        </w:tc>
        <w:tc>
          <w:tcPr>
            <w:tcW w:w="170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Shares, Units or Other</w:t>
            </w:r>
          </w:p>
        </w:tc>
        <w:tc>
          <w:tcPr>
            <w:tcW w:w="172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Units or Other Rights</w:t>
            </w:r>
          </w:p>
        </w:tc>
        <w:tc>
          <w:tcPr>
            <w:tcW w:w="0" w:type="dxa"/>
            <w:vAlign w:val="bottom"/>
          </w:tcPr>
          <w:p>
            <w:pPr>
              <w:spacing w:after="0"/>
              <w:rPr>
                <w:sz w:val="1"/>
                <w:szCs w:val="1"/>
                <w:color w:val="auto"/>
              </w:rPr>
            </w:pPr>
          </w:p>
        </w:tc>
      </w:tr>
      <w:tr>
        <w:trPr>
          <w:trHeight w:val="148"/>
        </w:trPr>
        <w:tc>
          <w:tcPr>
            <w:tcW w:w="1800" w:type="dxa"/>
            <w:vAlign w:val="bottom"/>
            <w:shd w:val="clear" w:color="auto" w:fill="465E66"/>
          </w:tcPr>
          <w:p>
            <w:pPr>
              <w:spacing w:after="0"/>
              <w:rPr>
                <w:sz w:val="12"/>
                <w:szCs w:val="12"/>
                <w:color w:val="auto"/>
              </w:rPr>
            </w:pPr>
          </w:p>
        </w:tc>
        <w:tc>
          <w:tcPr>
            <w:tcW w:w="1340" w:type="dxa"/>
            <w:vAlign w:val="bottom"/>
            <w:shd w:val="clear" w:color="auto" w:fill="465E66"/>
          </w:tcPr>
          <w:p>
            <w:pPr>
              <w:spacing w:after="0"/>
              <w:rPr>
                <w:sz w:val="12"/>
                <w:szCs w:val="12"/>
                <w:color w:val="auto"/>
              </w:rPr>
            </w:pPr>
          </w:p>
        </w:tc>
        <w:tc>
          <w:tcPr>
            <w:tcW w:w="1400" w:type="dxa"/>
            <w:vAlign w:val="bottom"/>
            <w:shd w:val="clear" w:color="auto" w:fill="465E66"/>
          </w:tcPr>
          <w:p>
            <w:pPr>
              <w:spacing w:after="0"/>
              <w:rPr>
                <w:sz w:val="12"/>
                <w:szCs w:val="12"/>
                <w:color w:val="auto"/>
              </w:rPr>
            </w:pPr>
          </w:p>
        </w:tc>
        <w:tc>
          <w:tcPr>
            <w:tcW w:w="17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Units of Stock That</w:t>
            </w:r>
          </w:p>
        </w:tc>
        <w:tc>
          <w:tcPr>
            <w:tcW w:w="1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Stock That Have Not</w:t>
            </w:r>
          </w:p>
        </w:tc>
        <w:tc>
          <w:tcPr>
            <w:tcW w:w="17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Rights That Have Not</w:t>
            </w:r>
          </w:p>
        </w:tc>
        <w:tc>
          <w:tcPr>
            <w:tcW w:w="17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That Have Not Vested</w:t>
            </w:r>
          </w:p>
        </w:tc>
        <w:tc>
          <w:tcPr>
            <w:tcW w:w="0" w:type="dxa"/>
            <w:vAlign w:val="bottom"/>
          </w:tcPr>
          <w:p>
            <w:pPr>
              <w:spacing w:after="0"/>
              <w:rPr>
                <w:sz w:val="1"/>
                <w:szCs w:val="1"/>
                <w:color w:val="auto"/>
              </w:rPr>
            </w:pPr>
          </w:p>
        </w:tc>
      </w:tr>
      <w:tr>
        <w:trPr>
          <w:trHeight w:val="135"/>
        </w:trPr>
        <w:tc>
          <w:tcPr>
            <w:tcW w:w="180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w:t>
            </w:r>
          </w:p>
        </w:tc>
        <w:tc>
          <w:tcPr>
            <w:tcW w:w="1340" w:type="dxa"/>
            <w:vAlign w:val="bottom"/>
            <w:vMerge w:val="restart"/>
            <w:shd w:val="clear" w:color="auto" w:fill="465E66"/>
          </w:tcPr>
          <w:p>
            <w:pPr>
              <w:ind w:left="340"/>
              <w:spacing w:after="0"/>
              <w:rPr>
                <w:sz w:val="20"/>
                <w:szCs w:val="20"/>
                <w:color w:val="auto"/>
              </w:rPr>
            </w:pPr>
            <w:r>
              <w:rPr>
                <w:rFonts w:ascii="Arial" w:cs="Arial" w:eastAsia="Arial" w:hAnsi="Arial"/>
                <w:sz w:val="14"/>
                <w:szCs w:val="14"/>
                <w:b w:val="1"/>
                <w:bCs w:val="1"/>
                <w:color w:val="FFFFFF"/>
              </w:rPr>
              <w:t>Grant Date</w:t>
            </w:r>
          </w:p>
        </w:tc>
        <w:tc>
          <w:tcPr>
            <w:tcW w:w="1400" w:type="dxa"/>
            <w:vAlign w:val="bottom"/>
            <w:vMerge w:val="restart"/>
            <w:shd w:val="clear" w:color="auto" w:fill="465E66"/>
          </w:tcPr>
          <w:p>
            <w:pPr>
              <w:jc w:val="center"/>
              <w:ind w:left="11"/>
              <w:spacing w:after="0"/>
              <w:rPr>
                <w:sz w:val="20"/>
                <w:szCs w:val="20"/>
                <w:color w:val="auto"/>
              </w:rPr>
            </w:pPr>
            <w:r>
              <w:rPr>
                <w:rFonts w:ascii="Arial" w:cs="Arial" w:eastAsia="Arial" w:hAnsi="Arial"/>
                <w:sz w:val="14"/>
                <w:szCs w:val="14"/>
                <w:b w:val="1"/>
                <w:bCs w:val="1"/>
                <w:color w:val="FFFFFF"/>
              </w:rPr>
              <w:t>Type of Award</w:t>
            </w:r>
          </w:p>
        </w:tc>
        <w:tc>
          <w:tcPr>
            <w:tcW w:w="170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Have Not Vested</w:t>
            </w:r>
          </w:p>
        </w:tc>
        <w:tc>
          <w:tcPr>
            <w:tcW w:w="158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Vested (3)</w:t>
            </w:r>
          </w:p>
        </w:tc>
        <w:tc>
          <w:tcPr>
            <w:tcW w:w="170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Vested</w:t>
            </w:r>
          </w:p>
        </w:tc>
        <w:tc>
          <w:tcPr>
            <w:tcW w:w="172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89"/>
        </w:trPr>
        <w:tc>
          <w:tcPr>
            <w:tcW w:w="1800" w:type="dxa"/>
            <w:vAlign w:val="bottom"/>
            <w:vMerge w:val="continue"/>
            <w:shd w:val="clear" w:color="auto" w:fill="465E66"/>
          </w:tcPr>
          <w:p>
            <w:pPr>
              <w:spacing w:after="0"/>
              <w:rPr>
                <w:sz w:val="16"/>
                <w:szCs w:val="16"/>
                <w:color w:val="auto"/>
              </w:rPr>
            </w:pPr>
          </w:p>
        </w:tc>
        <w:tc>
          <w:tcPr>
            <w:tcW w:w="1340" w:type="dxa"/>
            <w:vAlign w:val="bottom"/>
            <w:vMerge w:val="continue"/>
            <w:shd w:val="clear" w:color="auto" w:fill="465E66"/>
          </w:tcPr>
          <w:p>
            <w:pPr>
              <w:spacing w:after="0"/>
              <w:rPr>
                <w:sz w:val="16"/>
                <w:szCs w:val="16"/>
                <w:color w:val="auto"/>
              </w:rPr>
            </w:pPr>
          </w:p>
        </w:tc>
        <w:tc>
          <w:tcPr>
            <w:tcW w:w="1400" w:type="dxa"/>
            <w:vAlign w:val="bottom"/>
            <w:vMerge w:val="continue"/>
            <w:shd w:val="clear" w:color="auto" w:fill="465E66"/>
          </w:tcPr>
          <w:p>
            <w:pPr>
              <w:spacing w:after="0"/>
              <w:rPr>
                <w:sz w:val="16"/>
                <w:szCs w:val="16"/>
                <w:color w:val="auto"/>
              </w:rPr>
            </w:pPr>
          </w:p>
        </w:tc>
        <w:tc>
          <w:tcPr>
            <w:tcW w:w="17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5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7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1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Hassane El-Khoury</w:t>
            </w: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12/7/2020</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32,706</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2,039,873</w:t>
            </w:r>
          </w:p>
        </w:tc>
        <w:tc>
          <w:tcPr>
            <w:tcW w:w="170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51,692</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3,224,030</w:t>
            </w:r>
          </w:p>
        </w:tc>
        <w:tc>
          <w:tcPr>
            <w:tcW w:w="170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shd w:val="clear" w:color="auto" w:fill="DBDBDB"/>
          </w:tcPr>
          <w:p>
            <w:pPr>
              <w:jc w:val="center"/>
              <w:ind w:left="11"/>
              <w:spacing w:after="0"/>
              <w:rPr>
                <w:sz w:val="20"/>
                <w:szCs w:val="20"/>
                <w:color w:val="auto"/>
              </w:rPr>
            </w:pPr>
            <w:r>
              <w:rPr>
                <w:rFonts w:ascii="Arial" w:cs="Arial" w:eastAsia="Arial" w:hAnsi="Arial"/>
                <w:sz w:val="18"/>
                <w:szCs w:val="18"/>
                <w:color w:val="auto"/>
                <w:w w:val="99"/>
              </w:rPr>
              <w:t>PBRSUs (4)</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87,230</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5,440,551</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87,228</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5,440,410</w:t>
            </w:r>
          </w:p>
        </w:tc>
        <w:tc>
          <w:tcPr>
            <w:tcW w:w="0" w:type="dxa"/>
            <w:vAlign w:val="bottom"/>
          </w:tcPr>
          <w:p>
            <w:pPr>
              <w:spacing w:after="0"/>
              <w:rPr>
                <w:sz w:val="1"/>
                <w:szCs w:val="1"/>
                <w:color w:val="auto"/>
              </w:rPr>
            </w:pPr>
          </w:p>
        </w:tc>
      </w:tr>
      <w:tr>
        <w:trPr>
          <w:trHeight w:val="230"/>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2/11/2022</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78,006</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4,865,234</w:t>
            </w:r>
          </w:p>
        </w:tc>
        <w:tc>
          <w:tcPr>
            <w:tcW w:w="170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2/11/2022</w:t>
            </w:r>
          </w:p>
        </w:tc>
        <w:tc>
          <w:tcPr>
            <w:tcW w:w="1400" w:type="dxa"/>
            <w:vAlign w:val="bottom"/>
            <w:shd w:val="clear" w:color="auto" w:fill="DBDBDB"/>
          </w:tcPr>
          <w:p>
            <w:pPr>
              <w:jc w:val="center"/>
              <w:ind w:left="11"/>
              <w:spacing w:after="0"/>
              <w:rPr>
                <w:sz w:val="20"/>
                <w:szCs w:val="20"/>
                <w:color w:val="auto"/>
              </w:rPr>
            </w:pPr>
            <w:r>
              <w:rPr>
                <w:rFonts w:ascii="Arial" w:cs="Arial" w:eastAsia="Arial" w:hAnsi="Arial"/>
                <w:sz w:val="18"/>
                <w:szCs w:val="18"/>
                <w:color w:val="auto"/>
                <w:w w:val="99"/>
              </w:rPr>
              <w:t>PBRSUs (5)</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152,113</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9,487,313</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87,755</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5,473,248</w:t>
            </w:r>
          </w:p>
        </w:tc>
        <w:tc>
          <w:tcPr>
            <w:tcW w:w="0" w:type="dxa"/>
            <w:vAlign w:val="bottom"/>
          </w:tcPr>
          <w:p>
            <w:pPr>
              <w:spacing w:after="0"/>
              <w:rPr>
                <w:sz w:val="1"/>
                <w:szCs w:val="1"/>
                <w:color w:val="auto"/>
              </w:rPr>
            </w:pPr>
          </w:p>
        </w:tc>
      </w:tr>
      <w:tr>
        <w:trPr>
          <w:trHeight w:val="224"/>
        </w:trPr>
        <w:tc>
          <w:tcPr>
            <w:tcW w:w="1800" w:type="dxa"/>
            <w:vAlign w:val="bottom"/>
          </w:tcPr>
          <w:p>
            <w:pPr>
              <w:ind w:left="20"/>
              <w:spacing w:after="0"/>
              <w:rPr>
                <w:sz w:val="20"/>
                <w:szCs w:val="20"/>
                <w:color w:val="auto"/>
              </w:rPr>
            </w:pPr>
            <w:r>
              <w:rPr>
                <w:rFonts w:ascii="Arial" w:cs="Arial" w:eastAsia="Arial" w:hAnsi="Arial"/>
                <w:sz w:val="16"/>
                <w:szCs w:val="16"/>
                <w:color w:val="auto"/>
              </w:rPr>
              <w:t>Thad Trent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2/16/2021</w:t>
            </w:r>
          </w:p>
        </w:tc>
        <w:tc>
          <w:tcPr>
            <w:tcW w:w="1400" w:type="dxa"/>
            <w:vAlign w:val="bottom"/>
          </w:tcPr>
          <w:p>
            <w:pPr>
              <w:jc w:val="center"/>
              <w:ind w:left="11"/>
              <w:spacing w:after="0"/>
              <w:rPr>
                <w:sz w:val="20"/>
                <w:szCs w:val="20"/>
                <w:color w:val="auto"/>
              </w:rPr>
            </w:pPr>
            <w:r>
              <w:rPr>
                <w:rFonts w:ascii="Arial" w:cs="Arial" w:eastAsia="Arial" w:hAnsi="Arial"/>
                <w:sz w:val="18"/>
                <w:szCs w:val="18"/>
                <w:color w:val="auto"/>
                <w:w w:val="99"/>
              </w:rPr>
              <w:t>PBRSUs (6)</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91,996</w:t>
            </w:r>
          </w:p>
        </w:tc>
        <w:tc>
          <w:tcPr>
            <w:tcW w:w="1720" w:type="dxa"/>
            <w:vAlign w:val="bottom"/>
          </w:tcPr>
          <w:p>
            <w:pPr>
              <w:jc w:val="center"/>
              <w:spacing w:after="0"/>
              <w:rPr>
                <w:sz w:val="20"/>
                <w:szCs w:val="20"/>
                <w:color w:val="auto"/>
              </w:rPr>
            </w:pPr>
            <w:r>
              <w:rPr>
                <w:rFonts w:ascii="Arial" w:cs="Arial" w:eastAsia="Arial" w:hAnsi="Arial"/>
                <w:sz w:val="16"/>
                <w:szCs w:val="16"/>
                <w:color w:val="auto"/>
              </w:rPr>
              <w:t>5,737,791</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2/16/2021</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51,772</w:t>
            </w:r>
          </w:p>
        </w:tc>
        <w:tc>
          <w:tcPr>
            <w:tcW w:w="1580" w:type="dxa"/>
            <w:vAlign w:val="bottom"/>
          </w:tcPr>
          <w:p>
            <w:pPr>
              <w:jc w:val="center"/>
              <w:spacing w:after="0"/>
              <w:rPr>
                <w:sz w:val="20"/>
                <w:szCs w:val="20"/>
                <w:color w:val="auto"/>
              </w:rPr>
            </w:pPr>
            <w:r>
              <w:rPr>
                <w:rFonts w:ascii="Arial" w:cs="Arial" w:eastAsia="Arial" w:hAnsi="Arial"/>
                <w:sz w:val="16"/>
                <w:szCs w:val="16"/>
                <w:color w:val="auto"/>
              </w:rPr>
              <w:t>3,229,020</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2/16/2021</w:t>
            </w:r>
          </w:p>
        </w:tc>
        <w:tc>
          <w:tcPr>
            <w:tcW w:w="1400" w:type="dxa"/>
            <w:vAlign w:val="bottom"/>
          </w:tcPr>
          <w:p>
            <w:pPr>
              <w:jc w:val="center"/>
              <w:ind w:left="11"/>
              <w:spacing w:after="0"/>
              <w:rPr>
                <w:sz w:val="20"/>
                <w:szCs w:val="20"/>
                <w:color w:val="auto"/>
              </w:rPr>
            </w:pPr>
            <w:r>
              <w:rPr>
                <w:rFonts w:ascii="Arial" w:cs="Arial" w:eastAsia="Arial" w:hAnsi="Arial"/>
                <w:sz w:val="18"/>
                <w:szCs w:val="18"/>
                <w:color w:val="auto"/>
                <w:w w:val="99"/>
              </w:rPr>
              <w:t>PBRSUs (4)</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43,011</w:t>
            </w:r>
          </w:p>
        </w:tc>
        <w:tc>
          <w:tcPr>
            <w:tcW w:w="1580" w:type="dxa"/>
            <w:vAlign w:val="bottom"/>
          </w:tcPr>
          <w:p>
            <w:pPr>
              <w:jc w:val="center"/>
              <w:spacing w:after="0"/>
              <w:rPr>
                <w:sz w:val="20"/>
                <w:szCs w:val="20"/>
                <w:color w:val="auto"/>
              </w:rPr>
            </w:pPr>
            <w:r>
              <w:rPr>
                <w:rFonts w:ascii="Arial" w:cs="Arial" w:eastAsia="Arial" w:hAnsi="Arial"/>
                <w:sz w:val="16"/>
                <w:szCs w:val="16"/>
                <w:color w:val="auto"/>
              </w:rPr>
              <w:t>2,682,596</w:t>
            </w:r>
          </w:p>
        </w:tc>
        <w:tc>
          <w:tcPr>
            <w:tcW w:w="1700" w:type="dxa"/>
            <w:vAlign w:val="bottom"/>
          </w:tcPr>
          <w:p>
            <w:pPr>
              <w:jc w:val="center"/>
              <w:spacing w:after="0"/>
              <w:rPr>
                <w:sz w:val="20"/>
                <w:szCs w:val="20"/>
                <w:color w:val="auto"/>
              </w:rPr>
            </w:pPr>
            <w:r>
              <w:rPr>
                <w:rFonts w:ascii="Arial" w:cs="Arial" w:eastAsia="Arial" w:hAnsi="Arial"/>
                <w:sz w:val="16"/>
                <w:szCs w:val="16"/>
                <w:color w:val="auto"/>
              </w:rPr>
              <w:t>43,009</w:t>
            </w:r>
          </w:p>
        </w:tc>
        <w:tc>
          <w:tcPr>
            <w:tcW w:w="1720" w:type="dxa"/>
            <w:vAlign w:val="bottom"/>
          </w:tcPr>
          <w:p>
            <w:pPr>
              <w:jc w:val="center"/>
              <w:spacing w:after="0"/>
              <w:rPr>
                <w:sz w:val="20"/>
                <w:szCs w:val="20"/>
                <w:color w:val="auto"/>
              </w:rPr>
            </w:pPr>
            <w:r>
              <w:rPr>
                <w:rFonts w:ascii="Arial" w:cs="Arial" w:eastAsia="Arial" w:hAnsi="Arial"/>
                <w:sz w:val="16"/>
                <w:szCs w:val="16"/>
                <w:color w:val="auto"/>
              </w:rPr>
              <w:t>2,682,456</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2/10/2022</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26,806</w:t>
            </w:r>
          </w:p>
        </w:tc>
        <w:tc>
          <w:tcPr>
            <w:tcW w:w="1580" w:type="dxa"/>
            <w:vAlign w:val="bottom"/>
          </w:tcPr>
          <w:p>
            <w:pPr>
              <w:jc w:val="center"/>
              <w:spacing w:after="0"/>
              <w:rPr>
                <w:sz w:val="20"/>
                <w:szCs w:val="20"/>
                <w:color w:val="auto"/>
              </w:rPr>
            </w:pPr>
            <w:r>
              <w:rPr>
                <w:rFonts w:ascii="Arial" w:cs="Arial" w:eastAsia="Arial" w:hAnsi="Arial"/>
                <w:sz w:val="16"/>
                <w:szCs w:val="16"/>
                <w:color w:val="auto"/>
              </w:rPr>
              <w:t>1,671,890</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2/10/2022</w:t>
            </w:r>
          </w:p>
        </w:tc>
        <w:tc>
          <w:tcPr>
            <w:tcW w:w="1400" w:type="dxa"/>
            <w:vAlign w:val="bottom"/>
          </w:tcPr>
          <w:p>
            <w:pPr>
              <w:jc w:val="center"/>
              <w:ind w:left="11"/>
              <w:spacing w:after="0"/>
              <w:rPr>
                <w:sz w:val="20"/>
                <w:szCs w:val="20"/>
                <w:color w:val="auto"/>
              </w:rPr>
            </w:pPr>
            <w:r>
              <w:rPr>
                <w:rFonts w:ascii="Arial" w:cs="Arial" w:eastAsia="Arial" w:hAnsi="Arial"/>
                <w:sz w:val="18"/>
                <w:szCs w:val="18"/>
                <w:color w:val="auto"/>
                <w:w w:val="99"/>
              </w:rPr>
              <w:t>PBRSUs (5)</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52,278</w:t>
            </w:r>
          </w:p>
        </w:tc>
        <w:tc>
          <w:tcPr>
            <w:tcW w:w="1580" w:type="dxa"/>
            <w:vAlign w:val="bottom"/>
          </w:tcPr>
          <w:p>
            <w:pPr>
              <w:jc w:val="center"/>
              <w:spacing w:after="0"/>
              <w:rPr>
                <w:sz w:val="20"/>
                <w:szCs w:val="20"/>
                <w:color w:val="auto"/>
              </w:rPr>
            </w:pPr>
            <w:r>
              <w:rPr>
                <w:rFonts w:ascii="Arial" w:cs="Arial" w:eastAsia="Arial" w:hAnsi="Arial"/>
                <w:sz w:val="16"/>
                <w:szCs w:val="16"/>
                <w:color w:val="auto"/>
              </w:rPr>
              <w:t>3,260,554</w:t>
            </w:r>
          </w:p>
        </w:tc>
        <w:tc>
          <w:tcPr>
            <w:tcW w:w="1700" w:type="dxa"/>
            <w:vAlign w:val="bottom"/>
          </w:tcPr>
          <w:p>
            <w:pPr>
              <w:jc w:val="center"/>
              <w:spacing w:after="0"/>
              <w:rPr>
                <w:sz w:val="20"/>
                <w:szCs w:val="20"/>
                <w:color w:val="auto"/>
              </w:rPr>
            </w:pPr>
            <w:r>
              <w:rPr>
                <w:rFonts w:ascii="Arial" w:cs="Arial" w:eastAsia="Arial" w:hAnsi="Arial"/>
                <w:sz w:val="16"/>
                <w:szCs w:val="16"/>
                <w:color w:val="auto"/>
              </w:rPr>
              <w:t>30,150</w:t>
            </w:r>
          </w:p>
        </w:tc>
        <w:tc>
          <w:tcPr>
            <w:tcW w:w="1720" w:type="dxa"/>
            <w:vAlign w:val="bottom"/>
          </w:tcPr>
          <w:p>
            <w:pPr>
              <w:jc w:val="center"/>
              <w:spacing w:after="0"/>
              <w:rPr>
                <w:sz w:val="20"/>
                <w:szCs w:val="20"/>
                <w:color w:val="auto"/>
              </w:rPr>
            </w:pPr>
            <w:r>
              <w:rPr>
                <w:rFonts w:ascii="Arial" w:cs="Arial" w:eastAsia="Arial" w:hAnsi="Arial"/>
                <w:sz w:val="16"/>
                <w:szCs w:val="16"/>
                <w:color w:val="auto"/>
              </w:rPr>
              <w:t>1,880,456</w:t>
            </w:r>
          </w:p>
        </w:tc>
        <w:tc>
          <w:tcPr>
            <w:tcW w:w="0" w:type="dxa"/>
            <w:vAlign w:val="bottom"/>
          </w:tcPr>
          <w:p>
            <w:pPr>
              <w:spacing w:after="0"/>
              <w:rPr>
                <w:sz w:val="1"/>
                <w:szCs w:val="1"/>
                <w:color w:val="auto"/>
              </w:rPr>
            </w:pPr>
          </w:p>
        </w:tc>
      </w:tr>
      <w:tr>
        <w:trPr>
          <w:trHeight w:val="230"/>
        </w:trPr>
        <w:tc>
          <w:tcPr>
            <w:tcW w:w="1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Simon Keeton</w:t>
            </w: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3/2/2020</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10,565</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658,939</w:t>
            </w:r>
          </w:p>
        </w:tc>
        <w:tc>
          <w:tcPr>
            <w:tcW w:w="170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10/5/2020</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2,880</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179,626</w:t>
            </w:r>
          </w:p>
        </w:tc>
        <w:tc>
          <w:tcPr>
            <w:tcW w:w="170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13,731</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856,402</w:t>
            </w:r>
          </w:p>
        </w:tc>
        <w:tc>
          <w:tcPr>
            <w:tcW w:w="170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shd w:val="clear" w:color="auto" w:fill="DBDBDB"/>
          </w:tcPr>
          <w:p>
            <w:pPr>
              <w:jc w:val="center"/>
              <w:ind w:left="11"/>
              <w:spacing w:after="0"/>
              <w:rPr>
                <w:sz w:val="20"/>
                <w:szCs w:val="20"/>
                <w:color w:val="auto"/>
              </w:rPr>
            </w:pPr>
            <w:r>
              <w:rPr>
                <w:rFonts w:ascii="Arial" w:cs="Arial" w:eastAsia="Arial" w:hAnsi="Arial"/>
                <w:sz w:val="18"/>
                <w:szCs w:val="18"/>
                <w:color w:val="auto"/>
                <w:w w:val="99"/>
              </w:rPr>
              <w:t>PBRSUs (4)</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23,171</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1,445,144</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23,168</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1,445,004</w:t>
            </w:r>
          </w:p>
        </w:tc>
        <w:tc>
          <w:tcPr>
            <w:tcW w:w="0" w:type="dxa"/>
            <w:vAlign w:val="bottom"/>
          </w:tcPr>
          <w:p>
            <w:pPr>
              <w:spacing w:after="0"/>
              <w:rPr>
                <w:sz w:val="1"/>
                <w:szCs w:val="1"/>
                <w:color w:val="auto"/>
              </w:rPr>
            </w:pPr>
          </w:p>
        </w:tc>
      </w:tr>
      <w:tr>
        <w:trPr>
          <w:trHeight w:val="229"/>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7/1/2021</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1,055</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65,800</w:t>
            </w:r>
          </w:p>
        </w:tc>
        <w:tc>
          <w:tcPr>
            <w:tcW w:w="170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DBDBDB"/>
          </w:tcPr>
          <w:p>
            <w:pPr>
              <w:spacing w:after="0"/>
              <w:rPr>
                <w:sz w:val="19"/>
                <w:szCs w:val="19"/>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7/1/2021</w:t>
            </w:r>
          </w:p>
        </w:tc>
        <w:tc>
          <w:tcPr>
            <w:tcW w:w="1400" w:type="dxa"/>
            <w:vAlign w:val="bottom"/>
            <w:shd w:val="clear" w:color="auto" w:fill="DBDBDB"/>
          </w:tcPr>
          <w:p>
            <w:pPr>
              <w:jc w:val="center"/>
              <w:ind w:left="11"/>
              <w:spacing w:after="0"/>
              <w:rPr>
                <w:sz w:val="20"/>
                <w:szCs w:val="20"/>
                <w:color w:val="auto"/>
              </w:rPr>
            </w:pPr>
            <w:r>
              <w:rPr>
                <w:rFonts w:ascii="Arial" w:cs="Arial" w:eastAsia="Arial" w:hAnsi="Arial"/>
                <w:sz w:val="18"/>
                <w:szCs w:val="18"/>
                <w:color w:val="auto"/>
                <w:w w:val="99"/>
              </w:rPr>
              <w:t>PBRSUs (4)</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1,188</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74,096</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1,185</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73,908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44</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9"/>
        </w:trPr>
        <w:tc>
          <w:tcPr>
            <w:tcW w:w="1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20" w:type="dxa"/>
            <w:vAlign w:val="bottom"/>
            <w:gridSpan w:val="2"/>
          </w:tcPr>
          <w:p>
            <w:pPr>
              <w:ind w:left="540"/>
              <w:spacing w:after="0"/>
              <w:rPr>
                <w:sz w:val="20"/>
                <w:szCs w:val="20"/>
                <w:color w:val="auto"/>
              </w:rPr>
            </w:pPr>
            <w:r>
              <w:rPr>
                <w:rFonts w:ascii="Arial" w:cs="Arial" w:eastAsia="Arial" w:hAnsi="Arial"/>
                <w:sz w:val="18"/>
                <w:szCs w:val="18"/>
                <w:color w:val="E97D2E"/>
                <w:w w:val="99"/>
              </w:rPr>
              <w:t>Compensation of Executive Officers</w:t>
            </w:r>
          </w:p>
        </w:tc>
      </w:tr>
      <w:tr>
        <w:trPr>
          <w:trHeight w:val="738"/>
        </w:trPr>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0"/>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2/10/2022</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14,192</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885,155</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29"/>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2/10/2022</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PBRSUs (5)</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27,676</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1,726,165</w:t>
            </w:r>
          </w:p>
        </w:tc>
        <w:tc>
          <w:tcPr>
            <w:tcW w:w="16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15,962</w:t>
            </w:r>
          </w:p>
        </w:tc>
        <w:tc>
          <w:tcPr>
            <w:tcW w:w="17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995,519</w:t>
            </w:r>
          </w:p>
        </w:tc>
      </w:tr>
      <w:tr>
        <w:trPr>
          <w:trHeight w:val="224"/>
        </w:trPr>
        <w:tc>
          <w:tcPr>
            <w:tcW w:w="1800" w:type="dxa"/>
            <w:vAlign w:val="bottom"/>
          </w:tcPr>
          <w:p>
            <w:pPr>
              <w:ind w:left="20"/>
              <w:spacing w:after="0"/>
              <w:rPr>
                <w:sz w:val="20"/>
                <w:szCs w:val="20"/>
                <w:color w:val="auto"/>
              </w:rPr>
            </w:pPr>
            <w:r>
              <w:rPr>
                <w:rFonts w:ascii="Arial" w:cs="Arial" w:eastAsia="Arial" w:hAnsi="Arial"/>
                <w:sz w:val="16"/>
                <w:szCs w:val="16"/>
                <w:color w:val="auto"/>
              </w:rPr>
              <w:t>Ross F. Jatou</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3/2/2020</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2,201</w:t>
            </w:r>
          </w:p>
        </w:tc>
        <w:tc>
          <w:tcPr>
            <w:tcW w:w="1540" w:type="dxa"/>
            <w:vAlign w:val="bottom"/>
          </w:tcPr>
          <w:p>
            <w:pPr>
              <w:jc w:val="center"/>
              <w:spacing w:after="0"/>
              <w:rPr>
                <w:sz w:val="20"/>
                <w:szCs w:val="20"/>
                <w:color w:val="auto"/>
              </w:rPr>
            </w:pPr>
            <w:r>
              <w:rPr>
                <w:rFonts w:ascii="Arial" w:cs="Arial" w:eastAsia="Arial" w:hAnsi="Arial"/>
                <w:sz w:val="16"/>
                <w:szCs w:val="16"/>
                <w:color w:val="auto"/>
              </w:rPr>
              <w:t>137,276</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9/8/2020</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3,981</w:t>
            </w:r>
          </w:p>
        </w:tc>
        <w:tc>
          <w:tcPr>
            <w:tcW w:w="1540" w:type="dxa"/>
            <w:vAlign w:val="bottom"/>
          </w:tcPr>
          <w:p>
            <w:pPr>
              <w:jc w:val="center"/>
              <w:spacing w:after="0"/>
              <w:rPr>
                <w:sz w:val="20"/>
                <w:szCs w:val="20"/>
                <w:color w:val="auto"/>
              </w:rPr>
            </w:pPr>
            <w:r>
              <w:rPr>
                <w:rFonts w:ascii="Arial" w:cs="Arial" w:eastAsia="Arial" w:hAnsi="Arial"/>
                <w:sz w:val="16"/>
                <w:szCs w:val="16"/>
                <w:color w:val="auto"/>
              </w:rPr>
              <w:t>248,295</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10/5/2020</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4,319</w:t>
            </w:r>
          </w:p>
        </w:tc>
        <w:tc>
          <w:tcPr>
            <w:tcW w:w="1540" w:type="dxa"/>
            <w:vAlign w:val="bottom"/>
          </w:tcPr>
          <w:p>
            <w:pPr>
              <w:jc w:val="center"/>
              <w:spacing w:after="0"/>
              <w:rPr>
                <w:sz w:val="20"/>
                <w:szCs w:val="20"/>
                <w:color w:val="auto"/>
              </w:rPr>
            </w:pPr>
            <w:r>
              <w:rPr>
                <w:rFonts w:ascii="Arial" w:cs="Arial" w:eastAsia="Arial" w:hAnsi="Arial"/>
                <w:sz w:val="16"/>
                <w:szCs w:val="16"/>
                <w:color w:val="auto"/>
              </w:rPr>
              <w:t>269,376</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8,077</w:t>
            </w:r>
          </w:p>
        </w:tc>
        <w:tc>
          <w:tcPr>
            <w:tcW w:w="1540" w:type="dxa"/>
            <w:vAlign w:val="bottom"/>
          </w:tcPr>
          <w:p>
            <w:pPr>
              <w:jc w:val="center"/>
              <w:spacing w:after="0"/>
              <w:rPr>
                <w:sz w:val="20"/>
                <w:szCs w:val="20"/>
                <w:color w:val="auto"/>
              </w:rPr>
            </w:pPr>
            <w:r>
              <w:rPr>
                <w:rFonts w:ascii="Arial" w:cs="Arial" w:eastAsia="Arial" w:hAnsi="Arial"/>
                <w:sz w:val="16"/>
                <w:szCs w:val="16"/>
                <w:color w:val="auto"/>
              </w:rPr>
              <w:t>503,762</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PBRSUs (4)</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13,631</w:t>
            </w:r>
          </w:p>
        </w:tc>
        <w:tc>
          <w:tcPr>
            <w:tcW w:w="1540" w:type="dxa"/>
            <w:vAlign w:val="bottom"/>
          </w:tcPr>
          <w:p>
            <w:pPr>
              <w:jc w:val="center"/>
              <w:spacing w:after="0"/>
              <w:rPr>
                <w:sz w:val="20"/>
                <w:szCs w:val="20"/>
                <w:color w:val="auto"/>
              </w:rPr>
            </w:pPr>
            <w:r>
              <w:rPr>
                <w:rFonts w:ascii="Arial" w:cs="Arial" w:eastAsia="Arial" w:hAnsi="Arial"/>
                <w:sz w:val="16"/>
                <w:szCs w:val="16"/>
                <w:color w:val="auto"/>
              </w:rPr>
              <w:t>850,134</w:t>
            </w:r>
          </w:p>
        </w:tc>
        <w:tc>
          <w:tcPr>
            <w:tcW w:w="1680" w:type="dxa"/>
            <w:vAlign w:val="bottom"/>
          </w:tcPr>
          <w:p>
            <w:pPr>
              <w:jc w:val="center"/>
              <w:spacing w:after="0"/>
              <w:rPr>
                <w:sz w:val="20"/>
                <w:szCs w:val="20"/>
                <w:color w:val="auto"/>
              </w:rPr>
            </w:pPr>
            <w:r>
              <w:rPr>
                <w:rFonts w:ascii="Arial" w:cs="Arial" w:eastAsia="Arial" w:hAnsi="Arial"/>
                <w:sz w:val="16"/>
                <w:szCs w:val="16"/>
                <w:color w:val="auto"/>
              </w:rPr>
              <w:t>13,628</w:t>
            </w:r>
          </w:p>
        </w:tc>
        <w:tc>
          <w:tcPr>
            <w:tcW w:w="1740" w:type="dxa"/>
            <w:vAlign w:val="bottom"/>
          </w:tcPr>
          <w:p>
            <w:pPr>
              <w:jc w:val="center"/>
              <w:spacing w:after="0"/>
              <w:rPr>
                <w:sz w:val="20"/>
                <w:szCs w:val="20"/>
                <w:color w:val="auto"/>
              </w:rPr>
            </w:pPr>
            <w:r>
              <w:rPr>
                <w:rFonts w:ascii="Arial" w:cs="Arial" w:eastAsia="Arial" w:hAnsi="Arial"/>
                <w:sz w:val="16"/>
                <w:szCs w:val="16"/>
                <w:color w:val="auto"/>
              </w:rPr>
              <w:t>849,994</w:t>
            </w:r>
          </w:p>
        </w:tc>
      </w:tr>
      <w:tr>
        <w:trPr>
          <w:trHeight w:val="229"/>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7/1/2021</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1,055</w:t>
            </w:r>
          </w:p>
        </w:tc>
        <w:tc>
          <w:tcPr>
            <w:tcW w:w="1540" w:type="dxa"/>
            <w:vAlign w:val="bottom"/>
          </w:tcPr>
          <w:p>
            <w:pPr>
              <w:jc w:val="center"/>
              <w:spacing w:after="0"/>
              <w:rPr>
                <w:sz w:val="20"/>
                <w:szCs w:val="20"/>
                <w:color w:val="auto"/>
              </w:rPr>
            </w:pPr>
            <w:r>
              <w:rPr>
                <w:rFonts w:ascii="Arial" w:cs="Arial" w:eastAsia="Arial" w:hAnsi="Arial"/>
                <w:sz w:val="16"/>
                <w:szCs w:val="16"/>
                <w:color w:val="auto"/>
              </w:rPr>
              <w:t>65,800</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7/1/2021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PBRSUs (4)</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1,188</w:t>
            </w:r>
          </w:p>
        </w:tc>
        <w:tc>
          <w:tcPr>
            <w:tcW w:w="1540" w:type="dxa"/>
            <w:vAlign w:val="bottom"/>
          </w:tcPr>
          <w:p>
            <w:pPr>
              <w:jc w:val="center"/>
              <w:spacing w:after="0"/>
              <w:rPr>
                <w:sz w:val="20"/>
                <w:szCs w:val="20"/>
                <w:color w:val="auto"/>
              </w:rPr>
            </w:pPr>
            <w:r>
              <w:rPr>
                <w:rFonts w:ascii="Arial" w:cs="Arial" w:eastAsia="Arial" w:hAnsi="Arial"/>
                <w:sz w:val="16"/>
                <w:szCs w:val="16"/>
                <w:color w:val="auto"/>
              </w:rPr>
              <w:t>74,096</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1,185</w:t>
            </w:r>
          </w:p>
        </w:tc>
        <w:tc>
          <w:tcPr>
            <w:tcW w:w="1740" w:type="dxa"/>
            <w:vAlign w:val="bottom"/>
          </w:tcPr>
          <w:p>
            <w:pPr>
              <w:jc w:val="center"/>
              <w:spacing w:after="0"/>
              <w:rPr>
                <w:sz w:val="20"/>
                <w:szCs w:val="20"/>
                <w:color w:val="auto"/>
              </w:rPr>
            </w:pPr>
            <w:r>
              <w:rPr>
                <w:rFonts w:ascii="Arial" w:cs="Arial" w:eastAsia="Arial" w:hAnsi="Arial"/>
                <w:sz w:val="16"/>
                <w:szCs w:val="16"/>
                <w:color w:val="auto"/>
              </w:rPr>
              <w:t>73,908</w:t>
            </w:r>
          </w:p>
        </w:tc>
      </w:tr>
      <w:tr>
        <w:trPr>
          <w:trHeight w:val="229"/>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2/10/2022</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8,831</w:t>
            </w:r>
          </w:p>
        </w:tc>
        <w:tc>
          <w:tcPr>
            <w:tcW w:w="1540" w:type="dxa"/>
            <w:vAlign w:val="bottom"/>
          </w:tcPr>
          <w:p>
            <w:pPr>
              <w:jc w:val="center"/>
              <w:spacing w:after="0"/>
              <w:rPr>
                <w:sz w:val="20"/>
                <w:szCs w:val="20"/>
                <w:color w:val="auto"/>
              </w:rPr>
            </w:pPr>
            <w:r>
              <w:rPr>
                <w:rFonts w:ascii="Arial" w:cs="Arial" w:eastAsia="Arial" w:hAnsi="Arial"/>
                <w:sz w:val="16"/>
                <w:szCs w:val="16"/>
                <w:color w:val="auto"/>
              </w:rPr>
              <w:t>550,789</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5"/>
        </w:trPr>
        <w:tc>
          <w:tcPr>
            <w:tcW w:w="18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2/10/2022</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PBRSUs (5)</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17,226</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1,074,411</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9,927</w:t>
            </w:r>
          </w:p>
        </w:tc>
        <w:tc>
          <w:tcPr>
            <w:tcW w:w="1740" w:type="dxa"/>
            <w:vAlign w:val="bottom"/>
          </w:tcPr>
          <w:p>
            <w:pPr>
              <w:jc w:val="center"/>
              <w:spacing w:after="0"/>
              <w:rPr>
                <w:sz w:val="20"/>
                <w:szCs w:val="20"/>
                <w:color w:val="auto"/>
              </w:rPr>
            </w:pPr>
            <w:r>
              <w:rPr>
                <w:rFonts w:ascii="Arial" w:cs="Arial" w:eastAsia="Arial" w:hAnsi="Arial"/>
                <w:sz w:val="16"/>
                <w:szCs w:val="16"/>
                <w:color w:val="auto"/>
              </w:rPr>
              <w:t>619,147</w:t>
            </w:r>
          </w:p>
        </w:tc>
      </w:tr>
      <w:tr>
        <w:trPr>
          <w:trHeight w:val="230"/>
        </w:trPr>
        <w:tc>
          <w:tcPr>
            <w:tcW w:w="1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Robert Tong (7)</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3/2/2020</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1,320</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82,328</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29"/>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9/8/2020</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2,707</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168,836</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29"/>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1,716</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107,027</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30"/>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PBRSUs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2,574</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160,540</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29"/>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12/2/2021</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1,535</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95,738</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30"/>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12/2/2021</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PBRSUs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3,454</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215,426</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29"/>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2/10/2022</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3,154</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196,715</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29"/>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2/10/2022</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PBRSUs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7,923</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494,186</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30"/>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6/16/2022</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7,483</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466,715</w:t>
            </w:r>
          </w:p>
        </w:tc>
        <w:tc>
          <w:tcPr>
            <w:tcW w:w="168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29"/>
        </w:trPr>
        <w:tc>
          <w:tcPr>
            <w:tcW w:w="1800" w:type="dxa"/>
            <w:vAlign w:val="bottom"/>
            <w:shd w:val="clear" w:color="auto" w:fill="DBDBDB"/>
          </w:tcPr>
          <w:p>
            <w:pPr>
              <w:spacing w:after="0"/>
              <w:rPr>
                <w:sz w:val="19"/>
                <w:szCs w:val="19"/>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6/16/2022</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PBRSUs (5)</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14,592</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910,106</w:t>
            </w:r>
          </w:p>
        </w:tc>
        <w:tc>
          <w:tcPr>
            <w:tcW w:w="16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8,417</w:t>
            </w:r>
          </w:p>
        </w:tc>
        <w:tc>
          <w:tcPr>
            <w:tcW w:w="17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524,984</w:t>
            </w:r>
          </w:p>
        </w:tc>
      </w:tr>
      <w:tr>
        <w:trPr>
          <w:trHeight w:val="224"/>
        </w:trPr>
        <w:tc>
          <w:tcPr>
            <w:tcW w:w="1800" w:type="dxa"/>
            <w:vAlign w:val="bottom"/>
          </w:tcPr>
          <w:p>
            <w:pPr>
              <w:ind w:left="20"/>
              <w:spacing w:after="0"/>
              <w:rPr>
                <w:sz w:val="20"/>
                <w:szCs w:val="20"/>
                <w:color w:val="auto"/>
              </w:rPr>
            </w:pPr>
            <w:r>
              <w:rPr>
                <w:rFonts w:ascii="Arial" w:cs="Arial" w:eastAsia="Arial" w:hAnsi="Arial"/>
                <w:sz w:val="16"/>
                <w:szCs w:val="16"/>
                <w:color w:val="auto"/>
              </w:rPr>
              <w:t>Vincent C. Hopkin</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3/2/2020</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10,565</w:t>
            </w:r>
          </w:p>
        </w:tc>
        <w:tc>
          <w:tcPr>
            <w:tcW w:w="1540" w:type="dxa"/>
            <w:vAlign w:val="bottom"/>
          </w:tcPr>
          <w:p>
            <w:pPr>
              <w:jc w:val="center"/>
              <w:spacing w:after="0"/>
              <w:rPr>
                <w:sz w:val="20"/>
                <w:szCs w:val="20"/>
                <w:color w:val="auto"/>
              </w:rPr>
            </w:pPr>
            <w:r>
              <w:rPr>
                <w:rFonts w:ascii="Arial" w:cs="Arial" w:eastAsia="Arial" w:hAnsi="Arial"/>
                <w:sz w:val="16"/>
                <w:szCs w:val="16"/>
                <w:color w:val="auto"/>
              </w:rPr>
              <w:t>658,939</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10/5/2020</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2,880</w:t>
            </w:r>
          </w:p>
        </w:tc>
        <w:tc>
          <w:tcPr>
            <w:tcW w:w="1540" w:type="dxa"/>
            <w:vAlign w:val="bottom"/>
          </w:tcPr>
          <w:p>
            <w:pPr>
              <w:jc w:val="center"/>
              <w:spacing w:after="0"/>
              <w:rPr>
                <w:sz w:val="20"/>
                <w:szCs w:val="20"/>
                <w:color w:val="auto"/>
              </w:rPr>
            </w:pPr>
            <w:r>
              <w:rPr>
                <w:rFonts w:ascii="Arial" w:cs="Arial" w:eastAsia="Arial" w:hAnsi="Arial"/>
                <w:sz w:val="16"/>
                <w:szCs w:val="16"/>
                <w:color w:val="auto"/>
              </w:rPr>
              <w:t>179,626</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2/12/2021</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13,731</w:t>
            </w:r>
          </w:p>
        </w:tc>
        <w:tc>
          <w:tcPr>
            <w:tcW w:w="1540" w:type="dxa"/>
            <w:vAlign w:val="bottom"/>
          </w:tcPr>
          <w:p>
            <w:pPr>
              <w:jc w:val="center"/>
              <w:spacing w:after="0"/>
              <w:rPr>
                <w:sz w:val="20"/>
                <w:szCs w:val="20"/>
                <w:color w:val="auto"/>
              </w:rPr>
            </w:pPr>
            <w:r>
              <w:rPr>
                <w:rFonts w:ascii="Arial" w:cs="Arial" w:eastAsia="Arial" w:hAnsi="Arial"/>
                <w:sz w:val="16"/>
                <w:szCs w:val="16"/>
                <w:color w:val="auto"/>
              </w:rPr>
              <w:t>856,402</w:t>
            </w: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9"/>
        </w:trPr>
        <w:tc>
          <w:tcPr>
            <w:tcW w:w="18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7/1/2021</w:t>
            </w:r>
          </w:p>
        </w:tc>
        <w:tc>
          <w:tcPr>
            <w:tcW w:w="1400" w:type="dxa"/>
            <w:vAlign w:val="bottom"/>
          </w:tcPr>
          <w:p>
            <w:pPr>
              <w:jc w:val="center"/>
              <w:spacing w:after="0"/>
              <w:rPr>
                <w:sz w:val="20"/>
                <w:szCs w:val="20"/>
                <w:color w:val="auto"/>
              </w:rPr>
            </w:pPr>
            <w:r>
              <w:rPr>
                <w:rFonts w:ascii="Arial" w:cs="Arial" w:eastAsia="Arial" w:hAnsi="Arial"/>
                <w:sz w:val="18"/>
                <w:szCs w:val="18"/>
                <w:color w:val="auto"/>
              </w:rPr>
              <w:t>RSUs</w:t>
            </w:r>
          </w:p>
        </w:tc>
        <w:tc>
          <w:tcPr>
            <w:tcW w:w="1700" w:type="dxa"/>
            <w:vAlign w:val="bottom"/>
          </w:tcPr>
          <w:p>
            <w:pPr>
              <w:jc w:val="center"/>
              <w:spacing w:after="0"/>
              <w:rPr>
                <w:sz w:val="20"/>
                <w:szCs w:val="20"/>
                <w:color w:val="auto"/>
              </w:rPr>
            </w:pPr>
            <w:r>
              <w:rPr>
                <w:rFonts w:ascii="Arial" w:cs="Arial" w:eastAsia="Arial" w:hAnsi="Arial"/>
                <w:sz w:val="16"/>
                <w:szCs w:val="16"/>
                <w:color w:val="auto"/>
              </w:rPr>
              <w:t>704</w:t>
            </w:r>
          </w:p>
        </w:tc>
        <w:tc>
          <w:tcPr>
            <w:tcW w:w="1540" w:type="dxa"/>
            <w:vAlign w:val="bottom"/>
          </w:tcPr>
          <w:p>
            <w:pPr>
              <w:jc w:val="center"/>
              <w:spacing w:after="0"/>
              <w:rPr>
                <w:sz w:val="20"/>
                <w:szCs w:val="20"/>
                <w:color w:val="auto"/>
              </w:rPr>
            </w:pPr>
            <w:r>
              <w:rPr>
                <w:rFonts w:ascii="Arial" w:cs="Arial" w:eastAsia="Arial" w:hAnsi="Arial"/>
                <w:sz w:val="16"/>
                <w:szCs w:val="16"/>
                <w:color w:val="auto"/>
              </w:rPr>
              <w:t>43,908</w:t>
            </w:r>
          </w:p>
        </w:tc>
        <w:tc>
          <w:tcPr>
            <w:tcW w:w="168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jc w:val="both"/>
        <w:ind w:left="260" w:right="100" w:hanging="234"/>
        <w:spacing w:after="0" w:line="235"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unvested awards that remain subject to the NEO’s continued employment through the applicable vesting date and all other terms and conditions of the SIP and the award agreement. These include unvested time-based RSUs, which vest in three equal installments on the first three anniversaries of the grant date, and any unvested PBRSUs for which all performance criteria were complete on or before December 31, 2022.</w:t>
      </w:r>
    </w:p>
    <w:p>
      <w:pPr>
        <w:spacing w:after="0" w:line="13" w:lineRule="exact"/>
        <w:rPr>
          <w:rFonts w:ascii="Arial" w:cs="Arial" w:eastAsia="Arial" w:hAnsi="Arial"/>
          <w:sz w:val="14"/>
          <w:szCs w:val="14"/>
          <w:color w:val="auto"/>
        </w:rPr>
      </w:pPr>
    </w:p>
    <w:p>
      <w:pPr>
        <w:ind w:left="260" w:right="40" w:hanging="234"/>
        <w:spacing w:after="0" w:line="224"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outstanding PBRSUs that, as of December 31, 2022, remain subject to performance conditions, the NEO’s continued employment through the applicable vesting date, and all other terms and conditions of the SIP and the award agreement. The number of PBRSUs reported in this column assumes maximum performance on the remaining metric (relative TSR over a two- or three-year period), which would increase payouts, on a tranche-by-tranche basis, by 150% of the number of PBRSUs calculated as earned based on one-year financial metrics. However, the actual relative TSR Adjustment may range between a reduction of 50% to the maximum increase of 150%. The amounts in this column do not necessarily represent the number of shares used for expensing purposes or the number of awards that were expected to vest as of December 31, 2022. The estimated number of units that are expected to vest is evaluated and adjusted each reporting period, as necessary, in connection with the preparation of the Company’s quarterly and annual financial statements.</w:t>
      </w:r>
    </w:p>
    <w:p>
      <w:pPr>
        <w:spacing w:after="0" w:line="14" w:lineRule="exact"/>
        <w:rPr>
          <w:rFonts w:ascii="Arial" w:cs="Arial" w:eastAsia="Arial" w:hAnsi="Arial"/>
          <w:sz w:val="14"/>
          <w:szCs w:val="14"/>
          <w:color w:val="auto"/>
        </w:rPr>
      </w:pPr>
    </w:p>
    <w:p>
      <w:pPr>
        <w:ind w:left="260" w:right="240" w:hanging="234"/>
        <w:spacing w:after="0" w:line="235"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dollar values in this column are calculated by multiplying the closing market price of our common stock on December 31, 2022 ($62.37) by the number of RSUs or PBRSUs shown as held by the NEO. The amounts in this column do not necessarily represent the fair value for expensing purposes or the fair value of awards that were expected to vest as of December 31, 2022.</w:t>
      </w:r>
    </w:p>
    <w:p>
      <w:pPr>
        <w:spacing w:after="0" w:line="13" w:lineRule="exact"/>
        <w:rPr>
          <w:rFonts w:ascii="Arial" w:cs="Arial" w:eastAsia="Arial" w:hAnsi="Arial"/>
          <w:sz w:val="14"/>
          <w:szCs w:val="14"/>
          <w:color w:val="auto"/>
        </w:rPr>
      </w:pPr>
    </w:p>
    <w:p>
      <w:pPr>
        <w:ind w:left="260" w:right="80" w:hanging="234"/>
        <w:spacing w:after="0" w:line="225"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For these 2021 PBRSUs, the number shown under “All Other Stock Awards” reflects the total number of PBRSUs earned in the second tranche, including the two-year TSR Adjustment. Our relative TSR performance exceeded the stretch level, which meant that the number of PBRSUs earned in the second tranche, as originally determined on the basis of 2021 financial metrics, was multiplied by 150% to determine the payout. This second tranche of PBRSUs vested on February 15, 2023. The number shown under “Equity Incentive Plan Awards” reflects the number of PBRSUs in the third tranche, as calculated based on our performance on 2021 financial metrics and assuming the maximum three-year TSR Adjustment. Following the end of the three-year performance period, the HCC Committee will certify the number of PBRSUs earned in that tranche based our actual relative TSR performance, and those PBRSUs will vest on February 15, 2024 subject to the NEO’s continued employment through that date.</w:t>
      </w:r>
    </w:p>
    <w:p>
      <w:pPr>
        <w:spacing w:after="0" w:line="12" w:lineRule="exact"/>
        <w:rPr>
          <w:rFonts w:ascii="Arial" w:cs="Arial" w:eastAsia="Arial" w:hAnsi="Arial"/>
          <w:sz w:val="14"/>
          <w:szCs w:val="14"/>
          <w:color w:val="auto"/>
        </w:rPr>
      </w:pPr>
    </w:p>
    <w:p>
      <w:pPr>
        <w:ind w:left="260" w:right="100" w:hanging="234"/>
        <w:spacing w:after="0" w:line="221"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For our 2022 PBRSUs, the number shown under “All Other Stock Awards” reflects one-third of the number of PBRSUs calculated as earned under the LTI Financial Goals (the first tranche), including the one-year TSR Adjustment, plus all PBRSUs calculated as earned under the LTI Operational Goals (all three tranches), as the performance period ended on December 31, 2022 for each of those components. We achieved a combined 150% on the LTI Financial Goals and a combined 185% on the LTI Operational Goals. In addition, our one-year relative TSR performance exceeded the stretch level, which meant that the number of PBRSUs in the first tranche calculated as earned under the LTI Financial Goals was multiplied by 150% to determine the payout on that portion of the award, for a combined first tranche payout on all LTI Performance Goals of 205%. The remainder of the 2022 PBRSUs (the second and third tranches of the PBRSUs tied to, and calculated as earned under, the LTI Financial Goals) is reported under “Equity Incentive Plan Awards,” assuming maximum TSR Adjustment for each. The first tranche of PBRSUs vested on February 7, 2023, following the HCC Committee’s certification of performance, while the second two tranches, with the PBRSUs tied to LTI Financial Goals to be further adjusted for our actual two- or three-year relative TSR performance, will vest in February of 2024 and 2025, respectively, in each case, subject to the NEO’s continued employment through the vesting date. For more information on these awards, please see the section entitled “Elements of our Compensation Program — Long-Term Incentive Program” in our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260" w:right="160" w:hanging="234"/>
        <w:spacing w:after="0" w:line="231" w:lineRule="auto"/>
        <w:tabs>
          <w:tab w:leader="none" w:pos="233"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a grant of PBRSUs awarded to Mr. Trent on February 16, 2021 in consideration of his appointment as our EVP and CFO. Vesting of these PBRSUs could vary between 0-100% depending upon our TSR over the two-year period following grant (January 16, 2021 through January 15, 2023), relative to the TSR of our defined group of peer companies. Following the end of the performance period, the HCC Committee confirmed that 100% of the PBRSUs were earned, as our relative TSR performance exceeded the maximum level. These PBRSUs vested on March 14, 2023.</w:t>
      </w:r>
    </w:p>
    <w:p>
      <w:pPr>
        <w:spacing w:after="0" w:line="14" w:lineRule="exact"/>
        <w:rPr>
          <w:rFonts w:ascii="Arial" w:cs="Arial" w:eastAsia="Arial" w:hAnsi="Arial"/>
          <w:sz w:val="14"/>
          <w:szCs w:val="14"/>
          <w:color w:val="auto"/>
        </w:rPr>
      </w:pPr>
    </w:p>
    <w:p>
      <w:pPr>
        <w:jc w:val="both"/>
        <w:ind w:left="260" w:right="320" w:hanging="234"/>
        <w:spacing w:after="0" w:line="235" w:lineRule="auto"/>
        <w:tabs>
          <w:tab w:leader="none" w:pos="233"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Tong became an executive officer effective May 27, 2022. None of the PBRSUs granted to him prior to that appointment included a TSR Adjustment. As a result, the total number of PBRSUs earned in each of those awards was fixed after the one-year performance period was complete and will vest in three equal installments over a three-year period following the date of grant.</w:t>
      </w:r>
    </w:p>
    <w:p>
      <w:pPr>
        <w:spacing w:after="0" w:line="32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2022 Stock Vested</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203"/>
        </w:trPr>
        <w:tc>
          <w:tcPr>
            <w:tcW w:w="1860" w:type="dxa"/>
            <w:vAlign w:val="bottom"/>
            <w:shd w:val="clear" w:color="auto" w:fill="465E66"/>
          </w:tcPr>
          <w:p>
            <w:pPr>
              <w:spacing w:after="0"/>
              <w:rPr>
                <w:sz w:val="17"/>
                <w:szCs w:val="17"/>
                <w:color w:val="auto"/>
              </w:rPr>
            </w:pPr>
          </w:p>
        </w:tc>
        <w:tc>
          <w:tcPr>
            <w:tcW w:w="3880" w:type="dxa"/>
            <w:vAlign w:val="bottom"/>
            <w:shd w:val="clear" w:color="auto" w:fill="465E66"/>
          </w:tcPr>
          <w:p>
            <w:pPr>
              <w:ind w:left="2880"/>
              <w:spacing w:after="0"/>
              <w:rPr>
                <w:sz w:val="20"/>
                <w:szCs w:val="20"/>
                <w:color w:val="auto"/>
              </w:rPr>
            </w:pPr>
            <w:r>
              <w:rPr>
                <w:rFonts w:ascii="Arial" w:cs="Arial" w:eastAsia="Arial" w:hAnsi="Arial"/>
                <w:sz w:val="14"/>
                <w:szCs w:val="14"/>
                <w:b w:val="1"/>
                <w:bCs w:val="1"/>
                <w:color w:val="FFFFFF"/>
              </w:rPr>
              <w:t>Stock Awards</w:t>
            </w:r>
          </w:p>
        </w:tc>
        <w:tc>
          <w:tcPr>
            <w:tcW w:w="284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60" w:type="dxa"/>
            <w:vAlign w:val="bottom"/>
            <w:vMerge w:val="restart"/>
            <w:shd w:val="clear" w:color="auto" w:fill="465E66"/>
          </w:tcPr>
          <w:p>
            <w:pPr>
              <w:spacing w:after="0"/>
              <w:rPr>
                <w:sz w:val="20"/>
                <w:szCs w:val="20"/>
                <w:color w:val="auto"/>
              </w:rPr>
            </w:pPr>
            <w:r>
              <w:rPr>
                <w:rFonts w:ascii="Arial" w:cs="Arial" w:eastAsia="Arial" w:hAnsi="Arial"/>
                <w:sz w:val="14"/>
                <w:szCs w:val="14"/>
                <w:b w:val="1"/>
                <w:bCs w:val="1"/>
                <w:color w:val="FFFFFF"/>
              </w:rPr>
              <w:t>Name</w:t>
            </w:r>
          </w:p>
        </w:tc>
        <w:tc>
          <w:tcPr>
            <w:tcW w:w="3880" w:type="dxa"/>
            <w:vAlign w:val="bottom"/>
            <w:shd w:val="clear" w:color="auto" w:fill="465E66"/>
          </w:tcPr>
          <w:p>
            <w:pPr>
              <w:ind w:left="120"/>
              <w:spacing w:after="0" w:line="153" w:lineRule="exact"/>
              <w:rPr>
                <w:sz w:val="20"/>
                <w:szCs w:val="20"/>
                <w:color w:val="auto"/>
              </w:rPr>
            </w:pPr>
            <w:r>
              <w:rPr>
                <w:rFonts w:ascii="Arial" w:cs="Arial" w:eastAsia="Arial" w:hAnsi="Arial"/>
                <w:sz w:val="14"/>
                <w:szCs w:val="14"/>
                <w:b w:val="1"/>
                <w:bCs w:val="1"/>
                <w:color w:val="FFFFFF"/>
              </w:rPr>
              <w:t>Number of Shares Acquired on Vesting (1)</w:t>
            </w:r>
          </w:p>
        </w:tc>
        <w:tc>
          <w:tcPr>
            <w:tcW w:w="2840" w:type="dxa"/>
            <w:vAlign w:val="bottom"/>
            <w:shd w:val="clear" w:color="auto" w:fill="465E66"/>
          </w:tcPr>
          <w:p>
            <w:pPr>
              <w:ind w:left="40"/>
              <w:spacing w:after="0" w:line="153" w:lineRule="exact"/>
              <w:rPr>
                <w:sz w:val="20"/>
                <w:szCs w:val="20"/>
                <w:color w:val="auto"/>
              </w:rPr>
            </w:pPr>
            <w:r>
              <w:rPr>
                <w:rFonts w:ascii="Arial" w:cs="Arial" w:eastAsia="Arial" w:hAnsi="Arial"/>
                <w:sz w:val="14"/>
                <w:szCs w:val="14"/>
                <w:b w:val="1"/>
                <w:bCs w:val="1"/>
                <w:color w:val="FFFFFF"/>
              </w:rPr>
              <w:t>Value Realized on Vesting (2)</w:t>
            </w:r>
          </w:p>
        </w:tc>
        <w:tc>
          <w:tcPr>
            <w:tcW w:w="0" w:type="dxa"/>
            <w:vAlign w:val="bottom"/>
          </w:tcPr>
          <w:p>
            <w:pPr>
              <w:spacing w:after="0"/>
              <w:rPr>
                <w:sz w:val="1"/>
                <w:szCs w:val="1"/>
                <w:color w:val="auto"/>
              </w:rPr>
            </w:pPr>
          </w:p>
        </w:tc>
      </w:tr>
      <w:tr>
        <w:trPr>
          <w:trHeight w:val="185"/>
        </w:trPr>
        <w:tc>
          <w:tcPr>
            <w:tcW w:w="1860" w:type="dxa"/>
            <w:vAlign w:val="bottom"/>
            <w:vMerge w:val="continue"/>
            <w:shd w:val="clear" w:color="auto" w:fill="465E66"/>
          </w:tcPr>
          <w:p>
            <w:pPr>
              <w:spacing w:after="0"/>
              <w:rPr>
                <w:sz w:val="16"/>
                <w:szCs w:val="16"/>
                <w:color w:val="auto"/>
              </w:rPr>
            </w:pPr>
          </w:p>
        </w:tc>
        <w:tc>
          <w:tcPr>
            <w:tcW w:w="3880" w:type="dxa"/>
            <w:vAlign w:val="bottom"/>
            <w:shd w:val="clear" w:color="auto" w:fill="465E66"/>
          </w:tcPr>
          <w:p>
            <w:pPr>
              <w:jc w:val="center"/>
              <w:ind w:right="702"/>
              <w:spacing w:after="0"/>
              <w:rPr>
                <w:sz w:val="20"/>
                <w:szCs w:val="20"/>
                <w:color w:val="auto"/>
              </w:rPr>
            </w:pPr>
            <w:r>
              <w:rPr>
                <w:rFonts w:ascii="Arial" w:cs="Arial" w:eastAsia="Arial" w:hAnsi="Arial"/>
                <w:sz w:val="14"/>
                <w:szCs w:val="14"/>
                <w:b w:val="1"/>
                <w:bCs w:val="1"/>
                <w:color w:val="FFFFFF"/>
              </w:rPr>
              <w:t>(#)</w:t>
            </w:r>
          </w:p>
        </w:tc>
        <w:tc>
          <w:tcPr>
            <w:tcW w:w="2840" w:type="dxa"/>
            <w:vAlign w:val="bottom"/>
            <w:shd w:val="clear" w:color="auto" w:fill="465E66"/>
          </w:tcPr>
          <w:p>
            <w:pPr>
              <w:jc w:val="center"/>
              <w:ind w:right="701"/>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860" w:type="dxa"/>
            <w:vAlign w:val="bottom"/>
            <w:shd w:val="clear" w:color="auto" w:fill="DBDBDB"/>
          </w:tcPr>
          <w:p>
            <w:pPr>
              <w:spacing w:after="0"/>
              <w:rPr>
                <w:sz w:val="20"/>
                <w:szCs w:val="20"/>
                <w:color w:val="auto"/>
              </w:rPr>
            </w:pPr>
            <w:r>
              <w:rPr>
                <w:rFonts w:ascii="Arial" w:cs="Arial" w:eastAsia="Arial" w:hAnsi="Arial"/>
                <w:sz w:val="16"/>
                <w:szCs w:val="16"/>
                <w:color w:val="auto"/>
              </w:rPr>
              <w:t>Hassane El-Khoury</w:t>
            </w:r>
          </w:p>
        </w:tc>
        <w:tc>
          <w:tcPr>
            <w:tcW w:w="3880" w:type="dxa"/>
            <w:vAlign w:val="bottom"/>
            <w:shd w:val="clear" w:color="auto" w:fill="DBDBDB"/>
          </w:tcPr>
          <w:p>
            <w:pPr>
              <w:jc w:val="center"/>
              <w:ind w:right="702"/>
              <w:spacing w:after="0"/>
              <w:rPr>
                <w:sz w:val="20"/>
                <w:szCs w:val="20"/>
                <w:color w:val="auto"/>
              </w:rPr>
            </w:pPr>
            <w:r>
              <w:rPr>
                <w:rFonts w:ascii="Arial" w:cs="Arial" w:eastAsia="Arial" w:hAnsi="Arial"/>
                <w:sz w:val="16"/>
                <w:szCs w:val="16"/>
                <w:color w:val="auto"/>
              </w:rPr>
              <w:t>374,736</w:t>
            </w:r>
          </w:p>
        </w:tc>
        <w:tc>
          <w:tcPr>
            <w:tcW w:w="2840" w:type="dxa"/>
            <w:vAlign w:val="bottom"/>
            <w:shd w:val="clear" w:color="auto" w:fill="DBDBDB"/>
          </w:tcPr>
          <w:p>
            <w:pPr>
              <w:jc w:val="center"/>
              <w:ind w:right="701"/>
              <w:spacing w:after="0"/>
              <w:rPr>
                <w:sz w:val="20"/>
                <w:szCs w:val="20"/>
                <w:color w:val="auto"/>
              </w:rPr>
            </w:pPr>
            <w:r>
              <w:rPr>
                <w:rFonts w:ascii="Arial" w:cs="Arial" w:eastAsia="Arial" w:hAnsi="Arial"/>
                <w:sz w:val="16"/>
                <w:szCs w:val="16"/>
                <w:color w:val="auto"/>
              </w:rPr>
              <w:t>23,907,248</w:t>
            </w:r>
          </w:p>
        </w:tc>
        <w:tc>
          <w:tcPr>
            <w:tcW w:w="0" w:type="dxa"/>
            <w:vAlign w:val="bottom"/>
          </w:tcPr>
          <w:p>
            <w:pPr>
              <w:spacing w:after="0"/>
              <w:rPr>
                <w:sz w:val="1"/>
                <w:szCs w:val="1"/>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6"/>
                <w:szCs w:val="16"/>
                <w:color w:val="auto"/>
              </w:rPr>
              <w:t>Thad Trent</w:t>
            </w:r>
          </w:p>
        </w:tc>
        <w:tc>
          <w:tcPr>
            <w:tcW w:w="3880" w:type="dxa"/>
            <w:vAlign w:val="bottom"/>
          </w:tcPr>
          <w:p>
            <w:pPr>
              <w:jc w:val="center"/>
              <w:ind w:right="702"/>
              <w:spacing w:after="0"/>
              <w:rPr>
                <w:sz w:val="20"/>
                <w:szCs w:val="20"/>
                <w:color w:val="auto"/>
              </w:rPr>
            </w:pPr>
            <w:r>
              <w:rPr>
                <w:rFonts w:ascii="Arial" w:cs="Arial" w:eastAsia="Arial" w:hAnsi="Arial"/>
                <w:sz w:val="16"/>
                <w:szCs w:val="16"/>
                <w:color w:val="auto"/>
              </w:rPr>
              <w:t>68,902</w:t>
            </w:r>
          </w:p>
        </w:tc>
        <w:tc>
          <w:tcPr>
            <w:tcW w:w="2840" w:type="dxa"/>
            <w:vAlign w:val="bottom"/>
          </w:tcPr>
          <w:p>
            <w:pPr>
              <w:jc w:val="center"/>
              <w:ind w:right="721"/>
              <w:spacing w:after="0"/>
              <w:rPr>
                <w:sz w:val="20"/>
                <w:szCs w:val="20"/>
                <w:color w:val="auto"/>
              </w:rPr>
            </w:pPr>
            <w:r>
              <w:rPr>
                <w:rFonts w:ascii="Arial" w:cs="Arial" w:eastAsia="Arial" w:hAnsi="Arial"/>
                <w:sz w:val="16"/>
                <w:szCs w:val="16"/>
                <w:color w:val="auto"/>
              </w:rPr>
              <w:t>4,310,982</w:t>
            </w:r>
          </w:p>
        </w:tc>
        <w:tc>
          <w:tcPr>
            <w:tcW w:w="0" w:type="dxa"/>
            <w:vAlign w:val="bottom"/>
          </w:tcPr>
          <w:p>
            <w:pPr>
              <w:spacing w:after="0"/>
              <w:rPr>
                <w:sz w:val="1"/>
                <w:szCs w:val="1"/>
                <w:color w:val="auto"/>
              </w:rPr>
            </w:pPr>
          </w:p>
        </w:tc>
      </w:tr>
      <w:tr>
        <w:trPr>
          <w:trHeight w:val="217"/>
        </w:trPr>
        <w:tc>
          <w:tcPr>
            <w:tcW w:w="1860" w:type="dxa"/>
            <w:vAlign w:val="bottom"/>
            <w:shd w:val="clear" w:color="auto" w:fill="DBDBDB"/>
          </w:tcPr>
          <w:p>
            <w:pPr>
              <w:spacing w:after="0"/>
              <w:rPr>
                <w:sz w:val="20"/>
                <w:szCs w:val="20"/>
                <w:color w:val="auto"/>
              </w:rPr>
            </w:pPr>
            <w:r>
              <w:rPr>
                <w:rFonts w:ascii="Arial" w:cs="Arial" w:eastAsia="Arial" w:hAnsi="Arial"/>
                <w:sz w:val="16"/>
                <w:szCs w:val="16"/>
                <w:color w:val="auto"/>
              </w:rPr>
              <w:t>Simon Keeton</w:t>
            </w:r>
          </w:p>
        </w:tc>
        <w:tc>
          <w:tcPr>
            <w:tcW w:w="3880" w:type="dxa"/>
            <w:vAlign w:val="bottom"/>
            <w:shd w:val="clear" w:color="auto" w:fill="DBDBDB"/>
          </w:tcPr>
          <w:p>
            <w:pPr>
              <w:jc w:val="center"/>
              <w:ind w:right="702"/>
              <w:spacing w:after="0"/>
              <w:rPr>
                <w:sz w:val="20"/>
                <w:szCs w:val="20"/>
                <w:color w:val="auto"/>
              </w:rPr>
            </w:pPr>
            <w:r>
              <w:rPr>
                <w:rFonts w:ascii="Arial" w:cs="Arial" w:eastAsia="Arial" w:hAnsi="Arial"/>
                <w:sz w:val="16"/>
                <w:szCs w:val="16"/>
                <w:color w:val="auto"/>
              </w:rPr>
              <w:t>153,474</w:t>
            </w:r>
          </w:p>
        </w:tc>
        <w:tc>
          <w:tcPr>
            <w:tcW w:w="2840" w:type="dxa"/>
            <w:vAlign w:val="bottom"/>
            <w:shd w:val="clear" w:color="auto" w:fill="DBDBDB"/>
          </w:tcPr>
          <w:p>
            <w:pPr>
              <w:jc w:val="center"/>
              <w:ind w:right="721"/>
              <w:spacing w:after="0"/>
              <w:rPr>
                <w:sz w:val="20"/>
                <w:szCs w:val="20"/>
                <w:color w:val="auto"/>
              </w:rPr>
            </w:pPr>
            <w:r>
              <w:rPr>
                <w:rFonts w:ascii="Arial" w:cs="Arial" w:eastAsia="Arial" w:hAnsi="Arial"/>
                <w:sz w:val="16"/>
                <w:szCs w:val="16"/>
                <w:color w:val="auto"/>
              </w:rPr>
              <w:t>9,534,325</w:t>
            </w:r>
          </w:p>
        </w:tc>
        <w:tc>
          <w:tcPr>
            <w:tcW w:w="0" w:type="dxa"/>
            <w:vAlign w:val="bottom"/>
          </w:tcPr>
          <w:p>
            <w:pPr>
              <w:spacing w:after="0"/>
              <w:rPr>
                <w:sz w:val="1"/>
                <w:szCs w:val="1"/>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6"/>
                <w:szCs w:val="16"/>
                <w:color w:val="auto"/>
              </w:rPr>
              <w:t>Ross F. Jatou</w:t>
            </w:r>
          </w:p>
        </w:tc>
        <w:tc>
          <w:tcPr>
            <w:tcW w:w="3880" w:type="dxa"/>
            <w:vAlign w:val="bottom"/>
          </w:tcPr>
          <w:p>
            <w:pPr>
              <w:jc w:val="center"/>
              <w:ind w:right="702"/>
              <w:spacing w:after="0"/>
              <w:rPr>
                <w:sz w:val="20"/>
                <w:szCs w:val="20"/>
                <w:color w:val="auto"/>
              </w:rPr>
            </w:pPr>
            <w:r>
              <w:rPr>
                <w:rFonts w:ascii="Arial" w:cs="Arial" w:eastAsia="Arial" w:hAnsi="Arial"/>
                <w:sz w:val="16"/>
                <w:szCs w:val="16"/>
                <w:color w:val="auto"/>
              </w:rPr>
              <w:t>44,623</w:t>
            </w:r>
          </w:p>
        </w:tc>
        <w:tc>
          <w:tcPr>
            <w:tcW w:w="2840" w:type="dxa"/>
            <w:vAlign w:val="bottom"/>
          </w:tcPr>
          <w:p>
            <w:pPr>
              <w:jc w:val="center"/>
              <w:ind w:right="721"/>
              <w:spacing w:after="0"/>
              <w:rPr>
                <w:sz w:val="20"/>
                <w:szCs w:val="20"/>
                <w:color w:val="auto"/>
              </w:rPr>
            </w:pPr>
            <w:r>
              <w:rPr>
                <w:rFonts w:ascii="Arial" w:cs="Arial" w:eastAsia="Arial" w:hAnsi="Arial"/>
                <w:sz w:val="16"/>
                <w:szCs w:val="16"/>
                <w:color w:val="auto"/>
              </w:rPr>
              <w:t>2,815,912</w:t>
            </w:r>
          </w:p>
        </w:tc>
        <w:tc>
          <w:tcPr>
            <w:tcW w:w="0" w:type="dxa"/>
            <w:vAlign w:val="bottom"/>
          </w:tcPr>
          <w:p>
            <w:pPr>
              <w:spacing w:after="0"/>
              <w:rPr>
                <w:sz w:val="1"/>
                <w:szCs w:val="1"/>
                <w:color w:val="auto"/>
              </w:rPr>
            </w:pPr>
          </w:p>
        </w:tc>
      </w:tr>
      <w:tr>
        <w:trPr>
          <w:trHeight w:val="217"/>
        </w:trPr>
        <w:tc>
          <w:tcPr>
            <w:tcW w:w="1860" w:type="dxa"/>
            <w:vAlign w:val="bottom"/>
            <w:shd w:val="clear" w:color="auto" w:fill="DBDBDB"/>
          </w:tcPr>
          <w:p>
            <w:pPr>
              <w:spacing w:after="0"/>
              <w:rPr>
                <w:sz w:val="20"/>
                <w:szCs w:val="20"/>
                <w:color w:val="auto"/>
              </w:rPr>
            </w:pPr>
            <w:r>
              <w:rPr>
                <w:rFonts w:ascii="Arial" w:cs="Arial" w:eastAsia="Arial" w:hAnsi="Arial"/>
                <w:sz w:val="16"/>
                <w:szCs w:val="16"/>
                <w:color w:val="auto"/>
              </w:rPr>
              <w:t>Robert Tong</w:t>
            </w:r>
          </w:p>
        </w:tc>
        <w:tc>
          <w:tcPr>
            <w:tcW w:w="3880" w:type="dxa"/>
            <w:vAlign w:val="bottom"/>
            <w:shd w:val="clear" w:color="auto" w:fill="DBDBDB"/>
          </w:tcPr>
          <w:p>
            <w:pPr>
              <w:jc w:val="center"/>
              <w:ind w:right="702"/>
              <w:spacing w:after="0"/>
              <w:rPr>
                <w:sz w:val="20"/>
                <w:szCs w:val="20"/>
                <w:color w:val="auto"/>
              </w:rPr>
            </w:pPr>
            <w:r>
              <w:rPr>
                <w:rFonts w:ascii="Arial" w:cs="Arial" w:eastAsia="Arial" w:hAnsi="Arial"/>
                <w:sz w:val="16"/>
                <w:szCs w:val="16"/>
                <w:color w:val="auto"/>
              </w:rPr>
              <w:t>16,883</w:t>
            </w:r>
          </w:p>
        </w:tc>
        <w:tc>
          <w:tcPr>
            <w:tcW w:w="2840" w:type="dxa"/>
            <w:vAlign w:val="bottom"/>
            <w:shd w:val="clear" w:color="auto" w:fill="DBDBDB"/>
          </w:tcPr>
          <w:p>
            <w:pPr>
              <w:jc w:val="center"/>
              <w:ind w:right="721"/>
              <w:spacing w:after="0"/>
              <w:rPr>
                <w:sz w:val="20"/>
                <w:szCs w:val="20"/>
                <w:color w:val="auto"/>
              </w:rPr>
            </w:pPr>
            <w:r>
              <w:rPr>
                <w:rFonts w:ascii="Arial" w:cs="Arial" w:eastAsia="Arial" w:hAnsi="Arial"/>
                <w:sz w:val="16"/>
                <w:szCs w:val="16"/>
                <w:color w:val="auto"/>
              </w:rPr>
              <w:t>1,077,850</w:t>
            </w:r>
          </w:p>
        </w:tc>
        <w:tc>
          <w:tcPr>
            <w:tcW w:w="0" w:type="dxa"/>
            <w:vAlign w:val="bottom"/>
          </w:tcPr>
          <w:p>
            <w:pPr>
              <w:spacing w:after="0"/>
              <w:rPr>
                <w:sz w:val="1"/>
                <w:szCs w:val="1"/>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6"/>
                <w:szCs w:val="16"/>
                <w:color w:val="auto"/>
              </w:rPr>
              <w:t>Vincent C. Hopkin</w:t>
            </w:r>
          </w:p>
        </w:tc>
        <w:tc>
          <w:tcPr>
            <w:tcW w:w="3880" w:type="dxa"/>
            <w:vAlign w:val="bottom"/>
          </w:tcPr>
          <w:p>
            <w:pPr>
              <w:jc w:val="center"/>
              <w:ind w:right="702"/>
              <w:spacing w:after="0"/>
              <w:rPr>
                <w:sz w:val="20"/>
                <w:szCs w:val="20"/>
                <w:color w:val="auto"/>
              </w:rPr>
            </w:pPr>
            <w:r>
              <w:rPr>
                <w:rFonts w:ascii="Arial" w:cs="Arial" w:eastAsia="Arial" w:hAnsi="Arial"/>
                <w:sz w:val="16"/>
                <w:szCs w:val="16"/>
                <w:color w:val="auto"/>
              </w:rPr>
              <w:t>147,018</w:t>
            </w:r>
          </w:p>
        </w:tc>
        <w:tc>
          <w:tcPr>
            <w:tcW w:w="2840" w:type="dxa"/>
            <w:vAlign w:val="bottom"/>
          </w:tcPr>
          <w:p>
            <w:pPr>
              <w:jc w:val="center"/>
              <w:ind w:right="721"/>
              <w:spacing w:after="0"/>
              <w:rPr>
                <w:sz w:val="20"/>
                <w:szCs w:val="20"/>
                <w:color w:val="auto"/>
              </w:rPr>
            </w:pPr>
            <w:r>
              <w:rPr>
                <w:rFonts w:ascii="Arial" w:cs="Arial" w:eastAsia="Arial" w:hAnsi="Arial"/>
                <w:sz w:val="16"/>
                <w:szCs w:val="16"/>
                <w:color w:val="auto"/>
              </w:rPr>
              <w:t>9,121,568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635</wp:posOffset>
            </wp:positionV>
            <wp:extent cx="54521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ind w:left="1560" w:hanging="211"/>
        <w:spacing w:after="0"/>
        <w:tabs>
          <w:tab w:leader="none" w:pos="15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column represents the total number of shares underlying RSUs that vested in 2022, including PBRSUs.</w:t>
      </w:r>
    </w:p>
    <w:p>
      <w:pPr>
        <w:spacing w:after="0" w:line="41" w:lineRule="exact"/>
        <w:rPr>
          <w:rFonts w:ascii="Arial" w:cs="Arial" w:eastAsia="Arial" w:hAnsi="Arial"/>
          <w:sz w:val="14"/>
          <w:szCs w:val="14"/>
          <w:color w:val="auto"/>
        </w:rPr>
      </w:pPr>
    </w:p>
    <w:p>
      <w:pPr>
        <w:ind w:left="1600" w:right="1480" w:hanging="251"/>
        <w:spacing w:after="0" w:line="264" w:lineRule="auto"/>
        <w:tabs>
          <w:tab w:leader="none" w:pos="1573"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value realized equals the number of shares of stock vested multiplied by the market value of one share of our common stock on the date of vesting or, if the vesting date is not a trading date, the immediately preceding trading date.</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Employment, Severance and Change in Control Agreements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entered into employment agreements with each of our NEOs. Each of these agreements entitles the officer to a minimum base salary and to a target percentage of base salary for purposes of our STI program, subject to Board review from time to time or additional Board action, and generally provides for certain payments or benefits in the event of a termination of employment of the executive in various circumstances, including within two years following a Change in Control.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Mr. El-Khoury</w:t>
      </w:r>
    </w:p>
    <w:p>
      <w:pPr>
        <w:spacing w:after="0" w:line="239"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We entered into an employment agreement with Mr. El-Khoury on December 7, 2020. This agreement, subject to HCC Committee action and review from time to time, entitles Mr. El-Khoury to a minimum base salary of $950,000 per year and a minimum annual STI target opportunity</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of 150% of base salary. His employment agreement further provides for other standard employee benefits that we make available to our executive officers, including a monthly car allowance of $1,200 and reimbursement of up to $10,000 per year for actual financial planning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expenses. The employment agreement has no specified term of years.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NEOs</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also entered into employment agreements with Mr. Trent (February 16, 2021), Mr. Keeton (January 1, 2019), Mr. Tong (June 22, 2022), and Mr. Jatou (October 1, 2020). None of these agreements has a specified termination date and, subject to HCC Committee action and review from time to time, each of them entitles the officer to a minimum base salary and minimum annual STI target opportunity (expressed a percentage of base salary). Each of these agreements, except for Mr. Jatou’s, entitles the NEO to reimbursement of up to $10,000 of financial planning expenses annually. In addition, the agreement for each of Messrs. Trent and Keeton entitles him to a monthly car allowance of $1,200; neither Mr. Jatou’s nor Mr. Tong’s agreement contain car allowances.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also had an employment agreement with Mr. Hopkin, who stepped down from his officer positions on May 27, 2022 and fully retired from all employment with us on August 1, 2022. He received his salary through his last date of employment and, based on previous contractual commitments, accelerated vesting of all remaining unvested time-based RSUs in his 2020 annual LTI grant. In addition, the HCC Committee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approved the accelerated vesting of the remaining unvested time-based RSUs granted to him in 2021. These 2020 and 2021 RSUs will continue to pay out according to their original schedule. All other unvested equity awards held by him, including the entirety of his 2022 LTI</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award, were forfeited effective on his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46</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1" w:name="page52"/>
    <w:bookmarkEnd w:id="51"/>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LTI Award Agreements</w:t>
      </w:r>
    </w:p>
    <w:p>
      <w:pPr>
        <w:spacing w:after="0" w:line="2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RSU Award Agreements</w:t>
      </w:r>
      <w:r>
        <w:rPr>
          <w:rFonts w:ascii="Arial" w:cs="Arial" w:eastAsia="Arial" w:hAnsi="Arial"/>
          <w:sz w:val="18"/>
          <w:szCs w:val="18"/>
          <w:color w:val="auto"/>
        </w:rPr>
        <w:t>. The 2020 RSU agreements awarded to our NEOs contain provisions providing for the unvested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fully vest upon any termination of employment in connection with a Change in Control, or upon a resignation by the NEO for Good Reason (as defined in the applicable employment agreement), within a two-year period after a Change in Control. Under the award agreements for the 2020 RSUs awarded to our applicable NEOs, if a Change in Control occurs after a qualifying retirement, the unvested RSUs subject to those award agreements will also immediately vest. While the 2021 and 2022 RSU agreements awarded to our applicable</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NEOs do not contain similar provisions, the new hire RSU award provided to Mr. Trent in connection with his appointment as the Company’s Executive Vice President and Chief Financial Officer contains provisions causing the unvested portion of such award to vest upon a</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termination of employment without Cause or in the event Mr. Trent resigns for Good Reason, whether or not in connection with a Change in Control, but excluding any termination for Retirement (as defined in Mr. Trent’s employment agreement).</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PBRSU Award Agreements</w:t>
      </w:r>
      <w:r>
        <w:rPr>
          <w:rFonts w:ascii="Arial" w:cs="Arial" w:eastAsia="Arial" w:hAnsi="Arial"/>
          <w:sz w:val="18"/>
          <w:szCs w:val="18"/>
          <w:color w:val="auto"/>
        </w:rPr>
        <w:t>. The new hire PBRSU award granted to each of Messrs. El-Khoury (in 2020) and Trent (in 2021)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their appointments as President and Chief Executive Officer and Executive Vice President and Chief Financial Officer, respectively, contains provisions stating that if his employment is terminated (i) without Cause in connection with or following a Change of Control at a time prior to the end of the applicable performance period for the award, the total earned units will immediately vest as if the corresponding target performance level had been achieved, and (ii) without Cause or for Good Reason (absent a Change in Control) and subject to additional requirements stated in the award agreement, a number of units will vest as of the employee’s termination of employment in an amount determined by multiplying the number of units that would be earned under the award agreement using a truncated performance period, multiplied by a fraction, the numerator of which is the number of days the employee was employed during the performance period and the denominator of which is 730.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outline the severance and Change in Control arrangements for our NEOs: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shd w:val="clear" w:color="auto" w:fill="465E66"/>
          </w:tcPr>
          <w:p>
            <w:pPr>
              <w:spacing w:after="0"/>
              <w:rPr>
                <w:sz w:val="14"/>
                <w:szCs w:val="14"/>
                <w:color w:val="auto"/>
              </w:rPr>
            </w:pPr>
          </w:p>
        </w:tc>
        <w:tc>
          <w:tcPr>
            <w:tcW w:w="9320" w:type="dxa"/>
            <w:vAlign w:val="bottom"/>
            <w:shd w:val="clear" w:color="auto" w:fill="465E66"/>
          </w:tcPr>
          <w:p>
            <w:pPr>
              <w:jc w:val="center"/>
              <w:ind w:left="320"/>
              <w:spacing w:after="0"/>
              <w:rPr>
                <w:sz w:val="20"/>
                <w:szCs w:val="20"/>
                <w:color w:val="auto"/>
              </w:rPr>
            </w:pPr>
            <w:r>
              <w:rPr>
                <w:rFonts w:ascii="Arial" w:cs="Arial" w:eastAsia="Arial" w:hAnsi="Arial"/>
                <w:sz w:val="14"/>
                <w:szCs w:val="14"/>
                <w:b w:val="1"/>
                <w:bCs w:val="1"/>
                <w:color w:val="FFFFFF"/>
              </w:rPr>
              <w:t>Obligations Upon Certain Termination Events Absent a Change in Control:</w:t>
            </w:r>
          </w:p>
        </w:tc>
        <w:tc>
          <w:tcPr>
            <w:tcW w:w="0" w:type="dxa"/>
            <w:vAlign w:val="bottom"/>
          </w:tcPr>
          <w:p>
            <w:pPr>
              <w:spacing w:after="0"/>
              <w:rPr>
                <w:sz w:val="1"/>
                <w:szCs w:val="1"/>
                <w:color w:val="auto"/>
              </w:rPr>
            </w:pPr>
          </w:p>
        </w:tc>
      </w:tr>
      <w:tr>
        <w:trPr>
          <w:trHeight w:val="149"/>
        </w:trPr>
        <w:tc>
          <w:tcPr>
            <w:tcW w:w="1920" w:type="dxa"/>
            <w:vAlign w:val="bottom"/>
            <w:shd w:val="clear" w:color="auto" w:fill="465E66"/>
          </w:tcPr>
          <w:p>
            <w:pPr>
              <w:spacing w:after="0"/>
              <w:rPr>
                <w:sz w:val="12"/>
                <w:szCs w:val="12"/>
                <w:color w:val="auto"/>
              </w:rPr>
            </w:pPr>
          </w:p>
        </w:tc>
        <w:tc>
          <w:tcPr>
            <w:tcW w:w="9320" w:type="dxa"/>
            <w:vAlign w:val="bottom"/>
            <w:shd w:val="clear" w:color="auto" w:fill="465E66"/>
          </w:tcPr>
          <w:p>
            <w:pPr>
              <w:jc w:val="center"/>
              <w:ind w:left="300"/>
              <w:spacing w:after="0" w:line="149" w:lineRule="exact"/>
              <w:rPr>
                <w:sz w:val="20"/>
                <w:szCs w:val="20"/>
                <w:color w:val="auto"/>
              </w:rPr>
            </w:pPr>
            <w:r>
              <w:rPr>
                <w:rFonts w:ascii="Arial" w:cs="Arial" w:eastAsia="Arial" w:hAnsi="Arial"/>
                <w:sz w:val="14"/>
                <w:szCs w:val="14"/>
                <w:b w:val="1"/>
                <w:bCs w:val="1"/>
                <w:color w:val="FFFFFF"/>
              </w:rPr>
              <w:t>Termination without “Cause” or Resignation for “Good Reason” (as those terms are defined in the applicable NEO’s employment</w:t>
            </w:r>
          </w:p>
        </w:tc>
        <w:tc>
          <w:tcPr>
            <w:tcW w:w="0" w:type="dxa"/>
            <w:vAlign w:val="bottom"/>
          </w:tcPr>
          <w:p>
            <w:pPr>
              <w:spacing w:after="0"/>
              <w:rPr>
                <w:sz w:val="1"/>
                <w:szCs w:val="1"/>
                <w:color w:val="auto"/>
              </w:rPr>
            </w:pPr>
          </w:p>
        </w:tc>
      </w:tr>
      <w:tr>
        <w:trPr>
          <w:trHeight w:val="185"/>
        </w:trPr>
        <w:tc>
          <w:tcPr>
            <w:tcW w:w="1920" w:type="dxa"/>
            <w:vAlign w:val="bottom"/>
            <w:shd w:val="clear" w:color="auto" w:fill="465E66"/>
          </w:tcPr>
          <w:p>
            <w:pPr>
              <w:spacing w:after="0"/>
              <w:rPr>
                <w:sz w:val="16"/>
                <w:szCs w:val="16"/>
                <w:color w:val="auto"/>
              </w:rPr>
            </w:pPr>
          </w:p>
        </w:tc>
        <w:tc>
          <w:tcPr>
            <w:tcW w:w="9320" w:type="dxa"/>
            <w:vAlign w:val="bottom"/>
            <w:shd w:val="clear" w:color="auto" w:fill="465E66"/>
          </w:tcPr>
          <w:p>
            <w:pPr>
              <w:jc w:val="center"/>
              <w:ind w:left="300"/>
              <w:spacing w:after="0"/>
              <w:rPr>
                <w:sz w:val="20"/>
                <w:szCs w:val="20"/>
                <w:color w:val="auto"/>
              </w:rPr>
            </w:pPr>
            <w:r>
              <w:rPr>
                <w:rFonts w:ascii="Arial" w:cs="Arial" w:eastAsia="Arial" w:hAnsi="Arial"/>
                <w:sz w:val="14"/>
                <w:szCs w:val="14"/>
                <w:b w:val="1"/>
                <w:bCs w:val="1"/>
                <w:color w:val="FFFFFF"/>
              </w:rPr>
              <w:t>agreement or Key Severance Agreement)</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Two years’ continuation of base salary</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Any earned but unpaid STI award for the performance cycle that had a performance period that ended prior to the date of</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termination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An amount equal to Mr. El-Khoury’s target STI award for the performance cycle in which the date of termination occurs (or</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two times the semi-annual amount if STI awards are paid semi-annually as of the date of his termination)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Full vesting of any unvested RSUs that he received in connection with his appointment as our President and CEO (New</w:t>
            </w:r>
          </w:p>
        </w:tc>
        <w:tc>
          <w:tcPr>
            <w:tcW w:w="0" w:type="dxa"/>
            <w:vAlign w:val="bottom"/>
          </w:tcPr>
          <w:p>
            <w:pPr>
              <w:spacing w:after="0"/>
              <w:rPr>
                <w:sz w:val="1"/>
                <w:szCs w:val="1"/>
                <w:color w:val="auto"/>
              </w:rPr>
            </w:pPr>
          </w:p>
        </w:tc>
      </w:tr>
      <w:tr>
        <w:trPr>
          <w:trHeight w:val="162"/>
        </w:trPr>
        <w:tc>
          <w:tcPr>
            <w:tcW w:w="192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Hassane El-Khoury</w:t>
            </w: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Hire CEO RSUs)</w:t>
            </w:r>
          </w:p>
        </w:tc>
        <w:tc>
          <w:tcPr>
            <w:tcW w:w="0" w:type="dxa"/>
            <w:vAlign w:val="bottom"/>
          </w:tcPr>
          <w:p>
            <w:pPr>
              <w:spacing w:after="0"/>
              <w:rPr>
                <w:sz w:val="1"/>
                <w:szCs w:val="1"/>
                <w:color w:val="auto"/>
              </w:rPr>
            </w:pPr>
          </w:p>
        </w:tc>
      </w:tr>
      <w:tr>
        <w:trPr>
          <w:trHeight w:val="162"/>
        </w:trPr>
        <w:tc>
          <w:tcPr>
            <w:tcW w:w="1920" w:type="dxa"/>
            <w:vAlign w:val="bottom"/>
            <w:vMerge w:val="continue"/>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Pro rata vesting of any unvested PBRSUs that he received in connection with his appointment as our President and CEO</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(New Hire CEO PBRSUs) using a truncated performance period</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Pro rata vesting of any unvested RSUs awarded to Mr. El-Khoury (other than New Hire CEO RSUs)</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Pro rata vesting of any unvested PBRSUs awarded to Mr. El-Khoury (other than New Hire CEO PBRSUs) based on actual</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performance during the full performance period</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Medical, dental and vision benefits for two years following termination and six months of outplacement assistance at a cost</w:t>
            </w:r>
          </w:p>
        </w:tc>
        <w:tc>
          <w:tcPr>
            <w:tcW w:w="0" w:type="dxa"/>
            <w:vAlign w:val="bottom"/>
          </w:tcPr>
          <w:p>
            <w:pPr>
              <w:spacing w:after="0"/>
              <w:rPr>
                <w:sz w:val="1"/>
                <w:szCs w:val="1"/>
                <w:color w:val="auto"/>
              </w:rPr>
            </w:pPr>
          </w:p>
        </w:tc>
      </w:tr>
      <w:tr>
        <w:trPr>
          <w:trHeight w:val="215"/>
        </w:trPr>
        <w:tc>
          <w:tcPr>
            <w:tcW w:w="1920" w:type="dxa"/>
            <w:vAlign w:val="bottom"/>
            <w:shd w:val="clear" w:color="auto" w:fill="DBDBDB"/>
          </w:tcPr>
          <w:p>
            <w:pPr>
              <w:spacing w:after="0"/>
              <w:rPr>
                <w:sz w:val="18"/>
                <w:szCs w:val="18"/>
                <w:color w:val="auto"/>
              </w:rPr>
            </w:pPr>
          </w:p>
        </w:tc>
        <w:tc>
          <w:tcPr>
            <w:tcW w:w="93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of up to $25,000, without any tax gross-ups</w:t>
            </w:r>
          </w:p>
        </w:tc>
        <w:tc>
          <w:tcPr>
            <w:tcW w:w="0" w:type="dxa"/>
            <w:vAlign w:val="bottom"/>
          </w:tcPr>
          <w:p>
            <w:pPr>
              <w:spacing w:after="0"/>
              <w:rPr>
                <w:sz w:val="1"/>
                <w:szCs w:val="1"/>
                <w:color w:val="auto"/>
              </w:rPr>
            </w:pPr>
          </w:p>
        </w:tc>
      </w:tr>
      <w:tr>
        <w:trPr>
          <w:trHeight w:val="244"/>
        </w:trPr>
        <w:tc>
          <w:tcPr>
            <w:tcW w:w="1920" w:type="dxa"/>
            <w:vAlign w:val="bottom"/>
            <w:tcBorders>
              <w:bottom w:val="single" w:sz="8" w:color="auto"/>
            </w:tcBorders>
            <w:shd w:val="clear" w:color="auto" w:fill="DBDBDB"/>
          </w:tcPr>
          <w:p>
            <w:pPr>
              <w:spacing w:after="0"/>
              <w:rPr>
                <w:sz w:val="21"/>
                <w:szCs w:val="21"/>
                <w:color w:val="auto"/>
              </w:rPr>
            </w:pPr>
          </w:p>
        </w:tc>
        <w:tc>
          <w:tcPr>
            <w:tcW w:w="9320" w:type="dxa"/>
            <w:vAlign w:val="bottom"/>
            <w:tcBorders>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9320" w:type="dxa"/>
            <w:vAlign w:val="bottom"/>
          </w:tcPr>
          <w:p>
            <w:pPr>
              <w:ind w:left="400"/>
              <w:spacing w:after="0" w:line="155" w:lineRule="exact"/>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78 weeks’ continuation of base salary</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Any earned but unpaid STI award for the performance cycle that had a performance period that ended prior to the date of</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termination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An amount equal to Mr. Trent’s target STI award for the performance cycle in which the date of termination occurs (or two</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times the semi-annual amount if STI awards are paid semi-annually as of the date of his termination)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Full vesting of any unvested RSUs that he received in connection with his appointment as our Executive Vice President,</w:t>
            </w:r>
          </w:p>
        </w:tc>
        <w:tc>
          <w:tcPr>
            <w:tcW w:w="0" w:type="dxa"/>
            <w:vAlign w:val="bottom"/>
          </w:tcPr>
          <w:p>
            <w:pPr>
              <w:spacing w:after="0"/>
              <w:rPr>
                <w:sz w:val="1"/>
                <w:szCs w:val="1"/>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Thad Trent</w:t>
            </w:r>
          </w:p>
        </w:tc>
        <w:tc>
          <w:tcPr>
            <w:tcW w:w="9320" w:type="dxa"/>
            <w:vAlign w:val="bottom"/>
          </w:tcPr>
          <w:p>
            <w:pPr>
              <w:ind w:left="560"/>
              <w:spacing w:after="0"/>
              <w:rPr>
                <w:sz w:val="20"/>
                <w:szCs w:val="20"/>
                <w:color w:val="auto"/>
              </w:rPr>
            </w:pPr>
            <w:r>
              <w:rPr>
                <w:rFonts w:ascii="Arial" w:cs="Arial" w:eastAsia="Arial" w:hAnsi="Arial"/>
                <w:sz w:val="16"/>
                <w:szCs w:val="16"/>
                <w:color w:val="auto"/>
              </w:rPr>
              <w:t>CFO and Treasurer (New Hire CFO RSUs)</w:t>
            </w: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9320" w:type="dxa"/>
            <w:vAlign w:val="bottom"/>
          </w:tcPr>
          <w:p>
            <w:pPr>
              <w:ind w:left="400"/>
              <w:spacing w:after="0" w:line="122" w:lineRule="exact"/>
              <w:rPr>
                <w:sz w:val="20"/>
                <w:szCs w:val="20"/>
                <w:color w:val="auto"/>
              </w:rPr>
            </w:pPr>
            <w:r>
              <w:rPr>
                <w:rFonts w:ascii="Arial" w:cs="Arial" w:eastAsia="Arial" w:hAnsi="Arial"/>
                <w:sz w:val="14"/>
                <w:szCs w:val="14"/>
                <w:color w:val="auto"/>
              </w:rPr>
              <w:t>• Pro rata vesting of any unvested PBRSUs that he received in connection with his appointment as our Executive Vice</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President, CFO and Treasurer (New Hire CFO PBRSUs) using a truncated performance period</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Pro rata vesting of any unvested PBRSUs awarded to Mr. Trent (other than New Hire CFO PBRSUs) based on actual</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performance during the full performance period</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Medical, dental and vision benefits for two years following termination and six months of outplacement assistance at a cost</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9320" w:type="dxa"/>
            <w:vAlign w:val="bottom"/>
          </w:tcPr>
          <w:p>
            <w:pPr>
              <w:ind w:left="560"/>
              <w:spacing w:after="0"/>
              <w:rPr>
                <w:sz w:val="20"/>
                <w:szCs w:val="20"/>
                <w:color w:val="auto"/>
              </w:rPr>
            </w:pPr>
            <w:r>
              <w:rPr>
                <w:rFonts w:ascii="Arial" w:cs="Arial" w:eastAsia="Arial" w:hAnsi="Arial"/>
                <w:sz w:val="16"/>
                <w:szCs w:val="16"/>
                <w:color w:val="auto"/>
              </w:rPr>
              <w:t>of up to $25,000, without any tax gross-ups</w:t>
            </w:r>
          </w:p>
        </w:tc>
        <w:tc>
          <w:tcPr>
            <w:tcW w:w="0" w:type="dxa"/>
            <w:vAlign w:val="bottom"/>
          </w:tcPr>
          <w:p>
            <w:pPr>
              <w:spacing w:after="0"/>
              <w:rPr>
                <w:sz w:val="1"/>
                <w:szCs w:val="1"/>
                <w:color w:val="auto"/>
              </w:rPr>
            </w:pPr>
          </w:p>
        </w:tc>
      </w:tr>
      <w:tr>
        <w:trPr>
          <w:trHeight w:val="244"/>
        </w:trPr>
        <w:tc>
          <w:tcPr>
            <w:tcW w:w="192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Borders>
              <w:top w:val="single" w:sz="8" w:color="auto"/>
            </w:tcBorders>
            <w:shd w:val="clear" w:color="auto" w:fill="DBDBDB"/>
          </w:tcPr>
          <w:p>
            <w:pPr>
              <w:spacing w:after="0"/>
              <w:rPr>
                <w:sz w:val="15"/>
                <w:szCs w:val="15"/>
                <w:color w:val="auto"/>
              </w:rPr>
            </w:pPr>
          </w:p>
        </w:tc>
        <w:tc>
          <w:tcPr>
            <w:tcW w:w="9320" w:type="dxa"/>
            <w:vAlign w:val="bottom"/>
            <w:tcBorders>
              <w:top w:val="single" w:sz="8" w:color="auto"/>
            </w:tcBorders>
            <w:shd w:val="clear" w:color="auto" w:fill="DBDBDB"/>
          </w:tcPr>
          <w:p>
            <w:pPr>
              <w:ind w:left="400"/>
              <w:spacing w:after="0" w:line="175" w:lineRule="exact"/>
              <w:rPr>
                <w:sz w:val="20"/>
                <w:szCs w:val="20"/>
                <w:color w:val="auto"/>
              </w:rPr>
            </w:pPr>
            <w:r>
              <w:rPr>
                <w:rFonts w:ascii="Arial" w:cs="Arial" w:eastAsia="Arial" w:hAnsi="Arial"/>
                <w:sz w:val="16"/>
                <w:szCs w:val="16"/>
                <w:color w:val="auto"/>
              </w:rPr>
              <w:t>• Any accrued and unused vacation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r>
        <w:trPr>
          <w:trHeight w:val="162"/>
        </w:trPr>
        <w:tc>
          <w:tcPr>
            <w:tcW w:w="192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Simon Keeton and</w:t>
            </w: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One year’s continuation of base salary</w:t>
            </w:r>
          </w:p>
        </w:tc>
        <w:tc>
          <w:tcPr>
            <w:tcW w:w="0" w:type="dxa"/>
            <w:vAlign w:val="bottom"/>
          </w:tcPr>
          <w:p>
            <w:pPr>
              <w:spacing w:after="0"/>
              <w:rPr>
                <w:sz w:val="1"/>
                <w:szCs w:val="1"/>
                <w:color w:val="auto"/>
              </w:rPr>
            </w:pPr>
          </w:p>
        </w:tc>
      </w:tr>
      <w:tr>
        <w:trPr>
          <w:trHeight w:val="162"/>
        </w:trPr>
        <w:tc>
          <w:tcPr>
            <w:tcW w:w="1920" w:type="dxa"/>
            <w:vAlign w:val="bottom"/>
            <w:vMerge w:val="continue"/>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Any earned but unpaid STI award for the immediately preceding performance cycle</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b w:val="1"/>
                <w:bCs w:val="1"/>
                <w:color w:val="auto"/>
              </w:rPr>
              <w:t>Ross F. Jatou</w:t>
            </w: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A pro rata portion of the STI award, if any, for the performance cycle in which the date of termination occurs based 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achievement of applicable performance criteria</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Payment of health plan continuation premiums for up to one year following termination and six months of outplacement</w:t>
            </w:r>
          </w:p>
        </w:tc>
        <w:tc>
          <w:tcPr>
            <w:tcW w:w="0" w:type="dxa"/>
            <w:vAlign w:val="bottom"/>
          </w:tcPr>
          <w:p>
            <w:pPr>
              <w:spacing w:after="0"/>
              <w:rPr>
                <w:sz w:val="1"/>
                <w:szCs w:val="1"/>
                <w:color w:val="auto"/>
              </w:rPr>
            </w:pPr>
          </w:p>
        </w:tc>
      </w:tr>
      <w:tr>
        <w:trPr>
          <w:trHeight w:val="215"/>
        </w:trPr>
        <w:tc>
          <w:tcPr>
            <w:tcW w:w="1920" w:type="dxa"/>
            <w:vAlign w:val="bottom"/>
            <w:tcBorders>
              <w:bottom w:val="single" w:sz="8" w:color="auto"/>
            </w:tcBorders>
            <w:shd w:val="clear" w:color="auto" w:fill="DBDBDB"/>
          </w:tcPr>
          <w:p>
            <w:pPr>
              <w:spacing w:after="0"/>
              <w:rPr>
                <w:sz w:val="18"/>
                <w:szCs w:val="18"/>
                <w:color w:val="auto"/>
              </w:rPr>
            </w:pPr>
          </w:p>
        </w:tc>
        <w:tc>
          <w:tcPr>
            <w:tcW w:w="9320" w:type="dxa"/>
            <w:vAlign w:val="bottom"/>
            <w:tcBorders>
              <w:bottom w:val="single" w:sz="8" w:color="auto"/>
            </w:tcBorders>
            <w:shd w:val="clear" w:color="auto" w:fill="DBDBDB"/>
          </w:tcPr>
          <w:p>
            <w:pPr>
              <w:ind w:left="560"/>
              <w:spacing w:after="0"/>
              <w:rPr>
                <w:sz w:val="20"/>
                <w:szCs w:val="20"/>
                <w:color w:val="auto"/>
              </w:rPr>
            </w:pPr>
            <w:r>
              <w:rPr>
                <w:rFonts w:ascii="Arial" w:cs="Arial" w:eastAsia="Arial" w:hAnsi="Arial"/>
                <w:sz w:val="16"/>
                <w:szCs w:val="16"/>
                <w:color w:val="auto"/>
              </w:rPr>
              <w:t>assistance at a cost of up to $5,000</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9320" w:type="dxa"/>
            <w:vAlign w:val="bottom"/>
          </w:tcPr>
          <w:p>
            <w:pPr>
              <w:ind w:left="400"/>
              <w:spacing w:after="0" w:line="156" w:lineRule="exact"/>
              <w:rPr>
                <w:sz w:val="20"/>
                <w:szCs w:val="20"/>
                <w:color w:val="auto"/>
              </w:rPr>
            </w:pPr>
            <w:r>
              <w:rPr>
                <w:rFonts w:ascii="Arial" w:cs="Arial" w:eastAsia="Arial" w:hAnsi="Arial"/>
                <w:sz w:val="16"/>
                <w:szCs w:val="16"/>
                <w:color w:val="auto"/>
              </w:rPr>
              <w:t>• Any compensation and employee benefits to which Mr. Tong has a vested entitlement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Reimbursement of any unreimbursed expenses incurred prior to termination for which Mr. Tong has submitted claims</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within 30 days following termination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r>
        <w:trPr>
          <w:trHeight w:val="162"/>
        </w:trPr>
        <w:tc>
          <w:tcPr>
            <w:tcW w:w="1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Robert Tong</w:t>
            </w: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One year’s continuation of base salary</w:t>
            </w:r>
          </w:p>
        </w:tc>
        <w:tc>
          <w:tcPr>
            <w:tcW w:w="0" w:type="dxa"/>
            <w:vAlign w:val="bottom"/>
          </w:tcPr>
          <w:p>
            <w:pPr>
              <w:spacing w:after="0"/>
              <w:rPr>
                <w:sz w:val="1"/>
                <w:szCs w:val="1"/>
                <w:color w:val="auto"/>
              </w:rPr>
            </w:pPr>
          </w:p>
        </w:tc>
      </w:tr>
      <w:tr>
        <w:trPr>
          <w:trHeight w:val="162"/>
        </w:trPr>
        <w:tc>
          <w:tcPr>
            <w:tcW w:w="1920" w:type="dxa"/>
            <w:vAlign w:val="bottom"/>
            <w:vMerge w:val="continue"/>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Any earned but unpaid STI award for the immediately preceding performance cycle</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A pro rata portion of the STI award, if any, for the performance cycle in which the date of termination occurs based 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achievement of the applicable performance criteria</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Payment of health plan continuation premiums for up to one year following termination and six months of outplacement</w:t>
            </w:r>
          </w:p>
        </w:tc>
        <w:tc>
          <w:tcPr>
            <w:tcW w:w="0" w:type="dxa"/>
            <w:vAlign w:val="bottom"/>
          </w:tcPr>
          <w:p>
            <w:pPr>
              <w:spacing w:after="0"/>
              <w:rPr>
                <w:sz w:val="1"/>
                <w:szCs w:val="1"/>
                <w:color w:val="auto"/>
              </w:rPr>
            </w:pPr>
          </w:p>
        </w:tc>
      </w:tr>
      <w:tr>
        <w:trPr>
          <w:trHeight w:val="215"/>
        </w:trPr>
        <w:tc>
          <w:tcPr>
            <w:tcW w:w="192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assistance at a cost of up to $10,000</w:t>
            </w:r>
          </w:p>
        </w:tc>
        <w:tc>
          <w:tcPr>
            <w:tcW w:w="0" w:type="dxa"/>
            <w:vAlign w:val="bottom"/>
          </w:tcPr>
          <w:p>
            <w:pPr>
              <w:spacing w:after="0"/>
              <w:rPr>
                <w:sz w:val="1"/>
                <w:szCs w:val="1"/>
                <w:color w:val="auto"/>
              </w:rPr>
            </w:pPr>
          </w:p>
        </w:tc>
      </w:tr>
      <w:tr>
        <w:trPr>
          <w:trHeight w:val="116"/>
        </w:trPr>
        <w:tc>
          <w:tcPr>
            <w:tcW w:w="1920" w:type="dxa"/>
            <w:vAlign w:val="bottom"/>
          </w:tcPr>
          <w:p>
            <w:pPr>
              <w:spacing w:after="0"/>
              <w:rPr>
                <w:sz w:val="10"/>
                <w:szCs w:val="10"/>
                <w:color w:val="auto"/>
              </w:rPr>
            </w:pPr>
          </w:p>
        </w:tc>
        <w:tc>
          <w:tcPr>
            <w:tcW w:w="9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465E66"/>
          </w:tcPr>
          <w:p>
            <w:pPr>
              <w:spacing w:after="0"/>
              <w:rPr>
                <w:sz w:val="12"/>
                <w:szCs w:val="12"/>
                <w:color w:val="auto"/>
              </w:rPr>
            </w:pPr>
          </w:p>
        </w:tc>
        <w:tc>
          <w:tcPr>
            <w:tcW w:w="9320" w:type="dxa"/>
            <w:vAlign w:val="bottom"/>
            <w:shd w:val="clear" w:color="auto" w:fill="465E66"/>
          </w:tcPr>
          <w:p>
            <w:pPr>
              <w:jc w:val="center"/>
              <w:ind w:left="300"/>
              <w:spacing w:after="0" w:line="149" w:lineRule="exact"/>
              <w:rPr>
                <w:sz w:val="20"/>
                <w:szCs w:val="20"/>
                <w:color w:val="auto"/>
              </w:rPr>
            </w:pPr>
            <w:r>
              <w:rPr>
                <w:rFonts w:ascii="Arial" w:cs="Arial" w:eastAsia="Arial" w:hAnsi="Arial"/>
                <w:sz w:val="14"/>
                <w:szCs w:val="14"/>
                <w:b w:val="1"/>
                <w:bCs w:val="1"/>
                <w:color w:val="FFFFFF"/>
              </w:rPr>
              <w:t>Obligations Upon Certain Termination Events Following a Change in Control:</w:t>
            </w:r>
          </w:p>
        </w:tc>
        <w:tc>
          <w:tcPr>
            <w:tcW w:w="0" w:type="dxa"/>
            <w:vAlign w:val="bottom"/>
          </w:tcPr>
          <w:p>
            <w:pPr>
              <w:spacing w:after="0"/>
              <w:rPr>
                <w:sz w:val="1"/>
                <w:szCs w:val="1"/>
                <w:color w:val="auto"/>
              </w:rPr>
            </w:pPr>
          </w:p>
        </w:tc>
      </w:tr>
      <w:tr>
        <w:trPr>
          <w:trHeight w:val="139"/>
        </w:trPr>
        <w:tc>
          <w:tcPr>
            <w:tcW w:w="1920" w:type="dxa"/>
            <w:vAlign w:val="bottom"/>
            <w:shd w:val="clear" w:color="auto" w:fill="465E66"/>
          </w:tcPr>
          <w:p>
            <w:pPr>
              <w:spacing w:after="0"/>
              <w:rPr>
                <w:sz w:val="12"/>
                <w:szCs w:val="12"/>
                <w:color w:val="auto"/>
              </w:rPr>
            </w:pPr>
          </w:p>
        </w:tc>
        <w:tc>
          <w:tcPr>
            <w:tcW w:w="9320" w:type="dxa"/>
            <w:vAlign w:val="bottom"/>
            <w:shd w:val="clear" w:color="auto" w:fill="465E66"/>
          </w:tcPr>
          <w:p>
            <w:pPr>
              <w:jc w:val="center"/>
              <w:ind w:left="300"/>
              <w:spacing w:after="0" w:line="139" w:lineRule="exact"/>
              <w:rPr>
                <w:sz w:val="20"/>
                <w:szCs w:val="20"/>
                <w:color w:val="auto"/>
              </w:rPr>
            </w:pPr>
            <w:r>
              <w:rPr>
                <w:rFonts w:ascii="Arial" w:cs="Arial" w:eastAsia="Arial" w:hAnsi="Arial"/>
                <w:sz w:val="14"/>
                <w:szCs w:val="14"/>
                <w:b w:val="1"/>
                <w:bCs w:val="1"/>
                <w:color w:val="FFFFFF"/>
              </w:rPr>
              <w:t>Termination without “Cause” or Resignation for “Good Reason” (as those terms are defined in the applicable NEO’s employment</w:t>
            </w:r>
          </w:p>
        </w:tc>
        <w:tc>
          <w:tcPr>
            <w:tcW w:w="0" w:type="dxa"/>
            <w:vAlign w:val="bottom"/>
          </w:tcPr>
          <w:p>
            <w:pPr>
              <w:spacing w:after="0"/>
              <w:rPr>
                <w:sz w:val="1"/>
                <w:szCs w:val="1"/>
                <w:color w:val="auto"/>
              </w:rPr>
            </w:pPr>
          </w:p>
        </w:tc>
      </w:tr>
      <w:tr>
        <w:trPr>
          <w:trHeight w:val="198"/>
        </w:trPr>
        <w:tc>
          <w:tcPr>
            <w:tcW w:w="1920" w:type="dxa"/>
            <w:vAlign w:val="bottom"/>
            <w:shd w:val="clear" w:color="auto" w:fill="465E66"/>
          </w:tcPr>
          <w:p>
            <w:pPr>
              <w:spacing w:after="0"/>
              <w:rPr>
                <w:sz w:val="17"/>
                <w:szCs w:val="17"/>
                <w:color w:val="auto"/>
              </w:rPr>
            </w:pPr>
          </w:p>
        </w:tc>
        <w:tc>
          <w:tcPr>
            <w:tcW w:w="9320" w:type="dxa"/>
            <w:vAlign w:val="bottom"/>
            <w:shd w:val="clear" w:color="auto" w:fill="465E66"/>
          </w:tcPr>
          <w:p>
            <w:pPr>
              <w:jc w:val="center"/>
              <w:ind w:left="300"/>
              <w:spacing w:after="0"/>
              <w:rPr>
                <w:sz w:val="20"/>
                <w:szCs w:val="20"/>
                <w:color w:val="auto"/>
              </w:rPr>
            </w:pPr>
            <w:r>
              <w:rPr>
                <w:rFonts w:ascii="Arial" w:cs="Arial" w:eastAsia="Arial" w:hAnsi="Arial"/>
                <w:sz w:val="14"/>
                <w:szCs w:val="14"/>
                <w:b w:val="1"/>
                <w:bCs w:val="1"/>
                <w:color w:val="FFFFFF"/>
              </w:rPr>
              <w:t>agreement or Key Severance Agreement) within two years following a Change in Control</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Two years’ continuation of base salary</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Any earned but unpaid STI award for the performance cycle that had a performance period that ended prior to the date of</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termination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An amount equal to two times Mr. El-Khoury’s target STI award for the performance cycle in which the date of termination</w:t>
            </w:r>
          </w:p>
        </w:tc>
        <w:tc>
          <w:tcPr>
            <w:tcW w:w="0" w:type="dxa"/>
            <w:vAlign w:val="bottom"/>
          </w:tcPr>
          <w:p>
            <w:pPr>
              <w:spacing w:after="0"/>
              <w:rPr>
                <w:sz w:val="1"/>
                <w:szCs w:val="1"/>
                <w:color w:val="auto"/>
              </w:rPr>
            </w:pPr>
          </w:p>
        </w:tc>
      </w:tr>
      <w:tr>
        <w:trPr>
          <w:trHeight w:val="203"/>
        </w:trPr>
        <w:tc>
          <w:tcPr>
            <w:tcW w:w="19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Hassane El-Khoury</w:t>
            </w:r>
          </w:p>
        </w:tc>
        <w:tc>
          <w:tcPr>
            <w:tcW w:w="93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occurs (or four times the semi-annual amount if STI awards are paid semi-annually as of the date of his termination)</w:t>
            </w:r>
          </w:p>
        </w:tc>
        <w:tc>
          <w:tcPr>
            <w:tcW w:w="0" w:type="dxa"/>
            <w:vAlign w:val="bottom"/>
          </w:tcPr>
          <w:p>
            <w:pPr>
              <w:spacing w:after="0"/>
              <w:rPr>
                <w:sz w:val="1"/>
                <w:szCs w:val="1"/>
                <w:color w:val="auto"/>
              </w:rPr>
            </w:pPr>
          </w:p>
        </w:tc>
      </w:tr>
      <w:tr>
        <w:trPr>
          <w:trHeight w:val="122"/>
        </w:trPr>
        <w:tc>
          <w:tcPr>
            <w:tcW w:w="1920" w:type="dxa"/>
            <w:vAlign w:val="bottom"/>
            <w:shd w:val="clear" w:color="auto" w:fill="DBDBDB"/>
          </w:tcPr>
          <w:p>
            <w:pPr>
              <w:spacing w:after="0"/>
              <w:rPr>
                <w:sz w:val="10"/>
                <w:szCs w:val="10"/>
                <w:color w:val="auto"/>
              </w:rPr>
            </w:pPr>
          </w:p>
        </w:tc>
        <w:tc>
          <w:tcPr>
            <w:tcW w:w="9320" w:type="dxa"/>
            <w:vAlign w:val="bottom"/>
            <w:shd w:val="clear" w:color="auto" w:fill="DBDBDB"/>
          </w:tcPr>
          <w:p>
            <w:pPr>
              <w:ind w:left="400"/>
              <w:spacing w:after="0" w:line="122" w:lineRule="exact"/>
              <w:rPr>
                <w:sz w:val="20"/>
                <w:szCs w:val="20"/>
                <w:color w:val="auto"/>
              </w:rPr>
            </w:pPr>
            <w:r>
              <w:rPr>
                <w:rFonts w:ascii="Arial" w:cs="Arial" w:eastAsia="Arial" w:hAnsi="Arial"/>
                <w:sz w:val="14"/>
                <w:szCs w:val="14"/>
                <w:color w:val="auto"/>
              </w:rPr>
              <w:t>• Full vesting of any then-unvested RSUs</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Full vesting of any then-unvested PBRSUs at target</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Medical, dental and vision benefits for two years following termination and six months of outplacement assistance at a cost</w:t>
            </w:r>
          </w:p>
        </w:tc>
        <w:tc>
          <w:tcPr>
            <w:tcW w:w="0" w:type="dxa"/>
            <w:vAlign w:val="bottom"/>
          </w:tcPr>
          <w:p>
            <w:pPr>
              <w:spacing w:after="0"/>
              <w:rPr>
                <w:sz w:val="1"/>
                <w:szCs w:val="1"/>
                <w:color w:val="auto"/>
              </w:rPr>
            </w:pPr>
          </w:p>
        </w:tc>
      </w:tr>
      <w:tr>
        <w:trPr>
          <w:trHeight w:val="215"/>
        </w:trPr>
        <w:tc>
          <w:tcPr>
            <w:tcW w:w="1920" w:type="dxa"/>
            <w:vAlign w:val="bottom"/>
            <w:shd w:val="clear" w:color="auto" w:fill="DBDBDB"/>
          </w:tcPr>
          <w:p>
            <w:pPr>
              <w:spacing w:after="0"/>
              <w:rPr>
                <w:sz w:val="18"/>
                <w:szCs w:val="18"/>
                <w:color w:val="auto"/>
              </w:rPr>
            </w:pPr>
          </w:p>
        </w:tc>
        <w:tc>
          <w:tcPr>
            <w:tcW w:w="93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of up to $25,000, without any tax gross-ups</w:t>
            </w:r>
          </w:p>
        </w:tc>
        <w:tc>
          <w:tcPr>
            <w:tcW w:w="0" w:type="dxa"/>
            <w:vAlign w:val="bottom"/>
          </w:tcPr>
          <w:p>
            <w:pPr>
              <w:spacing w:after="0"/>
              <w:rPr>
                <w:sz w:val="1"/>
                <w:szCs w:val="1"/>
                <w:color w:val="auto"/>
              </w:rPr>
            </w:pPr>
          </w:p>
        </w:tc>
      </w:tr>
      <w:tr>
        <w:trPr>
          <w:trHeight w:val="244"/>
        </w:trPr>
        <w:tc>
          <w:tcPr>
            <w:tcW w:w="1920" w:type="dxa"/>
            <w:vAlign w:val="bottom"/>
            <w:tcBorders>
              <w:bottom w:val="single" w:sz="8" w:color="auto"/>
            </w:tcBorders>
            <w:shd w:val="clear" w:color="auto" w:fill="DBDBDB"/>
          </w:tcPr>
          <w:p>
            <w:pPr>
              <w:spacing w:after="0"/>
              <w:rPr>
                <w:sz w:val="21"/>
                <w:szCs w:val="21"/>
                <w:color w:val="auto"/>
              </w:rPr>
            </w:pPr>
          </w:p>
        </w:tc>
        <w:tc>
          <w:tcPr>
            <w:tcW w:w="9320" w:type="dxa"/>
            <w:vAlign w:val="bottom"/>
            <w:tcBorders>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9320" w:type="dxa"/>
            <w:vAlign w:val="bottom"/>
          </w:tcPr>
          <w:p>
            <w:pPr>
              <w:ind w:left="400"/>
              <w:spacing w:after="0" w:line="155" w:lineRule="exact"/>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78 weeks’ continuation of base salary</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Any earned but unpaid STI award for the performance cycle that had a performance period that ended prior to the date of</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termination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An amount equal to 1.5 times Mr. Trent’s target STI award for the performance cycle in which the date of termination</w:t>
            </w:r>
          </w:p>
        </w:tc>
        <w:tc>
          <w:tcPr>
            <w:tcW w:w="0" w:type="dxa"/>
            <w:vAlign w:val="bottom"/>
          </w:tcPr>
          <w:p>
            <w:pPr>
              <w:spacing w:after="0"/>
              <w:rPr>
                <w:sz w:val="1"/>
                <w:szCs w:val="1"/>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Thad Trent</w:t>
            </w:r>
          </w:p>
        </w:tc>
        <w:tc>
          <w:tcPr>
            <w:tcW w:w="9320" w:type="dxa"/>
            <w:vAlign w:val="bottom"/>
          </w:tcPr>
          <w:p>
            <w:pPr>
              <w:ind w:left="560"/>
              <w:spacing w:after="0"/>
              <w:rPr>
                <w:sz w:val="20"/>
                <w:szCs w:val="20"/>
                <w:color w:val="auto"/>
              </w:rPr>
            </w:pPr>
            <w:r>
              <w:rPr>
                <w:rFonts w:ascii="Arial" w:cs="Arial" w:eastAsia="Arial" w:hAnsi="Arial"/>
                <w:sz w:val="16"/>
                <w:szCs w:val="16"/>
                <w:color w:val="auto"/>
              </w:rPr>
              <w:t>occurs (or three times the semi-annual amount if STI awards are paid semi-annually as of the date of his termination)</w:t>
            </w: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9320" w:type="dxa"/>
            <w:vAlign w:val="bottom"/>
          </w:tcPr>
          <w:p>
            <w:pPr>
              <w:ind w:left="400"/>
              <w:spacing w:after="0" w:line="122" w:lineRule="exact"/>
              <w:rPr>
                <w:sz w:val="20"/>
                <w:szCs w:val="20"/>
                <w:color w:val="auto"/>
              </w:rPr>
            </w:pPr>
            <w:r>
              <w:rPr>
                <w:rFonts w:ascii="Arial" w:cs="Arial" w:eastAsia="Arial" w:hAnsi="Arial"/>
                <w:sz w:val="14"/>
                <w:szCs w:val="14"/>
                <w:color w:val="auto"/>
              </w:rPr>
              <w:t>• Full vesting of any then-unvested RSUs</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Full vesting of any then-unvested PBRSUs at target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Medical, dental and vision benefits for two years following termination and six months of outplacement assistance at a cost</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9320" w:type="dxa"/>
            <w:vAlign w:val="bottom"/>
          </w:tcPr>
          <w:p>
            <w:pPr>
              <w:ind w:left="560"/>
              <w:spacing w:after="0"/>
              <w:rPr>
                <w:sz w:val="20"/>
                <w:szCs w:val="20"/>
                <w:color w:val="auto"/>
              </w:rPr>
            </w:pPr>
            <w:r>
              <w:rPr>
                <w:rFonts w:ascii="Arial" w:cs="Arial" w:eastAsia="Arial" w:hAnsi="Arial"/>
                <w:sz w:val="16"/>
                <w:szCs w:val="16"/>
                <w:color w:val="auto"/>
              </w:rPr>
              <w:t>of up to $25,000, without any tax gross-ups</w:t>
            </w:r>
          </w:p>
        </w:tc>
        <w:tc>
          <w:tcPr>
            <w:tcW w:w="0" w:type="dxa"/>
            <w:vAlign w:val="bottom"/>
          </w:tcPr>
          <w:p>
            <w:pPr>
              <w:spacing w:after="0"/>
              <w:rPr>
                <w:sz w:val="1"/>
                <w:szCs w:val="1"/>
                <w:color w:val="auto"/>
              </w:rPr>
            </w:pPr>
          </w:p>
        </w:tc>
      </w:tr>
      <w:tr>
        <w:trPr>
          <w:trHeight w:val="244"/>
        </w:trPr>
        <w:tc>
          <w:tcPr>
            <w:tcW w:w="192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DBDBDB"/>
          </w:tcPr>
          <w:p>
            <w:pPr>
              <w:spacing w:after="0"/>
              <w:rPr>
                <w:sz w:val="13"/>
                <w:szCs w:val="13"/>
                <w:color w:val="auto"/>
              </w:rPr>
            </w:pPr>
          </w:p>
        </w:tc>
        <w:tc>
          <w:tcPr>
            <w:tcW w:w="9320" w:type="dxa"/>
            <w:vAlign w:val="bottom"/>
            <w:shd w:val="clear" w:color="auto" w:fill="DBDBDB"/>
          </w:tcPr>
          <w:p>
            <w:pPr>
              <w:ind w:left="400"/>
              <w:spacing w:after="0" w:line="155" w:lineRule="exact"/>
              <w:rPr>
                <w:sz w:val="20"/>
                <w:szCs w:val="20"/>
                <w:color w:val="auto"/>
              </w:rPr>
            </w:pPr>
            <w:r>
              <w:rPr>
                <w:rFonts w:ascii="Arial" w:cs="Arial" w:eastAsia="Arial" w:hAnsi="Arial"/>
                <w:sz w:val="16"/>
                <w:szCs w:val="16"/>
                <w:color w:val="auto"/>
              </w:rPr>
              <w:t>• Any accrued and unused vacation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One year’s continuation of base salary</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Any earned but unpaid STI award for the immediately preceding performance cycle</w:t>
            </w:r>
          </w:p>
        </w:tc>
        <w:tc>
          <w:tcPr>
            <w:tcW w:w="0" w:type="dxa"/>
            <w:vAlign w:val="bottom"/>
          </w:tcPr>
          <w:p>
            <w:pPr>
              <w:spacing w:after="0"/>
              <w:rPr>
                <w:sz w:val="1"/>
                <w:szCs w:val="1"/>
                <w:color w:val="auto"/>
              </w:rPr>
            </w:pPr>
          </w:p>
        </w:tc>
      </w:tr>
      <w:tr>
        <w:trPr>
          <w:trHeight w:val="162"/>
        </w:trPr>
        <w:tc>
          <w:tcPr>
            <w:tcW w:w="192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Simon Keeton and</w:t>
            </w: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An amount equal to the NEO’s target STI award for the performance cycle in which the date of termination occurs (or two</w:t>
            </w:r>
          </w:p>
        </w:tc>
        <w:tc>
          <w:tcPr>
            <w:tcW w:w="0" w:type="dxa"/>
            <w:vAlign w:val="bottom"/>
          </w:tcPr>
          <w:p>
            <w:pPr>
              <w:spacing w:after="0"/>
              <w:rPr>
                <w:sz w:val="1"/>
                <w:szCs w:val="1"/>
                <w:color w:val="auto"/>
              </w:rPr>
            </w:pPr>
          </w:p>
        </w:tc>
      </w:tr>
      <w:tr>
        <w:trPr>
          <w:trHeight w:val="81"/>
        </w:trPr>
        <w:tc>
          <w:tcPr>
            <w:tcW w:w="1920" w:type="dxa"/>
            <w:vAlign w:val="bottom"/>
            <w:vMerge w:val="continue"/>
            <w:shd w:val="clear" w:color="auto" w:fill="DBDBDB"/>
          </w:tcPr>
          <w:p>
            <w:pPr>
              <w:spacing w:after="0"/>
              <w:rPr>
                <w:sz w:val="7"/>
                <w:szCs w:val="7"/>
                <w:color w:val="auto"/>
              </w:rPr>
            </w:pPr>
          </w:p>
        </w:tc>
        <w:tc>
          <w:tcPr>
            <w:tcW w:w="9320" w:type="dxa"/>
            <w:vAlign w:val="bottom"/>
            <w:vMerge w:val="restart"/>
            <w:shd w:val="clear" w:color="auto" w:fill="DBDBDB"/>
          </w:tcPr>
          <w:p>
            <w:pPr>
              <w:ind w:left="560"/>
              <w:spacing w:after="0" w:line="162" w:lineRule="exact"/>
              <w:rPr>
                <w:sz w:val="20"/>
                <w:szCs w:val="20"/>
                <w:color w:val="auto"/>
              </w:rPr>
            </w:pPr>
            <w:r>
              <w:rPr>
                <w:rFonts w:ascii="Arial" w:cs="Arial" w:eastAsia="Arial" w:hAnsi="Arial"/>
                <w:sz w:val="16"/>
                <w:szCs w:val="16"/>
                <w:color w:val="auto"/>
              </w:rPr>
              <w:t>times the semi-annual amount if STI awards are paid semi-annually as of the date of his termination</w:t>
            </w:r>
          </w:p>
        </w:tc>
        <w:tc>
          <w:tcPr>
            <w:tcW w:w="0" w:type="dxa"/>
            <w:vAlign w:val="bottom"/>
          </w:tcPr>
          <w:p>
            <w:pPr>
              <w:spacing w:after="0"/>
              <w:rPr>
                <w:sz w:val="1"/>
                <w:szCs w:val="1"/>
                <w:color w:val="auto"/>
              </w:rPr>
            </w:pPr>
          </w:p>
        </w:tc>
      </w:tr>
      <w:tr>
        <w:trPr>
          <w:trHeight w:val="81"/>
        </w:trPr>
        <w:tc>
          <w:tcPr>
            <w:tcW w:w="192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Ross F. Jatou</w:t>
            </w:r>
          </w:p>
        </w:tc>
        <w:tc>
          <w:tcPr>
            <w:tcW w:w="932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920" w:type="dxa"/>
            <w:vAlign w:val="bottom"/>
            <w:vMerge w:val="continue"/>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Payment of health plan continuation premiums for up to one year following termination and six months of outplacement</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assistance at a cost of up to $5,000</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400"/>
              <w:spacing w:after="0" w:line="162" w:lineRule="exact"/>
              <w:rPr>
                <w:sz w:val="20"/>
                <w:szCs w:val="20"/>
                <w:color w:val="auto"/>
              </w:rPr>
            </w:pPr>
            <w:r>
              <w:rPr>
                <w:rFonts w:ascii="Arial" w:cs="Arial" w:eastAsia="Arial" w:hAnsi="Arial"/>
                <w:sz w:val="16"/>
                <w:szCs w:val="16"/>
                <w:color w:val="auto"/>
              </w:rPr>
              <w:t>• Full vesting of any unvested time-based equity awards that were granted in connection with his hiring or promotion (as</w:t>
            </w: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14"/>
                <w:szCs w:val="14"/>
                <w:color w:val="auto"/>
              </w:rPr>
            </w:pPr>
          </w:p>
        </w:tc>
        <w:tc>
          <w:tcPr>
            <w:tcW w:w="9320" w:type="dxa"/>
            <w:vAlign w:val="bottom"/>
            <w:shd w:val="clear" w:color="auto" w:fill="DBDBDB"/>
          </w:tcPr>
          <w:p>
            <w:pPr>
              <w:ind w:left="560"/>
              <w:spacing w:after="0" w:line="162" w:lineRule="exact"/>
              <w:rPr>
                <w:sz w:val="20"/>
                <w:szCs w:val="20"/>
                <w:color w:val="auto"/>
              </w:rPr>
            </w:pPr>
            <w:r>
              <w:rPr>
                <w:rFonts w:ascii="Arial" w:cs="Arial" w:eastAsia="Arial" w:hAnsi="Arial"/>
                <w:sz w:val="16"/>
                <w:szCs w:val="16"/>
                <w:color w:val="auto"/>
              </w:rPr>
              <w:t>applicable)</w:t>
            </w:r>
          </w:p>
        </w:tc>
        <w:tc>
          <w:tcPr>
            <w:tcW w:w="0" w:type="dxa"/>
            <w:vAlign w:val="bottom"/>
          </w:tcPr>
          <w:p>
            <w:pPr>
              <w:spacing w:after="0"/>
              <w:rPr>
                <w:sz w:val="1"/>
                <w:szCs w:val="1"/>
                <w:color w:val="auto"/>
              </w:rPr>
            </w:pPr>
          </w:p>
        </w:tc>
      </w:tr>
      <w:tr>
        <w:trPr>
          <w:trHeight w:val="215"/>
        </w:trPr>
        <w:tc>
          <w:tcPr>
            <w:tcW w:w="1920" w:type="dxa"/>
            <w:vAlign w:val="bottom"/>
            <w:tcBorders>
              <w:bottom w:val="single" w:sz="8" w:color="auto"/>
            </w:tcBorders>
            <w:shd w:val="clear" w:color="auto" w:fill="DBDBDB"/>
          </w:tcPr>
          <w:p>
            <w:pPr>
              <w:spacing w:after="0"/>
              <w:rPr>
                <w:sz w:val="18"/>
                <w:szCs w:val="18"/>
                <w:color w:val="auto"/>
              </w:rPr>
            </w:pPr>
          </w:p>
        </w:tc>
        <w:tc>
          <w:tcPr>
            <w:tcW w:w="9320" w:type="dxa"/>
            <w:vAlign w:val="bottom"/>
            <w:tcBorders>
              <w:bottom w:val="single" w:sz="8" w:color="auto"/>
            </w:tcBorders>
            <w:shd w:val="clear" w:color="auto" w:fill="DBDBDB"/>
          </w:tcPr>
          <w:p>
            <w:pPr>
              <w:ind w:left="400"/>
              <w:spacing w:after="0"/>
              <w:rPr>
                <w:sz w:val="20"/>
                <w:szCs w:val="20"/>
                <w:color w:val="auto"/>
              </w:rPr>
            </w:pPr>
            <w:r>
              <w:rPr>
                <w:rFonts w:ascii="Arial" w:cs="Arial" w:eastAsia="Arial" w:hAnsi="Arial"/>
                <w:sz w:val="16"/>
                <w:szCs w:val="16"/>
                <w:color w:val="auto"/>
              </w:rPr>
              <w:t>• Full vesting of any outstanding but unvested RSUs under the 2020 RSU awards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9320" w:type="dxa"/>
            <w:vAlign w:val="bottom"/>
          </w:tcPr>
          <w:p>
            <w:pPr>
              <w:ind w:left="400"/>
              <w:spacing w:after="0" w:line="156" w:lineRule="exact"/>
              <w:rPr>
                <w:sz w:val="20"/>
                <w:szCs w:val="20"/>
                <w:color w:val="auto"/>
              </w:rPr>
            </w:pPr>
            <w:r>
              <w:rPr>
                <w:rFonts w:ascii="Arial" w:cs="Arial" w:eastAsia="Arial" w:hAnsi="Arial"/>
                <w:sz w:val="16"/>
                <w:szCs w:val="16"/>
                <w:color w:val="auto"/>
              </w:rPr>
              <w:t>• Any compensation and employee benefits to which Mr. Tong has a vested entitlement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Reimbursement of any unreimbursed expenses incurred prior to termination for which Mr. Tong has submitted claims</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within 30 days following termination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One year’s continuation of base salary</w:t>
            </w:r>
          </w:p>
        </w:tc>
        <w:tc>
          <w:tcPr>
            <w:tcW w:w="0" w:type="dxa"/>
            <w:vAlign w:val="bottom"/>
          </w:tcPr>
          <w:p>
            <w:pPr>
              <w:spacing w:after="0"/>
              <w:rPr>
                <w:sz w:val="1"/>
                <w:szCs w:val="1"/>
                <w:color w:val="auto"/>
              </w:rPr>
            </w:pPr>
          </w:p>
        </w:tc>
      </w:tr>
      <w:tr>
        <w:trPr>
          <w:trHeight w:val="162"/>
        </w:trPr>
        <w:tc>
          <w:tcPr>
            <w:tcW w:w="1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Robert Tong</w:t>
            </w: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Any earned but unpaid STI award for the immediately preceding performance cycle</w:t>
            </w:r>
          </w:p>
        </w:tc>
        <w:tc>
          <w:tcPr>
            <w:tcW w:w="0" w:type="dxa"/>
            <w:vAlign w:val="bottom"/>
          </w:tcPr>
          <w:p>
            <w:pPr>
              <w:spacing w:after="0"/>
              <w:rPr>
                <w:sz w:val="1"/>
                <w:szCs w:val="1"/>
                <w:color w:val="auto"/>
              </w:rPr>
            </w:pPr>
          </w:p>
        </w:tc>
      </w:tr>
      <w:tr>
        <w:trPr>
          <w:trHeight w:val="162"/>
        </w:trPr>
        <w:tc>
          <w:tcPr>
            <w:tcW w:w="1920" w:type="dxa"/>
            <w:vAlign w:val="bottom"/>
            <w:vMerge w:val="continue"/>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Mr. Tong’s annual target STI award opportunity (as stated in his employment agreement)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Payment of health plan continuation premiums for up to one year following termination and six months of outplacement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assistance at a cost of up to $10,000</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Full vesting of outstanding time-based RSUs</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400"/>
              <w:spacing w:after="0" w:line="162" w:lineRule="exact"/>
              <w:rPr>
                <w:sz w:val="20"/>
                <w:szCs w:val="20"/>
                <w:color w:val="auto"/>
              </w:rPr>
            </w:pPr>
            <w:r>
              <w:rPr>
                <w:rFonts w:ascii="Arial" w:cs="Arial" w:eastAsia="Arial" w:hAnsi="Arial"/>
                <w:sz w:val="16"/>
                <w:szCs w:val="16"/>
                <w:color w:val="auto"/>
              </w:rPr>
              <w:t>• Pro-rata vesting based on Mr. Tong’s period of service during the applicable performance period for any outstanding</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320" w:type="dxa"/>
            <w:vAlign w:val="bottom"/>
          </w:tcPr>
          <w:p>
            <w:pPr>
              <w:ind w:left="560"/>
              <w:spacing w:after="0" w:line="162" w:lineRule="exact"/>
              <w:rPr>
                <w:sz w:val="20"/>
                <w:szCs w:val="20"/>
                <w:color w:val="auto"/>
              </w:rPr>
            </w:pPr>
            <w:r>
              <w:rPr>
                <w:rFonts w:ascii="Arial" w:cs="Arial" w:eastAsia="Arial" w:hAnsi="Arial"/>
                <w:sz w:val="16"/>
                <w:szCs w:val="16"/>
                <w:color w:val="auto"/>
              </w:rPr>
              <w:t>PBRSU awards on the later of (i) one year following termination or (ii) the date that the HCC Committee determines the</w:t>
            </w:r>
          </w:p>
        </w:tc>
        <w:tc>
          <w:tcPr>
            <w:tcW w:w="0" w:type="dxa"/>
            <w:vAlign w:val="bottom"/>
          </w:tcPr>
          <w:p>
            <w:pPr>
              <w:spacing w:after="0"/>
              <w:rPr>
                <w:sz w:val="1"/>
                <w:szCs w:val="1"/>
                <w:color w:val="auto"/>
              </w:rPr>
            </w:pPr>
          </w:p>
        </w:tc>
      </w:tr>
      <w:tr>
        <w:trPr>
          <w:trHeight w:val="215"/>
        </w:trPr>
        <w:tc>
          <w:tcPr>
            <w:tcW w:w="192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achievement of the applicable financial performance criteria under such award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48</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3" w:name="page54"/>
    <w:bookmarkEnd w:id="53"/>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2280"/>
        <w:spacing w:after="0"/>
        <w:rPr>
          <w:sz w:val="20"/>
          <w:szCs w:val="20"/>
          <w:color w:val="auto"/>
        </w:rPr>
      </w:pPr>
      <w:r>
        <w:rPr>
          <w:rFonts w:ascii="Arial" w:cs="Arial" w:eastAsia="Arial" w:hAnsi="Arial"/>
          <w:sz w:val="14"/>
          <w:szCs w:val="14"/>
          <w:b w:val="1"/>
          <w:bCs w:val="1"/>
          <w:color w:val="FFFFFF"/>
        </w:rPr>
        <w:t>Obligations in Connection with Death or Disability</w:t>
      </w:r>
    </w:p>
    <w:p>
      <w:pPr>
        <w:spacing w:after="0" w:line="2" w:lineRule="exact"/>
        <w:rPr>
          <w:sz w:val="20"/>
          <w:szCs w:val="20"/>
          <w:color w:val="auto"/>
        </w:rPr>
      </w:pPr>
    </w:p>
    <w:p>
      <w:pPr>
        <w:jc w:val="center"/>
        <w:ind w:left="2280"/>
        <w:spacing w:after="0"/>
        <w:rPr>
          <w:sz w:val="20"/>
          <w:szCs w:val="20"/>
          <w:color w:val="auto"/>
        </w:rPr>
      </w:pPr>
      <w:r>
        <w:rPr>
          <w:rFonts w:ascii="Arial" w:cs="Arial" w:eastAsia="Arial" w:hAnsi="Arial"/>
          <w:sz w:val="14"/>
          <w:szCs w:val="14"/>
          <w:b w:val="1"/>
          <w:bCs w:val="1"/>
          <w:color w:val="FFFFFF"/>
        </w:rPr>
        <w:t>(to be paid to the NEO or his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058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ind w:left="2420" w:hanging="99"/>
        <w:spacing w:after="0"/>
        <w:tabs>
          <w:tab w:leader="none" w:pos="2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unpaid base salary through the date of termination</w:t>
      </w:r>
    </w:p>
    <w:p>
      <w:pPr>
        <w:ind w:left="2420" w:hanging="99"/>
        <w:spacing w:after="0" w:line="211" w:lineRule="auto"/>
        <w:tabs>
          <w:tab w:leader="none" w:pos="2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earned but unpaid STI award earned in respect of the performance cycle that had a performance period that ended</w:t>
      </w:r>
    </w:p>
    <w:p>
      <w:pPr>
        <w:ind w:left="2480"/>
        <w:spacing w:after="0" w:line="181" w:lineRule="auto"/>
        <w:rPr>
          <w:sz w:val="20"/>
          <w:szCs w:val="20"/>
          <w:color w:val="auto"/>
        </w:rPr>
      </w:pPr>
      <w:r>
        <w:rPr>
          <w:rFonts w:ascii="Arial" w:cs="Arial" w:eastAsia="Arial" w:hAnsi="Arial"/>
          <w:sz w:val="14"/>
          <w:szCs w:val="14"/>
          <w:color w:val="auto"/>
        </w:rPr>
        <w:t>before the termination date</w:t>
      </w:r>
    </w:p>
    <w:p>
      <w:pPr>
        <w:ind w:left="20"/>
        <w:spacing w:after="0" w:line="188" w:lineRule="auto"/>
        <w:rPr>
          <w:sz w:val="20"/>
          <w:szCs w:val="20"/>
          <w:color w:val="auto"/>
        </w:rPr>
      </w:pPr>
      <w:r>
        <w:rPr>
          <w:rFonts w:ascii="Arial" w:cs="Arial" w:eastAsia="Arial" w:hAnsi="Arial"/>
          <w:sz w:val="18"/>
          <w:szCs w:val="18"/>
          <w:b w:val="1"/>
          <w:bCs w:val="1"/>
          <w:color w:val="auto"/>
          <w:vertAlign w:val="superscript"/>
        </w:rPr>
        <w:t>Hassane El-Khoury and Thad</w:t>
      </w:r>
      <w:r>
        <w:rPr>
          <w:rFonts w:ascii="Arial" w:cs="Arial" w:eastAsia="Arial" w:hAnsi="Arial"/>
          <w:sz w:val="11"/>
          <w:szCs w:val="11"/>
          <w:color w:val="auto"/>
        </w:rPr>
        <w:t xml:space="preserve"> • An amount equal to the product of (x) the STI award earned in the year immediately preceding the date of termination, and</w:t>
      </w:r>
    </w:p>
    <w:p>
      <w:pPr>
        <w:ind w:left="2480" w:right="40" w:hanging="2459"/>
        <w:spacing w:after="0" w:line="182" w:lineRule="auto"/>
        <w:tabs>
          <w:tab w:leader="none" w:pos="2460" w:val="left"/>
        </w:tabs>
        <w:rPr>
          <w:sz w:val="20"/>
          <w:szCs w:val="20"/>
          <w:color w:val="auto"/>
        </w:rPr>
      </w:pPr>
      <w:r>
        <w:rPr>
          <w:rFonts w:ascii="Arial" w:cs="Arial" w:eastAsia="Arial" w:hAnsi="Arial"/>
          <w:sz w:val="28"/>
          <w:szCs w:val="28"/>
          <w:b w:val="1"/>
          <w:bCs w:val="1"/>
          <w:color w:val="auto"/>
          <w:vertAlign w:val="superscript"/>
        </w:rPr>
        <w:t>Trent</w:t>
      </w:r>
      <w:r>
        <w:rPr>
          <w:sz w:val="20"/>
          <w:szCs w:val="20"/>
          <w:color w:val="auto"/>
        </w:rPr>
        <w:tab/>
      </w:r>
      <w:r>
        <w:rPr>
          <w:rFonts w:ascii="Arial" w:cs="Arial" w:eastAsia="Arial" w:hAnsi="Arial"/>
          <w:sz w:val="15"/>
          <w:szCs w:val="15"/>
          <w:color w:val="auto"/>
        </w:rPr>
        <w:t>(y) a fraction, the numerator of which is the number of days in our fiscal year in which the date of termination occurs which are prior to the date of termination and the denominator of which is 365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6"/>
                <w:szCs w:val="16"/>
                <w:b w:val="1"/>
                <w:bCs w:val="1"/>
                <w:color w:val="auto"/>
              </w:rPr>
              <w:t>Simon Keeton and</w:t>
            </w:r>
          </w:p>
        </w:tc>
        <w:tc>
          <w:tcPr>
            <w:tcW w:w="9360" w:type="dxa"/>
            <w:vAlign w:val="bottom"/>
            <w:tcBorders>
              <w:top w:val="single" w:sz="8" w:color="auto"/>
            </w:tcBorders>
          </w:tcPr>
          <w:p>
            <w:pPr>
              <w:ind w:left="440"/>
              <w:spacing w:after="0" w:line="175" w:lineRule="exact"/>
              <w:rPr>
                <w:sz w:val="20"/>
                <w:szCs w:val="20"/>
                <w:color w:val="auto"/>
              </w:rPr>
            </w:pPr>
            <w:r>
              <w:rPr>
                <w:rFonts w:ascii="Arial" w:cs="Arial" w:eastAsia="Arial" w:hAnsi="Arial"/>
                <w:sz w:val="16"/>
                <w:szCs w:val="16"/>
                <w:color w:val="auto"/>
              </w:rPr>
              <w:t>• Any accrued but unused vacation</w:t>
            </w:r>
          </w:p>
        </w:tc>
        <w:tc>
          <w:tcPr>
            <w:tcW w:w="0" w:type="dxa"/>
            <w:vAlign w:val="bottom"/>
          </w:tcPr>
          <w:p>
            <w:pPr>
              <w:spacing w:after="0"/>
              <w:rPr>
                <w:sz w:val="1"/>
                <w:szCs w:val="1"/>
                <w:color w:val="auto"/>
              </w:rPr>
            </w:pPr>
          </w:p>
        </w:tc>
      </w:tr>
      <w:tr>
        <w:trPr>
          <w:trHeight w:val="216"/>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Ross F. Jatou</w:t>
            </w: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 Unpaid base salary through the date of termination</w:t>
            </w:r>
          </w:p>
        </w:tc>
        <w:tc>
          <w:tcPr>
            <w:tcW w:w="0" w:type="dxa"/>
            <w:vAlign w:val="bottom"/>
          </w:tcPr>
          <w:p>
            <w:pPr>
              <w:spacing w:after="0"/>
              <w:rPr>
                <w:sz w:val="1"/>
                <w:szCs w:val="1"/>
                <w:color w:val="auto"/>
              </w:rPr>
            </w:pPr>
          </w:p>
        </w:tc>
      </w:tr>
      <w:tr>
        <w:trPr>
          <w:trHeight w:val="155"/>
        </w:trPr>
        <w:tc>
          <w:tcPr>
            <w:tcW w:w="1880" w:type="dxa"/>
            <w:vAlign w:val="bottom"/>
            <w:shd w:val="clear" w:color="auto" w:fill="DBDBDB"/>
          </w:tcPr>
          <w:p>
            <w:pPr>
              <w:spacing w:after="0"/>
              <w:rPr>
                <w:sz w:val="13"/>
                <w:szCs w:val="13"/>
                <w:color w:val="auto"/>
              </w:rPr>
            </w:pPr>
          </w:p>
        </w:tc>
        <w:tc>
          <w:tcPr>
            <w:tcW w:w="9360" w:type="dxa"/>
            <w:vAlign w:val="bottom"/>
            <w:shd w:val="clear" w:color="auto" w:fill="DBDBDB"/>
          </w:tcPr>
          <w:p>
            <w:pPr>
              <w:ind w:left="440"/>
              <w:spacing w:after="0" w:line="155" w:lineRule="exact"/>
              <w:rPr>
                <w:sz w:val="20"/>
                <w:szCs w:val="20"/>
                <w:color w:val="auto"/>
              </w:rPr>
            </w:pPr>
            <w:r>
              <w:rPr>
                <w:rFonts w:ascii="Arial" w:cs="Arial" w:eastAsia="Arial" w:hAnsi="Arial"/>
                <w:sz w:val="16"/>
                <w:szCs w:val="16"/>
                <w:color w:val="auto"/>
              </w:rPr>
              <w:t>• Any compensation and employee benefits to which Mr. Tong has a vested entitlement</w:t>
            </w:r>
          </w:p>
        </w:tc>
        <w:tc>
          <w:tcPr>
            <w:tcW w:w="0" w:type="dxa"/>
            <w:vAlign w:val="bottom"/>
          </w:tcPr>
          <w:p>
            <w:pPr>
              <w:spacing w:after="0"/>
              <w:rPr>
                <w:sz w:val="1"/>
                <w:szCs w:val="1"/>
                <w:color w:val="auto"/>
              </w:rPr>
            </w:pPr>
          </w:p>
        </w:tc>
      </w:tr>
      <w:tr>
        <w:trPr>
          <w:trHeight w:val="162"/>
        </w:trPr>
        <w:tc>
          <w:tcPr>
            <w:tcW w:w="188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Robert Tong</w:t>
            </w:r>
          </w:p>
        </w:tc>
        <w:tc>
          <w:tcPr>
            <w:tcW w:w="9360" w:type="dxa"/>
            <w:vAlign w:val="bottom"/>
            <w:shd w:val="clear" w:color="auto" w:fill="DBDBDB"/>
          </w:tcPr>
          <w:p>
            <w:pPr>
              <w:ind w:left="440"/>
              <w:spacing w:after="0" w:line="162" w:lineRule="exact"/>
              <w:rPr>
                <w:sz w:val="20"/>
                <w:szCs w:val="20"/>
                <w:color w:val="auto"/>
              </w:rPr>
            </w:pPr>
            <w:r>
              <w:rPr>
                <w:rFonts w:ascii="Arial" w:cs="Arial" w:eastAsia="Arial" w:hAnsi="Arial"/>
                <w:sz w:val="16"/>
                <w:szCs w:val="16"/>
                <w:color w:val="auto"/>
              </w:rPr>
              <w:t>• Reimbursement of any unreimbursed expenses incurred prior to termination for which Mr. Tong has submitted claims</w:t>
            </w:r>
          </w:p>
        </w:tc>
        <w:tc>
          <w:tcPr>
            <w:tcW w:w="0" w:type="dxa"/>
            <w:vAlign w:val="bottom"/>
          </w:tcPr>
          <w:p>
            <w:pPr>
              <w:spacing w:after="0"/>
              <w:rPr>
                <w:sz w:val="1"/>
                <w:szCs w:val="1"/>
                <w:color w:val="auto"/>
              </w:rPr>
            </w:pPr>
          </w:p>
        </w:tc>
      </w:tr>
      <w:tr>
        <w:trPr>
          <w:trHeight w:val="162"/>
        </w:trPr>
        <w:tc>
          <w:tcPr>
            <w:tcW w:w="1880" w:type="dxa"/>
            <w:vAlign w:val="bottom"/>
            <w:vMerge w:val="continue"/>
            <w:shd w:val="clear" w:color="auto" w:fill="DBDBDB"/>
          </w:tcPr>
          <w:p>
            <w:pPr>
              <w:spacing w:after="0"/>
              <w:rPr>
                <w:sz w:val="14"/>
                <w:szCs w:val="14"/>
                <w:color w:val="auto"/>
              </w:rPr>
            </w:pPr>
          </w:p>
        </w:tc>
        <w:tc>
          <w:tcPr>
            <w:tcW w:w="9360" w:type="dxa"/>
            <w:vAlign w:val="bottom"/>
            <w:shd w:val="clear" w:color="auto" w:fill="DBDBDB"/>
          </w:tcPr>
          <w:p>
            <w:pPr>
              <w:ind w:left="600"/>
              <w:spacing w:after="0" w:line="162" w:lineRule="exact"/>
              <w:rPr>
                <w:sz w:val="20"/>
                <w:szCs w:val="20"/>
                <w:color w:val="auto"/>
              </w:rPr>
            </w:pPr>
            <w:r>
              <w:rPr>
                <w:rFonts w:ascii="Arial" w:cs="Arial" w:eastAsia="Arial" w:hAnsi="Arial"/>
                <w:sz w:val="16"/>
                <w:szCs w:val="16"/>
                <w:color w:val="auto"/>
              </w:rPr>
              <w:t>within 30 days following termination</w:t>
            </w:r>
          </w:p>
        </w:tc>
        <w:tc>
          <w:tcPr>
            <w:tcW w:w="0" w:type="dxa"/>
            <w:vAlign w:val="bottom"/>
          </w:tcPr>
          <w:p>
            <w:pPr>
              <w:spacing w:after="0"/>
              <w:rPr>
                <w:sz w:val="1"/>
                <w:szCs w:val="1"/>
                <w:color w:val="auto"/>
              </w:rPr>
            </w:pPr>
          </w:p>
        </w:tc>
      </w:tr>
      <w:tr>
        <w:trPr>
          <w:trHeight w:val="215"/>
        </w:trPr>
        <w:tc>
          <w:tcPr>
            <w:tcW w:w="1880" w:type="dxa"/>
            <w:vAlign w:val="bottom"/>
            <w:tcBorders>
              <w:bottom w:val="single" w:sz="8" w:color="auto"/>
            </w:tcBorders>
            <w:shd w:val="clear" w:color="auto" w:fill="DBDBDB"/>
          </w:tcPr>
          <w:p>
            <w:pPr>
              <w:spacing w:after="0"/>
              <w:rPr>
                <w:sz w:val="18"/>
                <w:szCs w:val="18"/>
                <w:color w:val="auto"/>
              </w:rPr>
            </w:pPr>
          </w:p>
        </w:tc>
        <w:tc>
          <w:tcPr>
            <w:tcW w:w="9360" w:type="dxa"/>
            <w:vAlign w:val="bottom"/>
            <w:tcBorders>
              <w:bottom w:val="single" w:sz="8" w:color="auto"/>
            </w:tcBorders>
            <w:shd w:val="clear" w:color="auto" w:fill="DBDBDB"/>
          </w:tcPr>
          <w:p>
            <w:pPr>
              <w:ind w:left="440"/>
              <w:spacing w:after="0"/>
              <w:rPr>
                <w:sz w:val="20"/>
                <w:szCs w:val="20"/>
                <w:color w:val="auto"/>
              </w:rPr>
            </w:pPr>
            <w:r>
              <w:rPr>
                <w:rFonts w:ascii="Arial" w:cs="Arial" w:eastAsia="Arial" w:hAnsi="Arial"/>
                <w:sz w:val="16"/>
                <w:szCs w:val="16"/>
                <w:color w:val="auto"/>
              </w:rPr>
              <w:t>• Base salary through the date of termination</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General Release and Restrictive Covenants</w:t>
      </w:r>
      <w:r>
        <w:rPr>
          <w:rFonts w:ascii="Arial" w:cs="Arial" w:eastAsia="Arial" w:hAnsi="Arial"/>
          <w:sz w:val="18"/>
          <w:szCs w:val="18"/>
          <w:color w:val="auto"/>
        </w:rPr>
        <w:t>. The payment of all severance benefits to any NEO is subject to him signing (and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revoking) a general release and waiver and his compliance with the following covenants: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shd w:val="clear" w:color="auto" w:fill="465E66"/>
          </w:tcPr>
          <w:p>
            <w:pPr>
              <w:spacing w:after="0"/>
              <w:rPr>
                <w:sz w:val="14"/>
                <w:szCs w:val="14"/>
                <w:color w:val="auto"/>
              </w:rPr>
            </w:pPr>
          </w:p>
        </w:tc>
        <w:tc>
          <w:tcPr>
            <w:tcW w:w="3060" w:type="dxa"/>
            <w:vAlign w:val="bottom"/>
            <w:vMerge w:val="restart"/>
            <w:shd w:val="clear" w:color="auto" w:fill="465E66"/>
          </w:tcPr>
          <w:p>
            <w:pPr>
              <w:ind w:left="680"/>
              <w:spacing w:after="0"/>
              <w:rPr>
                <w:sz w:val="20"/>
                <w:szCs w:val="20"/>
                <w:color w:val="auto"/>
              </w:rPr>
            </w:pPr>
            <w:r>
              <w:rPr>
                <w:rFonts w:ascii="Arial" w:cs="Arial" w:eastAsia="Arial" w:hAnsi="Arial"/>
                <w:sz w:val="14"/>
                <w:szCs w:val="14"/>
                <w:b w:val="1"/>
                <w:bCs w:val="1"/>
                <w:color w:val="FFFFFF"/>
              </w:rPr>
              <w:t>Non-Solicitation Covenant</w:t>
            </w:r>
          </w:p>
        </w:tc>
        <w:tc>
          <w:tcPr>
            <w:tcW w:w="3080" w:type="dxa"/>
            <w:vAlign w:val="bottom"/>
            <w:vMerge w:val="restart"/>
            <w:shd w:val="clear" w:color="auto" w:fill="465E66"/>
          </w:tcPr>
          <w:p>
            <w:pPr>
              <w:ind w:left="760"/>
              <w:spacing w:after="0"/>
              <w:rPr>
                <w:sz w:val="20"/>
                <w:szCs w:val="20"/>
                <w:color w:val="auto"/>
              </w:rPr>
            </w:pPr>
            <w:r>
              <w:rPr>
                <w:rFonts w:ascii="Arial" w:cs="Arial" w:eastAsia="Arial" w:hAnsi="Arial"/>
                <w:sz w:val="14"/>
                <w:szCs w:val="14"/>
                <w:b w:val="1"/>
                <w:bCs w:val="1"/>
                <w:color w:val="FFFFFF"/>
              </w:rPr>
              <w:t>Non-Compete Covenant</w:t>
            </w:r>
          </w:p>
        </w:tc>
        <w:tc>
          <w:tcPr>
            <w:tcW w:w="3100" w:type="dxa"/>
            <w:vAlign w:val="bottom"/>
            <w:shd w:val="clear" w:color="auto" w:fill="465E66"/>
          </w:tcPr>
          <w:p>
            <w:pPr>
              <w:ind w:left="220"/>
              <w:spacing w:after="0"/>
              <w:rPr>
                <w:sz w:val="20"/>
                <w:szCs w:val="20"/>
                <w:color w:val="auto"/>
              </w:rPr>
            </w:pPr>
            <w:r>
              <w:rPr>
                <w:rFonts w:ascii="Arial" w:cs="Arial" w:eastAsia="Arial" w:hAnsi="Arial"/>
                <w:sz w:val="14"/>
                <w:szCs w:val="14"/>
                <w:b w:val="1"/>
                <w:bCs w:val="1"/>
                <w:color w:val="FFFFFF"/>
              </w:rPr>
              <w:t>Confidentiality and Non-Disparagement</w:t>
            </w:r>
          </w:p>
        </w:tc>
        <w:tc>
          <w:tcPr>
            <w:tcW w:w="0" w:type="dxa"/>
            <w:vAlign w:val="bottom"/>
          </w:tcPr>
          <w:p>
            <w:pPr>
              <w:spacing w:after="0"/>
              <w:rPr>
                <w:sz w:val="1"/>
                <w:szCs w:val="1"/>
                <w:color w:val="auto"/>
              </w:rPr>
            </w:pPr>
          </w:p>
        </w:tc>
      </w:tr>
      <w:tr>
        <w:trPr>
          <w:trHeight w:val="185"/>
        </w:trPr>
        <w:tc>
          <w:tcPr>
            <w:tcW w:w="1940" w:type="dxa"/>
            <w:vAlign w:val="bottom"/>
            <w:shd w:val="clear" w:color="auto" w:fill="465E66"/>
          </w:tcPr>
          <w:p>
            <w:pPr>
              <w:spacing w:after="0"/>
              <w:rPr>
                <w:sz w:val="16"/>
                <w:szCs w:val="16"/>
                <w:color w:val="auto"/>
              </w:rPr>
            </w:pPr>
          </w:p>
        </w:tc>
        <w:tc>
          <w:tcPr>
            <w:tcW w:w="3060" w:type="dxa"/>
            <w:vAlign w:val="bottom"/>
            <w:vMerge w:val="continue"/>
            <w:shd w:val="clear" w:color="auto" w:fill="465E66"/>
          </w:tcPr>
          <w:p>
            <w:pPr>
              <w:spacing w:after="0"/>
              <w:rPr>
                <w:sz w:val="16"/>
                <w:szCs w:val="16"/>
                <w:color w:val="auto"/>
              </w:rPr>
            </w:pPr>
          </w:p>
        </w:tc>
        <w:tc>
          <w:tcPr>
            <w:tcW w:w="3080" w:type="dxa"/>
            <w:vAlign w:val="bottom"/>
            <w:vMerge w:val="continue"/>
            <w:shd w:val="clear" w:color="auto" w:fill="465E66"/>
          </w:tcPr>
          <w:p>
            <w:pPr>
              <w:spacing w:after="0"/>
              <w:rPr>
                <w:sz w:val="16"/>
                <w:szCs w:val="16"/>
                <w:color w:val="auto"/>
              </w:rPr>
            </w:pPr>
          </w:p>
        </w:tc>
        <w:tc>
          <w:tcPr>
            <w:tcW w:w="3100" w:type="dxa"/>
            <w:vAlign w:val="bottom"/>
            <w:shd w:val="clear" w:color="auto" w:fill="465E66"/>
          </w:tcPr>
          <w:p>
            <w:pPr>
              <w:ind w:left="1200"/>
              <w:spacing w:after="0"/>
              <w:rPr>
                <w:sz w:val="20"/>
                <w:szCs w:val="20"/>
                <w:color w:val="auto"/>
              </w:rPr>
            </w:pPr>
            <w:r>
              <w:rPr>
                <w:rFonts w:ascii="Arial" w:cs="Arial" w:eastAsia="Arial" w:hAnsi="Arial"/>
                <w:sz w:val="14"/>
                <w:szCs w:val="14"/>
                <w:b w:val="1"/>
                <w:bCs w:val="1"/>
                <w:color w:val="FFFFFF"/>
              </w:rPr>
              <w:t>Covenants</w:t>
            </w:r>
          </w:p>
        </w:tc>
        <w:tc>
          <w:tcPr>
            <w:tcW w:w="0" w:type="dxa"/>
            <w:vAlign w:val="bottom"/>
          </w:tcPr>
          <w:p>
            <w:pPr>
              <w:spacing w:after="0"/>
              <w:rPr>
                <w:sz w:val="1"/>
                <w:szCs w:val="1"/>
                <w:color w:val="auto"/>
              </w:rPr>
            </w:pPr>
          </w:p>
        </w:tc>
      </w:tr>
      <w:tr>
        <w:trPr>
          <w:trHeight w:val="162"/>
        </w:trPr>
        <w:tc>
          <w:tcPr>
            <w:tcW w:w="1940" w:type="dxa"/>
            <w:vAlign w:val="bottom"/>
            <w:shd w:val="clear" w:color="auto" w:fill="DBDBDB"/>
          </w:tcPr>
          <w:p>
            <w:pPr>
              <w:spacing w:after="0"/>
              <w:rPr>
                <w:sz w:val="14"/>
                <w:szCs w:val="14"/>
                <w:color w:val="auto"/>
              </w:rPr>
            </w:pPr>
          </w:p>
        </w:tc>
        <w:tc>
          <w:tcPr>
            <w:tcW w:w="306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color w:val="auto"/>
              </w:rPr>
              <w:t>During term of employment and for two</w:t>
            </w:r>
          </w:p>
        </w:tc>
        <w:tc>
          <w:tcPr>
            <w:tcW w:w="3080" w:type="dxa"/>
            <w:vAlign w:val="bottom"/>
            <w:vMerge w:val="restart"/>
            <w:shd w:val="clear" w:color="auto" w:fill="DBDBDB"/>
          </w:tcPr>
          <w:p>
            <w:pPr>
              <w:ind w:left="60"/>
              <w:spacing w:after="0"/>
              <w:rPr>
                <w:sz w:val="20"/>
                <w:szCs w:val="20"/>
                <w:color w:val="auto"/>
              </w:rPr>
            </w:pPr>
            <w:r>
              <w:rPr>
                <w:rFonts w:ascii="Arial" w:cs="Arial" w:eastAsia="Arial" w:hAnsi="Arial"/>
                <w:sz w:val="16"/>
                <w:szCs w:val="16"/>
                <w:color w:val="auto"/>
              </w:rPr>
              <w:t>During term of employment and for two</w:t>
            </w:r>
          </w:p>
        </w:tc>
        <w:tc>
          <w:tcPr>
            <w:tcW w:w="31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years after termination of employment,</w:t>
            </w:r>
          </w:p>
        </w:tc>
        <w:tc>
          <w:tcPr>
            <w:tcW w:w="3080" w:type="dxa"/>
            <w:vAlign w:val="bottom"/>
            <w:vMerge w:val="continue"/>
            <w:shd w:val="clear" w:color="auto" w:fill="DBDBDB"/>
          </w:tcPr>
          <w:p>
            <w:pPr>
              <w:spacing w:after="0"/>
              <w:rPr>
                <w:sz w:val="7"/>
                <w:szCs w:val="7"/>
                <w:color w:val="auto"/>
              </w:rPr>
            </w:pPr>
          </w:p>
        </w:tc>
        <w:tc>
          <w:tcPr>
            <w:tcW w:w="31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continue"/>
            <w:shd w:val="clear" w:color="auto" w:fill="DBDBDB"/>
          </w:tcPr>
          <w:p>
            <w:pPr>
              <w:spacing w:after="0"/>
              <w:rPr>
                <w:sz w:val="7"/>
                <w:szCs w:val="7"/>
                <w:color w:val="auto"/>
              </w:rPr>
            </w:pPr>
          </w:p>
        </w:tc>
        <w:tc>
          <w:tcPr>
            <w:tcW w:w="308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years after termination of employment,</w:t>
            </w:r>
          </w:p>
        </w:tc>
        <w:tc>
          <w:tcPr>
            <w:tcW w:w="3100" w:type="dxa"/>
            <w:vAlign w:val="bottom"/>
            <w:vMerge w:val="restart"/>
            <w:shd w:val="clear" w:color="auto" w:fill="DBDBDB"/>
          </w:tcPr>
          <w:p>
            <w:pPr>
              <w:ind w:left="40"/>
              <w:spacing w:after="0" w:line="162" w:lineRule="exact"/>
              <w:rPr>
                <w:sz w:val="20"/>
                <w:szCs w:val="20"/>
                <w:color w:val="auto"/>
              </w:rPr>
            </w:pPr>
            <w:r>
              <w:rPr>
                <w:rFonts w:ascii="Arial" w:cs="Arial" w:eastAsia="Arial" w:hAnsi="Arial"/>
                <w:sz w:val="16"/>
                <w:szCs w:val="16"/>
                <w:color w:val="auto"/>
              </w:rPr>
              <w:t>For an indefinite period, the NEO may not</w:t>
            </w:r>
          </w:p>
        </w:tc>
        <w:tc>
          <w:tcPr>
            <w:tcW w:w="0" w:type="dxa"/>
            <w:vAlign w:val="bottom"/>
          </w:tcPr>
          <w:p>
            <w:pPr>
              <w:spacing w:after="0"/>
              <w:rPr>
                <w:sz w:val="1"/>
                <w:szCs w:val="1"/>
                <w:color w:val="auto"/>
              </w:rPr>
            </w:pPr>
          </w:p>
        </w:tc>
      </w:tr>
      <w:tr>
        <w:trPr>
          <w:trHeight w:val="81"/>
        </w:trPr>
        <w:tc>
          <w:tcPr>
            <w:tcW w:w="194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Hassane El-Khoury and</w:t>
            </w:r>
          </w:p>
        </w:tc>
        <w:tc>
          <w:tcPr>
            <w:tcW w:w="3060" w:type="dxa"/>
            <w:vAlign w:val="bottom"/>
            <w:vMerge w:val="restart"/>
            <w:shd w:val="clear" w:color="auto" w:fill="DBDBDB"/>
          </w:tcPr>
          <w:p>
            <w:pPr>
              <w:ind w:left="60"/>
              <w:spacing w:after="0"/>
              <w:rPr>
                <w:sz w:val="20"/>
                <w:szCs w:val="20"/>
                <w:color w:val="auto"/>
              </w:rPr>
            </w:pPr>
            <w:r>
              <w:rPr>
                <w:rFonts w:ascii="Arial" w:cs="Arial" w:eastAsia="Arial" w:hAnsi="Arial"/>
                <w:sz w:val="16"/>
                <w:szCs w:val="16"/>
                <w:color w:val="auto"/>
              </w:rPr>
              <w:t>the NEO may not solicit any employee of</w:t>
            </w:r>
          </w:p>
        </w:tc>
        <w:tc>
          <w:tcPr>
            <w:tcW w:w="3080" w:type="dxa"/>
            <w:vAlign w:val="bottom"/>
            <w:vMerge w:val="continue"/>
            <w:shd w:val="clear" w:color="auto" w:fill="DBDBDB"/>
          </w:tcPr>
          <w:p>
            <w:pPr>
              <w:spacing w:after="0"/>
              <w:rPr>
                <w:sz w:val="7"/>
                <w:szCs w:val="7"/>
                <w:color w:val="auto"/>
              </w:rPr>
            </w:pPr>
          </w:p>
        </w:tc>
        <w:tc>
          <w:tcPr>
            <w:tcW w:w="31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940" w:type="dxa"/>
            <w:vAlign w:val="bottom"/>
            <w:vMerge w:val="continue"/>
            <w:shd w:val="clear" w:color="auto" w:fill="DBDBDB"/>
          </w:tcPr>
          <w:p>
            <w:pPr>
              <w:spacing w:after="0"/>
              <w:rPr>
                <w:sz w:val="14"/>
                <w:szCs w:val="14"/>
                <w:color w:val="auto"/>
              </w:rPr>
            </w:pPr>
          </w:p>
        </w:tc>
        <w:tc>
          <w:tcPr>
            <w:tcW w:w="3060" w:type="dxa"/>
            <w:vAlign w:val="bottom"/>
            <w:vMerge w:val="continue"/>
            <w:shd w:val="clear" w:color="auto" w:fill="DBDBDB"/>
          </w:tcPr>
          <w:p>
            <w:pPr>
              <w:spacing w:after="0"/>
              <w:rPr>
                <w:sz w:val="14"/>
                <w:szCs w:val="14"/>
                <w:color w:val="auto"/>
              </w:rPr>
            </w:pPr>
          </w:p>
        </w:tc>
        <w:tc>
          <w:tcPr>
            <w:tcW w:w="308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color w:val="auto"/>
              </w:rPr>
              <w:t>the NEO may not compete with the</w:t>
            </w:r>
          </w:p>
        </w:tc>
        <w:tc>
          <w:tcPr>
            <w:tcW w:w="3100" w:type="dxa"/>
            <w:vAlign w:val="bottom"/>
            <w:shd w:val="clear" w:color="auto" w:fill="DBDBDB"/>
          </w:tcPr>
          <w:p>
            <w:pPr>
              <w:ind w:left="40"/>
              <w:spacing w:after="0" w:line="162" w:lineRule="exact"/>
              <w:rPr>
                <w:sz w:val="20"/>
                <w:szCs w:val="20"/>
                <w:color w:val="auto"/>
              </w:rPr>
            </w:pPr>
            <w:r>
              <w:rPr>
                <w:rFonts w:ascii="Arial" w:cs="Arial" w:eastAsia="Arial" w:hAnsi="Arial"/>
                <w:sz w:val="16"/>
                <w:szCs w:val="16"/>
                <w:color w:val="auto"/>
              </w:rPr>
              <w:t>breach certain confidentiality and non-</w:t>
            </w: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ind w:left="20"/>
              <w:spacing w:after="0" w:line="81" w:lineRule="exact"/>
              <w:rPr>
                <w:sz w:val="20"/>
                <w:szCs w:val="20"/>
                <w:color w:val="auto"/>
              </w:rPr>
            </w:pPr>
            <w:r>
              <w:rPr>
                <w:rFonts w:ascii="Arial" w:cs="Arial" w:eastAsia="Arial" w:hAnsi="Arial"/>
                <w:sz w:val="9"/>
                <w:szCs w:val="9"/>
                <w:b w:val="1"/>
                <w:bCs w:val="1"/>
                <w:color w:val="auto"/>
              </w:rPr>
              <w:t>Thad Trent</w:t>
            </w:r>
          </w:p>
        </w:tc>
        <w:tc>
          <w:tcPr>
            <w:tcW w:w="3060" w:type="dxa"/>
            <w:vAlign w:val="bottom"/>
            <w:shd w:val="clear" w:color="auto" w:fill="DBDBDB"/>
          </w:tcPr>
          <w:p>
            <w:pPr>
              <w:ind w:left="60"/>
              <w:spacing w:after="0" w:line="81" w:lineRule="exact"/>
              <w:rPr>
                <w:sz w:val="20"/>
                <w:szCs w:val="20"/>
                <w:color w:val="auto"/>
              </w:rPr>
            </w:pPr>
            <w:r>
              <w:rPr>
                <w:rFonts w:ascii="Arial" w:cs="Arial" w:eastAsia="Arial" w:hAnsi="Arial"/>
                <w:sz w:val="9"/>
                <w:szCs w:val="9"/>
                <w:color w:val="auto"/>
              </w:rPr>
              <w:t>the Company or attempt to induce any</w:t>
            </w:r>
          </w:p>
        </w:tc>
        <w:tc>
          <w:tcPr>
            <w:tcW w:w="308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Company by providing services to certain</w:t>
            </w:r>
          </w:p>
        </w:tc>
        <w:tc>
          <w:tcPr>
            <w:tcW w:w="3100" w:type="dxa"/>
            <w:vAlign w:val="bottom"/>
            <w:vMerge w:val="restart"/>
            <w:shd w:val="clear" w:color="auto" w:fill="DBDBDB"/>
          </w:tcPr>
          <w:p>
            <w:pPr>
              <w:ind w:left="40"/>
              <w:spacing w:after="0" w:line="162" w:lineRule="exact"/>
              <w:rPr>
                <w:sz w:val="20"/>
                <w:szCs w:val="20"/>
                <w:color w:val="auto"/>
              </w:rPr>
            </w:pPr>
            <w:r>
              <w:rPr>
                <w:rFonts w:ascii="Arial" w:cs="Arial" w:eastAsia="Arial" w:hAnsi="Arial"/>
                <w:sz w:val="16"/>
                <w:szCs w:val="16"/>
                <w:color w:val="auto"/>
              </w:rPr>
              <w:t>disparagement covenants</w:t>
            </w: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employee of the Company to leave the</w:t>
            </w:r>
          </w:p>
        </w:tc>
        <w:tc>
          <w:tcPr>
            <w:tcW w:w="3080" w:type="dxa"/>
            <w:vAlign w:val="bottom"/>
            <w:vMerge w:val="continue"/>
            <w:shd w:val="clear" w:color="auto" w:fill="DBDBDB"/>
          </w:tcPr>
          <w:p>
            <w:pPr>
              <w:spacing w:after="0"/>
              <w:rPr>
                <w:sz w:val="7"/>
                <w:szCs w:val="7"/>
                <w:color w:val="auto"/>
              </w:rPr>
            </w:pPr>
          </w:p>
        </w:tc>
        <w:tc>
          <w:tcPr>
            <w:tcW w:w="31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continue"/>
            <w:shd w:val="clear" w:color="auto" w:fill="DBDBDB"/>
          </w:tcPr>
          <w:p>
            <w:pPr>
              <w:spacing w:after="0"/>
              <w:rPr>
                <w:sz w:val="7"/>
                <w:szCs w:val="7"/>
                <w:color w:val="auto"/>
              </w:rPr>
            </w:pPr>
          </w:p>
        </w:tc>
        <w:tc>
          <w:tcPr>
            <w:tcW w:w="3080" w:type="dxa"/>
            <w:vAlign w:val="bottom"/>
            <w:vMerge w:val="restart"/>
            <w:shd w:val="clear" w:color="auto" w:fill="DBDBDB"/>
          </w:tcPr>
          <w:p>
            <w:pPr>
              <w:ind w:left="60"/>
              <w:spacing w:after="0"/>
              <w:rPr>
                <w:sz w:val="20"/>
                <w:szCs w:val="20"/>
                <w:color w:val="auto"/>
              </w:rPr>
            </w:pPr>
            <w:r>
              <w:rPr>
                <w:rFonts w:ascii="Arial" w:cs="Arial" w:eastAsia="Arial" w:hAnsi="Arial"/>
                <w:sz w:val="16"/>
                <w:szCs w:val="16"/>
                <w:color w:val="auto"/>
              </w:rPr>
              <w:t>companies on a specified competitor list</w:t>
            </w:r>
          </w:p>
        </w:tc>
        <w:tc>
          <w:tcPr>
            <w:tcW w:w="31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940" w:type="dxa"/>
            <w:vAlign w:val="bottom"/>
            <w:shd w:val="clear" w:color="auto" w:fill="DBDBDB"/>
          </w:tcPr>
          <w:p>
            <w:pPr>
              <w:spacing w:after="0"/>
              <w:rPr>
                <w:sz w:val="11"/>
                <w:szCs w:val="11"/>
                <w:color w:val="auto"/>
              </w:rPr>
            </w:pPr>
          </w:p>
        </w:tc>
        <w:tc>
          <w:tcPr>
            <w:tcW w:w="3060" w:type="dxa"/>
            <w:vAlign w:val="bottom"/>
            <w:vMerge w:val="restart"/>
            <w:shd w:val="clear" w:color="auto" w:fill="DBDBDB"/>
          </w:tcPr>
          <w:p>
            <w:pPr>
              <w:ind w:left="60"/>
              <w:spacing w:after="0"/>
              <w:rPr>
                <w:sz w:val="20"/>
                <w:szCs w:val="20"/>
                <w:color w:val="auto"/>
              </w:rPr>
            </w:pPr>
            <w:r>
              <w:rPr>
                <w:rFonts w:ascii="Arial" w:cs="Arial" w:eastAsia="Arial" w:hAnsi="Arial"/>
                <w:sz w:val="16"/>
                <w:szCs w:val="16"/>
                <w:color w:val="auto"/>
              </w:rPr>
              <w:t>Company</w:t>
            </w:r>
          </w:p>
        </w:tc>
        <w:tc>
          <w:tcPr>
            <w:tcW w:w="3080" w:type="dxa"/>
            <w:vAlign w:val="bottom"/>
            <w:vMerge w:val="continue"/>
            <w:shd w:val="clear" w:color="auto" w:fill="DBDBDB"/>
          </w:tcPr>
          <w:p>
            <w:pPr>
              <w:spacing w:after="0"/>
              <w:rPr>
                <w:sz w:val="11"/>
                <w:szCs w:val="11"/>
                <w:color w:val="auto"/>
              </w:rPr>
            </w:pPr>
          </w:p>
        </w:tc>
        <w:tc>
          <w:tcPr>
            <w:tcW w:w="31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40" w:type="dxa"/>
            <w:vAlign w:val="bottom"/>
            <w:tcBorders>
              <w:bottom w:val="single" w:sz="8" w:color="auto"/>
            </w:tcBorders>
            <w:shd w:val="clear" w:color="auto" w:fill="DBDBDB"/>
          </w:tcPr>
          <w:p>
            <w:pPr>
              <w:spacing w:after="0"/>
              <w:rPr>
                <w:sz w:val="7"/>
                <w:szCs w:val="7"/>
                <w:color w:val="auto"/>
              </w:rPr>
            </w:pPr>
          </w:p>
        </w:tc>
        <w:tc>
          <w:tcPr>
            <w:tcW w:w="3060" w:type="dxa"/>
            <w:vAlign w:val="bottom"/>
            <w:tcBorders>
              <w:bottom w:val="single" w:sz="8" w:color="auto"/>
            </w:tcBorders>
            <w:vMerge w:val="continue"/>
            <w:shd w:val="clear" w:color="auto" w:fill="DBDBDB"/>
          </w:tcPr>
          <w:p>
            <w:pPr>
              <w:spacing w:after="0"/>
              <w:rPr>
                <w:sz w:val="7"/>
                <w:szCs w:val="7"/>
                <w:color w:val="auto"/>
              </w:rPr>
            </w:pPr>
          </w:p>
        </w:tc>
        <w:tc>
          <w:tcPr>
            <w:tcW w:w="3080" w:type="dxa"/>
            <w:vAlign w:val="bottom"/>
            <w:tcBorders>
              <w:bottom w:val="single" w:sz="8" w:color="auto"/>
            </w:tcBorders>
            <w:shd w:val="clear" w:color="auto" w:fill="DBDBDB"/>
          </w:tcPr>
          <w:p>
            <w:pPr>
              <w:spacing w:after="0"/>
              <w:rPr>
                <w:sz w:val="7"/>
                <w:szCs w:val="7"/>
                <w:color w:val="auto"/>
              </w:rPr>
            </w:pPr>
          </w:p>
        </w:tc>
        <w:tc>
          <w:tcPr>
            <w:tcW w:w="3100" w:type="dxa"/>
            <w:vAlign w:val="bottom"/>
            <w:tcBorders>
              <w:bottom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3060" w:type="dxa"/>
            <w:vAlign w:val="bottom"/>
            <w:vMerge w:val="restart"/>
          </w:tcPr>
          <w:p>
            <w:pPr>
              <w:ind w:left="60"/>
              <w:spacing w:after="0"/>
              <w:rPr>
                <w:sz w:val="20"/>
                <w:szCs w:val="20"/>
                <w:color w:val="auto"/>
              </w:rPr>
            </w:pPr>
            <w:r>
              <w:rPr>
                <w:rFonts w:ascii="Arial" w:cs="Arial" w:eastAsia="Arial" w:hAnsi="Arial"/>
                <w:sz w:val="16"/>
                <w:szCs w:val="16"/>
                <w:color w:val="auto"/>
              </w:rPr>
              <w:t>During term of employment and for one</w:t>
            </w:r>
          </w:p>
        </w:tc>
        <w:tc>
          <w:tcPr>
            <w:tcW w:w="3080" w:type="dxa"/>
            <w:vAlign w:val="bottom"/>
          </w:tcPr>
          <w:p>
            <w:pPr>
              <w:ind w:left="60"/>
              <w:spacing w:after="0" w:line="156" w:lineRule="exact"/>
              <w:rPr>
                <w:sz w:val="20"/>
                <w:szCs w:val="20"/>
                <w:color w:val="auto"/>
              </w:rPr>
            </w:pPr>
            <w:r>
              <w:rPr>
                <w:rFonts w:ascii="Arial" w:cs="Arial" w:eastAsia="Arial" w:hAnsi="Arial"/>
                <w:sz w:val="16"/>
                <w:szCs w:val="16"/>
                <w:color w:val="auto"/>
              </w:rPr>
              <w:t>During term of employment and for one</w:t>
            </w: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3080" w:type="dxa"/>
            <w:vAlign w:val="bottom"/>
            <w:vMerge w:val="restart"/>
          </w:tcPr>
          <w:p>
            <w:pPr>
              <w:ind w:left="60"/>
              <w:spacing w:after="0" w:line="162" w:lineRule="exact"/>
              <w:rPr>
                <w:sz w:val="20"/>
                <w:szCs w:val="20"/>
                <w:color w:val="auto"/>
              </w:rPr>
            </w:pPr>
            <w:r>
              <w:rPr>
                <w:rFonts w:ascii="Arial" w:cs="Arial" w:eastAsia="Arial" w:hAnsi="Arial"/>
                <w:sz w:val="16"/>
                <w:szCs w:val="16"/>
                <w:color w:val="auto"/>
              </w:rPr>
              <w:t>year after termination of employment, the</w:t>
            </w: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3060" w:type="dxa"/>
            <w:vAlign w:val="bottom"/>
            <w:vMerge w:val="restart"/>
          </w:tcPr>
          <w:p>
            <w:pPr>
              <w:ind w:left="60"/>
              <w:spacing w:after="0"/>
              <w:rPr>
                <w:sz w:val="20"/>
                <w:szCs w:val="20"/>
                <w:color w:val="auto"/>
              </w:rPr>
            </w:pPr>
            <w:r>
              <w:rPr>
                <w:rFonts w:ascii="Arial" w:cs="Arial" w:eastAsia="Arial" w:hAnsi="Arial"/>
                <w:sz w:val="16"/>
                <w:szCs w:val="16"/>
                <w:color w:val="auto"/>
              </w:rPr>
              <w:t>year after termination of employment, the</w:t>
            </w:r>
          </w:p>
        </w:tc>
        <w:tc>
          <w:tcPr>
            <w:tcW w:w="3080" w:type="dxa"/>
            <w:vAlign w:val="bottom"/>
            <w:vMerge w:val="continue"/>
          </w:tcPr>
          <w:p>
            <w:pPr>
              <w:spacing w:after="0"/>
              <w:rPr>
                <w:sz w:val="7"/>
                <w:szCs w:val="7"/>
                <w:color w:val="auto"/>
              </w:rPr>
            </w:pPr>
          </w:p>
        </w:tc>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For an indefinite period, the NEO may not</w:t>
            </w:r>
          </w:p>
        </w:tc>
        <w:tc>
          <w:tcPr>
            <w:tcW w:w="0" w:type="dxa"/>
            <w:vAlign w:val="bottom"/>
          </w:tcPr>
          <w:p>
            <w:pPr>
              <w:spacing w:after="0"/>
              <w:rPr>
                <w:sz w:val="1"/>
                <w:szCs w:val="1"/>
                <w:color w:val="auto"/>
              </w:rPr>
            </w:pPr>
          </w:p>
        </w:tc>
      </w:tr>
      <w:tr>
        <w:trPr>
          <w:trHeight w:val="162"/>
        </w:trPr>
        <w:tc>
          <w:tcPr>
            <w:tcW w:w="1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Simon Keeton and Ross</w:t>
            </w:r>
          </w:p>
        </w:tc>
        <w:tc>
          <w:tcPr>
            <w:tcW w:w="3060" w:type="dxa"/>
            <w:vAlign w:val="bottom"/>
            <w:vMerge w:val="continue"/>
          </w:tcPr>
          <w:p>
            <w:pPr>
              <w:spacing w:after="0"/>
              <w:rPr>
                <w:sz w:val="14"/>
                <w:szCs w:val="14"/>
                <w:color w:val="auto"/>
              </w:rPr>
            </w:pPr>
          </w:p>
        </w:tc>
        <w:tc>
          <w:tcPr>
            <w:tcW w:w="3080" w:type="dxa"/>
            <w:vAlign w:val="bottom"/>
          </w:tcPr>
          <w:p>
            <w:pPr>
              <w:ind w:left="60"/>
              <w:spacing w:after="0" w:line="162" w:lineRule="exact"/>
              <w:rPr>
                <w:sz w:val="20"/>
                <w:szCs w:val="20"/>
                <w:color w:val="auto"/>
              </w:rPr>
            </w:pPr>
            <w:r>
              <w:rPr>
                <w:rFonts w:ascii="Arial" w:cs="Arial" w:eastAsia="Arial" w:hAnsi="Arial"/>
                <w:sz w:val="16"/>
                <w:szCs w:val="16"/>
                <w:color w:val="auto"/>
              </w:rPr>
              <w:t>NEO may not compete with the Company</w:t>
            </w: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continue"/>
          </w:tcPr>
          <w:p>
            <w:pPr>
              <w:spacing w:after="0"/>
              <w:rPr>
                <w:sz w:val="14"/>
                <w:szCs w:val="14"/>
                <w:color w:val="auto"/>
              </w:rPr>
            </w:pPr>
          </w:p>
        </w:tc>
        <w:tc>
          <w:tcPr>
            <w:tcW w:w="3060" w:type="dxa"/>
            <w:vAlign w:val="bottom"/>
          </w:tcPr>
          <w:p>
            <w:pPr>
              <w:ind w:left="60"/>
              <w:spacing w:after="0" w:line="162" w:lineRule="exact"/>
              <w:rPr>
                <w:sz w:val="20"/>
                <w:szCs w:val="20"/>
                <w:color w:val="auto"/>
              </w:rPr>
            </w:pPr>
            <w:r>
              <w:rPr>
                <w:rFonts w:ascii="Arial" w:cs="Arial" w:eastAsia="Arial" w:hAnsi="Arial"/>
                <w:sz w:val="16"/>
                <w:szCs w:val="16"/>
                <w:color w:val="auto"/>
              </w:rPr>
              <w:t>NEO may not solicit any employee of the</w:t>
            </w:r>
          </w:p>
        </w:tc>
        <w:tc>
          <w:tcPr>
            <w:tcW w:w="3080" w:type="dxa"/>
            <w:vAlign w:val="bottom"/>
          </w:tcPr>
          <w:p>
            <w:pPr>
              <w:ind w:left="60"/>
              <w:spacing w:after="0" w:line="162" w:lineRule="exact"/>
              <w:rPr>
                <w:sz w:val="20"/>
                <w:szCs w:val="20"/>
                <w:color w:val="auto"/>
              </w:rPr>
            </w:pPr>
            <w:r>
              <w:rPr>
                <w:rFonts w:ascii="Arial" w:cs="Arial" w:eastAsia="Arial" w:hAnsi="Arial"/>
                <w:sz w:val="16"/>
                <w:szCs w:val="16"/>
                <w:color w:val="auto"/>
              </w:rPr>
              <w:t>by providing services to a “Competitive</w:t>
            </w:r>
          </w:p>
        </w:tc>
        <w:tc>
          <w:tcPr>
            <w:tcW w:w="3100" w:type="dxa"/>
            <w:vAlign w:val="bottom"/>
          </w:tcPr>
          <w:p>
            <w:pPr>
              <w:ind w:left="40"/>
              <w:spacing w:after="0" w:line="162" w:lineRule="exact"/>
              <w:rPr>
                <w:sz w:val="20"/>
                <w:szCs w:val="20"/>
                <w:color w:val="auto"/>
              </w:rPr>
            </w:pPr>
            <w:r>
              <w:rPr>
                <w:rFonts w:ascii="Arial" w:cs="Arial" w:eastAsia="Arial" w:hAnsi="Arial"/>
                <w:sz w:val="16"/>
                <w:szCs w:val="16"/>
                <w:color w:val="auto"/>
              </w:rPr>
              <w:t>breach certain confidentiality and non-</w:t>
            </w:r>
          </w:p>
        </w:tc>
        <w:tc>
          <w:tcPr>
            <w:tcW w:w="0" w:type="dxa"/>
            <w:vAlign w:val="bottom"/>
          </w:tcPr>
          <w:p>
            <w:pPr>
              <w:spacing w:after="0"/>
              <w:rPr>
                <w:sz w:val="1"/>
                <w:szCs w:val="1"/>
                <w:color w:val="auto"/>
              </w:rPr>
            </w:pPr>
          </w:p>
        </w:tc>
      </w:tr>
      <w:tr>
        <w:trPr>
          <w:trHeight w:val="81"/>
        </w:trPr>
        <w:tc>
          <w:tcPr>
            <w:tcW w:w="194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F. Jatou</w:t>
            </w:r>
          </w:p>
        </w:tc>
        <w:tc>
          <w:tcPr>
            <w:tcW w:w="3060" w:type="dxa"/>
            <w:vAlign w:val="bottom"/>
          </w:tcPr>
          <w:p>
            <w:pPr>
              <w:ind w:left="60"/>
              <w:spacing w:after="0" w:line="81" w:lineRule="exact"/>
              <w:rPr>
                <w:sz w:val="20"/>
                <w:szCs w:val="20"/>
                <w:color w:val="auto"/>
              </w:rPr>
            </w:pPr>
            <w:r>
              <w:rPr>
                <w:rFonts w:ascii="Arial" w:cs="Arial" w:eastAsia="Arial" w:hAnsi="Arial"/>
                <w:sz w:val="9"/>
                <w:szCs w:val="9"/>
                <w:color w:val="auto"/>
              </w:rPr>
              <w:t>Company or attempt to induce any</w:t>
            </w:r>
          </w:p>
        </w:tc>
        <w:tc>
          <w:tcPr>
            <w:tcW w:w="3080" w:type="dxa"/>
            <w:vAlign w:val="bottom"/>
            <w:vMerge w:val="restart"/>
          </w:tcPr>
          <w:p>
            <w:pPr>
              <w:ind w:left="60"/>
              <w:spacing w:after="0" w:line="162" w:lineRule="exact"/>
              <w:rPr>
                <w:sz w:val="20"/>
                <w:szCs w:val="20"/>
                <w:color w:val="auto"/>
              </w:rPr>
            </w:pPr>
            <w:r>
              <w:rPr>
                <w:rFonts w:ascii="Arial" w:cs="Arial" w:eastAsia="Arial" w:hAnsi="Arial"/>
                <w:sz w:val="16"/>
                <w:szCs w:val="16"/>
                <w:color w:val="auto"/>
              </w:rPr>
              <w:t>Business” (as such term is defined in the</w:t>
            </w:r>
          </w:p>
        </w:tc>
        <w:tc>
          <w:tcPr>
            <w:tcW w:w="3100" w:type="dxa"/>
            <w:vAlign w:val="bottom"/>
            <w:vMerge w:val="restart"/>
          </w:tcPr>
          <w:p>
            <w:pPr>
              <w:ind w:left="40"/>
              <w:spacing w:after="0" w:line="162" w:lineRule="exact"/>
              <w:rPr>
                <w:sz w:val="20"/>
                <w:szCs w:val="20"/>
                <w:color w:val="auto"/>
              </w:rPr>
            </w:pPr>
            <w:r>
              <w:rPr>
                <w:rFonts w:ascii="Arial" w:cs="Arial" w:eastAsia="Arial" w:hAnsi="Arial"/>
                <w:sz w:val="16"/>
                <w:szCs w:val="16"/>
                <w:color w:val="auto"/>
              </w:rPr>
              <w:t>disparagement covenants</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3060" w:type="dxa"/>
            <w:vAlign w:val="bottom"/>
            <w:vMerge w:val="restart"/>
          </w:tcPr>
          <w:p>
            <w:pPr>
              <w:ind w:left="60"/>
              <w:spacing w:after="0" w:line="162" w:lineRule="exact"/>
              <w:rPr>
                <w:sz w:val="20"/>
                <w:szCs w:val="20"/>
                <w:color w:val="auto"/>
              </w:rPr>
            </w:pPr>
            <w:r>
              <w:rPr>
                <w:rFonts w:ascii="Arial" w:cs="Arial" w:eastAsia="Arial" w:hAnsi="Arial"/>
                <w:sz w:val="16"/>
                <w:szCs w:val="16"/>
                <w:color w:val="auto"/>
              </w:rPr>
              <w:t>employee of the Company to leave the</w:t>
            </w:r>
          </w:p>
        </w:tc>
        <w:tc>
          <w:tcPr>
            <w:tcW w:w="3080" w:type="dxa"/>
            <w:vAlign w:val="bottom"/>
            <w:vMerge w:val="continue"/>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3080" w:type="dxa"/>
            <w:vAlign w:val="bottom"/>
            <w:vMerge w:val="restart"/>
          </w:tcPr>
          <w:p>
            <w:pPr>
              <w:ind w:left="60"/>
              <w:spacing w:after="0" w:line="162" w:lineRule="exact"/>
              <w:rPr>
                <w:sz w:val="20"/>
                <w:szCs w:val="20"/>
                <w:color w:val="auto"/>
              </w:rPr>
            </w:pPr>
            <w:r>
              <w:rPr>
                <w:rFonts w:ascii="Arial" w:cs="Arial" w:eastAsia="Arial" w:hAnsi="Arial"/>
                <w:sz w:val="16"/>
                <w:szCs w:val="16"/>
                <w:color w:val="auto"/>
              </w:rPr>
              <w:t>applicable NEO’s respective agreement)</w:t>
            </w: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3060" w:type="dxa"/>
            <w:vAlign w:val="bottom"/>
            <w:vMerge w:val="restart"/>
          </w:tcPr>
          <w:p>
            <w:pPr>
              <w:ind w:left="60"/>
              <w:spacing w:after="0"/>
              <w:rPr>
                <w:sz w:val="20"/>
                <w:szCs w:val="20"/>
                <w:color w:val="auto"/>
              </w:rPr>
            </w:pPr>
            <w:r>
              <w:rPr>
                <w:rFonts w:ascii="Arial" w:cs="Arial" w:eastAsia="Arial" w:hAnsi="Arial"/>
                <w:sz w:val="16"/>
                <w:szCs w:val="16"/>
                <w:color w:val="auto"/>
              </w:rPr>
              <w:t>Company</w:t>
            </w:r>
          </w:p>
        </w:tc>
        <w:tc>
          <w:tcPr>
            <w:tcW w:w="3080" w:type="dxa"/>
            <w:vAlign w:val="bottom"/>
            <w:vMerge w:val="continue"/>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94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3080" w:type="dxa"/>
            <w:vAlign w:val="bottom"/>
            <w:vMerge w:val="restart"/>
          </w:tcPr>
          <w:p>
            <w:pPr>
              <w:ind w:left="60"/>
              <w:spacing w:after="0"/>
              <w:rPr>
                <w:sz w:val="20"/>
                <w:szCs w:val="20"/>
                <w:color w:val="auto"/>
              </w:rPr>
            </w:pPr>
            <w:r>
              <w:rPr>
                <w:rFonts w:ascii="Arial" w:cs="Arial" w:eastAsia="Arial" w:hAnsi="Arial"/>
                <w:sz w:val="16"/>
                <w:szCs w:val="16"/>
                <w:color w:val="auto"/>
              </w:rPr>
              <w:t>in or from the U.S. territory</w:t>
            </w: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308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940" w:type="dxa"/>
            <w:vAlign w:val="bottom"/>
            <w:shd w:val="clear" w:color="auto" w:fill="DBDBDB"/>
          </w:tcPr>
          <w:p>
            <w:pPr>
              <w:spacing w:after="0"/>
              <w:rPr>
                <w:sz w:val="13"/>
                <w:szCs w:val="13"/>
                <w:color w:val="auto"/>
              </w:rPr>
            </w:pPr>
          </w:p>
        </w:tc>
        <w:tc>
          <w:tcPr>
            <w:tcW w:w="3060" w:type="dxa"/>
            <w:vAlign w:val="bottom"/>
            <w:vMerge w:val="restart"/>
            <w:shd w:val="clear" w:color="auto" w:fill="DBDBDB"/>
          </w:tcPr>
          <w:p>
            <w:pPr>
              <w:ind w:left="60"/>
              <w:spacing w:after="0"/>
              <w:rPr>
                <w:sz w:val="20"/>
                <w:szCs w:val="20"/>
                <w:color w:val="auto"/>
              </w:rPr>
            </w:pPr>
            <w:r>
              <w:rPr>
                <w:rFonts w:ascii="Arial" w:cs="Arial" w:eastAsia="Arial" w:hAnsi="Arial"/>
                <w:sz w:val="16"/>
                <w:szCs w:val="16"/>
                <w:color w:val="auto"/>
              </w:rPr>
              <w:t>During term of employment and for two</w:t>
            </w:r>
          </w:p>
        </w:tc>
        <w:tc>
          <w:tcPr>
            <w:tcW w:w="3080" w:type="dxa"/>
            <w:vAlign w:val="bottom"/>
            <w:shd w:val="clear" w:color="auto" w:fill="DBDBDB"/>
          </w:tcPr>
          <w:p>
            <w:pPr>
              <w:ind w:left="60"/>
              <w:spacing w:after="0" w:line="156" w:lineRule="exact"/>
              <w:rPr>
                <w:sz w:val="20"/>
                <w:szCs w:val="20"/>
                <w:color w:val="auto"/>
              </w:rPr>
            </w:pPr>
            <w:r>
              <w:rPr>
                <w:rFonts w:ascii="Arial" w:cs="Arial" w:eastAsia="Arial" w:hAnsi="Arial"/>
                <w:sz w:val="16"/>
                <w:szCs w:val="16"/>
                <w:color w:val="auto"/>
              </w:rPr>
              <w:t>During term of employment and for one</w:t>
            </w:r>
          </w:p>
        </w:tc>
        <w:tc>
          <w:tcPr>
            <w:tcW w:w="31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continue"/>
            <w:shd w:val="clear" w:color="auto" w:fill="DBDBDB"/>
          </w:tcPr>
          <w:p>
            <w:pPr>
              <w:spacing w:after="0"/>
              <w:rPr>
                <w:sz w:val="7"/>
                <w:szCs w:val="7"/>
                <w:color w:val="auto"/>
              </w:rPr>
            </w:pPr>
          </w:p>
        </w:tc>
        <w:tc>
          <w:tcPr>
            <w:tcW w:w="308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year after termination of employment, the</w:t>
            </w:r>
          </w:p>
        </w:tc>
        <w:tc>
          <w:tcPr>
            <w:tcW w:w="31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years after termination of employment,</w:t>
            </w:r>
          </w:p>
        </w:tc>
        <w:tc>
          <w:tcPr>
            <w:tcW w:w="3080" w:type="dxa"/>
            <w:vAlign w:val="bottom"/>
            <w:vMerge w:val="continue"/>
            <w:shd w:val="clear" w:color="auto" w:fill="DBDBDB"/>
          </w:tcPr>
          <w:p>
            <w:pPr>
              <w:spacing w:after="0"/>
              <w:rPr>
                <w:sz w:val="7"/>
                <w:szCs w:val="7"/>
                <w:color w:val="auto"/>
              </w:rPr>
            </w:pPr>
          </w:p>
        </w:tc>
        <w:tc>
          <w:tcPr>
            <w:tcW w:w="31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continue"/>
            <w:shd w:val="clear" w:color="auto" w:fill="DBDBDB"/>
          </w:tcPr>
          <w:p>
            <w:pPr>
              <w:spacing w:after="0"/>
              <w:rPr>
                <w:sz w:val="7"/>
                <w:szCs w:val="7"/>
                <w:color w:val="auto"/>
              </w:rPr>
            </w:pPr>
          </w:p>
        </w:tc>
        <w:tc>
          <w:tcPr>
            <w:tcW w:w="308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NEO may not compete with the Company</w:t>
            </w:r>
          </w:p>
        </w:tc>
        <w:tc>
          <w:tcPr>
            <w:tcW w:w="3100" w:type="dxa"/>
            <w:vAlign w:val="bottom"/>
            <w:vMerge w:val="restart"/>
            <w:shd w:val="clear" w:color="auto" w:fill="DBDBDB"/>
          </w:tcPr>
          <w:p>
            <w:pPr>
              <w:ind w:left="40"/>
              <w:spacing w:after="0" w:line="162" w:lineRule="exact"/>
              <w:rPr>
                <w:sz w:val="20"/>
                <w:szCs w:val="20"/>
                <w:color w:val="auto"/>
              </w:rPr>
            </w:pPr>
            <w:r>
              <w:rPr>
                <w:rFonts w:ascii="Arial" w:cs="Arial" w:eastAsia="Arial" w:hAnsi="Arial"/>
                <w:sz w:val="16"/>
                <w:szCs w:val="16"/>
                <w:color w:val="auto"/>
              </w:rPr>
              <w:t>For an indefinite period, the NEO may not</w:t>
            </w:r>
          </w:p>
        </w:tc>
        <w:tc>
          <w:tcPr>
            <w:tcW w:w="0" w:type="dxa"/>
            <w:vAlign w:val="bottom"/>
          </w:tcPr>
          <w:p>
            <w:pPr>
              <w:spacing w:after="0"/>
              <w:rPr>
                <w:sz w:val="1"/>
                <w:szCs w:val="1"/>
                <w:color w:val="auto"/>
              </w:rPr>
            </w:pPr>
          </w:p>
        </w:tc>
      </w:tr>
      <w:tr>
        <w:trPr>
          <w:trHeight w:val="81"/>
        </w:trPr>
        <w:tc>
          <w:tcPr>
            <w:tcW w:w="194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Robert Tong</w:t>
            </w:r>
          </w:p>
        </w:tc>
        <w:tc>
          <w:tcPr>
            <w:tcW w:w="3060" w:type="dxa"/>
            <w:vAlign w:val="bottom"/>
            <w:vMerge w:val="restart"/>
            <w:shd w:val="clear" w:color="auto" w:fill="DBDBDB"/>
          </w:tcPr>
          <w:p>
            <w:pPr>
              <w:ind w:left="60"/>
              <w:spacing w:after="0"/>
              <w:rPr>
                <w:sz w:val="20"/>
                <w:szCs w:val="20"/>
                <w:color w:val="auto"/>
              </w:rPr>
            </w:pPr>
            <w:r>
              <w:rPr>
                <w:rFonts w:ascii="Arial" w:cs="Arial" w:eastAsia="Arial" w:hAnsi="Arial"/>
                <w:sz w:val="16"/>
                <w:szCs w:val="16"/>
                <w:color w:val="auto"/>
              </w:rPr>
              <w:t>the NEO may not solicit any employee of</w:t>
            </w:r>
          </w:p>
        </w:tc>
        <w:tc>
          <w:tcPr>
            <w:tcW w:w="3080" w:type="dxa"/>
            <w:vAlign w:val="bottom"/>
            <w:vMerge w:val="continue"/>
            <w:shd w:val="clear" w:color="auto" w:fill="DBDBDB"/>
          </w:tcPr>
          <w:p>
            <w:pPr>
              <w:spacing w:after="0"/>
              <w:rPr>
                <w:sz w:val="7"/>
                <w:szCs w:val="7"/>
                <w:color w:val="auto"/>
              </w:rPr>
            </w:pPr>
          </w:p>
        </w:tc>
        <w:tc>
          <w:tcPr>
            <w:tcW w:w="31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940" w:type="dxa"/>
            <w:vAlign w:val="bottom"/>
            <w:vMerge w:val="continue"/>
            <w:shd w:val="clear" w:color="auto" w:fill="DBDBDB"/>
          </w:tcPr>
          <w:p>
            <w:pPr>
              <w:spacing w:after="0"/>
              <w:rPr>
                <w:sz w:val="14"/>
                <w:szCs w:val="14"/>
                <w:color w:val="auto"/>
              </w:rPr>
            </w:pPr>
          </w:p>
        </w:tc>
        <w:tc>
          <w:tcPr>
            <w:tcW w:w="3060" w:type="dxa"/>
            <w:vAlign w:val="bottom"/>
            <w:vMerge w:val="continue"/>
            <w:shd w:val="clear" w:color="auto" w:fill="DBDBDB"/>
          </w:tcPr>
          <w:p>
            <w:pPr>
              <w:spacing w:after="0"/>
              <w:rPr>
                <w:sz w:val="14"/>
                <w:szCs w:val="14"/>
                <w:color w:val="auto"/>
              </w:rPr>
            </w:pPr>
          </w:p>
        </w:tc>
        <w:tc>
          <w:tcPr>
            <w:tcW w:w="308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color w:val="auto"/>
              </w:rPr>
              <w:t>by providing services to a “Competitive</w:t>
            </w:r>
          </w:p>
        </w:tc>
        <w:tc>
          <w:tcPr>
            <w:tcW w:w="3100" w:type="dxa"/>
            <w:vAlign w:val="bottom"/>
            <w:shd w:val="clear" w:color="auto" w:fill="DBDBDB"/>
          </w:tcPr>
          <w:p>
            <w:pPr>
              <w:ind w:left="40"/>
              <w:spacing w:after="0" w:line="162" w:lineRule="exact"/>
              <w:rPr>
                <w:sz w:val="20"/>
                <w:szCs w:val="20"/>
                <w:color w:val="auto"/>
              </w:rPr>
            </w:pPr>
            <w:r>
              <w:rPr>
                <w:rFonts w:ascii="Arial" w:cs="Arial" w:eastAsia="Arial" w:hAnsi="Arial"/>
                <w:sz w:val="16"/>
                <w:szCs w:val="16"/>
                <w:color w:val="auto"/>
              </w:rPr>
              <w:t>breach certain confidentiality and non-</w:t>
            </w: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shd w:val="clear" w:color="auto" w:fill="DBDBDB"/>
          </w:tcPr>
          <w:p>
            <w:pPr>
              <w:ind w:left="60"/>
              <w:spacing w:after="0" w:line="81" w:lineRule="exact"/>
              <w:rPr>
                <w:sz w:val="20"/>
                <w:szCs w:val="20"/>
                <w:color w:val="auto"/>
              </w:rPr>
            </w:pPr>
            <w:r>
              <w:rPr>
                <w:rFonts w:ascii="Arial" w:cs="Arial" w:eastAsia="Arial" w:hAnsi="Arial"/>
                <w:sz w:val="9"/>
                <w:szCs w:val="9"/>
                <w:color w:val="auto"/>
              </w:rPr>
              <w:t>the Company or attempt to induce any</w:t>
            </w:r>
          </w:p>
        </w:tc>
        <w:tc>
          <w:tcPr>
            <w:tcW w:w="308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Business” (as such term is defined in the</w:t>
            </w:r>
          </w:p>
        </w:tc>
        <w:tc>
          <w:tcPr>
            <w:tcW w:w="3100" w:type="dxa"/>
            <w:vAlign w:val="bottom"/>
            <w:vMerge w:val="restart"/>
            <w:shd w:val="clear" w:color="auto" w:fill="DBDBDB"/>
          </w:tcPr>
          <w:p>
            <w:pPr>
              <w:ind w:left="40"/>
              <w:spacing w:after="0" w:line="162" w:lineRule="exact"/>
              <w:rPr>
                <w:sz w:val="20"/>
                <w:szCs w:val="20"/>
                <w:color w:val="auto"/>
              </w:rPr>
            </w:pPr>
            <w:r>
              <w:rPr>
                <w:rFonts w:ascii="Arial" w:cs="Arial" w:eastAsia="Arial" w:hAnsi="Arial"/>
                <w:sz w:val="16"/>
                <w:szCs w:val="16"/>
                <w:color w:val="auto"/>
              </w:rPr>
              <w:t>disparagement covenants</w:t>
            </w: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employee of the Company to leave the</w:t>
            </w:r>
          </w:p>
        </w:tc>
        <w:tc>
          <w:tcPr>
            <w:tcW w:w="3080" w:type="dxa"/>
            <w:vAlign w:val="bottom"/>
            <w:vMerge w:val="continue"/>
            <w:shd w:val="clear" w:color="auto" w:fill="DBDBDB"/>
          </w:tcPr>
          <w:p>
            <w:pPr>
              <w:spacing w:after="0"/>
              <w:rPr>
                <w:sz w:val="7"/>
                <w:szCs w:val="7"/>
                <w:color w:val="auto"/>
              </w:rPr>
            </w:pPr>
          </w:p>
        </w:tc>
        <w:tc>
          <w:tcPr>
            <w:tcW w:w="31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continue"/>
            <w:shd w:val="clear" w:color="auto" w:fill="DBDBDB"/>
          </w:tcPr>
          <w:p>
            <w:pPr>
              <w:spacing w:after="0"/>
              <w:rPr>
                <w:sz w:val="7"/>
                <w:szCs w:val="7"/>
                <w:color w:val="auto"/>
              </w:rPr>
            </w:pPr>
          </w:p>
        </w:tc>
        <w:tc>
          <w:tcPr>
            <w:tcW w:w="308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applicable NEO’s respective agreement)</w:t>
            </w:r>
          </w:p>
        </w:tc>
        <w:tc>
          <w:tcPr>
            <w:tcW w:w="31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DBDBDB"/>
          </w:tcPr>
          <w:p>
            <w:pPr>
              <w:spacing w:after="0"/>
              <w:rPr>
                <w:sz w:val="7"/>
                <w:szCs w:val="7"/>
                <w:color w:val="auto"/>
              </w:rPr>
            </w:pPr>
          </w:p>
        </w:tc>
        <w:tc>
          <w:tcPr>
            <w:tcW w:w="3060" w:type="dxa"/>
            <w:vAlign w:val="bottom"/>
            <w:vMerge w:val="restart"/>
            <w:shd w:val="clear" w:color="auto" w:fill="DBDBDB"/>
          </w:tcPr>
          <w:p>
            <w:pPr>
              <w:ind w:left="60"/>
              <w:spacing w:after="0"/>
              <w:rPr>
                <w:sz w:val="20"/>
                <w:szCs w:val="20"/>
                <w:color w:val="auto"/>
              </w:rPr>
            </w:pPr>
            <w:r>
              <w:rPr>
                <w:rFonts w:ascii="Arial" w:cs="Arial" w:eastAsia="Arial" w:hAnsi="Arial"/>
                <w:sz w:val="16"/>
                <w:szCs w:val="16"/>
                <w:color w:val="auto"/>
              </w:rPr>
              <w:t>Company</w:t>
            </w:r>
          </w:p>
        </w:tc>
        <w:tc>
          <w:tcPr>
            <w:tcW w:w="3080" w:type="dxa"/>
            <w:vAlign w:val="bottom"/>
            <w:vMerge w:val="continue"/>
            <w:shd w:val="clear" w:color="auto" w:fill="DBDBDB"/>
          </w:tcPr>
          <w:p>
            <w:pPr>
              <w:spacing w:after="0"/>
              <w:rPr>
                <w:sz w:val="7"/>
                <w:szCs w:val="7"/>
                <w:color w:val="auto"/>
              </w:rPr>
            </w:pPr>
          </w:p>
        </w:tc>
        <w:tc>
          <w:tcPr>
            <w:tcW w:w="31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940" w:type="dxa"/>
            <w:vAlign w:val="bottom"/>
            <w:shd w:val="clear" w:color="auto" w:fill="DBDBDB"/>
          </w:tcPr>
          <w:p>
            <w:pPr>
              <w:spacing w:after="0"/>
              <w:rPr>
                <w:sz w:val="11"/>
                <w:szCs w:val="11"/>
                <w:color w:val="auto"/>
              </w:rPr>
            </w:pPr>
          </w:p>
        </w:tc>
        <w:tc>
          <w:tcPr>
            <w:tcW w:w="3060" w:type="dxa"/>
            <w:vAlign w:val="bottom"/>
            <w:vMerge w:val="continue"/>
            <w:shd w:val="clear" w:color="auto" w:fill="DBDBDB"/>
          </w:tcPr>
          <w:p>
            <w:pPr>
              <w:spacing w:after="0"/>
              <w:rPr>
                <w:sz w:val="11"/>
                <w:szCs w:val="11"/>
                <w:color w:val="auto"/>
              </w:rPr>
            </w:pPr>
          </w:p>
        </w:tc>
        <w:tc>
          <w:tcPr>
            <w:tcW w:w="3080" w:type="dxa"/>
            <w:vAlign w:val="bottom"/>
            <w:vMerge w:val="restart"/>
            <w:shd w:val="clear" w:color="auto" w:fill="DBDBDB"/>
          </w:tcPr>
          <w:p>
            <w:pPr>
              <w:ind w:left="60"/>
              <w:spacing w:after="0"/>
              <w:rPr>
                <w:sz w:val="20"/>
                <w:szCs w:val="20"/>
                <w:color w:val="auto"/>
              </w:rPr>
            </w:pPr>
            <w:r>
              <w:rPr>
                <w:rFonts w:ascii="Arial" w:cs="Arial" w:eastAsia="Arial" w:hAnsi="Arial"/>
                <w:sz w:val="16"/>
                <w:szCs w:val="16"/>
                <w:color w:val="auto"/>
              </w:rPr>
              <w:t>in or from the U.S. territory</w:t>
            </w:r>
          </w:p>
        </w:tc>
        <w:tc>
          <w:tcPr>
            <w:tcW w:w="31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40" w:type="dxa"/>
            <w:vAlign w:val="bottom"/>
            <w:tcBorders>
              <w:bottom w:val="single" w:sz="8" w:color="auto"/>
            </w:tcBorders>
            <w:shd w:val="clear" w:color="auto" w:fill="DBDBDB"/>
          </w:tcPr>
          <w:p>
            <w:pPr>
              <w:spacing w:after="0"/>
              <w:rPr>
                <w:sz w:val="7"/>
                <w:szCs w:val="7"/>
                <w:color w:val="auto"/>
              </w:rPr>
            </w:pPr>
          </w:p>
        </w:tc>
        <w:tc>
          <w:tcPr>
            <w:tcW w:w="3060" w:type="dxa"/>
            <w:vAlign w:val="bottom"/>
            <w:tcBorders>
              <w:bottom w:val="single" w:sz="8" w:color="auto"/>
            </w:tcBorders>
            <w:shd w:val="clear" w:color="auto" w:fill="DBDBDB"/>
          </w:tcPr>
          <w:p>
            <w:pPr>
              <w:spacing w:after="0"/>
              <w:rPr>
                <w:sz w:val="7"/>
                <w:szCs w:val="7"/>
                <w:color w:val="auto"/>
              </w:rPr>
            </w:pPr>
          </w:p>
        </w:tc>
        <w:tc>
          <w:tcPr>
            <w:tcW w:w="3080" w:type="dxa"/>
            <w:vAlign w:val="bottom"/>
            <w:tcBorders>
              <w:bottom w:val="single" w:sz="8" w:color="auto"/>
            </w:tcBorders>
            <w:vMerge w:val="continue"/>
            <w:shd w:val="clear" w:color="auto" w:fill="DBDBDB"/>
          </w:tcPr>
          <w:p>
            <w:pPr>
              <w:spacing w:after="0"/>
              <w:rPr>
                <w:sz w:val="7"/>
                <w:szCs w:val="7"/>
                <w:color w:val="auto"/>
              </w:rPr>
            </w:pPr>
          </w:p>
        </w:tc>
        <w:tc>
          <w:tcPr>
            <w:tcW w:w="3100" w:type="dxa"/>
            <w:vAlign w:val="bottom"/>
            <w:tcBorders>
              <w:bottom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Potential Payments upon Termination of Employment or Change in Control</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tables below, we summarize the estimated payments that will be made to each of our applicable NEOs upon a termination of employment in the various circumstances listed. The table for each applicable NEO should be read together with the description of that officer’s employment agreement above and the description below. For information concerning the material conditions applicable to the receipt of certain payments or benefits, including waivers and non-compete, non-solicitation, non-disparagement and confidentiality agreements, see the description of each such employment agreement in “Employment, Severance and Change in Control Arrangements” above.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Assumptions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Unless we note otherwise in the individual table, the material assumptions that we used in creating the tables are set forth directly below.</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Date of Termination</w:t>
      </w:r>
      <w:r>
        <w:rPr>
          <w:rFonts w:ascii="Arial" w:cs="Arial" w:eastAsia="Arial" w:hAnsi="Arial"/>
          <w:sz w:val="18"/>
          <w:szCs w:val="18"/>
          <w:color w:val="auto"/>
        </w:rPr>
        <w:t>. The tables assume that any triggering event (e.g., termination, resignation, Change in Control, death or disability) took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on December 31, 2022, with base salaries in effect at the end of the 2022 fiscal year being used for purposes of any severance payout calculations.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No Off-setting Employment</w:t>
      </w:r>
      <w:r>
        <w:rPr>
          <w:rFonts w:ascii="Arial" w:cs="Arial" w:eastAsia="Arial" w:hAnsi="Arial"/>
          <w:sz w:val="18"/>
          <w:szCs w:val="18"/>
          <w:color w:val="auto"/>
        </w:rPr>
        <w:t>. For purposes of the table, we have assumed that each NEO was not able to obtain comparable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applicable period, which would offset our severance payment obligations if such term was set forth in his employment agreement.</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Price Per Share of Common Stock</w:t>
      </w:r>
      <w:r>
        <w:rPr>
          <w:rFonts w:ascii="Arial" w:cs="Arial" w:eastAsia="Arial" w:hAnsi="Arial"/>
          <w:sz w:val="18"/>
          <w:szCs w:val="18"/>
          <w:color w:val="auto"/>
        </w:rPr>
        <w:t>. Calculations requiring a per share stock price are based on the closing price of $62.37 per share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Nasdaq on December 31, 2022.</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No Single-Trigger Cash Payments upon a Change in Control</w:t>
      </w:r>
      <w:r>
        <w:rPr>
          <w:rFonts w:ascii="Arial" w:cs="Arial" w:eastAsia="Arial" w:hAnsi="Arial"/>
          <w:sz w:val="18"/>
          <w:szCs w:val="18"/>
          <w:color w:val="auto"/>
        </w:rPr>
        <w:t>. No cash payment will be made solely because of a Change in Control.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NEO, the cash payments described under the heading “Potential Payments upon Termination of Employment or Change in Control” would be triggered only upon a termination without “Cause” or resignation for “Good Reason” (as those terms are defined in the applicable NEO’s employment agreement) within two years following a Change in Control.</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Equity Acceleration upon a Change in Control</w:t>
      </w:r>
      <w:r>
        <w:rPr>
          <w:rFonts w:ascii="Arial" w:cs="Arial" w:eastAsia="Arial" w:hAnsi="Arial"/>
          <w:sz w:val="18"/>
          <w:szCs w:val="18"/>
          <w:color w:val="auto"/>
        </w:rPr>
        <w:t>. Under the SIP, the HCC Committee retains discretion to, among other things, accelerate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of LTI awards upon the occurrence of a Change in Control. Under the employment agreement for each applicable NEO, certain awards granted at or prior to the time of original entry into the employment agreement will vest if the NEO’s employment is terminated without Cause or the NEO resigns for Good Reason within 24 months following a Change in Control. See “Elements of our Compensation Program” above in this proxy statement for a more detailed description of the vesting of outstanding awards of RSUs and PBRSUs upon termination following a Change in Control.</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Medical and Other Benefits</w:t>
      </w:r>
      <w:r>
        <w:rPr>
          <w:rFonts w:ascii="Arial" w:cs="Arial" w:eastAsia="Arial" w:hAnsi="Arial"/>
          <w:sz w:val="18"/>
          <w:szCs w:val="18"/>
          <w:color w:val="auto"/>
        </w:rPr>
        <w:t>. The tables below do not include certain medical, disability or outplacement services benefits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on termination as set forth in each NEO’s employment agreement. We also do not include any amounts payable on termination that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are generally available to all employees on a non-discriminatory basis. As described in their employment agreements, Messrs. Keeton, Jatou and Tong are generally entitled to continuation of group health plan benefits under the Consolidated Omnibus Budget Reconciliation Act of 1985 regulations for a period of up to one year following termination without Cause or resignation for Good Reason (including circumstances involving a Change in Control). Messrs. El-Khoury and Trent are entitled to the continuation of medical benefits for a period of up to two years upon a termination without Cause or resignation for Good Reason. As of December 31, 2022, the cost of such benefits for such officers ranged between approximately $558 and $1,797 per month, depending on the medical, dental and vision elections and dependent enrollment. Finally, the tables do not include amounts (see footnote (4) to the SCT) payable by us on behalf of each applicable NEO to cover the cost of an additional $500,000 of life insurance, which insurance benefit is not generally available to all employees on a non-discriminatory basis and would be realized in the event of the death of the NEO. Each of the NEOs are also entitled to outplacement services following a termination without Cause or resignation for Good Reason in an amount not to exceed $25,000 for each of Messrs. El-Khoury and Trent and $5,000 for each of Messrs. Keeton, Jatou and Tong.</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Retirement</w:t>
      </w:r>
      <w:r>
        <w:rPr>
          <w:rFonts w:ascii="Arial" w:cs="Arial" w:eastAsia="Arial" w:hAnsi="Arial"/>
          <w:sz w:val="18"/>
          <w:szCs w:val="18"/>
          <w:color w:val="auto"/>
        </w:rPr>
        <w:t>. A normal retirement is treated as a resignation other than for Good Reason in the tables. Upon retirement, all other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would receive earned but unpaid salary and accrued but unused vacation time.</w:t>
      </w:r>
    </w:p>
    <w:p>
      <w:pPr>
        <w:spacing w:after="0" w:line="167"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STI Incentive Program</w:t>
      </w:r>
      <w:r>
        <w:rPr>
          <w:rFonts w:ascii="Arial" w:cs="Arial" w:eastAsia="Arial" w:hAnsi="Arial"/>
          <w:sz w:val="18"/>
          <w:szCs w:val="18"/>
          <w:color w:val="auto"/>
        </w:rPr>
        <w:t>. We describe our STI program in the CD&amp;A under “Elements of Our Compensation Program — Short-Term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Program.”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50</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5" w:name="page56"/>
    <w:bookmarkEnd w:id="55"/>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Hassane El-Khoury</w:t>
      </w:r>
      <w:r>
        <w:rPr>
          <w:rFonts w:ascii="Arial" w:cs="Arial" w:eastAsia="Arial" w:hAnsi="Arial"/>
          <w:sz w:val="18"/>
          <w:szCs w:val="18"/>
          <w:i w:val="1"/>
          <w:iCs w:val="1"/>
          <w:color w:val="auto"/>
        </w:rPr>
        <w:t>, our President and Chief Executive Officer.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shd w:val="clear" w:color="auto" w:fill="465E66"/>
          </w:tcPr>
          <w:p>
            <w:pPr>
              <w:spacing w:after="0"/>
              <w:rPr>
                <w:sz w:val="14"/>
                <w:szCs w:val="14"/>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Termination Without</w:t>
            </w:r>
          </w:p>
        </w:tc>
        <w:tc>
          <w:tcPr>
            <w:tcW w:w="1200" w:type="dxa"/>
            <w:vAlign w:val="bottom"/>
            <w:vMerge w:val="restart"/>
            <w:shd w:val="clear" w:color="auto" w:fill="465E66"/>
          </w:tcPr>
          <w:p>
            <w:pPr>
              <w:jc w:val="center"/>
              <w:ind w:left="164"/>
              <w:spacing w:after="0"/>
              <w:rPr>
                <w:sz w:val="20"/>
                <w:szCs w:val="20"/>
                <w:color w:val="auto"/>
              </w:rPr>
            </w:pPr>
            <w:r>
              <w:rPr>
                <w:rFonts w:ascii="Arial" w:cs="Arial" w:eastAsia="Arial" w:hAnsi="Arial"/>
                <w:sz w:val="14"/>
                <w:szCs w:val="14"/>
                <w:b w:val="1"/>
                <w:bCs w:val="1"/>
                <w:color w:val="FFFFFF"/>
                <w:w w:val="99"/>
              </w:rPr>
              <w:t>Termination</w:t>
            </w:r>
          </w:p>
        </w:tc>
        <w:tc>
          <w:tcPr>
            <w:tcW w:w="300" w:type="dxa"/>
            <w:vAlign w:val="bottom"/>
            <w:shd w:val="clear" w:color="auto" w:fill="465E66"/>
          </w:tcPr>
          <w:p>
            <w:pPr>
              <w:spacing w:after="0"/>
              <w:rPr>
                <w:sz w:val="14"/>
                <w:szCs w:val="14"/>
                <w:color w:val="auto"/>
              </w:rPr>
            </w:pPr>
          </w:p>
        </w:tc>
        <w:tc>
          <w:tcPr>
            <w:tcW w:w="1440" w:type="dxa"/>
            <w:vAlign w:val="bottom"/>
            <w:shd w:val="clear" w:color="auto" w:fill="465E66"/>
          </w:tcPr>
          <w:p>
            <w:pPr>
              <w:spacing w:after="0"/>
              <w:rPr>
                <w:sz w:val="14"/>
                <w:szCs w:val="14"/>
                <w:color w:val="auto"/>
              </w:rPr>
            </w:pPr>
          </w:p>
        </w:tc>
        <w:tc>
          <w:tcPr>
            <w:tcW w:w="1520" w:type="dxa"/>
            <w:vAlign w:val="bottom"/>
            <w:shd w:val="clear" w:color="auto" w:fill="465E66"/>
          </w:tcPr>
          <w:p>
            <w:pPr>
              <w:spacing w:after="0"/>
              <w:rPr>
                <w:sz w:val="14"/>
                <w:szCs w:val="14"/>
                <w:color w:val="auto"/>
              </w:rPr>
            </w:pPr>
          </w:p>
        </w:tc>
        <w:tc>
          <w:tcPr>
            <w:tcW w:w="1420" w:type="dxa"/>
            <w:vAlign w:val="bottom"/>
            <w:shd w:val="clear" w:color="auto" w:fill="465E66"/>
          </w:tcPr>
          <w:p>
            <w:pPr>
              <w:spacing w:after="0"/>
              <w:rPr>
                <w:sz w:val="14"/>
                <w:szCs w:val="14"/>
                <w:color w:val="auto"/>
              </w:rPr>
            </w:pP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Resignation other</w:t>
            </w:r>
          </w:p>
        </w:tc>
        <w:tc>
          <w:tcPr>
            <w:tcW w:w="0" w:type="dxa"/>
            <w:vAlign w:val="bottom"/>
          </w:tcPr>
          <w:p>
            <w:pPr>
              <w:spacing w:after="0"/>
              <w:rPr>
                <w:sz w:val="1"/>
                <w:szCs w:val="1"/>
                <w:color w:val="auto"/>
              </w:rPr>
            </w:pPr>
          </w:p>
        </w:tc>
      </w:tr>
      <w:tr>
        <w:trPr>
          <w:trHeight w:val="135"/>
        </w:trPr>
        <w:tc>
          <w:tcPr>
            <w:tcW w:w="2500" w:type="dxa"/>
            <w:vAlign w:val="bottom"/>
            <w:shd w:val="clear" w:color="auto" w:fill="465E66"/>
          </w:tcPr>
          <w:p>
            <w:pPr>
              <w:spacing w:after="0"/>
              <w:rPr>
                <w:sz w:val="11"/>
                <w:szCs w:val="11"/>
                <w:color w:val="auto"/>
              </w:rPr>
            </w:pPr>
          </w:p>
        </w:tc>
        <w:tc>
          <w:tcPr>
            <w:tcW w:w="146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Cause or</w:t>
            </w:r>
          </w:p>
        </w:tc>
        <w:tc>
          <w:tcPr>
            <w:tcW w:w="1200" w:type="dxa"/>
            <w:vAlign w:val="bottom"/>
            <w:vMerge w:val="continue"/>
            <w:shd w:val="clear" w:color="auto" w:fill="465E66"/>
          </w:tcPr>
          <w:p>
            <w:pPr>
              <w:spacing w:after="0"/>
              <w:rPr>
                <w:sz w:val="11"/>
                <w:szCs w:val="11"/>
                <w:color w:val="auto"/>
              </w:rPr>
            </w:pPr>
          </w:p>
        </w:tc>
        <w:tc>
          <w:tcPr>
            <w:tcW w:w="300" w:type="dxa"/>
            <w:vAlign w:val="bottom"/>
            <w:shd w:val="clear" w:color="auto" w:fill="465E66"/>
          </w:tcPr>
          <w:p>
            <w:pPr>
              <w:spacing w:after="0"/>
              <w:rPr>
                <w:sz w:val="11"/>
                <w:szCs w:val="11"/>
                <w:color w:val="auto"/>
              </w:rPr>
            </w:pPr>
          </w:p>
        </w:tc>
        <w:tc>
          <w:tcPr>
            <w:tcW w:w="1440" w:type="dxa"/>
            <w:vAlign w:val="bottom"/>
            <w:shd w:val="clear" w:color="auto" w:fill="465E66"/>
          </w:tcPr>
          <w:p>
            <w:pPr>
              <w:spacing w:after="0"/>
              <w:rPr>
                <w:sz w:val="11"/>
                <w:szCs w:val="11"/>
                <w:color w:val="auto"/>
              </w:rPr>
            </w:pPr>
          </w:p>
        </w:tc>
        <w:tc>
          <w:tcPr>
            <w:tcW w:w="1520" w:type="dxa"/>
            <w:vAlign w:val="bottom"/>
            <w:shd w:val="clear" w:color="auto" w:fill="465E66"/>
          </w:tcPr>
          <w:p>
            <w:pPr>
              <w:spacing w:after="0"/>
              <w:rPr>
                <w:sz w:val="11"/>
                <w:szCs w:val="11"/>
                <w:color w:val="auto"/>
              </w:rPr>
            </w:pPr>
          </w:p>
        </w:tc>
        <w:tc>
          <w:tcPr>
            <w:tcW w:w="1420" w:type="dxa"/>
            <w:vAlign w:val="bottom"/>
            <w:vMerge w:val="restart"/>
            <w:shd w:val="clear" w:color="auto" w:fill="465E66"/>
          </w:tcPr>
          <w:p>
            <w:pPr>
              <w:jc w:val="center"/>
              <w:ind w:right="63"/>
              <w:spacing w:after="0"/>
              <w:rPr>
                <w:sz w:val="20"/>
                <w:szCs w:val="20"/>
                <w:color w:val="auto"/>
              </w:rPr>
            </w:pPr>
            <w:r>
              <w:rPr>
                <w:rFonts w:ascii="Arial" w:cs="Arial" w:eastAsia="Arial" w:hAnsi="Arial"/>
                <w:sz w:val="14"/>
                <w:szCs w:val="14"/>
                <w:b w:val="1"/>
                <w:bCs w:val="1"/>
                <w:color w:val="FFFFFF"/>
              </w:rPr>
              <w:t>Termination for</w:t>
            </w:r>
          </w:p>
        </w:tc>
        <w:tc>
          <w:tcPr>
            <w:tcW w:w="1400" w:type="dxa"/>
            <w:vAlign w:val="bottom"/>
            <w:vMerge w:val="continue"/>
            <w:shd w:val="clear" w:color="auto" w:fill="465E6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Resignation for</w:t>
            </w:r>
          </w:p>
        </w:tc>
        <w:tc>
          <w:tcPr>
            <w:tcW w:w="1500" w:type="dxa"/>
            <w:vAlign w:val="bottom"/>
            <w:gridSpan w:val="2"/>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Following a Change</w:t>
            </w:r>
          </w:p>
        </w:tc>
        <w:tc>
          <w:tcPr>
            <w:tcW w:w="1440" w:type="dxa"/>
            <w:vAlign w:val="bottom"/>
            <w:vMerge w:val="restart"/>
            <w:shd w:val="clear" w:color="auto" w:fill="465E66"/>
          </w:tcPr>
          <w:p>
            <w:pPr>
              <w:jc w:val="right"/>
              <w:ind w:right="62"/>
              <w:spacing w:after="0"/>
              <w:rPr>
                <w:sz w:val="20"/>
                <w:szCs w:val="20"/>
                <w:color w:val="auto"/>
              </w:rPr>
            </w:pPr>
            <w:r>
              <w:rPr>
                <w:rFonts w:ascii="Arial" w:cs="Arial" w:eastAsia="Arial" w:hAnsi="Arial"/>
                <w:sz w:val="14"/>
                <w:szCs w:val="14"/>
                <w:b w:val="1"/>
                <w:bCs w:val="1"/>
                <w:color w:val="FFFFFF"/>
              </w:rPr>
              <w:t>Change in Control</w:t>
            </w:r>
          </w:p>
        </w:tc>
        <w:tc>
          <w:tcPr>
            <w:tcW w:w="1520" w:type="dxa"/>
            <w:vAlign w:val="bottom"/>
            <w:vMerge w:val="restart"/>
            <w:shd w:val="clear" w:color="auto" w:fill="465E66"/>
          </w:tcPr>
          <w:p>
            <w:pPr>
              <w:jc w:val="right"/>
              <w:ind w:right="122"/>
              <w:spacing w:after="0"/>
              <w:rPr>
                <w:sz w:val="20"/>
                <w:szCs w:val="20"/>
                <w:color w:val="auto"/>
              </w:rPr>
            </w:pPr>
            <w:r>
              <w:rPr>
                <w:rFonts w:ascii="Arial" w:cs="Arial" w:eastAsia="Arial" w:hAnsi="Arial"/>
                <w:sz w:val="14"/>
                <w:szCs w:val="14"/>
                <w:b w:val="1"/>
                <w:bCs w:val="1"/>
                <w:color w:val="FFFFFF"/>
              </w:rPr>
              <w:t>Death or Disability</w:t>
            </w:r>
          </w:p>
        </w:tc>
        <w:tc>
          <w:tcPr>
            <w:tcW w:w="1420" w:type="dxa"/>
            <w:vAlign w:val="bottom"/>
            <w:vMerge w:val="continue"/>
            <w:shd w:val="clear" w:color="auto" w:fill="465E66"/>
          </w:tcPr>
          <w:p>
            <w:pPr>
              <w:spacing w:after="0"/>
              <w:rPr>
                <w:sz w:val="12"/>
                <w:szCs w:val="12"/>
                <w:color w:val="auto"/>
              </w:rPr>
            </w:pPr>
          </w:p>
        </w:tc>
        <w:tc>
          <w:tcPr>
            <w:tcW w:w="14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than for Good</w:t>
            </w:r>
          </w:p>
        </w:tc>
        <w:tc>
          <w:tcPr>
            <w:tcW w:w="0" w:type="dxa"/>
            <w:vAlign w:val="bottom"/>
          </w:tcPr>
          <w:p>
            <w:pPr>
              <w:spacing w:after="0"/>
              <w:rPr>
                <w:sz w:val="1"/>
                <w:szCs w:val="1"/>
                <w:color w:val="auto"/>
              </w:rPr>
            </w:pPr>
          </w:p>
        </w:tc>
      </w:tr>
      <w:tr>
        <w:trPr>
          <w:trHeight w:val="149"/>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Good Reason</w:t>
            </w:r>
          </w:p>
        </w:tc>
        <w:tc>
          <w:tcPr>
            <w:tcW w:w="1200" w:type="dxa"/>
            <w:vAlign w:val="bottom"/>
            <w:shd w:val="clear" w:color="auto" w:fill="465E66"/>
          </w:tcPr>
          <w:p>
            <w:pPr>
              <w:jc w:val="center"/>
              <w:ind w:left="164"/>
              <w:spacing w:after="0" w:line="149" w:lineRule="exact"/>
              <w:rPr>
                <w:sz w:val="20"/>
                <w:szCs w:val="20"/>
                <w:color w:val="auto"/>
              </w:rPr>
            </w:pPr>
            <w:r>
              <w:rPr>
                <w:rFonts w:ascii="Arial" w:cs="Arial" w:eastAsia="Arial" w:hAnsi="Arial"/>
                <w:sz w:val="14"/>
                <w:szCs w:val="14"/>
                <w:b w:val="1"/>
                <w:bCs w:val="1"/>
                <w:color w:val="FFFFFF"/>
              </w:rPr>
              <w:t>in Control</w:t>
            </w:r>
          </w:p>
        </w:tc>
        <w:tc>
          <w:tcPr>
            <w:tcW w:w="300" w:type="dxa"/>
            <w:vAlign w:val="bottom"/>
            <w:shd w:val="clear" w:color="auto" w:fill="465E66"/>
          </w:tcPr>
          <w:p>
            <w:pPr>
              <w:spacing w:after="0"/>
              <w:rPr>
                <w:sz w:val="12"/>
                <w:szCs w:val="12"/>
                <w:color w:val="auto"/>
              </w:rPr>
            </w:pPr>
          </w:p>
        </w:tc>
        <w:tc>
          <w:tcPr>
            <w:tcW w:w="1440" w:type="dxa"/>
            <w:vAlign w:val="bottom"/>
            <w:vMerge w:val="continue"/>
            <w:shd w:val="clear" w:color="auto" w:fill="465E66"/>
          </w:tcPr>
          <w:p>
            <w:pPr>
              <w:spacing w:after="0"/>
              <w:rPr>
                <w:sz w:val="12"/>
                <w:szCs w:val="12"/>
                <w:color w:val="auto"/>
              </w:rPr>
            </w:pPr>
          </w:p>
        </w:tc>
        <w:tc>
          <w:tcPr>
            <w:tcW w:w="1520" w:type="dxa"/>
            <w:vAlign w:val="bottom"/>
            <w:vMerge w:val="continue"/>
            <w:shd w:val="clear" w:color="auto" w:fill="465E66"/>
          </w:tcPr>
          <w:p>
            <w:pPr>
              <w:spacing w:after="0"/>
              <w:rPr>
                <w:sz w:val="12"/>
                <w:szCs w:val="12"/>
                <w:color w:val="auto"/>
              </w:rPr>
            </w:pPr>
          </w:p>
        </w:tc>
        <w:tc>
          <w:tcPr>
            <w:tcW w:w="1420" w:type="dxa"/>
            <w:vAlign w:val="bottom"/>
            <w:shd w:val="clear" w:color="auto" w:fill="465E66"/>
          </w:tcPr>
          <w:p>
            <w:pPr>
              <w:jc w:val="center"/>
              <w:ind w:right="83"/>
              <w:spacing w:after="0" w:line="149" w:lineRule="exact"/>
              <w:rPr>
                <w:sz w:val="20"/>
                <w:szCs w:val="20"/>
                <w:color w:val="auto"/>
              </w:rPr>
            </w:pPr>
            <w:r>
              <w:rPr>
                <w:rFonts w:ascii="Arial" w:cs="Arial" w:eastAsia="Arial" w:hAnsi="Arial"/>
                <w:sz w:val="14"/>
                <w:szCs w:val="14"/>
                <w:b w:val="1"/>
                <w:bCs w:val="1"/>
                <w:color w:val="FFFFFF"/>
                <w:w w:val="99"/>
              </w:rPr>
              <w:t>Cause</w:t>
            </w:r>
          </w:p>
        </w:tc>
        <w:tc>
          <w:tcPr>
            <w:tcW w:w="14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89"/>
        </w:trPr>
        <w:tc>
          <w:tcPr>
            <w:tcW w:w="2500" w:type="dxa"/>
            <w:vAlign w:val="bottom"/>
            <w:shd w:val="clear" w:color="auto" w:fill="465E66"/>
          </w:tcPr>
          <w:p>
            <w:pPr>
              <w:spacing w:after="0"/>
              <w:rPr>
                <w:sz w:val="16"/>
                <w:szCs w:val="16"/>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465E66"/>
          </w:tcPr>
          <w:p>
            <w:pPr>
              <w:jc w:val="center"/>
              <w:ind w:left="164"/>
              <w:spacing w:after="0"/>
              <w:rPr>
                <w:sz w:val="20"/>
                <w:szCs w:val="20"/>
                <w:color w:val="auto"/>
              </w:rPr>
            </w:pPr>
            <w:r>
              <w:rPr>
                <w:rFonts w:ascii="Arial" w:cs="Arial" w:eastAsia="Arial" w:hAnsi="Arial"/>
                <w:sz w:val="14"/>
                <w:szCs w:val="14"/>
                <w:b w:val="1"/>
                <w:bCs w:val="1"/>
                <w:color w:val="FFFFFF"/>
                <w:w w:val="93"/>
              </w:rPr>
              <w:t>($)</w:t>
            </w:r>
          </w:p>
        </w:tc>
        <w:tc>
          <w:tcPr>
            <w:tcW w:w="300" w:type="dxa"/>
            <w:vAlign w:val="bottom"/>
            <w:shd w:val="clear" w:color="auto" w:fill="465E66"/>
          </w:tcPr>
          <w:p>
            <w:pPr>
              <w:spacing w:after="0"/>
              <w:rPr>
                <w:sz w:val="16"/>
                <w:szCs w:val="16"/>
                <w:color w:val="auto"/>
              </w:rPr>
            </w:pPr>
          </w:p>
        </w:tc>
        <w:tc>
          <w:tcPr>
            <w:tcW w:w="1440" w:type="dxa"/>
            <w:vAlign w:val="bottom"/>
            <w:shd w:val="clear" w:color="auto" w:fill="465E66"/>
          </w:tcPr>
          <w:p>
            <w:pPr>
              <w:jc w:val="right"/>
              <w:ind w:right="602"/>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465E66"/>
          </w:tcPr>
          <w:p>
            <w:pPr>
              <w:jc w:val="right"/>
              <w:ind w:right="662"/>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465E66"/>
          </w:tcPr>
          <w:p>
            <w:pPr>
              <w:jc w:val="center"/>
              <w:ind w:right="83"/>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Compensation:</w:t>
            </w:r>
          </w:p>
        </w:tc>
        <w:tc>
          <w:tcPr>
            <w:tcW w:w="14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Base Salary</w:t>
            </w:r>
          </w:p>
        </w:tc>
        <w:tc>
          <w:tcPr>
            <w:tcW w:w="1460" w:type="dxa"/>
            <w:vAlign w:val="bottom"/>
          </w:tcPr>
          <w:p>
            <w:pPr>
              <w:jc w:val="right"/>
              <w:spacing w:after="0"/>
              <w:rPr>
                <w:sz w:val="20"/>
                <w:szCs w:val="20"/>
                <w:color w:val="auto"/>
              </w:rPr>
            </w:pPr>
            <w:r>
              <w:rPr>
                <w:rFonts w:ascii="Arial" w:cs="Arial" w:eastAsia="Arial" w:hAnsi="Arial"/>
                <w:sz w:val="16"/>
                <w:szCs w:val="16"/>
                <w:color w:val="auto"/>
              </w:rPr>
              <w:t>2,000,000 (1)</w:t>
            </w:r>
          </w:p>
        </w:tc>
        <w:tc>
          <w:tcPr>
            <w:tcW w:w="1200" w:type="dxa"/>
            <w:vAlign w:val="bottom"/>
          </w:tcPr>
          <w:p>
            <w:pPr>
              <w:jc w:val="right"/>
              <w:spacing w:after="0"/>
              <w:rPr>
                <w:sz w:val="20"/>
                <w:szCs w:val="20"/>
                <w:color w:val="auto"/>
              </w:rPr>
            </w:pPr>
            <w:r>
              <w:rPr>
                <w:rFonts w:ascii="Arial" w:cs="Arial" w:eastAsia="Arial" w:hAnsi="Arial"/>
                <w:sz w:val="16"/>
                <w:szCs w:val="16"/>
                <w:color w:val="auto"/>
              </w:rPr>
              <w:t>2,000,000</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1400" w:type="dxa"/>
            <w:vAlign w:val="bottom"/>
          </w:tcPr>
          <w:p>
            <w:pPr>
              <w:ind w:left="122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Incentive</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1,500,000 (2)</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3,000,000</w:t>
            </w:r>
          </w:p>
        </w:tc>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ind w:right="42"/>
              <w:spacing w:after="0"/>
              <w:rPr>
                <w:sz w:val="20"/>
                <w:szCs w:val="20"/>
                <w:color w:val="auto"/>
              </w:rPr>
            </w:pPr>
            <w:r>
              <w:rPr>
                <w:rFonts w:ascii="Arial" w:cs="Arial" w:eastAsia="Arial" w:hAnsi="Arial"/>
                <w:sz w:val="16"/>
                <w:szCs w:val="16"/>
                <w:color w:val="auto"/>
              </w:rPr>
              <w:t>2,938,191 (3)</w:t>
            </w:r>
          </w:p>
        </w:tc>
        <w:tc>
          <w:tcPr>
            <w:tcW w:w="1420" w:type="dxa"/>
            <w:vAlign w:val="bottom"/>
            <w:shd w:val="clear" w:color="auto" w:fill="DBDBDB"/>
          </w:tcPr>
          <w:p>
            <w:pPr>
              <w:ind w:left="11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ind w:left="122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Long-Term Incentive:</w:t>
            </w: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Acceleration or Continued Vesting</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2,029,873 (4)</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22,262,972</w:t>
            </w: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w:t>
            </w:r>
          </w:p>
        </w:tc>
        <w:tc>
          <w:tcPr>
            <w:tcW w:w="1520" w:type="dxa"/>
            <w:vAlign w:val="bottom"/>
            <w:vMerge w:val="restart"/>
            <w:shd w:val="clear" w:color="auto" w:fill="DBDBDB"/>
          </w:tcPr>
          <w:p>
            <w:pPr>
              <w:jc w:val="right"/>
              <w:ind w:right="42"/>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DBDBDB"/>
          </w:tcPr>
          <w:p>
            <w:pPr>
              <w:ind w:left="118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DBDBDB"/>
          </w:tcPr>
          <w:p>
            <w:pPr>
              <w:ind w:left="122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of Unvested Equity Awards</w:t>
            </w:r>
          </w:p>
        </w:tc>
        <w:tc>
          <w:tcPr>
            <w:tcW w:w="1460" w:type="dxa"/>
            <w:vAlign w:val="bottom"/>
            <w:vMerge w:val="continue"/>
            <w:shd w:val="clear" w:color="auto" w:fill="DBDBDB"/>
          </w:tcPr>
          <w:p>
            <w:pPr>
              <w:spacing w:after="0"/>
              <w:rPr>
                <w:sz w:val="14"/>
                <w:szCs w:val="14"/>
                <w:color w:val="auto"/>
              </w:rPr>
            </w:pPr>
          </w:p>
        </w:tc>
        <w:tc>
          <w:tcPr>
            <w:tcW w:w="1200" w:type="dxa"/>
            <w:vAlign w:val="bottom"/>
            <w:vMerge w:val="continue"/>
            <w:shd w:val="clear" w:color="auto" w:fill="DBDBDB"/>
          </w:tcPr>
          <w:p>
            <w:pPr>
              <w:spacing w:after="0"/>
              <w:rPr>
                <w:sz w:val="14"/>
                <w:szCs w:val="14"/>
                <w:color w:val="auto"/>
              </w:rPr>
            </w:pPr>
          </w:p>
        </w:tc>
        <w:tc>
          <w:tcPr>
            <w:tcW w:w="300" w:type="dxa"/>
            <w:vAlign w:val="bottom"/>
            <w:vMerge w:val="continue"/>
            <w:shd w:val="clear" w:color="auto" w:fill="DBDBDB"/>
          </w:tcPr>
          <w:p>
            <w:pPr>
              <w:spacing w:after="0"/>
              <w:rPr>
                <w:sz w:val="14"/>
                <w:szCs w:val="14"/>
                <w:color w:val="auto"/>
              </w:rPr>
            </w:pPr>
          </w:p>
        </w:tc>
        <w:tc>
          <w:tcPr>
            <w:tcW w:w="1440" w:type="dxa"/>
            <w:vAlign w:val="bottom"/>
            <w:vMerge w:val="continue"/>
            <w:shd w:val="clear" w:color="auto" w:fill="DBDBDB"/>
          </w:tcPr>
          <w:p>
            <w:pPr>
              <w:spacing w:after="0"/>
              <w:rPr>
                <w:sz w:val="14"/>
                <w:szCs w:val="14"/>
                <w:color w:val="auto"/>
              </w:rPr>
            </w:pPr>
          </w:p>
        </w:tc>
        <w:tc>
          <w:tcPr>
            <w:tcW w:w="1520" w:type="dxa"/>
            <w:vAlign w:val="bottom"/>
            <w:vMerge w:val="continue"/>
            <w:shd w:val="clear" w:color="auto" w:fill="DBDBDB"/>
          </w:tcPr>
          <w:p>
            <w:pPr>
              <w:spacing w:after="0"/>
              <w:rPr>
                <w:sz w:val="14"/>
                <w:szCs w:val="14"/>
                <w:color w:val="auto"/>
              </w:rPr>
            </w:pPr>
          </w:p>
        </w:tc>
        <w:tc>
          <w:tcPr>
            <w:tcW w:w="1420" w:type="dxa"/>
            <w:vAlign w:val="bottom"/>
            <w:vMerge w:val="continue"/>
            <w:shd w:val="clear" w:color="auto" w:fill="DBDBDB"/>
          </w:tcPr>
          <w:p>
            <w:pPr>
              <w:spacing w:after="0"/>
              <w:rPr>
                <w:sz w:val="14"/>
                <w:szCs w:val="14"/>
                <w:color w:val="auto"/>
              </w:rPr>
            </w:pPr>
          </w:p>
        </w:tc>
        <w:tc>
          <w:tcPr>
            <w:tcW w:w="14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(RSUs or PBRSUs)</w:t>
            </w:r>
          </w:p>
        </w:tc>
        <w:tc>
          <w:tcPr>
            <w:tcW w:w="14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w:t>
            </w:r>
          </w:p>
        </w:tc>
        <w:tc>
          <w:tcPr>
            <w:tcW w:w="1460" w:type="dxa"/>
            <w:vAlign w:val="bottom"/>
          </w:tcPr>
          <w:p>
            <w:pPr>
              <w:jc w:val="right"/>
              <w:spacing w:after="0"/>
              <w:rPr>
                <w:sz w:val="20"/>
                <w:szCs w:val="20"/>
                <w:color w:val="auto"/>
              </w:rPr>
            </w:pPr>
            <w:r>
              <w:rPr>
                <w:rFonts w:ascii="Arial" w:cs="Arial" w:eastAsia="Arial" w:hAnsi="Arial"/>
                <w:sz w:val="16"/>
                <w:szCs w:val="16"/>
                <w:color w:val="auto"/>
              </w:rPr>
              <w:t>5,529,873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27,262,972</w:t>
            </w: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2,938,191</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1400" w:type="dxa"/>
            <w:vAlign w:val="bottom"/>
          </w:tcPr>
          <w:p>
            <w:pPr>
              <w:ind w:left="122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right="420" w:hanging="234"/>
        <w:spacing w:after="0" w:line="244" w:lineRule="auto"/>
        <w:tabs>
          <w:tab w:leader="none" w:pos="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El-Khoury’s severance payment following a termination without Cause or a resignation for Good Reason (as defined in his employment agreement), whether or not following a Change in Control, is an amount equal to two years of annual base salary. Mr. El-Khoury’s base salary at the end of the 2022 fiscal year was $1,000,000.</w:t>
      </w:r>
    </w:p>
    <w:p>
      <w:pPr>
        <w:spacing w:after="0" w:line="10" w:lineRule="exact"/>
        <w:rPr>
          <w:rFonts w:ascii="Arial" w:cs="Arial" w:eastAsia="Arial" w:hAnsi="Arial"/>
          <w:sz w:val="14"/>
          <w:szCs w:val="14"/>
          <w:color w:val="auto"/>
        </w:rPr>
      </w:pPr>
    </w:p>
    <w:p>
      <w:pPr>
        <w:ind w:left="260" w:right="140" w:hanging="234"/>
        <w:spacing w:after="0" w:line="231" w:lineRule="auto"/>
        <w:tabs>
          <w:tab w:leader="none" w:pos="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El-Khoury’s cash incentive payment following a termination on December 31, 2022 without Cause or a resignation for Good Reason within 24 months following a Change in Control would have been an amount equal to two times his target STI award under the 2022 STI program. Mr. El-Khoury’s cash payment following a termination on December 31, 2022 without Cause or a resignation for Good Reason in all other circumstances would have been an amount equal to his target STI award under the 2022 STI program. For 2022, his target STI award was $1,500,000.</w:t>
      </w:r>
    </w:p>
    <w:p>
      <w:pPr>
        <w:spacing w:after="0" w:line="14" w:lineRule="exact"/>
        <w:rPr>
          <w:rFonts w:ascii="Arial" w:cs="Arial" w:eastAsia="Arial" w:hAnsi="Arial"/>
          <w:sz w:val="14"/>
          <w:szCs w:val="14"/>
          <w:color w:val="auto"/>
        </w:rPr>
      </w:pPr>
    </w:p>
    <w:p>
      <w:pPr>
        <w:ind w:left="260" w:right="160" w:hanging="234"/>
        <w:spacing w:after="0" w:line="231" w:lineRule="auto"/>
        <w:tabs>
          <w:tab w:leader="none" w:pos="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the event Mr. El-Khoury is terminated due to death or disability, Mr. El-Khoury or his estate would be entitled to a pro rata portion of his STI award based on the level of performance achieved for a performance cycle that ended prior to his death or disability. For purposes of this column, we have assumed that Mr. El-Khoury’s death or disability was as of December 31, 2022, that the applicable performance cycle was the 2022 STI program and that his STI award under the 2022 STI program was earned but unpaid at that time. Mr. El-Khoury’s earned STI award for 2022 was $2,938,191.</w:t>
      </w:r>
    </w:p>
    <w:p>
      <w:pPr>
        <w:spacing w:after="0" w:line="14" w:lineRule="exact"/>
        <w:rPr>
          <w:rFonts w:ascii="Arial" w:cs="Arial" w:eastAsia="Arial" w:hAnsi="Arial"/>
          <w:sz w:val="14"/>
          <w:szCs w:val="14"/>
          <w:color w:val="auto"/>
        </w:rPr>
      </w:pPr>
    </w:p>
    <w:p>
      <w:pPr>
        <w:ind w:left="260" w:right="60" w:hanging="234"/>
        <w:spacing w:after="0"/>
        <w:tabs>
          <w:tab w:leader="none" w:pos="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2022 and the exercise price, if any, of unvested options, RSUs or PBRSUs (including any 2021 PBRSUs) for which vesting might be accelerated. If we had terminated Mr. El-Khoury’s employment without Cause or Mr. El-Khoury had resigned for Good Reason on December 31, 2022 under circumstances not involving a Change in Control: (i) Mr. El-Khoury’s New Hire CEO RSUs would have fully vested; (ii) all of the RSUs owed to Mr. El-Khoury pursuant to his annual grants would have vested pro rata; and (iii) a pro rata portion of the PBRSUs owed to Mr. El-Khoury pursuant to his annual grants would have vested pro rata (using actual full performance period results).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6" w:name="page57"/>
    <w:bookmarkEnd w:id="56"/>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Thad Trent</w:t>
      </w:r>
      <w:r>
        <w:rPr>
          <w:rFonts w:ascii="Arial" w:cs="Arial" w:eastAsia="Arial" w:hAnsi="Arial"/>
          <w:sz w:val="18"/>
          <w:szCs w:val="18"/>
          <w:i w:val="1"/>
          <w:iCs w:val="1"/>
          <w:color w:val="auto"/>
        </w:rPr>
        <w:t>, our Executive Vice President, Chief Financial Officer and Treasurer.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shd w:val="clear" w:color="auto" w:fill="465E66"/>
          </w:tcPr>
          <w:p>
            <w:pPr>
              <w:spacing w:after="0"/>
              <w:rPr>
                <w:sz w:val="14"/>
                <w:szCs w:val="14"/>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Termination Without</w:t>
            </w:r>
          </w:p>
        </w:tc>
        <w:tc>
          <w:tcPr>
            <w:tcW w:w="14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420" w:type="dxa"/>
            <w:vAlign w:val="bottom"/>
            <w:shd w:val="clear" w:color="auto" w:fill="465E66"/>
          </w:tcPr>
          <w:p>
            <w:pPr>
              <w:spacing w:after="0"/>
              <w:rPr>
                <w:sz w:val="14"/>
                <w:szCs w:val="14"/>
                <w:color w:val="auto"/>
              </w:rPr>
            </w:pPr>
          </w:p>
        </w:tc>
        <w:tc>
          <w:tcPr>
            <w:tcW w:w="1520" w:type="dxa"/>
            <w:vAlign w:val="bottom"/>
            <w:shd w:val="clear" w:color="auto" w:fill="465E66"/>
          </w:tcPr>
          <w:p>
            <w:pPr>
              <w:spacing w:after="0"/>
              <w:rPr>
                <w:sz w:val="14"/>
                <w:szCs w:val="14"/>
                <w:color w:val="auto"/>
              </w:rPr>
            </w:pPr>
          </w:p>
        </w:tc>
        <w:tc>
          <w:tcPr>
            <w:tcW w:w="1360" w:type="dxa"/>
            <w:vAlign w:val="bottom"/>
            <w:shd w:val="clear" w:color="auto" w:fill="465E66"/>
          </w:tcPr>
          <w:p>
            <w:pPr>
              <w:spacing w:after="0"/>
              <w:rPr>
                <w:sz w:val="14"/>
                <w:szCs w:val="14"/>
                <w:color w:val="auto"/>
              </w:rPr>
            </w:pPr>
          </w:p>
        </w:tc>
        <w:tc>
          <w:tcPr>
            <w:tcW w:w="15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Resignation other</w:t>
            </w:r>
          </w:p>
        </w:tc>
        <w:tc>
          <w:tcPr>
            <w:tcW w:w="0" w:type="dxa"/>
            <w:vAlign w:val="bottom"/>
          </w:tcPr>
          <w:p>
            <w:pPr>
              <w:spacing w:after="0"/>
              <w:rPr>
                <w:sz w:val="1"/>
                <w:szCs w:val="1"/>
                <w:color w:val="auto"/>
              </w:rPr>
            </w:pPr>
          </w:p>
        </w:tc>
      </w:tr>
      <w:tr>
        <w:trPr>
          <w:trHeight w:val="135"/>
        </w:trPr>
        <w:tc>
          <w:tcPr>
            <w:tcW w:w="2500" w:type="dxa"/>
            <w:vAlign w:val="bottom"/>
            <w:shd w:val="clear" w:color="auto" w:fill="465E66"/>
          </w:tcPr>
          <w:p>
            <w:pPr>
              <w:spacing w:after="0"/>
              <w:rPr>
                <w:sz w:val="11"/>
                <w:szCs w:val="11"/>
                <w:color w:val="auto"/>
              </w:rPr>
            </w:pPr>
          </w:p>
        </w:tc>
        <w:tc>
          <w:tcPr>
            <w:tcW w:w="146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Cause or</w:t>
            </w:r>
          </w:p>
        </w:tc>
        <w:tc>
          <w:tcPr>
            <w:tcW w:w="1480" w:type="dxa"/>
            <w:vAlign w:val="bottom"/>
            <w:vMerge w:val="continue"/>
            <w:shd w:val="clear" w:color="auto" w:fill="465E66"/>
          </w:tcPr>
          <w:p>
            <w:pPr>
              <w:spacing w:after="0"/>
              <w:rPr>
                <w:sz w:val="11"/>
                <w:szCs w:val="11"/>
                <w:color w:val="auto"/>
              </w:rPr>
            </w:pPr>
          </w:p>
        </w:tc>
        <w:tc>
          <w:tcPr>
            <w:tcW w:w="1420" w:type="dxa"/>
            <w:vAlign w:val="bottom"/>
            <w:shd w:val="clear" w:color="auto" w:fill="465E66"/>
          </w:tcPr>
          <w:p>
            <w:pPr>
              <w:spacing w:after="0"/>
              <w:rPr>
                <w:sz w:val="11"/>
                <w:szCs w:val="11"/>
                <w:color w:val="auto"/>
              </w:rPr>
            </w:pPr>
          </w:p>
        </w:tc>
        <w:tc>
          <w:tcPr>
            <w:tcW w:w="1520" w:type="dxa"/>
            <w:vAlign w:val="bottom"/>
            <w:shd w:val="clear" w:color="auto" w:fill="465E66"/>
          </w:tcPr>
          <w:p>
            <w:pPr>
              <w:spacing w:after="0"/>
              <w:rPr>
                <w:sz w:val="11"/>
                <w:szCs w:val="11"/>
                <w:color w:val="auto"/>
              </w:rPr>
            </w:pPr>
          </w:p>
        </w:tc>
        <w:tc>
          <w:tcPr>
            <w:tcW w:w="1360" w:type="dxa"/>
            <w:vAlign w:val="bottom"/>
            <w:vMerge w:val="restart"/>
            <w:shd w:val="clear" w:color="auto" w:fill="465E66"/>
          </w:tcPr>
          <w:p>
            <w:pPr>
              <w:jc w:val="right"/>
              <w:ind w:right="83"/>
              <w:spacing w:after="0"/>
              <w:rPr>
                <w:sz w:val="20"/>
                <w:szCs w:val="20"/>
                <w:color w:val="auto"/>
              </w:rPr>
            </w:pPr>
            <w:r>
              <w:rPr>
                <w:rFonts w:ascii="Arial" w:cs="Arial" w:eastAsia="Arial" w:hAnsi="Arial"/>
                <w:sz w:val="14"/>
                <w:szCs w:val="14"/>
                <w:b w:val="1"/>
                <w:bCs w:val="1"/>
                <w:color w:val="FFFFFF"/>
              </w:rPr>
              <w:t>Termination for</w:t>
            </w:r>
          </w:p>
        </w:tc>
        <w:tc>
          <w:tcPr>
            <w:tcW w:w="1500" w:type="dxa"/>
            <w:vAlign w:val="bottom"/>
            <w:vMerge w:val="continue"/>
            <w:shd w:val="clear" w:color="auto" w:fill="465E66"/>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Resignation for</w:t>
            </w:r>
          </w:p>
        </w:tc>
        <w:tc>
          <w:tcPr>
            <w:tcW w:w="14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Following a Change</w:t>
            </w:r>
          </w:p>
        </w:tc>
        <w:tc>
          <w:tcPr>
            <w:tcW w:w="142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Change in Control</w:t>
            </w:r>
          </w:p>
        </w:tc>
        <w:tc>
          <w:tcPr>
            <w:tcW w:w="1520" w:type="dxa"/>
            <w:vAlign w:val="bottom"/>
            <w:vMerge w:val="restart"/>
            <w:shd w:val="clear" w:color="auto" w:fill="465E66"/>
          </w:tcPr>
          <w:p>
            <w:pPr>
              <w:ind w:left="100"/>
              <w:spacing w:after="0"/>
              <w:rPr>
                <w:sz w:val="20"/>
                <w:szCs w:val="20"/>
                <w:color w:val="auto"/>
              </w:rPr>
            </w:pPr>
            <w:r>
              <w:rPr>
                <w:rFonts w:ascii="Arial" w:cs="Arial" w:eastAsia="Arial" w:hAnsi="Arial"/>
                <w:sz w:val="14"/>
                <w:szCs w:val="14"/>
                <w:b w:val="1"/>
                <w:bCs w:val="1"/>
                <w:color w:val="FFFFFF"/>
              </w:rPr>
              <w:t>Death or Disability</w:t>
            </w:r>
          </w:p>
        </w:tc>
        <w:tc>
          <w:tcPr>
            <w:tcW w:w="1360" w:type="dxa"/>
            <w:vAlign w:val="bottom"/>
            <w:vMerge w:val="continue"/>
            <w:shd w:val="clear" w:color="auto" w:fill="465E66"/>
          </w:tcPr>
          <w:p>
            <w:pPr>
              <w:spacing w:after="0"/>
              <w:rPr>
                <w:sz w:val="12"/>
                <w:szCs w:val="12"/>
                <w:color w:val="auto"/>
              </w:rPr>
            </w:pP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than for Good</w:t>
            </w:r>
          </w:p>
        </w:tc>
        <w:tc>
          <w:tcPr>
            <w:tcW w:w="0" w:type="dxa"/>
            <w:vAlign w:val="bottom"/>
          </w:tcPr>
          <w:p>
            <w:pPr>
              <w:spacing w:after="0"/>
              <w:rPr>
                <w:sz w:val="1"/>
                <w:szCs w:val="1"/>
                <w:color w:val="auto"/>
              </w:rPr>
            </w:pPr>
          </w:p>
        </w:tc>
      </w:tr>
      <w:tr>
        <w:trPr>
          <w:trHeight w:val="148"/>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Good Reason</w:t>
            </w:r>
          </w:p>
        </w:tc>
        <w:tc>
          <w:tcPr>
            <w:tcW w:w="14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in Control</w:t>
            </w:r>
          </w:p>
        </w:tc>
        <w:tc>
          <w:tcPr>
            <w:tcW w:w="1420" w:type="dxa"/>
            <w:vAlign w:val="bottom"/>
            <w:vMerge w:val="continue"/>
            <w:shd w:val="clear" w:color="auto" w:fill="465E66"/>
          </w:tcPr>
          <w:p>
            <w:pPr>
              <w:spacing w:after="0"/>
              <w:rPr>
                <w:sz w:val="12"/>
                <w:szCs w:val="12"/>
                <w:color w:val="auto"/>
              </w:rPr>
            </w:pPr>
          </w:p>
        </w:tc>
        <w:tc>
          <w:tcPr>
            <w:tcW w:w="1520" w:type="dxa"/>
            <w:vAlign w:val="bottom"/>
            <w:vMerge w:val="continue"/>
            <w:shd w:val="clear" w:color="auto" w:fill="465E66"/>
          </w:tcPr>
          <w:p>
            <w:pPr>
              <w:spacing w:after="0"/>
              <w:rPr>
                <w:sz w:val="12"/>
                <w:szCs w:val="12"/>
                <w:color w:val="auto"/>
              </w:rPr>
            </w:pPr>
          </w:p>
        </w:tc>
        <w:tc>
          <w:tcPr>
            <w:tcW w:w="1360" w:type="dxa"/>
            <w:vAlign w:val="bottom"/>
            <w:shd w:val="clear" w:color="auto" w:fill="465E66"/>
          </w:tcPr>
          <w:p>
            <w:pPr>
              <w:jc w:val="right"/>
              <w:ind w:right="403"/>
              <w:spacing w:after="0" w:line="149" w:lineRule="exact"/>
              <w:rPr>
                <w:sz w:val="20"/>
                <w:szCs w:val="20"/>
                <w:color w:val="auto"/>
              </w:rPr>
            </w:pPr>
            <w:r>
              <w:rPr>
                <w:rFonts w:ascii="Arial" w:cs="Arial" w:eastAsia="Arial" w:hAnsi="Arial"/>
                <w:sz w:val="14"/>
                <w:szCs w:val="14"/>
                <w:b w:val="1"/>
                <w:bCs w:val="1"/>
                <w:color w:val="FFFFFF"/>
              </w:rPr>
              <w:t>Cause</w:t>
            </w: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89"/>
        </w:trPr>
        <w:tc>
          <w:tcPr>
            <w:tcW w:w="2500" w:type="dxa"/>
            <w:vAlign w:val="bottom"/>
            <w:shd w:val="clear" w:color="auto" w:fill="465E66"/>
          </w:tcPr>
          <w:p>
            <w:pPr>
              <w:spacing w:after="0"/>
              <w:rPr>
                <w:sz w:val="16"/>
                <w:szCs w:val="16"/>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4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465E66"/>
          </w:tcPr>
          <w:p>
            <w:pPr>
              <w:jc w:val="right"/>
              <w:ind w:right="523"/>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Compensation:</w:t>
            </w:r>
          </w:p>
        </w:tc>
        <w:tc>
          <w:tcPr>
            <w:tcW w:w="1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Base Salary</w:t>
            </w:r>
          </w:p>
        </w:tc>
        <w:tc>
          <w:tcPr>
            <w:tcW w:w="1460" w:type="dxa"/>
            <w:vAlign w:val="bottom"/>
          </w:tcPr>
          <w:p>
            <w:pPr>
              <w:jc w:val="center"/>
              <w:spacing w:after="0"/>
              <w:rPr>
                <w:sz w:val="20"/>
                <w:szCs w:val="20"/>
                <w:color w:val="auto"/>
              </w:rPr>
            </w:pPr>
            <w:r>
              <w:rPr>
                <w:rFonts w:ascii="Arial" w:cs="Arial" w:eastAsia="Arial" w:hAnsi="Arial"/>
                <w:sz w:val="16"/>
                <w:szCs w:val="16"/>
                <w:color w:val="auto"/>
              </w:rPr>
              <w:t>900,000 (1)</w:t>
            </w:r>
          </w:p>
        </w:tc>
        <w:tc>
          <w:tcPr>
            <w:tcW w:w="1480" w:type="dxa"/>
            <w:vAlign w:val="bottom"/>
          </w:tcPr>
          <w:p>
            <w:pPr>
              <w:jc w:val="center"/>
              <w:spacing w:after="0"/>
              <w:rPr>
                <w:sz w:val="20"/>
                <w:szCs w:val="20"/>
                <w:color w:val="auto"/>
              </w:rPr>
            </w:pPr>
            <w:r>
              <w:rPr>
                <w:rFonts w:ascii="Arial" w:cs="Arial" w:eastAsia="Arial" w:hAnsi="Arial"/>
                <w:sz w:val="16"/>
                <w:szCs w:val="16"/>
                <w:color w:val="auto"/>
              </w:rPr>
              <w:t>900,000 (1)</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Incentive</w:t>
            </w:r>
          </w:p>
        </w:tc>
        <w:tc>
          <w:tcPr>
            <w:tcW w:w="14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600,000 (2)</w:t>
            </w:r>
          </w:p>
        </w:tc>
        <w:tc>
          <w:tcPr>
            <w:tcW w:w="14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900,000 (2)</w:t>
            </w:r>
          </w:p>
        </w:tc>
        <w:tc>
          <w:tcPr>
            <w:tcW w:w="14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1,185,000 (3)</w:t>
            </w:r>
          </w:p>
        </w:tc>
        <w:tc>
          <w:tcPr>
            <w:tcW w:w="1360" w:type="dxa"/>
            <w:vAlign w:val="bottom"/>
            <w:shd w:val="clear" w:color="auto" w:fill="DBDBDB"/>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Long-Term Incentive:</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Acceleration or Continued Vesting</w:t>
            </w:r>
          </w:p>
        </w:tc>
        <w:tc>
          <w:tcPr>
            <w:tcW w:w="146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7,015,564 (4)</w:t>
            </w:r>
          </w:p>
        </w:tc>
        <w:tc>
          <w:tcPr>
            <w:tcW w:w="14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15,531,003 (4)</w:t>
            </w:r>
          </w:p>
        </w:tc>
        <w:tc>
          <w:tcPr>
            <w:tcW w:w="14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(4)</w:t>
            </w:r>
          </w:p>
        </w:tc>
        <w:tc>
          <w:tcPr>
            <w:tcW w:w="15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vMerge w:val="restart"/>
            <w:shd w:val="clear" w:color="auto" w:fill="DBDBDB"/>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of Unvested Equity Awards</w:t>
            </w:r>
          </w:p>
        </w:tc>
        <w:tc>
          <w:tcPr>
            <w:tcW w:w="1460" w:type="dxa"/>
            <w:vAlign w:val="bottom"/>
            <w:vMerge w:val="continue"/>
            <w:shd w:val="clear" w:color="auto" w:fill="DBDBDB"/>
          </w:tcPr>
          <w:p>
            <w:pPr>
              <w:spacing w:after="0"/>
              <w:rPr>
                <w:sz w:val="14"/>
                <w:szCs w:val="14"/>
                <w:color w:val="auto"/>
              </w:rPr>
            </w:pPr>
          </w:p>
        </w:tc>
        <w:tc>
          <w:tcPr>
            <w:tcW w:w="1480" w:type="dxa"/>
            <w:vAlign w:val="bottom"/>
            <w:vMerge w:val="continue"/>
            <w:shd w:val="clear" w:color="auto" w:fill="DBDBDB"/>
          </w:tcPr>
          <w:p>
            <w:pPr>
              <w:spacing w:after="0"/>
              <w:rPr>
                <w:sz w:val="14"/>
                <w:szCs w:val="14"/>
                <w:color w:val="auto"/>
              </w:rPr>
            </w:pPr>
          </w:p>
        </w:tc>
        <w:tc>
          <w:tcPr>
            <w:tcW w:w="1420" w:type="dxa"/>
            <w:vAlign w:val="bottom"/>
            <w:vMerge w:val="continue"/>
            <w:shd w:val="clear" w:color="auto" w:fill="DBDBDB"/>
          </w:tcPr>
          <w:p>
            <w:pPr>
              <w:spacing w:after="0"/>
              <w:rPr>
                <w:sz w:val="14"/>
                <w:szCs w:val="14"/>
                <w:color w:val="auto"/>
              </w:rPr>
            </w:pPr>
          </w:p>
        </w:tc>
        <w:tc>
          <w:tcPr>
            <w:tcW w:w="1520" w:type="dxa"/>
            <w:vAlign w:val="bottom"/>
            <w:vMerge w:val="continue"/>
            <w:shd w:val="clear" w:color="auto" w:fill="DBDBDB"/>
          </w:tcPr>
          <w:p>
            <w:pPr>
              <w:spacing w:after="0"/>
              <w:rPr>
                <w:sz w:val="14"/>
                <w:szCs w:val="14"/>
                <w:color w:val="auto"/>
              </w:rPr>
            </w:pPr>
          </w:p>
        </w:tc>
        <w:tc>
          <w:tcPr>
            <w:tcW w:w="1360" w:type="dxa"/>
            <w:vAlign w:val="bottom"/>
            <w:vMerge w:val="continue"/>
            <w:shd w:val="clear" w:color="auto" w:fill="DBDBDB"/>
          </w:tcPr>
          <w:p>
            <w:pPr>
              <w:spacing w:after="0"/>
              <w:rPr>
                <w:sz w:val="14"/>
                <w:szCs w:val="14"/>
                <w:color w:val="auto"/>
              </w:rPr>
            </w:pPr>
          </w:p>
        </w:tc>
        <w:tc>
          <w:tcPr>
            <w:tcW w:w="15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(RSUs or PBRSUs)</w:t>
            </w:r>
          </w:p>
        </w:tc>
        <w:tc>
          <w:tcPr>
            <w:tcW w:w="1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w:t>
            </w:r>
          </w:p>
        </w:tc>
        <w:tc>
          <w:tcPr>
            <w:tcW w:w="1460" w:type="dxa"/>
            <w:vAlign w:val="bottom"/>
          </w:tcPr>
          <w:p>
            <w:pPr>
              <w:jc w:val="center"/>
              <w:spacing w:after="0"/>
              <w:rPr>
                <w:sz w:val="20"/>
                <w:szCs w:val="20"/>
                <w:color w:val="auto"/>
              </w:rPr>
            </w:pPr>
            <w:r>
              <w:rPr>
                <w:rFonts w:ascii="Arial" w:cs="Arial" w:eastAsia="Arial" w:hAnsi="Arial"/>
                <w:sz w:val="16"/>
                <w:szCs w:val="16"/>
                <w:color w:val="auto"/>
              </w:rPr>
              <w:t>8,515,564</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17,331,003</w:t>
            </w:r>
          </w:p>
        </w:tc>
        <w:tc>
          <w:tcPr>
            <w:tcW w:w="1420" w:type="dxa"/>
            <w:vAlign w:val="bottom"/>
          </w:tcPr>
          <w:p>
            <w:pPr>
              <w:jc w:val="center"/>
              <w:spacing w:after="0"/>
              <w:rPr>
                <w:sz w:val="20"/>
                <w:szCs w:val="20"/>
                <w:color w:val="auto"/>
              </w:rPr>
            </w:pPr>
            <w:r>
              <w:rPr>
                <w:rFonts w:ascii="Arial" w:cs="Arial" w:eastAsia="Arial" w:hAnsi="Arial"/>
                <w:sz w:val="16"/>
                <w:szCs w:val="16"/>
                <w:color w:val="auto"/>
              </w:rPr>
              <w:t>(4)</w:t>
            </w:r>
          </w:p>
        </w:tc>
        <w:tc>
          <w:tcPr>
            <w:tcW w:w="1520" w:type="dxa"/>
            <w:vAlign w:val="bottom"/>
          </w:tcPr>
          <w:p>
            <w:pPr>
              <w:jc w:val="center"/>
              <w:spacing w:after="0"/>
              <w:rPr>
                <w:sz w:val="20"/>
                <w:szCs w:val="20"/>
                <w:color w:val="auto"/>
              </w:rPr>
            </w:pPr>
            <w:r>
              <w:rPr>
                <w:rFonts w:ascii="Arial" w:cs="Arial" w:eastAsia="Arial" w:hAnsi="Arial"/>
                <w:sz w:val="16"/>
                <w:szCs w:val="16"/>
                <w:color w:val="auto"/>
              </w:rPr>
              <w:t>1,185,000</w:t>
            </w:r>
          </w:p>
        </w:tc>
        <w:tc>
          <w:tcPr>
            <w:tcW w:w="13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right="180" w:hanging="234"/>
        <w:spacing w:after="0" w:line="244" w:lineRule="auto"/>
        <w:tabs>
          <w:tab w:leader="none" w:pos="233"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Trent’s severance payment following a termination on December 31, 2022 without Cause or a resignation for Good Reason (as defined in his employment agreement), whether or not following a Change in Control, is equal to 78 weeks of base salary. Mr. Trent’s base salary at the end of the 2022 fiscal year was $600,000.</w:t>
      </w:r>
    </w:p>
    <w:p>
      <w:pPr>
        <w:spacing w:after="0" w:line="10" w:lineRule="exact"/>
        <w:rPr>
          <w:rFonts w:ascii="Arial" w:cs="Arial" w:eastAsia="Arial" w:hAnsi="Arial"/>
          <w:sz w:val="14"/>
          <w:szCs w:val="14"/>
          <w:color w:val="auto"/>
        </w:rPr>
      </w:pPr>
    </w:p>
    <w:p>
      <w:pPr>
        <w:ind w:left="260" w:right="80" w:hanging="234"/>
        <w:spacing w:after="0" w:line="231" w:lineRule="auto"/>
        <w:tabs>
          <w:tab w:leader="none" w:pos="233"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Trent’s cash STI award following a termination on December 31, 2022 without Cause or a resignation for Good Reason within 24 months following a Change in Control would have been an amount equal to 1.5 times his target STI under the 2022 STI program. Mr. Trent’s cash payment following a termination on December 31, 2022 without Cause or a resignation for Good Reason in all other circumstances would have been an amount equal to his target STI award under the 2021 STI program. For 2022, his target STI award was $600,000.</w:t>
      </w:r>
    </w:p>
    <w:p>
      <w:pPr>
        <w:spacing w:after="0" w:line="14" w:lineRule="exact"/>
        <w:rPr>
          <w:rFonts w:ascii="Arial" w:cs="Arial" w:eastAsia="Arial" w:hAnsi="Arial"/>
          <w:sz w:val="14"/>
          <w:szCs w:val="14"/>
          <w:color w:val="auto"/>
        </w:rPr>
      </w:pPr>
    </w:p>
    <w:p>
      <w:pPr>
        <w:ind w:left="260" w:right="180" w:hanging="234"/>
        <w:spacing w:after="0" w:line="231" w:lineRule="auto"/>
        <w:tabs>
          <w:tab w:leader="none" w:pos="233"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 the event Mr. Trent is terminated due to death or disability, Mr. Trent or his estate would be entitled to a pro rata portion of his STI award based on the level of performance achieved for a performance cycle that ended prior to his death or disability. For purposes of this column, we have assumed that Mr. Trent’s death or disability was as of December 31, 2022, that the applicable performance cycle was the 2022 STI program and that his target award under the 2022 STI program was earned but unpaid at that time. Mr. Trent’s earned STI award for 2022 was $1,185,000.</w:t>
      </w:r>
    </w:p>
    <w:p>
      <w:pPr>
        <w:spacing w:after="0" w:line="14" w:lineRule="exact"/>
        <w:rPr>
          <w:rFonts w:ascii="Arial" w:cs="Arial" w:eastAsia="Arial" w:hAnsi="Arial"/>
          <w:sz w:val="14"/>
          <w:szCs w:val="14"/>
          <w:color w:val="auto"/>
        </w:rPr>
      </w:pPr>
    </w:p>
    <w:p>
      <w:pPr>
        <w:ind w:left="260" w:right="40" w:hanging="234"/>
        <w:spacing w:after="0" w:line="221" w:lineRule="auto"/>
        <w:tabs>
          <w:tab w:leader="none" w:pos="233" w:val="left"/>
        </w:tabs>
        <w:numPr>
          <w:ilvl w:val="0"/>
          <w:numId w:val="82"/>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2022 and the exercise price, if any, of unvested options, RSUs or PBRSUs (including any 2021 PBRSUs) for which vesting might be accelerated. If we had terminated Mr. Trent’s employment without Cause or Mr. Trent had resigned for Good Reason on December 31, 2022 under circumstances not involving a Change in Control: (i) Mr. Trent’s New Hire CFO RSUs would have fully vested; and (ii) Mr. Trent’s New Hire CFO PBRSUs would have vested pro rata using a truncated performance period, which was calculated based on the period of time Mr. Trent was employed with the Company; and (iii) a pro rata portion of the PBRSUs owed to Mr. Trent pursuant to his annual grants would have vested pro rata (using actual full performance period results).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52</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7" w:name="page58"/>
    <w:bookmarkEnd w:id="57"/>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Simon Keeton</w:t>
      </w:r>
      <w:r>
        <w:rPr>
          <w:rFonts w:ascii="Arial" w:cs="Arial" w:eastAsia="Arial" w:hAnsi="Arial"/>
          <w:sz w:val="18"/>
          <w:szCs w:val="18"/>
          <w:i w:val="1"/>
          <w:iCs w:val="1"/>
          <w:color w:val="auto"/>
        </w:rPr>
        <w:t>, our Executive Vice President and General Manager, Power Solutions Group.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shd w:val="clear" w:color="auto" w:fill="465E66"/>
          </w:tcPr>
          <w:p>
            <w:pPr>
              <w:spacing w:after="0"/>
              <w:rPr>
                <w:sz w:val="14"/>
                <w:szCs w:val="14"/>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Termination Without</w:t>
            </w:r>
          </w:p>
        </w:tc>
        <w:tc>
          <w:tcPr>
            <w:tcW w:w="14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420" w:type="dxa"/>
            <w:vAlign w:val="bottom"/>
            <w:shd w:val="clear" w:color="auto" w:fill="465E66"/>
          </w:tcPr>
          <w:p>
            <w:pPr>
              <w:spacing w:after="0"/>
              <w:rPr>
                <w:sz w:val="14"/>
                <w:szCs w:val="14"/>
                <w:color w:val="auto"/>
              </w:rPr>
            </w:pPr>
          </w:p>
        </w:tc>
        <w:tc>
          <w:tcPr>
            <w:tcW w:w="1520" w:type="dxa"/>
            <w:vAlign w:val="bottom"/>
            <w:shd w:val="clear" w:color="auto" w:fill="465E66"/>
          </w:tcPr>
          <w:p>
            <w:pPr>
              <w:spacing w:after="0"/>
              <w:rPr>
                <w:sz w:val="14"/>
                <w:szCs w:val="14"/>
                <w:color w:val="auto"/>
              </w:rPr>
            </w:pPr>
          </w:p>
        </w:tc>
        <w:tc>
          <w:tcPr>
            <w:tcW w:w="1360" w:type="dxa"/>
            <w:vAlign w:val="bottom"/>
            <w:shd w:val="clear" w:color="auto" w:fill="465E66"/>
          </w:tcPr>
          <w:p>
            <w:pPr>
              <w:spacing w:after="0"/>
              <w:rPr>
                <w:sz w:val="14"/>
                <w:szCs w:val="14"/>
                <w:color w:val="auto"/>
              </w:rPr>
            </w:pPr>
          </w:p>
        </w:tc>
        <w:tc>
          <w:tcPr>
            <w:tcW w:w="15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Resignation other</w:t>
            </w:r>
          </w:p>
        </w:tc>
        <w:tc>
          <w:tcPr>
            <w:tcW w:w="0" w:type="dxa"/>
            <w:vAlign w:val="bottom"/>
          </w:tcPr>
          <w:p>
            <w:pPr>
              <w:spacing w:after="0"/>
              <w:rPr>
                <w:sz w:val="1"/>
                <w:szCs w:val="1"/>
                <w:color w:val="auto"/>
              </w:rPr>
            </w:pPr>
          </w:p>
        </w:tc>
      </w:tr>
      <w:tr>
        <w:trPr>
          <w:trHeight w:val="135"/>
        </w:trPr>
        <w:tc>
          <w:tcPr>
            <w:tcW w:w="2500" w:type="dxa"/>
            <w:vAlign w:val="bottom"/>
            <w:shd w:val="clear" w:color="auto" w:fill="465E66"/>
          </w:tcPr>
          <w:p>
            <w:pPr>
              <w:spacing w:after="0"/>
              <w:rPr>
                <w:sz w:val="11"/>
                <w:szCs w:val="11"/>
                <w:color w:val="auto"/>
              </w:rPr>
            </w:pPr>
          </w:p>
        </w:tc>
        <w:tc>
          <w:tcPr>
            <w:tcW w:w="146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Cause or</w:t>
            </w:r>
          </w:p>
        </w:tc>
        <w:tc>
          <w:tcPr>
            <w:tcW w:w="1480" w:type="dxa"/>
            <w:vAlign w:val="bottom"/>
            <w:vMerge w:val="continue"/>
            <w:shd w:val="clear" w:color="auto" w:fill="465E66"/>
          </w:tcPr>
          <w:p>
            <w:pPr>
              <w:spacing w:after="0"/>
              <w:rPr>
                <w:sz w:val="11"/>
                <w:szCs w:val="11"/>
                <w:color w:val="auto"/>
              </w:rPr>
            </w:pPr>
          </w:p>
        </w:tc>
        <w:tc>
          <w:tcPr>
            <w:tcW w:w="1420" w:type="dxa"/>
            <w:vAlign w:val="bottom"/>
            <w:shd w:val="clear" w:color="auto" w:fill="465E66"/>
          </w:tcPr>
          <w:p>
            <w:pPr>
              <w:spacing w:after="0"/>
              <w:rPr>
                <w:sz w:val="11"/>
                <w:szCs w:val="11"/>
                <w:color w:val="auto"/>
              </w:rPr>
            </w:pPr>
          </w:p>
        </w:tc>
        <w:tc>
          <w:tcPr>
            <w:tcW w:w="1520" w:type="dxa"/>
            <w:vAlign w:val="bottom"/>
            <w:shd w:val="clear" w:color="auto" w:fill="465E66"/>
          </w:tcPr>
          <w:p>
            <w:pPr>
              <w:spacing w:after="0"/>
              <w:rPr>
                <w:sz w:val="11"/>
                <w:szCs w:val="11"/>
                <w:color w:val="auto"/>
              </w:rPr>
            </w:pPr>
          </w:p>
        </w:tc>
        <w:tc>
          <w:tcPr>
            <w:tcW w:w="1360" w:type="dxa"/>
            <w:vAlign w:val="bottom"/>
            <w:vMerge w:val="restart"/>
            <w:shd w:val="clear" w:color="auto" w:fill="465E66"/>
          </w:tcPr>
          <w:p>
            <w:pPr>
              <w:jc w:val="right"/>
              <w:ind w:right="83"/>
              <w:spacing w:after="0"/>
              <w:rPr>
                <w:sz w:val="20"/>
                <w:szCs w:val="20"/>
                <w:color w:val="auto"/>
              </w:rPr>
            </w:pPr>
            <w:r>
              <w:rPr>
                <w:rFonts w:ascii="Arial" w:cs="Arial" w:eastAsia="Arial" w:hAnsi="Arial"/>
                <w:sz w:val="14"/>
                <w:szCs w:val="14"/>
                <w:b w:val="1"/>
                <w:bCs w:val="1"/>
                <w:color w:val="FFFFFF"/>
              </w:rPr>
              <w:t>Termination for</w:t>
            </w:r>
          </w:p>
        </w:tc>
        <w:tc>
          <w:tcPr>
            <w:tcW w:w="1500" w:type="dxa"/>
            <w:vAlign w:val="bottom"/>
            <w:vMerge w:val="continue"/>
            <w:shd w:val="clear" w:color="auto" w:fill="465E66"/>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Resignation for</w:t>
            </w:r>
          </w:p>
        </w:tc>
        <w:tc>
          <w:tcPr>
            <w:tcW w:w="14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Following a Change</w:t>
            </w:r>
          </w:p>
        </w:tc>
        <w:tc>
          <w:tcPr>
            <w:tcW w:w="142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Change in Control</w:t>
            </w:r>
          </w:p>
        </w:tc>
        <w:tc>
          <w:tcPr>
            <w:tcW w:w="1520" w:type="dxa"/>
            <w:vAlign w:val="bottom"/>
            <w:vMerge w:val="restart"/>
            <w:shd w:val="clear" w:color="auto" w:fill="465E66"/>
          </w:tcPr>
          <w:p>
            <w:pPr>
              <w:jc w:val="right"/>
              <w:ind w:right="82"/>
              <w:spacing w:after="0"/>
              <w:rPr>
                <w:sz w:val="20"/>
                <w:szCs w:val="20"/>
                <w:color w:val="auto"/>
              </w:rPr>
            </w:pPr>
            <w:r>
              <w:rPr>
                <w:rFonts w:ascii="Arial" w:cs="Arial" w:eastAsia="Arial" w:hAnsi="Arial"/>
                <w:sz w:val="14"/>
                <w:szCs w:val="14"/>
                <w:b w:val="1"/>
                <w:bCs w:val="1"/>
                <w:color w:val="FFFFFF"/>
              </w:rPr>
              <w:t>Death or Disability</w:t>
            </w:r>
          </w:p>
        </w:tc>
        <w:tc>
          <w:tcPr>
            <w:tcW w:w="1360" w:type="dxa"/>
            <w:vAlign w:val="bottom"/>
            <w:vMerge w:val="continue"/>
            <w:shd w:val="clear" w:color="auto" w:fill="465E66"/>
          </w:tcPr>
          <w:p>
            <w:pPr>
              <w:spacing w:after="0"/>
              <w:rPr>
                <w:sz w:val="12"/>
                <w:szCs w:val="12"/>
                <w:color w:val="auto"/>
              </w:rPr>
            </w:pP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than for Good</w:t>
            </w:r>
          </w:p>
        </w:tc>
        <w:tc>
          <w:tcPr>
            <w:tcW w:w="0" w:type="dxa"/>
            <w:vAlign w:val="bottom"/>
          </w:tcPr>
          <w:p>
            <w:pPr>
              <w:spacing w:after="0"/>
              <w:rPr>
                <w:sz w:val="1"/>
                <w:szCs w:val="1"/>
                <w:color w:val="auto"/>
              </w:rPr>
            </w:pPr>
          </w:p>
        </w:tc>
      </w:tr>
      <w:tr>
        <w:trPr>
          <w:trHeight w:val="148"/>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Good Reason</w:t>
            </w:r>
          </w:p>
        </w:tc>
        <w:tc>
          <w:tcPr>
            <w:tcW w:w="14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in Control</w:t>
            </w:r>
          </w:p>
        </w:tc>
        <w:tc>
          <w:tcPr>
            <w:tcW w:w="1420" w:type="dxa"/>
            <w:vAlign w:val="bottom"/>
            <w:vMerge w:val="continue"/>
            <w:shd w:val="clear" w:color="auto" w:fill="465E66"/>
          </w:tcPr>
          <w:p>
            <w:pPr>
              <w:spacing w:after="0"/>
              <w:rPr>
                <w:sz w:val="12"/>
                <w:szCs w:val="12"/>
                <w:color w:val="auto"/>
              </w:rPr>
            </w:pPr>
          </w:p>
        </w:tc>
        <w:tc>
          <w:tcPr>
            <w:tcW w:w="1520" w:type="dxa"/>
            <w:vAlign w:val="bottom"/>
            <w:vMerge w:val="continue"/>
            <w:shd w:val="clear" w:color="auto" w:fill="465E66"/>
          </w:tcPr>
          <w:p>
            <w:pPr>
              <w:spacing w:after="0"/>
              <w:rPr>
                <w:sz w:val="12"/>
                <w:szCs w:val="12"/>
                <w:color w:val="auto"/>
              </w:rPr>
            </w:pPr>
          </w:p>
        </w:tc>
        <w:tc>
          <w:tcPr>
            <w:tcW w:w="1360" w:type="dxa"/>
            <w:vAlign w:val="bottom"/>
            <w:shd w:val="clear" w:color="auto" w:fill="465E66"/>
          </w:tcPr>
          <w:p>
            <w:pPr>
              <w:jc w:val="right"/>
              <w:ind w:right="403"/>
              <w:spacing w:after="0" w:line="149" w:lineRule="exact"/>
              <w:rPr>
                <w:sz w:val="20"/>
                <w:szCs w:val="20"/>
                <w:color w:val="auto"/>
              </w:rPr>
            </w:pPr>
            <w:r>
              <w:rPr>
                <w:rFonts w:ascii="Arial" w:cs="Arial" w:eastAsia="Arial" w:hAnsi="Arial"/>
                <w:sz w:val="14"/>
                <w:szCs w:val="14"/>
                <w:b w:val="1"/>
                <w:bCs w:val="1"/>
                <w:color w:val="FFFFFF"/>
              </w:rPr>
              <w:t>Cause</w:t>
            </w: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89"/>
        </w:trPr>
        <w:tc>
          <w:tcPr>
            <w:tcW w:w="2500" w:type="dxa"/>
            <w:vAlign w:val="bottom"/>
            <w:shd w:val="clear" w:color="auto" w:fill="465E66"/>
          </w:tcPr>
          <w:p>
            <w:pPr>
              <w:spacing w:after="0"/>
              <w:rPr>
                <w:sz w:val="16"/>
                <w:szCs w:val="16"/>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4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465E66"/>
          </w:tcPr>
          <w:p>
            <w:pPr>
              <w:jc w:val="right"/>
              <w:ind w:right="622"/>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465E66"/>
          </w:tcPr>
          <w:p>
            <w:pPr>
              <w:jc w:val="right"/>
              <w:ind w:right="523"/>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Compensation:</w:t>
            </w:r>
          </w:p>
        </w:tc>
        <w:tc>
          <w:tcPr>
            <w:tcW w:w="1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Base Salary</w:t>
            </w:r>
          </w:p>
        </w:tc>
        <w:tc>
          <w:tcPr>
            <w:tcW w:w="1460" w:type="dxa"/>
            <w:vAlign w:val="bottom"/>
          </w:tcPr>
          <w:p>
            <w:pPr>
              <w:jc w:val="center"/>
              <w:spacing w:after="0"/>
              <w:rPr>
                <w:sz w:val="20"/>
                <w:szCs w:val="20"/>
                <w:color w:val="auto"/>
              </w:rPr>
            </w:pPr>
            <w:r>
              <w:rPr>
                <w:rFonts w:ascii="Arial" w:cs="Arial" w:eastAsia="Arial" w:hAnsi="Arial"/>
                <w:sz w:val="16"/>
                <w:szCs w:val="16"/>
                <w:color w:val="auto"/>
              </w:rPr>
              <w:t>525,000 (1)</w:t>
            </w:r>
          </w:p>
        </w:tc>
        <w:tc>
          <w:tcPr>
            <w:tcW w:w="1480" w:type="dxa"/>
            <w:vAlign w:val="bottom"/>
          </w:tcPr>
          <w:p>
            <w:pPr>
              <w:jc w:val="center"/>
              <w:spacing w:after="0"/>
              <w:rPr>
                <w:sz w:val="20"/>
                <w:szCs w:val="20"/>
                <w:color w:val="auto"/>
              </w:rPr>
            </w:pPr>
            <w:r>
              <w:rPr>
                <w:rFonts w:ascii="Arial" w:cs="Arial" w:eastAsia="Arial" w:hAnsi="Arial"/>
                <w:sz w:val="16"/>
                <w:szCs w:val="16"/>
                <w:color w:val="auto"/>
              </w:rPr>
              <w:t>525,000 (1)</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Incentive</w:t>
            </w:r>
          </w:p>
        </w:tc>
        <w:tc>
          <w:tcPr>
            <w:tcW w:w="14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842,487 (2)</w:t>
            </w:r>
          </w:p>
        </w:tc>
        <w:tc>
          <w:tcPr>
            <w:tcW w:w="14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446,250 (2)</w:t>
            </w:r>
          </w:p>
        </w:tc>
        <w:tc>
          <w:tcPr>
            <w:tcW w:w="14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DBDBDB"/>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Long-Term Incentive:</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Acceleration or Continued Vesting</w:t>
            </w:r>
          </w:p>
        </w:tc>
        <w:tc>
          <w:tcPr>
            <w:tcW w:w="146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5,356,772 (3)</w:t>
            </w:r>
          </w:p>
        </w:tc>
        <w:tc>
          <w:tcPr>
            <w:tcW w:w="14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1520" w:type="dxa"/>
            <w:vAlign w:val="bottom"/>
            <w:vMerge w:val="restart"/>
            <w:shd w:val="clear" w:color="auto" w:fill="DBDBDB"/>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DBDBDB"/>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of Unvested Equity Awards</w:t>
            </w:r>
          </w:p>
        </w:tc>
        <w:tc>
          <w:tcPr>
            <w:tcW w:w="1460" w:type="dxa"/>
            <w:vAlign w:val="bottom"/>
            <w:vMerge w:val="continue"/>
            <w:shd w:val="clear" w:color="auto" w:fill="DBDBDB"/>
          </w:tcPr>
          <w:p>
            <w:pPr>
              <w:spacing w:after="0"/>
              <w:rPr>
                <w:sz w:val="14"/>
                <w:szCs w:val="14"/>
                <w:color w:val="auto"/>
              </w:rPr>
            </w:pPr>
          </w:p>
        </w:tc>
        <w:tc>
          <w:tcPr>
            <w:tcW w:w="1480" w:type="dxa"/>
            <w:vAlign w:val="bottom"/>
            <w:vMerge w:val="continue"/>
            <w:shd w:val="clear" w:color="auto" w:fill="DBDBDB"/>
          </w:tcPr>
          <w:p>
            <w:pPr>
              <w:spacing w:after="0"/>
              <w:rPr>
                <w:sz w:val="14"/>
                <w:szCs w:val="14"/>
                <w:color w:val="auto"/>
              </w:rPr>
            </w:pPr>
          </w:p>
        </w:tc>
        <w:tc>
          <w:tcPr>
            <w:tcW w:w="1420" w:type="dxa"/>
            <w:vAlign w:val="bottom"/>
            <w:vMerge w:val="continue"/>
            <w:shd w:val="clear" w:color="auto" w:fill="DBDBDB"/>
          </w:tcPr>
          <w:p>
            <w:pPr>
              <w:spacing w:after="0"/>
              <w:rPr>
                <w:sz w:val="14"/>
                <w:szCs w:val="14"/>
                <w:color w:val="auto"/>
              </w:rPr>
            </w:pPr>
          </w:p>
        </w:tc>
        <w:tc>
          <w:tcPr>
            <w:tcW w:w="1520" w:type="dxa"/>
            <w:vAlign w:val="bottom"/>
            <w:vMerge w:val="continue"/>
            <w:shd w:val="clear" w:color="auto" w:fill="DBDBDB"/>
          </w:tcPr>
          <w:p>
            <w:pPr>
              <w:spacing w:after="0"/>
              <w:rPr>
                <w:sz w:val="14"/>
                <w:szCs w:val="14"/>
                <w:color w:val="auto"/>
              </w:rPr>
            </w:pPr>
          </w:p>
        </w:tc>
        <w:tc>
          <w:tcPr>
            <w:tcW w:w="1360" w:type="dxa"/>
            <w:vAlign w:val="bottom"/>
            <w:vMerge w:val="continue"/>
            <w:shd w:val="clear" w:color="auto" w:fill="DBDBDB"/>
          </w:tcPr>
          <w:p>
            <w:pPr>
              <w:spacing w:after="0"/>
              <w:rPr>
                <w:sz w:val="14"/>
                <w:szCs w:val="14"/>
                <w:color w:val="auto"/>
              </w:rPr>
            </w:pPr>
          </w:p>
        </w:tc>
        <w:tc>
          <w:tcPr>
            <w:tcW w:w="15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(RSUs or PBRSUs)</w:t>
            </w:r>
          </w:p>
        </w:tc>
        <w:tc>
          <w:tcPr>
            <w:tcW w:w="1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w:t>
            </w:r>
          </w:p>
        </w:tc>
        <w:tc>
          <w:tcPr>
            <w:tcW w:w="1460" w:type="dxa"/>
            <w:vAlign w:val="bottom"/>
          </w:tcPr>
          <w:p>
            <w:pPr>
              <w:jc w:val="center"/>
              <w:spacing w:after="0"/>
              <w:rPr>
                <w:sz w:val="20"/>
                <w:szCs w:val="20"/>
                <w:color w:val="auto"/>
              </w:rPr>
            </w:pPr>
            <w:r>
              <w:rPr>
                <w:rFonts w:ascii="Arial" w:cs="Arial" w:eastAsia="Arial" w:hAnsi="Arial"/>
                <w:sz w:val="16"/>
                <w:szCs w:val="16"/>
                <w:color w:val="auto"/>
              </w:rPr>
              <w:t>1,367,487</w:t>
            </w:r>
          </w:p>
        </w:tc>
        <w:tc>
          <w:tcPr>
            <w:tcW w:w="1480" w:type="dxa"/>
            <w:vAlign w:val="bottom"/>
          </w:tcPr>
          <w:p>
            <w:pPr>
              <w:jc w:val="center"/>
              <w:spacing w:after="0"/>
              <w:rPr>
                <w:sz w:val="20"/>
                <w:szCs w:val="20"/>
                <w:color w:val="auto"/>
              </w:rPr>
            </w:pPr>
            <w:r>
              <w:rPr>
                <w:rFonts w:ascii="Arial" w:cs="Arial" w:eastAsia="Arial" w:hAnsi="Arial"/>
                <w:sz w:val="16"/>
                <w:szCs w:val="16"/>
                <w:color w:val="auto"/>
              </w:rPr>
              <w:t>6,328,022</w:t>
            </w:r>
          </w:p>
        </w:tc>
        <w:tc>
          <w:tcPr>
            <w:tcW w:w="1420" w:type="dxa"/>
            <w:vAlign w:val="bottom"/>
          </w:tcPr>
          <w:p>
            <w:pPr>
              <w:jc w:val="center"/>
              <w:spacing w:after="0"/>
              <w:rPr>
                <w:sz w:val="20"/>
                <w:szCs w:val="20"/>
                <w:color w:val="auto"/>
              </w:rPr>
            </w:pPr>
            <w:r>
              <w:rPr>
                <w:rFonts w:ascii="Arial" w:cs="Arial" w:eastAsia="Arial" w:hAnsi="Arial"/>
                <w:sz w:val="16"/>
                <w:szCs w:val="16"/>
                <w:color w:val="auto"/>
              </w:rPr>
              <w:t>(3)</w:t>
            </w:r>
          </w:p>
        </w:tc>
        <w:tc>
          <w:tcPr>
            <w:tcW w:w="15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right="580" w:hanging="234"/>
        <w:spacing w:after="0" w:line="244" w:lineRule="auto"/>
        <w:tabs>
          <w:tab w:leader="none" w:pos="233"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Keeton’s severance payment following a termination without Cause or a resignation for Good Reason (as defined in his employment agreement), whether or not following a Change in Control, is equal to one year of annual base salary. Mr. Keeton’s base salary at the end of the 2022 fiscal year was $525,000.</w:t>
      </w:r>
    </w:p>
    <w:p>
      <w:pPr>
        <w:spacing w:after="0" w:line="10" w:lineRule="exact"/>
        <w:rPr>
          <w:rFonts w:ascii="Arial" w:cs="Arial" w:eastAsia="Arial" w:hAnsi="Arial"/>
          <w:sz w:val="14"/>
          <w:szCs w:val="14"/>
          <w:color w:val="auto"/>
        </w:rPr>
      </w:pPr>
    </w:p>
    <w:p>
      <w:pPr>
        <w:ind w:left="260" w:right="100" w:hanging="234"/>
        <w:spacing w:after="0" w:line="221" w:lineRule="auto"/>
        <w:tabs>
          <w:tab w:leader="none" w:pos="233"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 the event that we terminate Mr. Keeton’s employment without Cause, or he resigns for Good Reason, other than in connection with a Change in Control, Mr. Keeton is entitled to any STI award earned but unpaid for the performance cycle immediately preceding the date of termination and a pro rata portion of his STI award, if any, for the then-current performance cycle based on actual achievement of the applicable performance criteria. For purposes of this column, we have assumed that Mr. Keeton’s date of termination was December 31, 2022, that the applicable performance cycle for the prorated STI award entitlement was the 2022 STI program and that his STI award under the 2022 STI program was earned but unpaid at that time. Mr. Keeton’s earned STI award for 2022 was $842,487. In addition to other benefits provided in his employment agreement, if Mr. Keeton’s employment had been terminated on December 31, 2022 by the Company without Cause or by Mr. Keeton for Good Reason within 24 months following a Change in Control, he would have been entitled to a cash payment equal to his total annual target STI under the 2022 STI program. For 2022, his target STI award was $446,250.</w:t>
      </w:r>
    </w:p>
    <w:p>
      <w:pPr>
        <w:spacing w:after="0" w:line="15" w:lineRule="exact"/>
        <w:rPr>
          <w:rFonts w:ascii="Arial" w:cs="Arial" w:eastAsia="Arial" w:hAnsi="Arial"/>
          <w:sz w:val="14"/>
          <w:szCs w:val="14"/>
          <w:color w:val="auto"/>
        </w:rPr>
      </w:pPr>
    </w:p>
    <w:p>
      <w:pPr>
        <w:ind w:left="260" w:right="120" w:hanging="234"/>
        <w:spacing w:after="0"/>
        <w:tabs>
          <w:tab w:leader="none" w:pos="233" w:val="left"/>
        </w:tabs>
        <w:numPr>
          <w:ilvl w:val="0"/>
          <w:numId w:val="83"/>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2022 and the exercise price, if any, of unvested options, RSUs or PBRSUs (including any 2021 and 2022 PBRSUs) for which vesting might be accelerated.</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8" w:name="page59"/>
    <w:bookmarkEnd w:id="58"/>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Ross F. Jatou</w:t>
      </w:r>
      <w:r>
        <w:rPr>
          <w:rFonts w:ascii="Arial" w:cs="Arial" w:eastAsia="Arial" w:hAnsi="Arial"/>
          <w:sz w:val="18"/>
          <w:szCs w:val="18"/>
          <w:i w:val="1"/>
          <w:iCs w:val="1"/>
          <w:color w:val="auto"/>
        </w:rPr>
        <w:t>, our Senior Vice President and General Manager, Intelligent Sensing Group.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shd w:val="clear" w:color="auto" w:fill="465E66"/>
          </w:tcPr>
          <w:p>
            <w:pPr>
              <w:spacing w:after="0"/>
              <w:rPr>
                <w:sz w:val="14"/>
                <w:szCs w:val="14"/>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Termination Without</w:t>
            </w:r>
          </w:p>
        </w:tc>
        <w:tc>
          <w:tcPr>
            <w:tcW w:w="14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420" w:type="dxa"/>
            <w:vAlign w:val="bottom"/>
            <w:shd w:val="clear" w:color="auto" w:fill="465E66"/>
          </w:tcPr>
          <w:p>
            <w:pPr>
              <w:spacing w:after="0"/>
              <w:rPr>
                <w:sz w:val="14"/>
                <w:szCs w:val="14"/>
                <w:color w:val="auto"/>
              </w:rPr>
            </w:pPr>
          </w:p>
        </w:tc>
        <w:tc>
          <w:tcPr>
            <w:tcW w:w="1520" w:type="dxa"/>
            <w:vAlign w:val="bottom"/>
            <w:shd w:val="clear" w:color="auto" w:fill="465E66"/>
          </w:tcPr>
          <w:p>
            <w:pPr>
              <w:spacing w:after="0"/>
              <w:rPr>
                <w:sz w:val="14"/>
                <w:szCs w:val="14"/>
                <w:color w:val="auto"/>
              </w:rPr>
            </w:pPr>
          </w:p>
        </w:tc>
        <w:tc>
          <w:tcPr>
            <w:tcW w:w="1360" w:type="dxa"/>
            <w:vAlign w:val="bottom"/>
            <w:shd w:val="clear" w:color="auto" w:fill="465E66"/>
          </w:tcPr>
          <w:p>
            <w:pPr>
              <w:spacing w:after="0"/>
              <w:rPr>
                <w:sz w:val="14"/>
                <w:szCs w:val="14"/>
                <w:color w:val="auto"/>
              </w:rPr>
            </w:pPr>
          </w:p>
        </w:tc>
        <w:tc>
          <w:tcPr>
            <w:tcW w:w="15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Resignation other</w:t>
            </w:r>
          </w:p>
        </w:tc>
        <w:tc>
          <w:tcPr>
            <w:tcW w:w="0" w:type="dxa"/>
            <w:vAlign w:val="bottom"/>
          </w:tcPr>
          <w:p>
            <w:pPr>
              <w:spacing w:after="0"/>
              <w:rPr>
                <w:sz w:val="1"/>
                <w:szCs w:val="1"/>
                <w:color w:val="auto"/>
              </w:rPr>
            </w:pPr>
          </w:p>
        </w:tc>
      </w:tr>
      <w:tr>
        <w:trPr>
          <w:trHeight w:val="135"/>
        </w:trPr>
        <w:tc>
          <w:tcPr>
            <w:tcW w:w="2500" w:type="dxa"/>
            <w:vAlign w:val="bottom"/>
            <w:shd w:val="clear" w:color="auto" w:fill="465E66"/>
          </w:tcPr>
          <w:p>
            <w:pPr>
              <w:spacing w:after="0"/>
              <w:rPr>
                <w:sz w:val="11"/>
                <w:szCs w:val="11"/>
                <w:color w:val="auto"/>
              </w:rPr>
            </w:pPr>
          </w:p>
        </w:tc>
        <w:tc>
          <w:tcPr>
            <w:tcW w:w="146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Cause or</w:t>
            </w:r>
          </w:p>
        </w:tc>
        <w:tc>
          <w:tcPr>
            <w:tcW w:w="1480" w:type="dxa"/>
            <w:vAlign w:val="bottom"/>
            <w:vMerge w:val="continue"/>
            <w:shd w:val="clear" w:color="auto" w:fill="465E66"/>
          </w:tcPr>
          <w:p>
            <w:pPr>
              <w:spacing w:after="0"/>
              <w:rPr>
                <w:sz w:val="11"/>
                <w:szCs w:val="11"/>
                <w:color w:val="auto"/>
              </w:rPr>
            </w:pPr>
          </w:p>
        </w:tc>
        <w:tc>
          <w:tcPr>
            <w:tcW w:w="1420" w:type="dxa"/>
            <w:vAlign w:val="bottom"/>
            <w:shd w:val="clear" w:color="auto" w:fill="465E66"/>
          </w:tcPr>
          <w:p>
            <w:pPr>
              <w:spacing w:after="0"/>
              <w:rPr>
                <w:sz w:val="11"/>
                <w:szCs w:val="11"/>
                <w:color w:val="auto"/>
              </w:rPr>
            </w:pPr>
          </w:p>
        </w:tc>
        <w:tc>
          <w:tcPr>
            <w:tcW w:w="1520" w:type="dxa"/>
            <w:vAlign w:val="bottom"/>
            <w:shd w:val="clear" w:color="auto" w:fill="465E66"/>
          </w:tcPr>
          <w:p>
            <w:pPr>
              <w:spacing w:after="0"/>
              <w:rPr>
                <w:sz w:val="11"/>
                <w:szCs w:val="11"/>
                <w:color w:val="auto"/>
              </w:rPr>
            </w:pPr>
          </w:p>
        </w:tc>
        <w:tc>
          <w:tcPr>
            <w:tcW w:w="1360" w:type="dxa"/>
            <w:vAlign w:val="bottom"/>
            <w:vMerge w:val="restart"/>
            <w:shd w:val="clear" w:color="auto" w:fill="465E66"/>
          </w:tcPr>
          <w:p>
            <w:pPr>
              <w:jc w:val="right"/>
              <w:ind w:right="83"/>
              <w:spacing w:after="0"/>
              <w:rPr>
                <w:sz w:val="20"/>
                <w:szCs w:val="20"/>
                <w:color w:val="auto"/>
              </w:rPr>
            </w:pPr>
            <w:r>
              <w:rPr>
                <w:rFonts w:ascii="Arial" w:cs="Arial" w:eastAsia="Arial" w:hAnsi="Arial"/>
                <w:sz w:val="14"/>
                <w:szCs w:val="14"/>
                <w:b w:val="1"/>
                <w:bCs w:val="1"/>
                <w:color w:val="FFFFFF"/>
              </w:rPr>
              <w:t>Termination for</w:t>
            </w:r>
          </w:p>
        </w:tc>
        <w:tc>
          <w:tcPr>
            <w:tcW w:w="1500" w:type="dxa"/>
            <w:vAlign w:val="bottom"/>
            <w:vMerge w:val="continue"/>
            <w:shd w:val="clear" w:color="auto" w:fill="465E66"/>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Resignation for</w:t>
            </w:r>
          </w:p>
        </w:tc>
        <w:tc>
          <w:tcPr>
            <w:tcW w:w="14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Following a Change</w:t>
            </w:r>
          </w:p>
        </w:tc>
        <w:tc>
          <w:tcPr>
            <w:tcW w:w="142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Change in Control</w:t>
            </w:r>
          </w:p>
        </w:tc>
        <w:tc>
          <w:tcPr>
            <w:tcW w:w="1520" w:type="dxa"/>
            <w:vAlign w:val="bottom"/>
            <w:vMerge w:val="restart"/>
            <w:shd w:val="clear" w:color="auto" w:fill="465E66"/>
          </w:tcPr>
          <w:p>
            <w:pPr>
              <w:jc w:val="right"/>
              <w:ind w:right="82"/>
              <w:spacing w:after="0"/>
              <w:rPr>
                <w:sz w:val="20"/>
                <w:szCs w:val="20"/>
                <w:color w:val="auto"/>
              </w:rPr>
            </w:pPr>
            <w:r>
              <w:rPr>
                <w:rFonts w:ascii="Arial" w:cs="Arial" w:eastAsia="Arial" w:hAnsi="Arial"/>
                <w:sz w:val="14"/>
                <w:szCs w:val="14"/>
                <w:b w:val="1"/>
                <w:bCs w:val="1"/>
                <w:color w:val="FFFFFF"/>
              </w:rPr>
              <w:t>Death or Disability</w:t>
            </w:r>
          </w:p>
        </w:tc>
        <w:tc>
          <w:tcPr>
            <w:tcW w:w="1360" w:type="dxa"/>
            <w:vAlign w:val="bottom"/>
            <w:vMerge w:val="continue"/>
            <w:shd w:val="clear" w:color="auto" w:fill="465E66"/>
          </w:tcPr>
          <w:p>
            <w:pPr>
              <w:spacing w:after="0"/>
              <w:rPr>
                <w:sz w:val="12"/>
                <w:szCs w:val="12"/>
                <w:color w:val="auto"/>
              </w:rPr>
            </w:pP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than for Good</w:t>
            </w:r>
          </w:p>
        </w:tc>
        <w:tc>
          <w:tcPr>
            <w:tcW w:w="0" w:type="dxa"/>
            <w:vAlign w:val="bottom"/>
          </w:tcPr>
          <w:p>
            <w:pPr>
              <w:spacing w:after="0"/>
              <w:rPr>
                <w:sz w:val="1"/>
                <w:szCs w:val="1"/>
                <w:color w:val="auto"/>
              </w:rPr>
            </w:pPr>
          </w:p>
        </w:tc>
      </w:tr>
      <w:tr>
        <w:trPr>
          <w:trHeight w:val="148"/>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Good Reason</w:t>
            </w:r>
          </w:p>
        </w:tc>
        <w:tc>
          <w:tcPr>
            <w:tcW w:w="14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in Control</w:t>
            </w:r>
          </w:p>
        </w:tc>
        <w:tc>
          <w:tcPr>
            <w:tcW w:w="1420" w:type="dxa"/>
            <w:vAlign w:val="bottom"/>
            <w:vMerge w:val="continue"/>
            <w:shd w:val="clear" w:color="auto" w:fill="465E66"/>
          </w:tcPr>
          <w:p>
            <w:pPr>
              <w:spacing w:after="0"/>
              <w:rPr>
                <w:sz w:val="12"/>
                <w:szCs w:val="12"/>
                <w:color w:val="auto"/>
              </w:rPr>
            </w:pPr>
          </w:p>
        </w:tc>
        <w:tc>
          <w:tcPr>
            <w:tcW w:w="1520" w:type="dxa"/>
            <w:vAlign w:val="bottom"/>
            <w:vMerge w:val="continue"/>
            <w:shd w:val="clear" w:color="auto" w:fill="465E66"/>
          </w:tcPr>
          <w:p>
            <w:pPr>
              <w:spacing w:after="0"/>
              <w:rPr>
                <w:sz w:val="12"/>
                <w:szCs w:val="12"/>
                <w:color w:val="auto"/>
              </w:rPr>
            </w:pPr>
          </w:p>
        </w:tc>
        <w:tc>
          <w:tcPr>
            <w:tcW w:w="1360" w:type="dxa"/>
            <w:vAlign w:val="bottom"/>
            <w:shd w:val="clear" w:color="auto" w:fill="465E66"/>
          </w:tcPr>
          <w:p>
            <w:pPr>
              <w:jc w:val="right"/>
              <w:ind w:right="403"/>
              <w:spacing w:after="0" w:line="149" w:lineRule="exact"/>
              <w:rPr>
                <w:sz w:val="20"/>
                <w:szCs w:val="20"/>
                <w:color w:val="auto"/>
              </w:rPr>
            </w:pPr>
            <w:r>
              <w:rPr>
                <w:rFonts w:ascii="Arial" w:cs="Arial" w:eastAsia="Arial" w:hAnsi="Arial"/>
                <w:sz w:val="14"/>
                <w:szCs w:val="14"/>
                <w:b w:val="1"/>
                <w:bCs w:val="1"/>
                <w:color w:val="FFFFFF"/>
              </w:rPr>
              <w:t>Cause</w:t>
            </w: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89"/>
        </w:trPr>
        <w:tc>
          <w:tcPr>
            <w:tcW w:w="2500" w:type="dxa"/>
            <w:vAlign w:val="bottom"/>
            <w:shd w:val="clear" w:color="auto" w:fill="465E66"/>
          </w:tcPr>
          <w:p>
            <w:pPr>
              <w:spacing w:after="0"/>
              <w:rPr>
                <w:sz w:val="16"/>
                <w:szCs w:val="16"/>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4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465E66"/>
          </w:tcPr>
          <w:p>
            <w:pPr>
              <w:jc w:val="right"/>
              <w:ind w:right="622"/>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465E66"/>
          </w:tcPr>
          <w:p>
            <w:pPr>
              <w:jc w:val="right"/>
              <w:ind w:right="523"/>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Compensation:</w:t>
            </w:r>
          </w:p>
        </w:tc>
        <w:tc>
          <w:tcPr>
            <w:tcW w:w="1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Base Salary</w:t>
            </w:r>
          </w:p>
        </w:tc>
        <w:tc>
          <w:tcPr>
            <w:tcW w:w="1460" w:type="dxa"/>
            <w:vAlign w:val="bottom"/>
          </w:tcPr>
          <w:p>
            <w:pPr>
              <w:jc w:val="center"/>
              <w:spacing w:after="0"/>
              <w:rPr>
                <w:sz w:val="20"/>
                <w:szCs w:val="20"/>
                <w:color w:val="auto"/>
              </w:rPr>
            </w:pPr>
            <w:r>
              <w:rPr>
                <w:rFonts w:ascii="Arial" w:cs="Arial" w:eastAsia="Arial" w:hAnsi="Arial"/>
                <w:sz w:val="16"/>
                <w:szCs w:val="16"/>
                <w:color w:val="auto"/>
              </w:rPr>
              <w:t>450,000 (1)</w:t>
            </w:r>
          </w:p>
        </w:tc>
        <w:tc>
          <w:tcPr>
            <w:tcW w:w="1480" w:type="dxa"/>
            <w:vAlign w:val="bottom"/>
          </w:tcPr>
          <w:p>
            <w:pPr>
              <w:jc w:val="center"/>
              <w:spacing w:after="0"/>
              <w:rPr>
                <w:sz w:val="20"/>
                <w:szCs w:val="20"/>
                <w:color w:val="auto"/>
              </w:rPr>
            </w:pPr>
            <w:r>
              <w:rPr>
                <w:rFonts w:ascii="Arial" w:cs="Arial" w:eastAsia="Arial" w:hAnsi="Arial"/>
                <w:sz w:val="16"/>
                <w:szCs w:val="16"/>
                <w:color w:val="auto"/>
              </w:rPr>
              <w:t>450,000 (1)</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Incentive</w:t>
            </w:r>
          </w:p>
        </w:tc>
        <w:tc>
          <w:tcPr>
            <w:tcW w:w="14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723,155 (2)</w:t>
            </w:r>
          </w:p>
        </w:tc>
        <w:tc>
          <w:tcPr>
            <w:tcW w:w="14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382,500 (2)</w:t>
            </w:r>
          </w:p>
        </w:tc>
        <w:tc>
          <w:tcPr>
            <w:tcW w:w="14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DBDBDB"/>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Long-Term Incentive:</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Acceleration or Continued Vesting</w:t>
            </w:r>
          </w:p>
        </w:tc>
        <w:tc>
          <w:tcPr>
            <w:tcW w:w="146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3,455,735 (3)</w:t>
            </w:r>
          </w:p>
        </w:tc>
        <w:tc>
          <w:tcPr>
            <w:tcW w:w="14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1520" w:type="dxa"/>
            <w:vAlign w:val="bottom"/>
            <w:vMerge w:val="restart"/>
            <w:shd w:val="clear" w:color="auto" w:fill="DBDBDB"/>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DBDBDB"/>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of Unvested Equity Awards</w:t>
            </w:r>
          </w:p>
        </w:tc>
        <w:tc>
          <w:tcPr>
            <w:tcW w:w="1460" w:type="dxa"/>
            <w:vAlign w:val="bottom"/>
            <w:vMerge w:val="continue"/>
            <w:shd w:val="clear" w:color="auto" w:fill="DBDBDB"/>
          </w:tcPr>
          <w:p>
            <w:pPr>
              <w:spacing w:after="0"/>
              <w:rPr>
                <w:sz w:val="14"/>
                <w:szCs w:val="14"/>
                <w:color w:val="auto"/>
              </w:rPr>
            </w:pPr>
          </w:p>
        </w:tc>
        <w:tc>
          <w:tcPr>
            <w:tcW w:w="1480" w:type="dxa"/>
            <w:vAlign w:val="bottom"/>
            <w:vMerge w:val="continue"/>
            <w:shd w:val="clear" w:color="auto" w:fill="DBDBDB"/>
          </w:tcPr>
          <w:p>
            <w:pPr>
              <w:spacing w:after="0"/>
              <w:rPr>
                <w:sz w:val="14"/>
                <w:szCs w:val="14"/>
                <w:color w:val="auto"/>
              </w:rPr>
            </w:pPr>
          </w:p>
        </w:tc>
        <w:tc>
          <w:tcPr>
            <w:tcW w:w="1420" w:type="dxa"/>
            <w:vAlign w:val="bottom"/>
            <w:vMerge w:val="continue"/>
            <w:shd w:val="clear" w:color="auto" w:fill="DBDBDB"/>
          </w:tcPr>
          <w:p>
            <w:pPr>
              <w:spacing w:after="0"/>
              <w:rPr>
                <w:sz w:val="14"/>
                <w:szCs w:val="14"/>
                <w:color w:val="auto"/>
              </w:rPr>
            </w:pPr>
          </w:p>
        </w:tc>
        <w:tc>
          <w:tcPr>
            <w:tcW w:w="1520" w:type="dxa"/>
            <w:vAlign w:val="bottom"/>
            <w:vMerge w:val="continue"/>
            <w:shd w:val="clear" w:color="auto" w:fill="DBDBDB"/>
          </w:tcPr>
          <w:p>
            <w:pPr>
              <w:spacing w:after="0"/>
              <w:rPr>
                <w:sz w:val="14"/>
                <w:szCs w:val="14"/>
                <w:color w:val="auto"/>
              </w:rPr>
            </w:pPr>
          </w:p>
        </w:tc>
        <w:tc>
          <w:tcPr>
            <w:tcW w:w="1360" w:type="dxa"/>
            <w:vAlign w:val="bottom"/>
            <w:vMerge w:val="continue"/>
            <w:shd w:val="clear" w:color="auto" w:fill="DBDBDB"/>
          </w:tcPr>
          <w:p>
            <w:pPr>
              <w:spacing w:after="0"/>
              <w:rPr>
                <w:sz w:val="14"/>
                <w:szCs w:val="14"/>
                <w:color w:val="auto"/>
              </w:rPr>
            </w:pPr>
          </w:p>
        </w:tc>
        <w:tc>
          <w:tcPr>
            <w:tcW w:w="15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(RSUs or PBRSUs)</w:t>
            </w:r>
          </w:p>
        </w:tc>
        <w:tc>
          <w:tcPr>
            <w:tcW w:w="1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w:t>
            </w:r>
          </w:p>
        </w:tc>
        <w:tc>
          <w:tcPr>
            <w:tcW w:w="1460" w:type="dxa"/>
            <w:vAlign w:val="bottom"/>
          </w:tcPr>
          <w:p>
            <w:pPr>
              <w:jc w:val="center"/>
              <w:spacing w:after="0"/>
              <w:rPr>
                <w:sz w:val="20"/>
                <w:szCs w:val="20"/>
                <w:color w:val="auto"/>
              </w:rPr>
            </w:pPr>
            <w:r>
              <w:rPr>
                <w:rFonts w:ascii="Arial" w:cs="Arial" w:eastAsia="Arial" w:hAnsi="Arial"/>
                <w:sz w:val="16"/>
                <w:szCs w:val="16"/>
                <w:color w:val="auto"/>
              </w:rPr>
              <w:t>1,173,155</w:t>
            </w:r>
          </w:p>
        </w:tc>
        <w:tc>
          <w:tcPr>
            <w:tcW w:w="1480" w:type="dxa"/>
            <w:vAlign w:val="bottom"/>
          </w:tcPr>
          <w:p>
            <w:pPr>
              <w:jc w:val="center"/>
              <w:spacing w:after="0"/>
              <w:rPr>
                <w:sz w:val="20"/>
                <w:szCs w:val="20"/>
                <w:color w:val="auto"/>
              </w:rPr>
            </w:pPr>
            <w:r>
              <w:rPr>
                <w:rFonts w:ascii="Arial" w:cs="Arial" w:eastAsia="Arial" w:hAnsi="Arial"/>
                <w:sz w:val="16"/>
                <w:szCs w:val="16"/>
                <w:color w:val="auto"/>
              </w:rPr>
              <w:t>4,288,235</w:t>
            </w:r>
          </w:p>
        </w:tc>
        <w:tc>
          <w:tcPr>
            <w:tcW w:w="1420" w:type="dxa"/>
            <w:vAlign w:val="bottom"/>
          </w:tcPr>
          <w:p>
            <w:pPr>
              <w:jc w:val="center"/>
              <w:spacing w:after="0"/>
              <w:rPr>
                <w:sz w:val="20"/>
                <w:szCs w:val="20"/>
                <w:color w:val="auto"/>
              </w:rPr>
            </w:pPr>
            <w:r>
              <w:rPr>
                <w:rFonts w:ascii="Arial" w:cs="Arial" w:eastAsia="Arial" w:hAnsi="Arial"/>
                <w:sz w:val="16"/>
                <w:szCs w:val="16"/>
                <w:color w:val="auto"/>
              </w:rPr>
              <w:t>(3)</w:t>
            </w:r>
          </w:p>
        </w:tc>
        <w:tc>
          <w:tcPr>
            <w:tcW w:w="15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right="100" w:hanging="234"/>
        <w:spacing w:after="0" w:line="244" w:lineRule="auto"/>
        <w:tabs>
          <w:tab w:leader="none" w:pos="233"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Jatou’s severance payment following a termination without Cause or a resignation for Good Reason (as defined in his employment agreement), whether or not following a Change in Control, is equal to one year of annual base salary. Mr. Jatou’s base salary at the end of the 2022 fiscal year was $450,000.</w:t>
      </w:r>
    </w:p>
    <w:p>
      <w:pPr>
        <w:spacing w:after="0" w:line="10" w:lineRule="exact"/>
        <w:rPr>
          <w:rFonts w:ascii="Arial" w:cs="Arial" w:eastAsia="Arial" w:hAnsi="Arial"/>
          <w:sz w:val="14"/>
          <w:szCs w:val="14"/>
          <w:color w:val="auto"/>
        </w:rPr>
      </w:pPr>
    </w:p>
    <w:p>
      <w:pPr>
        <w:ind w:left="260" w:right="80" w:hanging="234"/>
        <w:spacing w:after="0"/>
        <w:tabs>
          <w:tab w:leader="none" w:pos="233"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the event that we terminate Mr. Jatou’s employment without Cause, or he resigns for Good Reason, other than in connection with a Change in Control, Mr. Jatou is entitled to any STI award earned but unpaid for the performance cycle immediately preceding the date of termination and a pro rata portion of his STI award, if any, for the then-current performance cycle based on actual achievement of the applicable performance criteria. For purposes of this column, we have assumed that Mr. Jatou’s date of termination was December 31, 2022, that the applicable performance cycle for the prorated STI award entitlement was the 2022 STI program and that his STI award under the 2022 STI program was earned but unpaid at that time. Mr. Jatou’s earned STI award for 2022 was $723,155. In addition to other benefits provided in his employment agreement, if Mr. Jatou’s employment had been terminated on December 31, 2022 by the Company without Cause or by Mr. Jatou for Good Reason within 24 months following a Change in Control, he would have been entitled to a cash payment equal to his total annual target STI award under the 2022 STI program. For 2022, his target STI award was $382,500.</w:t>
      </w:r>
    </w:p>
    <w:p>
      <w:pPr>
        <w:spacing w:after="0" w:line="74" w:lineRule="exact"/>
        <w:rPr>
          <w:rFonts w:ascii="Arial" w:cs="Arial" w:eastAsia="Arial" w:hAnsi="Arial"/>
          <w:sz w:val="14"/>
          <w:szCs w:val="14"/>
          <w:color w:val="auto"/>
        </w:rPr>
      </w:pPr>
    </w:p>
    <w:p>
      <w:pPr>
        <w:ind w:left="260" w:right="120" w:hanging="234"/>
        <w:spacing w:after="0"/>
        <w:tabs>
          <w:tab w:leader="none" w:pos="233" w:val="left"/>
        </w:tabs>
        <w:numPr>
          <w:ilvl w:val="0"/>
          <w:numId w:val="84"/>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2022 and the exercise price, if any, of unvested options, RSUs or PBRSUs (including any 2021 and 2022 PBRSUs) for which vesting might be accelerated.</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54</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9" w:name="page60"/>
    <w:bookmarkEnd w:id="59"/>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Robert Tong</w:t>
      </w:r>
      <w:r>
        <w:rPr>
          <w:rFonts w:ascii="Arial" w:cs="Arial" w:eastAsia="Arial" w:hAnsi="Arial"/>
          <w:sz w:val="18"/>
          <w:szCs w:val="18"/>
          <w:i w:val="1"/>
          <w:iCs w:val="1"/>
          <w:color w:val="auto"/>
        </w:rPr>
        <w:t>, our Senior Vice President and General Manager, Advanced Solutions Group.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shd w:val="clear" w:color="auto" w:fill="465E66"/>
          </w:tcPr>
          <w:p>
            <w:pPr>
              <w:spacing w:after="0"/>
              <w:rPr>
                <w:sz w:val="14"/>
                <w:szCs w:val="14"/>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Termination Without</w:t>
            </w:r>
          </w:p>
        </w:tc>
        <w:tc>
          <w:tcPr>
            <w:tcW w:w="14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420" w:type="dxa"/>
            <w:vAlign w:val="bottom"/>
            <w:shd w:val="clear" w:color="auto" w:fill="465E66"/>
          </w:tcPr>
          <w:p>
            <w:pPr>
              <w:spacing w:after="0"/>
              <w:rPr>
                <w:sz w:val="14"/>
                <w:szCs w:val="14"/>
                <w:color w:val="auto"/>
              </w:rPr>
            </w:pPr>
          </w:p>
        </w:tc>
        <w:tc>
          <w:tcPr>
            <w:tcW w:w="1520" w:type="dxa"/>
            <w:vAlign w:val="bottom"/>
            <w:shd w:val="clear" w:color="auto" w:fill="465E66"/>
          </w:tcPr>
          <w:p>
            <w:pPr>
              <w:spacing w:after="0"/>
              <w:rPr>
                <w:sz w:val="14"/>
                <w:szCs w:val="14"/>
                <w:color w:val="auto"/>
              </w:rPr>
            </w:pPr>
          </w:p>
        </w:tc>
        <w:tc>
          <w:tcPr>
            <w:tcW w:w="1360" w:type="dxa"/>
            <w:vAlign w:val="bottom"/>
            <w:shd w:val="clear" w:color="auto" w:fill="465E66"/>
          </w:tcPr>
          <w:p>
            <w:pPr>
              <w:spacing w:after="0"/>
              <w:rPr>
                <w:sz w:val="14"/>
                <w:szCs w:val="14"/>
                <w:color w:val="auto"/>
              </w:rPr>
            </w:pPr>
          </w:p>
        </w:tc>
        <w:tc>
          <w:tcPr>
            <w:tcW w:w="15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Resignation other</w:t>
            </w:r>
          </w:p>
        </w:tc>
        <w:tc>
          <w:tcPr>
            <w:tcW w:w="0" w:type="dxa"/>
            <w:vAlign w:val="bottom"/>
          </w:tcPr>
          <w:p>
            <w:pPr>
              <w:spacing w:after="0"/>
              <w:rPr>
                <w:sz w:val="1"/>
                <w:szCs w:val="1"/>
                <w:color w:val="auto"/>
              </w:rPr>
            </w:pPr>
          </w:p>
        </w:tc>
      </w:tr>
      <w:tr>
        <w:trPr>
          <w:trHeight w:val="135"/>
        </w:trPr>
        <w:tc>
          <w:tcPr>
            <w:tcW w:w="2500" w:type="dxa"/>
            <w:vAlign w:val="bottom"/>
            <w:shd w:val="clear" w:color="auto" w:fill="465E66"/>
          </w:tcPr>
          <w:p>
            <w:pPr>
              <w:spacing w:after="0"/>
              <w:rPr>
                <w:sz w:val="11"/>
                <w:szCs w:val="11"/>
                <w:color w:val="auto"/>
              </w:rPr>
            </w:pPr>
          </w:p>
        </w:tc>
        <w:tc>
          <w:tcPr>
            <w:tcW w:w="146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Cause or</w:t>
            </w:r>
          </w:p>
        </w:tc>
        <w:tc>
          <w:tcPr>
            <w:tcW w:w="1480" w:type="dxa"/>
            <w:vAlign w:val="bottom"/>
            <w:vMerge w:val="continue"/>
            <w:shd w:val="clear" w:color="auto" w:fill="465E66"/>
          </w:tcPr>
          <w:p>
            <w:pPr>
              <w:spacing w:after="0"/>
              <w:rPr>
                <w:sz w:val="11"/>
                <w:szCs w:val="11"/>
                <w:color w:val="auto"/>
              </w:rPr>
            </w:pPr>
          </w:p>
        </w:tc>
        <w:tc>
          <w:tcPr>
            <w:tcW w:w="1420" w:type="dxa"/>
            <w:vAlign w:val="bottom"/>
            <w:shd w:val="clear" w:color="auto" w:fill="465E66"/>
          </w:tcPr>
          <w:p>
            <w:pPr>
              <w:spacing w:after="0"/>
              <w:rPr>
                <w:sz w:val="11"/>
                <w:szCs w:val="11"/>
                <w:color w:val="auto"/>
              </w:rPr>
            </w:pPr>
          </w:p>
        </w:tc>
        <w:tc>
          <w:tcPr>
            <w:tcW w:w="1520" w:type="dxa"/>
            <w:vAlign w:val="bottom"/>
            <w:shd w:val="clear" w:color="auto" w:fill="465E66"/>
          </w:tcPr>
          <w:p>
            <w:pPr>
              <w:spacing w:after="0"/>
              <w:rPr>
                <w:sz w:val="11"/>
                <w:szCs w:val="11"/>
                <w:color w:val="auto"/>
              </w:rPr>
            </w:pPr>
          </w:p>
        </w:tc>
        <w:tc>
          <w:tcPr>
            <w:tcW w:w="1360" w:type="dxa"/>
            <w:vAlign w:val="bottom"/>
            <w:vMerge w:val="restart"/>
            <w:shd w:val="clear" w:color="auto" w:fill="465E66"/>
          </w:tcPr>
          <w:p>
            <w:pPr>
              <w:jc w:val="right"/>
              <w:ind w:right="83"/>
              <w:spacing w:after="0"/>
              <w:rPr>
                <w:sz w:val="20"/>
                <w:szCs w:val="20"/>
                <w:color w:val="auto"/>
              </w:rPr>
            </w:pPr>
            <w:r>
              <w:rPr>
                <w:rFonts w:ascii="Arial" w:cs="Arial" w:eastAsia="Arial" w:hAnsi="Arial"/>
                <w:sz w:val="14"/>
                <w:szCs w:val="14"/>
                <w:b w:val="1"/>
                <w:bCs w:val="1"/>
                <w:color w:val="FFFFFF"/>
              </w:rPr>
              <w:t>Termination for</w:t>
            </w:r>
          </w:p>
        </w:tc>
        <w:tc>
          <w:tcPr>
            <w:tcW w:w="1500" w:type="dxa"/>
            <w:vAlign w:val="bottom"/>
            <w:vMerge w:val="continue"/>
            <w:shd w:val="clear" w:color="auto" w:fill="465E66"/>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Resignation for</w:t>
            </w:r>
          </w:p>
        </w:tc>
        <w:tc>
          <w:tcPr>
            <w:tcW w:w="14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Following a Change</w:t>
            </w:r>
          </w:p>
        </w:tc>
        <w:tc>
          <w:tcPr>
            <w:tcW w:w="142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Change in Control</w:t>
            </w:r>
          </w:p>
        </w:tc>
        <w:tc>
          <w:tcPr>
            <w:tcW w:w="1520" w:type="dxa"/>
            <w:vAlign w:val="bottom"/>
            <w:vMerge w:val="restart"/>
            <w:shd w:val="clear" w:color="auto" w:fill="465E66"/>
          </w:tcPr>
          <w:p>
            <w:pPr>
              <w:jc w:val="right"/>
              <w:ind w:right="82"/>
              <w:spacing w:after="0"/>
              <w:rPr>
                <w:sz w:val="20"/>
                <w:szCs w:val="20"/>
                <w:color w:val="auto"/>
              </w:rPr>
            </w:pPr>
            <w:r>
              <w:rPr>
                <w:rFonts w:ascii="Arial" w:cs="Arial" w:eastAsia="Arial" w:hAnsi="Arial"/>
                <w:sz w:val="14"/>
                <w:szCs w:val="14"/>
                <w:b w:val="1"/>
                <w:bCs w:val="1"/>
                <w:color w:val="FFFFFF"/>
              </w:rPr>
              <w:t>Death or Disability</w:t>
            </w:r>
          </w:p>
        </w:tc>
        <w:tc>
          <w:tcPr>
            <w:tcW w:w="1360" w:type="dxa"/>
            <w:vAlign w:val="bottom"/>
            <w:vMerge w:val="continue"/>
            <w:shd w:val="clear" w:color="auto" w:fill="465E66"/>
          </w:tcPr>
          <w:p>
            <w:pPr>
              <w:spacing w:after="0"/>
              <w:rPr>
                <w:sz w:val="12"/>
                <w:szCs w:val="12"/>
                <w:color w:val="auto"/>
              </w:rPr>
            </w:pP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than for Good</w:t>
            </w:r>
          </w:p>
        </w:tc>
        <w:tc>
          <w:tcPr>
            <w:tcW w:w="0" w:type="dxa"/>
            <w:vAlign w:val="bottom"/>
          </w:tcPr>
          <w:p>
            <w:pPr>
              <w:spacing w:after="0"/>
              <w:rPr>
                <w:sz w:val="1"/>
                <w:szCs w:val="1"/>
                <w:color w:val="auto"/>
              </w:rPr>
            </w:pPr>
          </w:p>
        </w:tc>
      </w:tr>
      <w:tr>
        <w:trPr>
          <w:trHeight w:val="148"/>
        </w:trPr>
        <w:tc>
          <w:tcPr>
            <w:tcW w:w="2500" w:type="dxa"/>
            <w:vAlign w:val="bottom"/>
            <w:shd w:val="clear" w:color="auto" w:fill="465E66"/>
          </w:tcPr>
          <w:p>
            <w:pPr>
              <w:spacing w:after="0"/>
              <w:rPr>
                <w:sz w:val="12"/>
                <w:szCs w:val="12"/>
                <w:color w:val="auto"/>
              </w:rPr>
            </w:pPr>
          </w:p>
        </w:tc>
        <w:tc>
          <w:tcPr>
            <w:tcW w:w="14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Good Reason</w:t>
            </w:r>
          </w:p>
        </w:tc>
        <w:tc>
          <w:tcPr>
            <w:tcW w:w="14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in Control</w:t>
            </w:r>
          </w:p>
        </w:tc>
        <w:tc>
          <w:tcPr>
            <w:tcW w:w="1420" w:type="dxa"/>
            <w:vAlign w:val="bottom"/>
            <w:vMerge w:val="continue"/>
            <w:shd w:val="clear" w:color="auto" w:fill="465E66"/>
          </w:tcPr>
          <w:p>
            <w:pPr>
              <w:spacing w:after="0"/>
              <w:rPr>
                <w:sz w:val="12"/>
                <w:szCs w:val="12"/>
                <w:color w:val="auto"/>
              </w:rPr>
            </w:pPr>
          </w:p>
        </w:tc>
        <w:tc>
          <w:tcPr>
            <w:tcW w:w="1520" w:type="dxa"/>
            <w:vAlign w:val="bottom"/>
            <w:vMerge w:val="continue"/>
            <w:shd w:val="clear" w:color="auto" w:fill="465E66"/>
          </w:tcPr>
          <w:p>
            <w:pPr>
              <w:spacing w:after="0"/>
              <w:rPr>
                <w:sz w:val="12"/>
                <w:szCs w:val="12"/>
                <w:color w:val="auto"/>
              </w:rPr>
            </w:pPr>
          </w:p>
        </w:tc>
        <w:tc>
          <w:tcPr>
            <w:tcW w:w="1360" w:type="dxa"/>
            <w:vAlign w:val="bottom"/>
            <w:shd w:val="clear" w:color="auto" w:fill="465E66"/>
          </w:tcPr>
          <w:p>
            <w:pPr>
              <w:jc w:val="right"/>
              <w:ind w:right="403"/>
              <w:spacing w:after="0" w:line="149" w:lineRule="exact"/>
              <w:rPr>
                <w:sz w:val="20"/>
                <w:szCs w:val="20"/>
                <w:color w:val="auto"/>
              </w:rPr>
            </w:pPr>
            <w:r>
              <w:rPr>
                <w:rFonts w:ascii="Arial" w:cs="Arial" w:eastAsia="Arial" w:hAnsi="Arial"/>
                <w:sz w:val="14"/>
                <w:szCs w:val="14"/>
                <w:b w:val="1"/>
                <w:bCs w:val="1"/>
                <w:color w:val="FFFFFF"/>
              </w:rPr>
              <w:t>Cause</w:t>
            </w: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89"/>
        </w:trPr>
        <w:tc>
          <w:tcPr>
            <w:tcW w:w="2500" w:type="dxa"/>
            <w:vAlign w:val="bottom"/>
            <w:shd w:val="clear" w:color="auto" w:fill="465E66"/>
          </w:tcPr>
          <w:p>
            <w:pPr>
              <w:spacing w:after="0"/>
              <w:rPr>
                <w:sz w:val="16"/>
                <w:szCs w:val="16"/>
                <w:color w:val="auto"/>
              </w:rPr>
            </w:pPr>
          </w:p>
        </w:tc>
        <w:tc>
          <w:tcPr>
            <w:tcW w:w="14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4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465E66"/>
          </w:tcPr>
          <w:p>
            <w:pPr>
              <w:jc w:val="right"/>
              <w:ind w:right="622"/>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465E66"/>
          </w:tcPr>
          <w:p>
            <w:pPr>
              <w:jc w:val="right"/>
              <w:ind w:right="523"/>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Compensation:</w:t>
            </w:r>
          </w:p>
        </w:tc>
        <w:tc>
          <w:tcPr>
            <w:tcW w:w="1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Base Salary</w:t>
            </w:r>
          </w:p>
        </w:tc>
        <w:tc>
          <w:tcPr>
            <w:tcW w:w="1460" w:type="dxa"/>
            <w:vAlign w:val="bottom"/>
          </w:tcPr>
          <w:p>
            <w:pPr>
              <w:jc w:val="center"/>
              <w:spacing w:after="0"/>
              <w:rPr>
                <w:sz w:val="20"/>
                <w:szCs w:val="20"/>
                <w:color w:val="auto"/>
              </w:rPr>
            </w:pPr>
            <w:r>
              <w:rPr>
                <w:rFonts w:ascii="Arial" w:cs="Arial" w:eastAsia="Arial" w:hAnsi="Arial"/>
                <w:sz w:val="16"/>
                <w:szCs w:val="16"/>
                <w:color w:val="auto"/>
              </w:rPr>
              <w:t>450,000 (1)</w:t>
            </w:r>
          </w:p>
        </w:tc>
        <w:tc>
          <w:tcPr>
            <w:tcW w:w="1480" w:type="dxa"/>
            <w:vAlign w:val="bottom"/>
          </w:tcPr>
          <w:p>
            <w:pPr>
              <w:jc w:val="center"/>
              <w:spacing w:after="0"/>
              <w:rPr>
                <w:sz w:val="20"/>
                <w:szCs w:val="20"/>
                <w:color w:val="auto"/>
              </w:rPr>
            </w:pPr>
            <w:r>
              <w:rPr>
                <w:rFonts w:ascii="Arial" w:cs="Arial" w:eastAsia="Arial" w:hAnsi="Arial"/>
                <w:sz w:val="16"/>
                <w:szCs w:val="16"/>
                <w:color w:val="auto"/>
              </w:rPr>
              <w:t>450,000 (1)</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Incentive</w:t>
            </w:r>
          </w:p>
        </w:tc>
        <w:tc>
          <w:tcPr>
            <w:tcW w:w="14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564,668 (2)</w:t>
            </w:r>
          </w:p>
        </w:tc>
        <w:tc>
          <w:tcPr>
            <w:tcW w:w="14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382,500 (2)</w:t>
            </w:r>
          </w:p>
        </w:tc>
        <w:tc>
          <w:tcPr>
            <w:tcW w:w="14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DBDBDB"/>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Long-Term Incentive:</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Acceleration or Continued Vesting</w:t>
            </w:r>
          </w:p>
        </w:tc>
        <w:tc>
          <w:tcPr>
            <w:tcW w:w="146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2,488,438 (3)</w:t>
            </w:r>
          </w:p>
        </w:tc>
        <w:tc>
          <w:tcPr>
            <w:tcW w:w="14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1520" w:type="dxa"/>
            <w:vAlign w:val="bottom"/>
            <w:vMerge w:val="restart"/>
            <w:shd w:val="clear" w:color="auto" w:fill="DBDBDB"/>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DBDBDB"/>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25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of Unvested Equity Awards</w:t>
            </w:r>
          </w:p>
        </w:tc>
        <w:tc>
          <w:tcPr>
            <w:tcW w:w="1460" w:type="dxa"/>
            <w:vAlign w:val="bottom"/>
            <w:vMerge w:val="continue"/>
            <w:shd w:val="clear" w:color="auto" w:fill="DBDBDB"/>
          </w:tcPr>
          <w:p>
            <w:pPr>
              <w:spacing w:after="0"/>
              <w:rPr>
                <w:sz w:val="14"/>
                <w:szCs w:val="14"/>
                <w:color w:val="auto"/>
              </w:rPr>
            </w:pPr>
          </w:p>
        </w:tc>
        <w:tc>
          <w:tcPr>
            <w:tcW w:w="1480" w:type="dxa"/>
            <w:vAlign w:val="bottom"/>
            <w:vMerge w:val="continue"/>
            <w:shd w:val="clear" w:color="auto" w:fill="DBDBDB"/>
          </w:tcPr>
          <w:p>
            <w:pPr>
              <w:spacing w:after="0"/>
              <w:rPr>
                <w:sz w:val="14"/>
                <w:szCs w:val="14"/>
                <w:color w:val="auto"/>
              </w:rPr>
            </w:pPr>
          </w:p>
        </w:tc>
        <w:tc>
          <w:tcPr>
            <w:tcW w:w="1420" w:type="dxa"/>
            <w:vAlign w:val="bottom"/>
            <w:vMerge w:val="continue"/>
            <w:shd w:val="clear" w:color="auto" w:fill="DBDBDB"/>
          </w:tcPr>
          <w:p>
            <w:pPr>
              <w:spacing w:after="0"/>
              <w:rPr>
                <w:sz w:val="14"/>
                <w:szCs w:val="14"/>
                <w:color w:val="auto"/>
              </w:rPr>
            </w:pPr>
          </w:p>
        </w:tc>
        <w:tc>
          <w:tcPr>
            <w:tcW w:w="1520" w:type="dxa"/>
            <w:vAlign w:val="bottom"/>
            <w:vMerge w:val="continue"/>
            <w:shd w:val="clear" w:color="auto" w:fill="DBDBDB"/>
          </w:tcPr>
          <w:p>
            <w:pPr>
              <w:spacing w:after="0"/>
              <w:rPr>
                <w:sz w:val="14"/>
                <w:szCs w:val="14"/>
                <w:color w:val="auto"/>
              </w:rPr>
            </w:pPr>
          </w:p>
        </w:tc>
        <w:tc>
          <w:tcPr>
            <w:tcW w:w="1360" w:type="dxa"/>
            <w:vAlign w:val="bottom"/>
            <w:vMerge w:val="continue"/>
            <w:shd w:val="clear" w:color="auto" w:fill="DBDBDB"/>
          </w:tcPr>
          <w:p>
            <w:pPr>
              <w:spacing w:after="0"/>
              <w:rPr>
                <w:sz w:val="14"/>
                <w:szCs w:val="14"/>
                <w:color w:val="auto"/>
              </w:rPr>
            </w:pPr>
          </w:p>
        </w:tc>
        <w:tc>
          <w:tcPr>
            <w:tcW w:w="15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(RSUs or PBRSUs)</w:t>
            </w:r>
          </w:p>
        </w:tc>
        <w:tc>
          <w:tcPr>
            <w:tcW w:w="1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w:t>
            </w:r>
          </w:p>
        </w:tc>
        <w:tc>
          <w:tcPr>
            <w:tcW w:w="1460" w:type="dxa"/>
            <w:vAlign w:val="bottom"/>
          </w:tcPr>
          <w:p>
            <w:pPr>
              <w:jc w:val="center"/>
              <w:spacing w:after="0"/>
              <w:rPr>
                <w:sz w:val="20"/>
                <w:szCs w:val="20"/>
                <w:color w:val="auto"/>
              </w:rPr>
            </w:pPr>
            <w:r>
              <w:rPr>
                <w:rFonts w:ascii="Arial" w:cs="Arial" w:eastAsia="Arial" w:hAnsi="Arial"/>
                <w:sz w:val="16"/>
                <w:szCs w:val="16"/>
                <w:color w:val="auto"/>
              </w:rPr>
              <w:t>1,014,668</w:t>
            </w:r>
          </w:p>
        </w:tc>
        <w:tc>
          <w:tcPr>
            <w:tcW w:w="1480" w:type="dxa"/>
            <w:vAlign w:val="bottom"/>
          </w:tcPr>
          <w:p>
            <w:pPr>
              <w:jc w:val="center"/>
              <w:spacing w:after="0"/>
              <w:rPr>
                <w:sz w:val="20"/>
                <w:szCs w:val="20"/>
                <w:color w:val="auto"/>
              </w:rPr>
            </w:pPr>
            <w:r>
              <w:rPr>
                <w:rFonts w:ascii="Arial" w:cs="Arial" w:eastAsia="Arial" w:hAnsi="Arial"/>
                <w:sz w:val="16"/>
                <w:szCs w:val="16"/>
                <w:color w:val="auto"/>
              </w:rPr>
              <w:t>3,320,938</w:t>
            </w:r>
          </w:p>
        </w:tc>
        <w:tc>
          <w:tcPr>
            <w:tcW w:w="1420" w:type="dxa"/>
            <w:vAlign w:val="bottom"/>
          </w:tcPr>
          <w:p>
            <w:pPr>
              <w:jc w:val="center"/>
              <w:spacing w:after="0"/>
              <w:rPr>
                <w:sz w:val="20"/>
                <w:szCs w:val="20"/>
                <w:color w:val="auto"/>
              </w:rPr>
            </w:pPr>
            <w:r>
              <w:rPr>
                <w:rFonts w:ascii="Arial" w:cs="Arial" w:eastAsia="Arial" w:hAnsi="Arial"/>
                <w:sz w:val="16"/>
                <w:szCs w:val="16"/>
                <w:color w:val="auto"/>
              </w:rPr>
              <w:t>(3)</w:t>
            </w:r>
          </w:p>
        </w:tc>
        <w:tc>
          <w:tcPr>
            <w:tcW w:w="15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right="140" w:hanging="234"/>
        <w:spacing w:after="0" w:line="244" w:lineRule="auto"/>
        <w:tabs>
          <w:tab w:leader="none" w:pos="233"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Tong’s severance payment following a termination without Cause or a resignation for Good Reason (as defined in his employment agreement), whether or not following a Change in Control, is equal to one year of annual base salary. Mr. Tong’s base salary at the end of the 2022 fiscal year was $450,000.</w:t>
      </w:r>
    </w:p>
    <w:p>
      <w:pPr>
        <w:spacing w:after="0" w:line="10" w:lineRule="exact"/>
        <w:rPr>
          <w:rFonts w:ascii="Arial" w:cs="Arial" w:eastAsia="Arial" w:hAnsi="Arial"/>
          <w:sz w:val="14"/>
          <w:szCs w:val="14"/>
          <w:color w:val="auto"/>
        </w:rPr>
      </w:pPr>
    </w:p>
    <w:p>
      <w:pPr>
        <w:ind w:left="260" w:right="80" w:hanging="234"/>
        <w:spacing w:after="0"/>
        <w:tabs>
          <w:tab w:leader="none" w:pos="233"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 the event that we terminate Mr. Tong’s employment without Cause, or he resigns for Good Reason, other than in connection with a Change in Control, Mr. Tong is entitled to any STI award earned but unpaid for the performance cycle immediately preceding the date of termination and a pro rata portion of his STI award, if any, for the then-current performance cycle based on actual achievement of the applicable performance criteria. For purposes of this column, we have assumed that Mr. Tong’s date of termination was December 31, 2022, that the applicable performance cycle for the prorated STI award entitlement was the 2022 STI program and that his STI award under the 2022 STI program was earned but unpaid at that time. Mr. Tong’s earned STI award for 2022 was $564,668. In addition to other benefits provided in his employment agreement, if Mr. Tong’s employment had been terminated on December 31, 2022 by the Company without Cause or by Mr. Tong for Good Reason within 24 months following a Change in Control, he would have been entitled to a cash payment equal to his total annual target STI award under the 2022 STI program. For 2022, his target STI award was $382,500.</w:t>
      </w:r>
    </w:p>
    <w:p>
      <w:pPr>
        <w:spacing w:after="0" w:line="74" w:lineRule="exact"/>
        <w:rPr>
          <w:rFonts w:ascii="Arial" w:cs="Arial" w:eastAsia="Arial" w:hAnsi="Arial"/>
          <w:sz w:val="14"/>
          <w:szCs w:val="14"/>
          <w:color w:val="auto"/>
        </w:rPr>
      </w:pPr>
    </w:p>
    <w:p>
      <w:pPr>
        <w:ind w:left="260" w:right="120" w:hanging="234"/>
        <w:spacing w:after="0"/>
        <w:tabs>
          <w:tab w:leader="none" w:pos="233" w:val="left"/>
        </w:tabs>
        <w:numPr>
          <w:ilvl w:val="0"/>
          <w:numId w:val="85"/>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2022 and the exercise price, if any, of unvested options, RSUs or PBRSUs (including any 2021 and 2022 PBRSUs) for which vesting might be accelerated.</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i w:val="1"/>
          <w:iCs w:val="1"/>
          <w:color w:val="auto"/>
        </w:rPr>
        <w:t>Vincent C. Hopkin</w:t>
      </w:r>
      <w:r>
        <w:rPr>
          <w:rFonts w:ascii="Arial" w:cs="Arial" w:eastAsia="Arial" w:hAnsi="Arial"/>
          <w:sz w:val="18"/>
          <w:szCs w:val="18"/>
          <w:color w:val="auto"/>
        </w:rPr>
        <w:t>, our former Executive Vice President and General Manager, Advanced Solutions Group, was no longer employed by the Company as of December 31, 2022, he would not be entitled to any payments upon a termination or in connection with a Change in Control as of such date. In connection with Mr. Hopkin’s retirement, the HCC Committee approved the acceleration of vesting of the remainder of the RSUs granted to him in 2021. Lastly, as of December 31, 2022, Mr. Hopkin was eligible to receive continued vesting under his applicable 2020 RSU award agreement in the event of a qualified retirement, and, in the event of a Change in Control after the retirement date, any unvested RSUs would immediately vest as of the date of the Change in Control.</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onsemi 2022 Pay Ratio Disclosure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For 2022:</w:t>
      </w:r>
    </w:p>
    <w:p>
      <w:pPr>
        <w:spacing w:after="0" w:line="239"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(other than Mr. El-Khoury, our CEO) was $16,050;</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annual total compensation of our median U.S.-based non-manufacturing employee (other than Mr. El-Khoury) was $163,001; and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annual total compensation of Mr. El-Khoury, as reported in our SCT, was $16,519,702.</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this information, for 2022, the ratios of the annual total compensation of Mr. El-Khoury to the annual total compensation of our median employee and to the annual total compensation of our median U.S.-based non-manufacturing employee were 1,029 to 1 and 101 to 1,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calculated these pay ratios using the following assumptions and principles: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 for Determining our Median Employees</w:t>
      </w:r>
      <w:r>
        <w:rPr>
          <w:rFonts w:ascii="Arial" w:cs="Arial" w:eastAsia="Arial" w:hAnsi="Arial"/>
          <w:sz w:val="18"/>
          <w:szCs w:val="18"/>
          <w:color w:val="auto"/>
        </w:rPr>
        <w:t>. To determine our median employee and our median U.S. non-manufacturing</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employee, we surveyed our global employee population as of December 1, 2022 from our human resources system of record, using cash compensation as the basis for comparison. We define cash compensation as base pay, overtime pay and STI compensation, which includes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all commissions and bonuses. We did not annualize the compensation of any employees who did not work for us or our consolidated subsidiaries for the full year. As a significant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percentage of our workforce is based outside the U.S., we converted amounts paid in foreign currency to U.S. dollars using our calculated corporate treasury exchange rate for February 2023 but did not make any cost-of-living adjustments. We excluded the value of annual equity awards and certain employee allowances, as those items are neither widely nor uniformly distributed across our employee population and thus do not reasonably reflect the annual compensation of our employees. This methodology was consistent with the methodology we used for the 2020 fiscal year, the last year in which we identified new median employees, except that we moved our measurement date from October 1 to December 1 and, for purposes of converting amounts paid in foreign currency, we used our calculated corporate treasury exchange rate for February instead of January of the filing year.</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Identification of Our Median Employees</w:t>
      </w:r>
      <w:r>
        <w:rPr>
          <w:rFonts w:ascii="Arial" w:cs="Arial" w:eastAsia="Arial" w:hAnsi="Arial"/>
          <w:sz w:val="18"/>
          <w:szCs w:val="18"/>
          <w:color w:val="auto"/>
        </w:rPr>
        <w:t>. Using the methodology described above, we determined that the median employee was a full-time operator located in Malaysia and the median U.S. non-manufacturing employee was a systems analyst located in Scottsdale, Arizona.</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Calculating Total Compensation for Our Median Employees</w:t>
      </w:r>
      <w:r>
        <w:rPr>
          <w:rFonts w:ascii="Arial" w:cs="Arial" w:eastAsia="Arial" w:hAnsi="Arial"/>
          <w:sz w:val="18"/>
          <w:szCs w:val="18"/>
          <w:color w:val="auto"/>
        </w:rPr>
        <w:t>. For purposes of determining the pay ratios, we calculated annual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each of our median employees using the same methodology we use for our NEOs in the SCT.</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these pay ratios are reasonable estimates calculated in a manner consistent with SEC rules. Because SEC rules for identifying the median employee and calculating the pay ratio allow companies to adopt a variety of methodologies, to apply certain exclusions and to make reasonable estimates and assumptions that reflect their compensation practices and workforce composition, the pay ratios reported by other companies may not be comparable to ours.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2022 Pay versus Performance</w:t>
      </w:r>
    </w:p>
    <w:p>
      <w:pPr>
        <w:spacing w:after="0" w:line="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table below compares the pay of our principal executive officer (PEO) and the average pay of all other NEOs to our performance on certain metrics during each of the last three fiscal years (2020, 2021 and 2022). In this table, executive pay is presented in two ways: (1) total compensation as disclosed in the SCT for the relevant year and (2) “compensation actually paid” (CAP) for the same year, calculated as required by SEC rules, which is intended to, among other things, adjust SCT totals to capture actual payouts from equity awards vesting during a given year as well as year-over-year changes in the value of unvested equity awards that are outstanding at the end of that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Graphs illustrating of the relationship between executive pay and each of these metrics are located below the table.</w:t>
      </w:r>
    </w:p>
    <w:p>
      <w:pPr>
        <w:spacing w:after="0" w:line="23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For further information regarding our pay-for-performance philosophy and how we align executive compensation with our performance, please see our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56</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1" w:name="page62"/>
    <w:bookmarkEnd w:id="61"/>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 w:type="dxa"/>
            <w:vAlign w:val="bottom"/>
            <w:shd w:val="clear" w:color="auto" w:fill="465E66"/>
          </w:tcPr>
          <w:p>
            <w:pPr>
              <w:spacing w:after="0"/>
              <w:rPr>
                <w:sz w:val="17"/>
                <w:szCs w:val="17"/>
                <w:color w:val="auto"/>
              </w:rPr>
            </w:pPr>
          </w:p>
        </w:tc>
        <w:tc>
          <w:tcPr>
            <w:tcW w:w="1040" w:type="dxa"/>
            <w:vAlign w:val="bottom"/>
            <w:shd w:val="clear" w:color="auto" w:fill="465E66"/>
          </w:tcPr>
          <w:p>
            <w:pPr>
              <w:spacing w:after="0"/>
              <w:rPr>
                <w:sz w:val="17"/>
                <w:szCs w:val="17"/>
                <w:color w:val="auto"/>
              </w:rPr>
            </w:pPr>
          </w:p>
        </w:tc>
        <w:tc>
          <w:tcPr>
            <w:tcW w:w="900" w:type="dxa"/>
            <w:vAlign w:val="bottom"/>
            <w:shd w:val="clear" w:color="auto" w:fill="465E66"/>
          </w:tcPr>
          <w:p>
            <w:pPr>
              <w:spacing w:after="0"/>
              <w:rPr>
                <w:sz w:val="17"/>
                <w:szCs w:val="17"/>
                <w:color w:val="auto"/>
              </w:rPr>
            </w:pPr>
          </w:p>
        </w:tc>
        <w:tc>
          <w:tcPr>
            <w:tcW w:w="1040" w:type="dxa"/>
            <w:vAlign w:val="bottom"/>
            <w:shd w:val="clear" w:color="auto" w:fill="465E66"/>
          </w:tcPr>
          <w:p>
            <w:pPr>
              <w:spacing w:after="0"/>
              <w:rPr>
                <w:sz w:val="17"/>
                <w:szCs w:val="17"/>
                <w:color w:val="auto"/>
              </w:rPr>
            </w:pPr>
          </w:p>
        </w:tc>
        <w:tc>
          <w:tcPr>
            <w:tcW w:w="740" w:type="dxa"/>
            <w:vAlign w:val="bottom"/>
            <w:shd w:val="clear" w:color="auto" w:fill="465E66"/>
          </w:tcPr>
          <w:p>
            <w:pPr>
              <w:spacing w:after="0"/>
              <w:rPr>
                <w:sz w:val="17"/>
                <w:szCs w:val="17"/>
                <w:color w:val="auto"/>
              </w:rPr>
            </w:pPr>
          </w:p>
        </w:tc>
        <w:tc>
          <w:tcPr>
            <w:tcW w:w="2580" w:type="dxa"/>
            <w:vAlign w:val="bottom"/>
            <w:gridSpan w:val="2"/>
            <w:shd w:val="clear" w:color="auto" w:fill="465E66"/>
          </w:tcPr>
          <w:p>
            <w:pPr>
              <w:ind w:left="20"/>
              <w:spacing w:after="0"/>
              <w:rPr>
                <w:sz w:val="20"/>
                <w:szCs w:val="20"/>
                <w:color w:val="auto"/>
              </w:rPr>
            </w:pPr>
            <w:r>
              <w:rPr>
                <w:rFonts w:ascii="Arial" w:cs="Arial" w:eastAsia="Arial" w:hAnsi="Arial"/>
                <w:sz w:val="14"/>
                <w:szCs w:val="14"/>
                <w:b w:val="1"/>
                <w:bCs w:val="1"/>
                <w:color w:val="FFFFFF"/>
              </w:rPr>
              <w:t>Pay versus Performance Table</w:t>
            </w:r>
          </w:p>
        </w:tc>
        <w:tc>
          <w:tcPr>
            <w:tcW w:w="1160" w:type="dxa"/>
            <w:vAlign w:val="bottom"/>
            <w:shd w:val="clear" w:color="auto" w:fill="465E66"/>
          </w:tcPr>
          <w:p>
            <w:pPr>
              <w:spacing w:after="0"/>
              <w:rPr>
                <w:sz w:val="17"/>
                <w:szCs w:val="17"/>
                <w:color w:val="auto"/>
              </w:rPr>
            </w:pPr>
          </w:p>
        </w:tc>
        <w:tc>
          <w:tcPr>
            <w:tcW w:w="1060" w:type="dxa"/>
            <w:vAlign w:val="bottom"/>
            <w:shd w:val="clear" w:color="auto" w:fill="465E66"/>
          </w:tcPr>
          <w:p>
            <w:pPr>
              <w:spacing w:after="0"/>
              <w:rPr>
                <w:sz w:val="17"/>
                <w:szCs w:val="17"/>
                <w:color w:val="auto"/>
              </w:rPr>
            </w:pPr>
          </w:p>
        </w:tc>
        <w:tc>
          <w:tcPr>
            <w:tcW w:w="940" w:type="dxa"/>
            <w:vAlign w:val="bottom"/>
            <w:shd w:val="clear" w:color="auto" w:fill="465E66"/>
          </w:tcPr>
          <w:p>
            <w:pPr>
              <w:spacing w:after="0"/>
              <w:rPr>
                <w:sz w:val="17"/>
                <w:szCs w:val="17"/>
                <w:color w:val="auto"/>
              </w:rPr>
            </w:pPr>
          </w:p>
        </w:tc>
        <w:tc>
          <w:tcPr>
            <w:tcW w:w="94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shd w:val="clear" w:color="auto" w:fill="465E66"/>
          </w:tcPr>
          <w:p>
            <w:pPr>
              <w:spacing w:after="0"/>
              <w:rPr>
                <w:sz w:val="13"/>
                <w:szCs w:val="13"/>
                <w:color w:val="auto"/>
              </w:rPr>
            </w:pPr>
          </w:p>
        </w:tc>
        <w:tc>
          <w:tcPr>
            <w:tcW w:w="1940" w:type="dxa"/>
            <w:vAlign w:val="bottom"/>
            <w:gridSpan w:val="2"/>
            <w:vMerge w:val="restart"/>
            <w:shd w:val="clear" w:color="auto" w:fill="465E66"/>
          </w:tcPr>
          <w:p>
            <w:pPr>
              <w:jc w:val="right"/>
              <w:ind w:right="348"/>
              <w:spacing w:after="0"/>
              <w:rPr>
                <w:sz w:val="20"/>
                <w:szCs w:val="20"/>
                <w:color w:val="auto"/>
              </w:rPr>
            </w:pPr>
            <w:r>
              <w:rPr>
                <w:rFonts w:ascii="Arial" w:cs="Arial" w:eastAsia="Arial" w:hAnsi="Arial"/>
                <w:sz w:val="14"/>
                <w:szCs w:val="14"/>
                <w:b w:val="1"/>
                <w:bCs w:val="1"/>
                <w:color w:val="FFFFFF"/>
              </w:rPr>
              <w:t>Current PEO (1)</w:t>
            </w:r>
          </w:p>
        </w:tc>
        <w:tc>
          <w:tcPr>
            <w:tcW w:w="1780" w:type="dxa"/>
            <w:vAlign w:val="bottom"/>
            <w:gridSpan w:val="2"/>
            <w:vMerge w:val="restart"/>
            <w:shd w:val="clear" w:color="auto" w:fill="465E66"/>
          </w:tcPr>
          <w:p>
            <w:pPr>
              <w:jc w:val="right"/>
              <w:ind w:right="288"/>
              <w:spacing w:after="0"/>
              <w:rPr>
                <w:sz w:val="20"/>
                <w:szCs w:val="20"/>
                <w:color w:val="auto"/>
              </w:rPr>
            </w:pPr>
            <w:r>
              <w:rPr>
                <w:rFonts w:ascii="Arial" w:cs="Arial" w:eastAsia="Arial" w:hAnsi="Arial"/>
                <w:sz w:val="14"/>
                <w:szCs w:val="14"/>
                <w:b w:val="1"/>
                <w:bCs w:val="1"/>
                <w:color w:val="FFFFFF"/>
              </w:rPr>
              <w:t>Former PEO (2)</w:t>
            </w:r>
          </w:p>
        </w:tc>
        <w:tc>
          <w:tcPr>
            <w:tcW w:w="2580" w:type="dxa"/>
            <w:vAlign w:val="bottom"/>
            <w:gridSpan w:val="2"/>
            <w:vMerge w:val="restart"/>
            <w:shd w:val="clear" w:color="auto" w:fill="465E66"/>
          </w:tcPr>
          <w:p>
            <w:pPr>
              <w:ind w:left="660"/>
              <w:spacing w:after="0"/>
              <w:rPr>
                <w:sz w:val="20"/>
                <w:szCs w:val="20"/>
                <w:color w:val="auto"/>
              </w:rPr>
            </w:pPr>
            <w:r>
              <w:rPr>
                <w:rFonts w:ascii="Arial" w:cs="Arial" w:eastAsia="Arial" w:hAnsi="Arial"/>
                <w:sz w:val="14"/>
                <w:szCs w:val="14"/>
                <w:b w:val="1"/>
                <w:bCs w:val="1"/>
                <w:color w:val="FFFFFF"/>
              </w:rPr>
              <w:t>All Other NEOs (3)</w:t>
            </w:r>
          </w:p>
        </w:tc>
        <w:tc>
          <w:tcPr>
            <w:tcW w:w="2220" w:type="dxa"/>
            <w:vAlign w:val="bottom"/>
            <w:gridSpan w:val="2"/>
            <w:shd w:val="clear" w:color="auto" w:fill="465E66"/>
          </w:tcPr>
          <w:p>
            <w:pPr>
              <w:jc w:val="right"/>
              <w:ind w:right="168"/>
              <w:spacing w:after="0" w:line="153" w:lineRule="exact"/>
              <w:rPr>
                <w:sz w:val="20"/>
                <w:szCs w:val="20"/>
                <w:color w:val="auto"/>
              </w:rPr>
            </w:pPr>
            <w:r>
              <w:rPr>
                <w:rFonts w:ascii="Arial" w:cs="Arial" w:eastAsia="Arial" w:hAnsi="Arial"/>
                <w:sz w:val="14"/>
                <w:szCs w:val="14"/>
                <w:b w:val="1"/>
                <w:bCs w:val="1"/>
                <w:color w:val="FFFFFF"/>
              </w:rPr>
              <w:t>Value of Initial Fixed $100</w:t>
            </w:r>
          </w:p>
        </w:tc>
        <w:tc>
          <w:tcPr>
            <w:tcW w:w="940" w:type="dxa"/>
            <w:vAlign w:val="bottom"/>
            <w:shd w:val="clear" w:color="auto" w:fill="465E66"/>
          </w:tcPr>
          <w:p>
            <w:pPr>
              <w:spacing w:after="0"/>
              <w:rPr>
                <w:sz w:val="13"/>
                <w:szCs w:val="13"/>
                <w:color w:val="auto"/>
              </w:rPr>
            </w:pPr>
          </w:p>
        </w:tc>
        <w:tc>
          <w:tcPr>
            <w:tcW w:w="94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CSM (5)</w:t>
            </w:r>
          </w:p>
        </w:tc>
        <w:tc>
          <w:tcPr>
            <w:tcW w:w="0" w:type="dxa"/>
            <w:vAlign w:val="bottom"/>
          </w:tcPr>
          <w:p>
            <w:pPr>
              <w:spacing w:after="0"/>
              <w:rPr>
                <w:sz w:val="1"/>
                <w:szCs w:val="1"/>
                <w:color w:val="auto"/>
              </w:rPr>
            </w:pPr>
          </w:p>
        </w:tc>
      </w:tr>
      <w:tr>
        <w:trPr>
          <w:trHeight w:val="185"/>
        </w:trPr>
        <w:tc>
          <w:tcPr>
            <w:tcW w:w="840" w:type="dxa"/>
            <w:vAlign w:val="bottom"/>
            <w:shd w:val="clear" w:color="auto" w:fill="465E66"/>
          </w:tcPr>
          <w:p>
            <w:pPr>
              <w:spacing w:after="0"/>
              <w:rPr>
                <w:sz w:val="16"/>
                <w:szCs w:val="16"/>
                <w:color w:val="auto"/>
              </w:rPr>
            </w:pPr>
          </w:p>
        </w:tc>
        <w:tc>
          <w:tcPr>
            <w:tcW w:w="1940" w:type="dxa"/>
            <w:vAlign w:val="bottom"/>
            <w:gridSpan w:val="2"/>
            <w:vMerge w:val="continue"/>
            <w:shd w:val="clear" w:color="auto" w:fill="465E66"/>
          </w:tcPr>
          <w:p>
            <w:pPr>
              <w:spacing w:after="0"/>
              <w:rPr>
                <w:sz w:val="16"/>
                <w:szCs w:val="16"/>
                <w:color w:val="auto"/>
              </w:rPr>
            </w:pPr>
          </w:p>
        </w:tc>
        <w:tc>
          <w:tcPr>
            <w:tcW w:w="1780" w:type="dxa"/>
            <w:vAlign w:val="bottom"/>
            <w:gridSpan w:val="2"/>
            <w:vMerge w:val="continue"/>
            <w:shd w:val="clear" w:color="auto" w:fill="465E66"/>
          </w:tcPr>
          <w:p>
            <w:pPr>
              <w:spacing w:after="0"/>
              <w:rPr>
                <w:sz w:val="16"/>
                <w:szCs w:val="16"/>
                <w:color w:val="auto"/>
              </w:rPr>
            </w:pPr>
          </w:p>
        </w:tc>
        <w:tc>
          <w:tcPr>
            <w:tcW w:w="2580" w:type="dxa"/>
            <w:vAlign w:val="bottom"/>
            <w:gridSpan w:val="2"/>
            <w:vMerge w:val="continue"/>
            <w:shd w:val="clear" w:color="auto" w:fill="465E66"/>
          </w:tcPr>
          <w:p>
            <w:pPr>
              <w:spacing w:after="0"/>
              <w:rPr>
                <w:sz w:val="16"/>
                <w:szCs w:val="16"/>
                <w:color w:val="auto"/>
              </w:rPr>
            </w:pPr>
          </w:p>
        </w:tc>
        <w:tc>
          <w:tcPr>
            <w:tcW w:w="2220" w:type="dxa"/>
            <w:vAlign w:val="bottom"/>
            <w:gridSpan w:val="2"/>
            <w:shd w:val="clear" w:color="auto" w:fill="465E66"/>
          </w:tcPr>
          <w:p>
            <w:pPr>
              <w:jc w:val="right"/>
              <w:ind w:right="168"/>
              <w:spacing w:after="0"/>
              <w:rPr>
                <w:sz w:val="20"/>
                <w:szCs w:val="20"/>
                <w:color w:val="auto"/>
              </w:rPr>
            </w:pPr>
            <w:r>
              <w:rPr>
                <w:rFonts w:ascii="Arial" w:cs="Arial" w:eastAsia="Arial" w:hAnsi="Arial"/>
                <w:sz w:val="14"/>
                <w:szCs w:val="14"/>
                <w:b w:val="1"/>
                <w:bCs w:val="1"/>
                <w:color w:val="FFFFFF"/>
              </w:rPr>
              <w:t>Investment Based On (4):</w:t>
            </w:r>
          </w:p>
        </w:tc>
        <w:tc>
          <w:tcPr>
            <w:tcW w:w="940" w:type="dxa"/>
            <w:vAlign w:val="bottom"/>
            <w:shd w:val="clear" w:color="auto" w:fill="465E66"/>
          </w:tcPr>
          <w:p>
            <w:pPr>
              <w:spacing w:after="0"/>
              <w:rPr>
                <w:sz w:val="16"/>
                <w:szCs w:val="16"/>
                <w:color w:val="auto"/>
              </w:rPr>
            </w:pPr>
          </w:p>
        </w:tc>
        <w:tc>
          <w:tcPr>
            <w:tcW w:w="940" w:type="dxa"/>
            <w:vAlign w:val="bottom"/>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0" w:type="dxa"/>
            <w:vAlign w:val="bottom"/>
            <w:shd w:val="clear" w:color="auto" w:fill="465E66"/>
          </w:tcPr>
          <w:p>
            <w:pPr>
              <w:spacing w:after="0"/>
              <w:rPr>
                <w:sz w:val="13"/>
                <w:szCs w:val="13"/>
                <w:color w:val="auto"/>
              </w:rPr>
            </w:pPr>
          </w:p>
        </w:tc>
        <w:tc>
          <w:tcPr>
            <w:tcW w:w="1040" w:type="dxa"/>
            <w:vAlign w:val="bottom"/>
            <w:vMerge w:val="restart"/>
            <w:shd w:val="clear" w:color="auto" w:fill="465E66"/>
          </w:tcPr>
          <w:p>
            <w:pPr>
              <w:jc w:val="right"/>
              <w:ind w:right="28"/>
              <w:spacing w:after="0"/>
              <w:rPr>
                <w:sz w:val="20"/>
                <w:szCs w:val="20"/>
                <w:color w:val="auto"/>
              </w:rPr>
            </w:pPr>
            <w:r>
              <w:rPr>
                <w:rFonts w:ascii="Arial" w:cs="Arial" w:eastAsia="Arial" w:hAnsi="Arial"/>
                <w:sz w:val="14"/>
                <w:szCs w:val="14"/>
                <w:b w:val="1"/>
                <w:bCs w:val="1"/>
                <w:color w:val="FFFFFF"/>
              </w:rPr>
              <w:t>SCT Total (6)</w:t>
            </w:r>
          </w:p>
        </w:tc>
        <w:tc>
          <w:tcPr>
            <w:tcW w:w="900" w:type="dxa"/>
            <w:vAlign w:val="bottom"/>
            <w:vMerge w:val="restart"/>
            <w:shd w:val="clear" w:color="auto" w:fill="465E66"/>
          </w:tcPr>
          <w:p>
            <w:pPr>
              <w:jc w:val="right"/>
              <w:ind w:right="148"/>
              <w:spacing w:after="0"/>
              <w:rPr>
                <w:sz w:val="20"/>
                <w:szCs w:val="20"/>
                <w:color w:val="auto"/>
              </w:rPr>
            </w:pPr>
            <w:r>
              <w:rPr>
                <w:rFonts w:ascii="Arial" w:cs="Arial" w:eastAsia="Arial" w:hAnsi="Arial"/>
                <w:sz w:val="14"/>
                <w:szCs w:val="14"/>
                <w:b w:val="1"/>
                <w:bCs w:val="1"/>
                <w:color w:val="FFFFFF"/>
              </w:rPr>
              <w:t>CAP (7)</w:t>
            </w:r>
          </w:p>
        </w:tc>
        <w:tc>
          <w:tcPr>
            <w:tcW w:w="1040" w:type="dxa"/>
            <w:vAlign w:val="bottom"/>
            <w:vMerge w:val="restart"/>
            <w:shd w:val="clear" w:color="auto" w:fill="465E66"/>
          </w:tcPr>
          <w:p>
            <w:pPr>
              <w:jc w:val="right"/>
              <w:ind w:right="28"/>
              <w:spacing w:after="0"/>
              <w:rPr>
                <w:sz w:val="20"/>
                <w:szCs w:val="20"/>
                <w:color w:val="auto"/>
              </w:rPr>
            </w:pPr>
            <w:r>
              <w:rPr>
                <w:rFonts w:ascii="Arial" w:cs="Arial" w:eastAsia="Arial" w:hAnsi="Arial"/>
                <w:sz w:val="14"/>
                <w:szCs w:val="14"/>
                <w:b w:val="1"/>
                <w:bCs w:val="1"/>
                <w:color w:val="FFFFFF"/>
              </w:rPr>
              <w:t>SCT Total (6)</w:t>
            </w:r>
          </w:p>
        </w:tc>
        <w:tc>
          <w:tcPr>
            <w:tcW w:w="740" w:type="dxa"/>
            <w:vAlign w:val="bottom"/>
            <w:vMerge w:val="restart"/>
            <w:shd w:val="clear" w:color="auto" w:fill="465E66"/>
          </w:tcPr>
          <w:p>
            <w:pPr>
              <w:jc w:val="right"/>
              <w:ind w:right="48"/>
              <w:spacing w:after="0"/>
              <w:rPr>
                <w:sz w:val="20"/>
                <w:szCs w:val="20"/>
                <w:color w:val="auto"/>
              </w:rPr>
            </w:pPr>
            <w:r>
              <w:rPr>
                <w:rFonts w:ascii="Arial" w:cs="Arial" w:eastAsia="Arial" w:hAnsi="Arial"/>
                <w:sz w:val="14"/>
                <w:szCs w:val="14"/>
                <w:b w:val="1"/>
                <w:bCs w:val="1"/>
                <w:color w:val="FFFFFF"/>
              </w:rPr>
              <w:t>CAP (7)</w:t>
            </w:r>
          </w:p>
        </w:tc>
        <w:tc>
          <w:tcPr>
            <w:tcW w:w="1300" w:type="dxa"/>
            <w:vAlign w:val="bottom"/>
            <w:shd w:val="clear" w:color="auto" w:fill="465E66"/>
          </w:tcPr>
          <w:p>
            <w:pPr>
              <w:ind w:left="200"/>
              <w:spacing w:after="0" w:line="153" w:lineRule="exact"/>
              <w:rPr>
                <w:sz w:val="20"/>
                <w:szCs w:val="20"/>
                <w:color w:val="auto"/>
              </w:rPr>
            </w:pPr>
            <w:r>
              <w:rPr>
                <w:rFonts w:ascii="Arial" w:cs="Arial" w:eastAsia="Arial" w:hAnsi="Arial"/>
                <w:sz w:val="14"/>
                <w:szCs w:val="14"/>
                <w:b w:val="1"/>
                <w:bCs w:val="1"/>
                <w:color w:val="FFFFFF"/>
              </w:rPr>
              <w:t>Average SCT</w:t>
            </w:r>
          </w:p>
        </w:tc>
        <w:tc>
          <w:tcPr>
            <w:tcW w:w="1280" w:type="dxa"/>
            <w:vAlign w:val="bottom"/>
            <w:vMerge w:val="restart"/>
            <w:shd w:val="clear" w:color="auto" w:fill="465E66"/>
          </w:tcPr>
          <w:p>
            <w:pPr>
              <w:jc w:val="right"/>
              <w:ind w:right="28"/>
              <w:spacing w:after="0"/>
              <w:rPr>
                <w:sz w:val="20"/>
                <w:szCs w:val="20"/>
                <w:color w:val="auto"/>
              </w:rPr>
            </w:pPr>
            <w:r>
              <w:rPr>
                <w:rFonts w:ascii="Arial" w:cs="Arial" w:eastAsia="Arial" w:hAnsi="Arial"/>
                <w:sz w:val="14"/>
                <w:szCs w:val="14"/>
                <w:b w:val="1"/>
                <w:bCs w:val="1"/>
                <w:color w:val="FFFFFF"/>
              </w:rPr>
              <w:t>Average CAP (7)</w:t>
            </w:r>
          </w:p>
        </w:tc>
        <w:tc>
          <w:tcPr>
            <w:tcW w:w="1160" w:type="dxa"/>
            <w:vAlign w:val="bottom"/>
            <w:vMerge w:val="restart"/>
            <w:shd w:val="clear" w:color="auto" w:fill="465E66"/>
          </w:tcPr>
          <w:p>
            <w:pPr>
              <w:jc w:val="right"/>
              <w:ind w:right="48"/>
              <w:spacing w:after="0"/>
              <w:rPr>
                <w:sz w:val="20"/>
                <w:szCs w:val="20"/>
                <w:color w:val="auto"/>
              </w:rPr>
            </w:pPr>
            <w:r>
              <w:rPr>
                <w:rFonts w:ascii="Arial" w:cs="Arial" w:eastAsia="Arial" w:hAnsi="Arial"/>
                <w:sz w:val="14"/>
                <w:szCs w:val="14"/>
                <w:b w:val="1"/>
                <w:bCs w:val="1"/>
                <w:color w:val="FFFFFF"/>
              </w:rPr>
              <w:t>Company TSR</w:t>
            </w:r>
          </w:p>
        </w:tc>
        <w:tc>
          <w:tcPr>
            <w:tcW w:w="1060" w:type="dxa"/>
            <w:vAlign w:val="bottom"/>
            <w:shd w:val="clear" w:color="auto" w:fill="465E66"/>
          </w:tcPr>
          <w:p>
            <w:pPr>
              <w:jc w:val="center"/>
              <w:ind w:right="8"/>
              <w:spacing w:after="0" w:line="153" w:lineRule="exact"/>
              <w:rPr>
                <w:sz w:val="20"/>
                <w:szCs w:val="20"/>
                <w:color w:val="auto"/>
              </w:rPr>
            </w:pPr>
            <w:r>
              <w:rPr>
                <w:rFonts w:ascii="Arial" w:cs="Arial" w:eastAsia="Arial" w:hAnsi="Arial"/>
                <w:sz w:val="14"/>
                <w:szCs w:val="14"/>
                <w:b w:val="1"/>
                <w:bCs w:val="1"/>
                <w:color w:val="FFFFFF"/>
              </w:rPr>
              <w:t>Peer Group</w:t>
            </w:r>
          </w:p>
        </w:tc>
        <w:tc>
          <w:tcPr>
            <w:tcW w:w="940" w:type="dxa"/>
            <w:vAlign w:val="bottom"/>
            <w:vMerge w:val="restart"/>
            <w:shd w:val="clear" w:color="auto" w:fill="465E66"/>
          </w:tcPr>
          <w:p>
            <w:pPr>
              <w:jc w:val="right"/>
              <w:ind w:right="8"/>
              <w:spacing w:after="0"/>
              <w:rPr>
                <w:sz w:val="20"/>
                <w:szCs w:val="20"/>
                <w:color w:val="auto"/>
              </w:rPr>
            </w:pPr>
            <w:r>
              <w:rPr>
                <w:rFonts w:ascii="Arial" w:cs="Arial" w:eastAsia="Arial" w:hAnsi="Arial"/>
                <w:sz w:val="14"/>
                <w:szCs w:val="14"/>
                <w:b w:val="1"/>
                <w:bCs w:val="1"/>
                <w:color w:val="FFFFFF"/>
              </w:rPr>
              <w:t>Net Income</w:t>
            </w:r>
          </w:p>
        </w:tc>
        <w:tc>
          <w:tcPr>
            <w:tcW w:w="94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Revenue</w:t>
            </w:r>
          </w:p>
        </w:tc>
        <w:tc>
          <w:tcPr>
            <w:tcW w:w="0" w:type="dxa"/>
            <w:vAlign w:val="bottom"/>
          </w:tcPr>
          <w:p>
            <w:pPr>
              <w:spacing w:after="0"/>
              <w:rPr>
                <w:sz w:val="1"/>
                <w:szCs w:val="1"/>
                <w:color w:val="auto"/>
              </w:rPr>
            </w:pPr>
          </w:p>
        </w:tc>
      </w:tr>
      <w:tr>
        <w:trPr>
          <w:trHeight w:val="144"/>
        </w:trPr>
        <w:tc>
          <w:tcPr>
            <w:tcW w:w="84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Year</w:t>
            </w:r>
          </w:p>
        </w:tc>
        <w:tc>
          <w:tcPr>
            <w:tcW w:w="1040" w:type="dxa"/>
            <w:vAlign w:val="bottom"/>
            <w:vMerge w:val="continue"/>
            <w:shd w:val="clear" w:color="auto" w:fill="465E66"/>
          </w:tcPr>
          <w:p>
            <w:pPr>
              <w:spacing w:after="0"/>
              <w:rPr>
                <w:sz w:val="12"/>
                <w:szCs w:val="12"/>
                <w:color w:val="auto"/>
              </w:rPr>
            </w:pPr>
          </w:p>
        </w:tc>
        <w:tc>
          <w:tcPr>
            <w:tcW w:w="900" w:type="dxa"/>
            <w:vAlign w:val="bottom"/>
            <w:vMerge w:val="continue"/>
            <w:shd w:val="clear" w:color="auto" w:fill="465E66"/>
          </w:tcPr>
          <w:p>
            <w:pPr>
              <w:spacing w:after="0"/>
              <w:rPr>
                <w:sz w:val="12"/>
                <w:szCs w:val="12"/>
                <w:color w:val="auto"/>
              </w:rPr>
            </w:pPr>
          </w:p>
        </w:tc>
        <w:tc>
          <w:tcPr>
            <w:tcW w:w="1040" w:type="dxa"/>
            <w:vAlign w:val="bottom"/>
            <w:vMerge w:val="continue"/>
            <w:shd w:val="clear" w:color="auto" w:fill="465E66"/>
          </w:tcPr>
          <w:p>
            <w:pPr>
              <w:spacing w:after="0"/>
              <w:rPr>
                <w:sz w:val="12"/>
                <w:szCs w:val="12"/>
                <w:color w:val="auto"/>
              </w:rPr>
            </w:pPr>
          </w:p>
        </w:tc>
        <w:tc>
          <w:tcPr>
            <w:tcW w:w="740" w:type="dxa"/>
            <w:vAlign w:val="bottom"/>
            <w:vMerge w:val="continue"/>
            <w:shd w:val="clear" w:color="auto" w:fill="465E66"/>
          </w:tcPr>
          <w:p>
            <w:pPr>
              <w:spacing w:after="0"/>
              <w:rPr>
                <w:sz w:val="12"/>
                <w:szCs w:val="12"/>
                <w:color w:val="auto"/>
              </w:rPr>
            </w:pPr>
          </w:p>
        </w:tc>
        <w:tc>
          <w:tcPr>
            <w:tcW w:w="1300" w:type="dxa"/>
            <w:vAlign w:val="bottom"/>
            <w:shd w:val="clear" w:color="auto" w:fill="465E66"/>
          </w:tcPr>
          <w:p>
            <w:pPr>
              <w:ind w:left="380"/>
              <w:spacing w:after="0" w:line="145" w:lineRule="exact"/>
              <w:rPr>
                <w:sz w:val="20"/>
                <w:szCs w:val="20"/>
                <w:color w:val="auto"/>
              </w:rPr>
            </w:pPr>
            <w:r>
              <w:rPr>
                <w:rFonts w:ascii="Arial" w:cs="Arial" w:eastAsia="Arial" w:hAnsi="Arial"/>
                <w:sz w:val="14"/>
                <w:szCs w:val="14"/>
                <w:b w:val="1"/>
                <w:bCs w:val="1"/>
                <w:color w:val="FFFFFF"/>
              </w:rPr>
              <w:t>Total (6)</w:t>
            </w:r>
          </w:p>
        </w:tc>
        <w:tc>
          <w:tcPr>
            <w:tcW w:w="1280" w:type="dxa"/>
            <w:vAlign w:val="bottom"/>
            <w:vMerge w:val="continue"/>
            <w:shd w:val="clear" w:color="auto" w:fill="465E66"/>
          </w:tcPr>
          <w:p>
            <w:pPr>
              <w:spacing w:after="0"/>
              <w:rPr>
                <w:sz w:val="12"/>
                <w:szCs w:val="12"/>
                <w:color w:val="auto"/>
              </w:rPr>
            </w:pPr>
          </w:p>
        </w:tc>
        <w:tc>
          <w:tcPr>
            <w:tcW w:w="1160" w:type="dxa"/>
            <w:vAlign w:val="bottom"/>
            <w:vMerge w:val="continue"/>
            <w:shd w:val="clear" w:color="auto" w:fill="465E66"/>
          </w:tcPr>
          <w:p>
            <w:pPr>
              <w:spacing w:after="0"/>
              <w:rPr>
                <w:sz w:val="12"/>
                <w:szCs w:val="12"/>
                <w:color w:val="auto"/>
              </w:rPr>
            </w:pPr>
          </w:p>
        </w:tc>
        <w:tc>
          <w:tcPr>
            <w:tcW w:w="106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w w:val="99"/>
              </w:rPr>
              <w:t>TSR</w:t>
            </w:r>
          </w:p>
        </w:tc>
        <w:tc>
          <w:tcPr>
            <w:tcW w:w="940" w:type="dxa"/>
            <w:vAlign w:val="bottom"/>
            <w:vMerge w:val="continue"/>
            <w:shd w:val="clear" w:color="auto" w:fill="465E66"/>
          </w:tcPr>
          <w:p>
            <w:pPr>
              <w:spacing w:after="0"/>
              <w:rPr>
                <w:sz w:val="12"/>
                <w:szCs w:val="12"/>
                <w:color w:val="auto"/>
              </w:rPr>
            </w:pPr>
          </w:p>
        </w:tc>
        <w:tc>
          <w:tcPr>
            <w:tcW w:w="94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40" w:type="dxa"/>
            <w:vAlign w:val="bottom"/>
            <w:vMerge w:val="continue"/>
            <w:shd w:val="clear" w:color="auto" w:fill="465E66"/>
          </w:tcPr>
          <w:p>
            <w:pPr>
              <w:spacing w:after="0"/>
              <w:rPr>
                <w:sz w:val="16"/>
                <w:szCs w:val="16"/>
                <w:color w:val="auto"/>
              </w:rPr>
            </w:pPr>
          </w:p>
        </w:tc>
        <w:tc>
          <w:tcPr>
            <w:tcW w:w="1040" w:type="dxa"/>
            <w:vAlign w:val="bottom"/>
            <w:shd w:val="clear" w:color="auto" w:fill="465E66"/>
          </w:tcPr>
          <w:p>
            <w:pPr>
              <w:jc w:val="right"/>
              <w:ind w:right="38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465E6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465E66"/>
          </w:tcPr>
          <w:p>
            <w:pPr>
              <w:jc w:val="right"/>
              <w:ind w:right="388"/>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465E66"/>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465E66"/>
          </w:tcPr>
          <w:p>
            <w:pPr>
              <w:ind w:left="560"/>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465E66"/>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465E66"/>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465E66"/>
          </w:tcPr>
          <w:p>
            <w:pPr>
              <w:jc w:val="center"/>
              <w:ind w:right="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465E66"/>
          </w:tcPr>
          <w:p>
            <w:pPr>
              <w:jc w:val="right"/>
              <w:ind w:right="28"/>
              <w:spacing w:after="0"/>
              <w:rPr>
                <w:sz w:val="20"/>
                <w:szCs w:val="20"/>
                <w:color w:val="auto"/>
              </w:rPr>
            </w:pPr>
            <w:r>
              <w:rPr>
                <w:rFonts w:ascii="Arial" w:cs="Arial" w:eastAsia="Arial" w:hAnsi="Arial"/>
                <w:sz w:val="14"/>
                <w:szCs w:val="14"/>
                <w:b w:val="1"/>
                <w:bCs w:val="1"/>
                <w:color w:val="FFFFFF"/>
              </w:rPr>
              <w:t>($ millions)</w:t>
            </w:r>
          </w:p>
        </w:tc>
        <w:tc>
          <w:tcPr>
            <w:tcW w:w="9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 millions)</w:t>
            </w:r>
          </w:p>
        </w:tc>
        <w:tc>
          <w:tcPr>
            <w:tcW w:w="0" w:type="dxa"/>
            <w:vAlign w:val="bottom"/>
          </w:tcPr>
          <w:p>
            <w:pPr>
              <w:spacing w:after="0"/>
              <w:rPr>
                <w:sz w:val="1"/>
                <w:szCs w:val="1"/>
                <w:color w:val="auto"/>
              </w:rPr>
            </w:pPr>
          </w:p>
        </w:tc>
      </w:tr>
      <w:tr>
        <w:trPr>
          <w:trHeight w:val="203"/>
        </w:trPr>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2022</w:t>
            </w:r>
          </w:p>
        </w:tc>
        <w:tc>
          <w:tcPr>
            <w:tcW w:w="104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16,519,702</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20,249,043</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ind w:left="580"/>
              <w:spacing w:after="0"/>
              <w:rPr>
                <w:sz w:val="20"/>
                <w:szCs w:val="20"/>
                <w:color w:val="auto"/>
              </w:rPr>
            </w:pPr>
            <w:r>
              <w:rPr>
                <w:rFonts w:ascii="Arial" w:cs="Arial" w:eastAsia="Arial" w:hAnsi="Arial"/>
                <w:sz w:val="14"/>
                <w:szCs w:val="14"/>
                <w:color w:val="auto"/>
              </w:rPr>
              <w:t>3,699,715</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2,710,546</w:t>
            </w:r>
          </w:p>
        </w:tc>
        <w:tc>
          <w:tcPr>
            <w:tcW w:w="11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256</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137</w:t>
            </w: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1,902</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8,326</w:t>
            </w:r>
          </w:p>
        </w:tc>
        <w:tc>
          <w:tcPr>
            <w:tcW w:w="0" w:type="dxa"/>
            <w:vAlign w:val="bottom"/>
          </w:tcPr>
          <w:p>
            <w:pPr>
              <w:spacing w:after="0"/>
              <w:rPr>
                <w:sz w:val="1"/>
                <w:szCs w:val="1"/>
                <w:color w:val="auto"/>
              </w:rPr>
            </w:pPr>
          </w:p>
        </w:tc>
      </w:tr>
      <w:tr>
        <w:trPr>
          <w:trHeight w:val="198"/>
        </w:trPr>
        <w:tc>
          <w:tcPr>
            <w:tcW w:w="840" w:type="dxa"/>
            <w:vAlign w:val="bottom"/>
          </w:tcPr>
          <w:p>
            <w:pPr>
              <w:ind w:left="20"/>
              <w:spacing w:after="0"/>
              <w:rPr>
                <w:sz w:val="20"/>
                <w:szCs w:val="20"/>
                <w:color w:val="auto"/>
              </w:rPr>
            </w:pPr>
            <w:r>
              <w:rPr>
                <w:rFonts w:ascii="Arial" w:cs="Arial" w:eastAsia="Arial" w:hAnsi="Arial"/>
                <w:sz w:val="14"/>
                <w:szCs w:val="14"/>
                <w:color w:val="auto"/>
              </w:rPr>
              <w:t>2021</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12,825,562</w:t>
            </w:r>
          </w:p>
        </w:tc>
        <w:tc>
          <w:tcPr>
            <w:tcW w:w="900" w:type="dxa"/>
            <w:vAlign w:val="bottom"/>
          </w:tcPr>
          <w:p>
            <w:pPr>
              <w:jc w:val="right"/>
              <w:spacing w:after="0"/>
              <w:rPr>
                <w:sz w:val="20"/>
                <w:szCs w:val="20"/>
                <w:color w:val="auto"/>
              </w:rPr>
            </w:pPr>
            <w:r>
              <w:rPr>
                <w:rFonts w:ascii="Arial" w:cs="Arial" w:eastAsia="Arial" w:hAnsi="Arial"/>
                <w:sz w:val="14"/>
                <w:szCs w:val="14"/>
                <w:color w:val="auto"/>
              </w:rPr>
              <w:t>37,831,495</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ind w:left="580"/>
              <w:spacing w:after="0"/>
              <w:rPr>
                <w:sz w:val="20"/>
                <w:szCs w:val="20"/>
                <w:color w:val="auto"/>
              </w:rPr>
            </w:pPr>
            <w:r>
              <w:rPr>
                <w:rFonts w:ascii="Arial" w:cs="Arial" w:eastAsia="Arial" w:hAnsi="Arial"/>
                <w:sz w:val="14"/>
                <w:szCs w:val="14"/>
                <w:color w:val="auto"/>
              </w:rPr>
              <w:t>4,014,944</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10,996,407</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1,010</w:t>
            </w:r>
          </w:p>
        </w:tc>
        <w:tc>
          <w:tcPr>
            <w:tcW w:w="940" w:type="dxa"/>
            <w:vAlign w:val="bottom"/>
          </w:tcPr>
          <w:p>
            <w:pPr>
              <w:jc w:val="right"/>
              <w:spacing w:after="0"/>
              <w:rPr>
                <w:sz w:val="20"/>
                <w:szCs w:val="20"/>
                <w:color w:val="auto"/>
              </w:rPr>
            </w:pPr>
            <w:r>
              <w:rPr>
                <w:rFonts w:ascii="Arial" w:cs="Arial" w:eastAsia="Arial" w:hAnsi="Arial"/>
                <w:sz w:val="14"/>
                <w:szCs w:val="14"/>
                <w:color w:val="auto"/>
              </w:rPr>
              <w:t>6,740</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2020</w:t>
            </w:r>
          </w:p>
        </w:tc>
        <w:tc>
          <w:tcPr>
            <w:tcW w:w="104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7,866,813</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8,510,970</w:t>
            </w:r>
          </w:p>
        </w:tc>
        <w:tc>
          <w:tcPr>
            <w:tcW w:w="104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7,056,742</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5,783,178</w:t>
            </w:r>
          </w:p>
        </w:tc>
        <w:tc>
          <w:tcPr>
            <w:tcW w:w="1300" w:type="dxa"/>
            <w:vAlign w:val="bottom"/>
            <w:tcBorders>
              <w:bottom w:val="single" w:sz="8" w:color="auto"/>
            </w:tcBorders>
            <w:shd w:val="clear" w:color="auto" w:fill="DBDBDB"/>
          </w:tcPr>
          <w:p>
            <w:pPr>
              <w:ind w:left="580"/>
              <w:spacing w:after="0"/>
              <w:rPr>
                <w:sz w:val="20"/>
                <w:szCs w:val="20"/>
                <w:color w:val="auto"/>
              </w:rPr>
            </w:pPr>
            <w:r>
              <w:rPr>
                <w:rFonts w:ascii="Arial" w:cs="Arial" w:eastAsia="Arial" w:hAnsi="Arial"/>
                <w:sz w:val="14"/>
                <w:szCs w:val="14"/>
                <w:color w:val="auto"/>
              </w:rPr>
              <w:t>2,363,835</w:t>
            </w: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2,129,348</w:t>
            </w:r>
          </w:p>
        </w:tc>
        <w:tc>
          <w:tcPr>
            <w:tcW w:w="116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134</w:t>
            </w: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151</w:t>
            </w:r>
          </w:p>
        </w:tc>
        <w:tc>
          <w:tcPr>
            <w:tcW w:w="9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236</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-728345</wp:posOffset>
            </wp:positionV>
            <wp:extent cx="5480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8005" cy="825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-728345</wp:posOffset>
            </wp:positionV>
            <wp:extent cx="5327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276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-728345</wp:posOffset>
            </wp:positionV>
            <wp:extent cx="6597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4683760</wp:posOffset>
            </wp:positionH>
            <wp:positionV relativeFrom="paragraph">
              <wp:posOffset>-719455</wp:posOffset>
            </wp:positionV>
            <wp:extent cx="9340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6667500</wp:posOffset>
            </wp:positionH>
            <wp:positionV relativeFrom="paragraph">
              <wp:posOffset>-728345</wp:posOffset>
            </wp:positionV>
            <wp:extent cx="2032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ind w:left="240" w:hanging="214"/>
        <w:spacing w:after="0"/>
        <w:tabs>
          <w:tab w:leader="none" w:pos="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Current PEO refers to Mr. El-Khoury, who was appointed as our President and CEO on December 7, 2020.</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Former PEO refers to Keith Jackson, Mr. El-Khoury’s predecessor in office.</w:t>
      </w:r>
    </w:p>
    <w:p>
      <w:pPr>
        <w:spacing w:after="0" w:line="41" w:lineRule="exact"/>
        <w:rPr>
          <w:rFonts w:ascii="Arial" w:cs="Arial" w:eastAsia="Arial" w:hAnsi="Arial"/>
          <w:sz w:val="14"/>
          <w:szCs w:val="14"/>
          <w:color w:val="auto"/>
        </w:rPr>
      </w:pPr>
    </w:p>
    <w:p>
      <w:pPr>
        <w:ind w:left="260" w:right="140" w:hanging="234"/>
        <w:spacing w:after="0" w:line="231" w:lineRule="auto"/>
        <w:tabs>
          <w:tab w:leader="none" w:pos="233" w:val="left"/>
        </w:tabs>
        <w:numPr>
          <w:ilvl w:val="0"/>
          <w:numId w:val="87"/>
        </w:numPr>
        <w:rPr>
          <w:rFonts w:ascii="Arial" w:cs="Arial" w:eastAsia="Arial" w:hAnsi="Arial"/>
          <w:sz w:val="14"/>
          <w:szCs w:val="14"/>
          <w:color w:val="auto"/>
        </w:rPr>
      </w:pPr>
      <w:r>
        <w:rPr>
          <w:rFonts w:ascii="Arial" w:cs="Arial" w:eastAsia="Arial" w:hAnsi="Arial"/>
          <w:sz w:val="14"/>
          <w:szCs w:val="14"/>
          <w:color w:val="auto"/>
        </w:rPr>
        <w:t>All Other NEOs refers to all named executive officers, other than the PEO, who were designated as such under the SEC’s executive compensation disclosure rules based on their position and the compensation paid to them during the relevant year shown in the chart. All Other NEOs for each year consists of the following officers: for 2022, Messrs. Trent, Keeton, Jatou, Tong and Hopkin; for 2021, Messrs. Trent, Keeton, Jatou and Hopkin, as well as former officers George H. Cave and Bernard Gutmann; and for 2020, Messrs. Keeton, Hopkin and Gutmann, as well as former officer William Schromm.</w:t>
      </w:r>
    </w:p>
    <w:p>
      <w:pPr>
        <w:spacing w:after="0" w:line="14" w:lineRule="exact"/>
        <w:rPr>
          <w:rFonts w:ascii="Arial" w:cs="Arial" w:eastAsia="Arial" w:hAnsi="Arial"/>
          <w:sz w:val="14"/>
          <w:szCs w:val="14"/>
          <w:color w:val="auto"/>
        </w:rPr>
      </w:pPr>
    </w:p>
    <w:p>
      <w:pPr>
        <w:ind w:left="260" w:right="40" w:hanging="234"/>
        <w:spacing w:after="0" w:line="235" w:lineRule="auto"/>
        <w:tabs>
          <w:tab w:leader="none" w:pos="233"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one-, two- and three-year cumulative TSR. To illustrate peer group TSR, we selected the PHLX Semiconductor Sector Index (SOX), which we also use for comparison purposes in the five-year cumulative stock performance graph included in our annual report to stockholders. Our TSR performance relative to a smaller group of peer companies is a key performance metric in determining compensation actually paid to our NEOs, as identified below under “Most Important Performance Metrics.”</w:t>
      </w:r>
    </w:p>
    <w:p>
      <w:pPr>
        <w:spacing w:after="0" w:line="13" w:lineRule="exact"/>
        <w:rPr>
          <w:rFonts w:ascii="Arial" w:cs="Arial" w:eastAsia="Arial" w:hAnsi="Arial"/>
          <w:sz w:val="14"/>
          <w:szCs w:val="14"/>
          <w:color w:val="auto"/>
        </w:rPr>
      </w:pPr>
    </w:p>
    <w:p>
      <w:pPr>
        <w:ind w:left="240" w:hanging="214"/>
        <w:spacing w:after="0"/>
        <w:tabs>
          <w:tab w:leader="none" w:pos="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purposes of this chart, we have selected revenue as our company-selected metric (CSM).</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totals in these columns reflect amounts reported in our SCT for the applicable year.</w:t>
      </w:r>
    </w:p>
    <w:p>
      <w:pPr>
        <w:spacing w:after="0" w:line="41" w:lineRule="exact"/>
        <w:rPr>
          <w:rFonts w:ascii="Arial" w:cs="Arial" w:eastAsia="Arial" w:hAnsi="Arial"/>
          <w:sz w:val="14"/>
          <w:szCs w:val="14"/>
          <w:color w:val="auto"/>
        </w:rPr>
      </w:pPr>
    </w:p>
    <w:p>
      <w:pPr>
        <w:ind w:left="260" w:right="180" w:hanging="234"/>
        <w:spacing w:after="0" w:line="264" w:lineRule="auto"/>
        <w:tabs>
          <w:tab w:leader="none" w:pos="233" w:val="left"/>
        </w:tabs>
        <w:numPr>
          <w:ilvl w:val="0"/>
          <w:numId w:val="87"/>
        </w:numPr>
        <w:rPr>
          <w:rFonts w:ascii="Arial" w:cs="Arial" w:eastAsia="Arial" w:hAnsi="Arial"/>
          <w:sz w:val="14"/>
          <w:szCs w:val="14"/>
          <w:color w:val="auto"/>
        </w:rPr>
      </w:pPr>
      <w:r>
        <w:rPr>
          <w:rFonts w:ascii="Arial" w:cs="Arial" w:eastAsia="Arial" w:hAnsi="Arial"/>
          <w:sz w:val="14"/>
          <w:szCs w:val="14"/>
          <w:color w:val="auto"/>
        </w:rPr>
        <w:t>To calculate compensation actually paid (CAP), the corresponding SCT total was adjusted as detailed below as required by SEC rules. For a reconciliation of SCT to CAP, please see the next two tables.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shd w:val="clear" w:color="auto" w:fill="465E66"/>
          </w:tcPr>
          <w:p>
            <w:pPr>
              <w:spacing w:after="0"/>
              <w:rPr>
                <w:sz w:val="17"/>
                <w:szCs w:val="17"/>
                <w:color w:val="auto"/>
              </w:rPr>
            </w:pPr>
          </w:p>
        </w:tc>
        <w:tc>
          <w:tcPr>
            <w:tcW w:w="1360" w:type="dxa"/>
            <w:vAlign w:val="bottom"/>
            <w:shd w:val="clear" w:color="auto" w:fill="465E66"/>
          </w:tcPr>
          <w:p>
            <w:pPr>
              <w:spacing w:after="0"/>
              <w:rPr>
                <w:sz w:val="17"/>
                <w:szCs w:val="17"/>
                <w:color w:val="auto"/>
              </w:rPr>
            </w:pPr>
          </w:p>
        </w:tc>
        <w:tc>
          <w:tcPr>
            <w:tcW w:w="1720" w:type="dxa"/>
            <w:vAlign w:val="bottom"/>
            <w:shd w:val="clear" w:color="auto" w:fill="465E66"/>
          </w:tcPr>
          <w:p>
            <w:pPr>
              <w:spacing w:after="0"/>
              <w:rPr>
                <w:sz w:val="17"/>
                <w:szCs w:val="17"/>
                <w:color w:val="auto"/>
              </w:rPr>
            </w:pPr>
          </w:p>
        </w:tc>
        <w:tc>
          <w:tcPr>
            <w:tcW w:w="4240" w:type="dxa"/>
            <w:vAlign w:val="bottom"/>
            <w:gridSpan w:val="3"/>
            <w:shd w:val="clear" w:color="auto" w:fill="465E66"/>
          </w:tcPr>
          <w:p>
            <w:pPr>
              <w:ind w:left="340"/>
              <w:spacing w:after="0"/>
              <w:rPr>
                <w:sz w:val="20"/>
                <w:szCs w:val="20"/>
                <w:color w:val="auto"/>
              </w:rPr>
            </w:pPr>
            <w:r>
              <w:rPr>
                <w:rFonts w:ascii="Arial" w:cs="Arial" w:eastAsia="Arial" w:hAnsi="Arial"/>
                <w:sz w:val="14"/>
                <w:szCs w:val="14"/>
                <w:b w:val="1"/>
                <w:bCs w:val="1"/>
                <w:color w:val="FFFFFF"/>
              </w:rPr>
              <w:t>SCT to CAP Reconciliation — PEOs (A)</w:t>
            </w:r>
          </w:p>
        </w:tc>
        <w:tc>
          <w:tcPr>
            <w:tcW w:w="1660" w:type="dxa"/>
            <w:vAlign w:val="bottom"/>
            <w:shd w:val="clear" w:color="auto" w:fill="465E66"/>
          </w:tcPr>
          <w:p>
            <w:pPr>
              <w:spacing w:after="0"/>
              <w:rPr>
                <w:sz w:val="17"/>
                <w:szCs w:val="17"/>
                <w:color w:val="auto"/>
              </w:rPr>
            </w:pPr>
          </w:p>
        </w:tc>
        <w:tc>
          <w:tcPr>
            <w:tcW w:w="140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465E66"/>
          </w:tcPr>
          <w:p>
            <w:pPr>
              <w:spacing w:after="0"/>
              <w:rPr>
                <w:sz w:val="12"/>
                <w:szCs w:val="12"/>
                <w:color w:val="auto"/>
              </w:rPr>
            </w:pPr>
          </w:p>
        </w:tc>
        <w:tc>
          <w:tcPr>
            <w:tcW w:w="1360" w:type="dxa"/>
            <w:vAlign w:val="bottom"/>
            <w:shd w:val="clear" w:color="auto" w:fill="465E66"/>
          </w:tcPr>
          <w:p>
            <w:pPr>
              <w:spacing w:after="0"/>
              <w:rPr>
                <w:sz w:val="12"/>
                <w:szCs w:val="12"/>
                <w:color w:val="auto"/>
              </w:rPr>
            </w:pPr>
          </w:p>
        </w:tc>
        <w:tc>
          <w:tcPr>
            <w:tcW w:w="3120" w:type="dxa"/>
            <w:vAlign w:val="bottom"/>
            <w:gridSpan w:val="2"/>
            <w:shd w:val="clear" w:color="auto" w:fill="465E66"/>
          </w:tcPr>
          <w:p>
            <w:pPr>
              <w:jc w:val="center"/>
              <w:ind w:left="48"/>
              <w:spacing w:after="0" w:line="149" w:lineRule="exact"/>
              <w:rPr>
                <w:sz w:val="20"/>
                <w:szCs w:val="20"/>
                <w:color w:val="auto"/>
              </w:rPr>
            </w:pPr>
            <w:r>
              <w:rPr>
                <w:rFonts w:ascii="Arial" w:cs="Arial" w:eastAsia="Arial" w:hAnsi="Arial"/>
                <w:sz w:val="14"/>
                <w:szCs w:val="14"/>
                <w:b w:val="1"/>
                <w:bCs w:val="1"/>
                <w:color w:val="FFFFFF"/>
              </w:rPr>
              <w:t>Adjust Value of</w:t>
            </w:r>
          </w:p>
        </w:tc>
        <w:tc>
          <w:tcPr>
            <w:tcW w:w="4500" w:type="dxa"/>
            <w:vAlign w:val="bottom"/>
            <w:gridSpan w:val="3"/>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 xml:space="preserve">Adjust for Incremental </w:t>
            </w:r>
            <w:r>
              <w:rPr>
                <w:rFonts w:ascii="Arial" w:cs="Arial" w:eastAsia="Arial" w:hAnsi="Arial"/>
                <w:sz w:val="14"/>
                <w:szCs w:val="14"/>
                <w:b w:val="1"/>
                <w:bCs w:val="1"/>
                <w:i w:val="1"/>
                <w:iCs w:val="1"/>
                <w:color w:val="FFFFFF"/>
              </w:rPr>
              <w:t>Increase/(Decrease)</w:t>
            </w:r>
          </w:p>
        </w:tc>
        <w:tc>
          <w:tcPr>
            <w:tcW w:w="1400" w:type="dxa"/>
            <w:vAlign w:val="bottom"/>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465E66"/>
          </w:tcPr>
          <w:p>
            <w:pPr>
              <w:spacing w:after="0"/>
              <w:rPr>
                <w:sz w:val="16"/>
                <w:szCs w:val="16"/>
                <w:color w:val="auto"/>
              </w:rPr>
            </w:pPr>
          </w:p>
        </w:tc>
        <w:tc>
          <w:tcPr>
            <w:tcW w:w="1360" w:type="dxa"/>
            <w:vAlign w:val="bottom"/>
            <w:shd w:val="clear" w:color="auto" w:fill="465E66"/>
          </w:tcPr>
          <w:p>
            <w:pPr>
              <w:spacing w:after="0"/>
              <w:rPr>
                <w:sz w:val="16"/>
                <w:szCs w:val="16"/>
                <w:color w:val="auto"/>
              </w:rPr>
            </w:pPr>
          </w:p>
        </w:tc>
        <w:tc>
          <w:tcPr>
            <w:tcW w:w="3120" w:type="dxa"/>
            <w:vAlign w:val="bottom"/>
            <w:gridSpan w:val="2"/>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Current Year’s Equity Grant</w:t>
            </w:r>
          </w:p>
        </w:tc>
        <w:tc>
          <w:tcPr>
            <w:tcW w:w="4500" w:type="dxa"/>
            <w:vAlign w:val="bottom"/>
            <w:gridSpan w:val="3"/>
            <w:shd w:val="clear" w:color="auto" w:fill="465E66"/>
          </w:tcPr>
          <w:p>
            <w:pPr>
              <w:jc w:val="center"/>
              <w:spacing w:after="0"/>
              <w:rPr>
                <w:sz w:val="20"/>
                <w:szCs w:val="20"/>
                <w:color w:val="auto"/>
              </w:rPr>
            </w:pPr>
            <w:r>
              <w:rPr>
                <w:rFonts w:ascii="Arial" w:cs="Arial" w:eastAsia="Arial" w:hAnsi="Arial"/>
                <w:sz w:val="14"/>
                <w:szCs w:val="14"/>
                <w:b w:val="1"/>
                <w:bCs w:val="1"/>
                <w:color w:val="FFFFFF"/>
              </w:rPr>
              <w:t>in Value of All Other Outstanding Equity Grants</w:t>
            </w:r>
          </w:p>
        </w:tc>
        <w:tc>
          <w:tcPr>
            <w:tcW w:w="1400" w:type="dxa"/>
            <w:vAlign w:val="bottom"/>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465E66"/>
          </w:tcPr>
          <w:p>
            <w:pPr>
              <w:spacing w:after="0"/>
              <w:rPr>
                <w:sz w:val="12"/>
                <w:szCs w:val="12"/>
                <w:color w:val="auto"/>
              </w:rPr>
            </w:pPr>
          </w:p>
        </w:tc>
        <w:tc>
          <w:tcPr>
            <w:tcW w:w="1360" w:type="dxa"/>
            <w:vAlign w:val="bottom"/>
            <w:shd w:val="clear" w:color="auto" w:fill="465E66"/>
          </w:tcPr>
          <w:p>
            <w:pPr>
              <w:spacing w:after="0"/>
              <w:rPr>
                <w:sz w:val="12"/>
                <w:szCs w:val="12"/>
                <w:color w:val="auto"/>
              </w:rPr>
            </w:pPr>
          </w:p>
        </w:tc>
        <w:tc>
          <w:tcPr>
            <w:tcW w:w="1720" w:type="dxa"/>
            <w:vAlign w:val="bottom"/>
            <w:shd w:val="clear" w:color="auto" w:fill="465E66"/>
          </w:tcPr>
          <w:p>
            <w:pPr>
              <w:jc w:val="center"/>
              <w:ind w:left="8"/>
              <w:spacing w:after="0" w:line="149" w:lineRule="exact"/>
              <w:rPr>
                <w:sz w:val="20"/>
                <w:szCs w:val="20"/>
                <w:color w:val="auto"/>
              </w:rPr>
            </w:pPr>
            <w:r>
              <w:rPr>
                <w:rFonts w:ascii="Arial" w:cs="Arial" w:eastAsia="Arial" w:hAnsi="Arial"/>
                <w:sz w:val="14"/>
                <w:szCs w:val="14"/>
                <w:b w:val="1"/>
                <w:bCs w:val="1"/>
                <w:i w:val="1"/>
                <w:iCs w:val="1"/>
                <w:color w:val="FFFFFF"/>
              </w:rPr>
              <w:t xml:space="preserve">Subtract </w:t>
            </w:r>
            <w:r>
              <w:rPr>
                <w:rFonts w:ascii="Arial" w:cs="Arial" w:eastAsia="Arial" w:hAnsi="Arial"/>
                <w:sz w:val="14"/>
                <w:szCs w:val="14"/>
                <w:b w:val="1"/>
                <w:bCs w:val="1"/>
                <w:color w:val="FFFFFF"/>
              </w:rPr>
              <w:t>Grant Date</w:t>
            </w: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 xml:space="preserve">Add </w:t>
            </w:r>
            <w:r>
              <w:rPr>
                <w:rFonts w:ascii="Arial" w:cs="Arial" w:eastAsia="Arial" w:hAnsi="Arial"/>
                <w:sz w:val="14"/>
                <w:szCs w:val="14"/>
                <w:b w:val="1"/>
                <w:bCs w:val="1"/>
                <w:color w:val="FFFFFF"/>
              </w:rPr>
              <w:t>Fair Market</w:t>
            </w: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Unvested Awards</w:t>
            </w:r>
          </w:p>
        </w:tc>
        <w:tc>
          <w:tcPr>
            <w:tcW w:w="144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Vested during Year</w:t>
            </w:r>
          </w:p>
        </w:tc>
        <w:tc>
          <w:tcPr>
            <w:tcW w:w="166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Forfeited during Year</w:t>
            </w:r>
          </w:p>
        </w:tc>
        <w:tc>
          <w:tcPr>
            <w:tcW w:w="1400" w:type="dxa"/>
            <w:vAlign w:val="bottom"/>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Year</w:t>
            </w:r>
          </w:p>
        </w:tc>
        <w:tc>
          <w:tcPr>
            <w:tcW w:w="1360" w:type="dxa"/>
            <w:vAlign w:val="bottom"/>
            <w:vMerge w:val="restart"/>
            <w:shd w:val="clear" w:color="auto" w:fill="465E66"/>
          </w:tcPr>
          <w:p>
            <w:pPr>
              <w:ind w:left="280"/>
              <w:spacing w:after="0"/>
              <w:rPr>
                <w:sz w:val="20"/>
                <w:szCs w:val="20"/>
                <w:color w:val="auto"/>
              </w:rPr>
            </w:pPr>
            <w:r>
              <w:rPr>
                <w:rFonts w:ascii="Arial" w:cs="Arial" w:eastAsia="Arial" w:hAnsi="Arial"/>
                <w:sz w:val="14"/>
                <w:szCs w:val="14"/>
                <w:b w:val="1"/>
                <w:bCs w:val="1"/>
                <w:color w:val="FFFFFF"/>
              </w:rPr>
              <w:t>SCT Total ($)</w:t>
            </w:r>
          </w:p>
        </w:tc>
        <w:tc>
          <w:tcPr>
            <w:tcW w:w="17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Fair Market Value as</w:t>
            </w:r>
          </w:p>
        </w:tc>
        <w:tc>
          <w:tcPr>
            <w:tcW w:w="1400" w:type="dxa"/>
            <w:vAlign w:val="bottom"/>
            <w:vMerge w:val="continue"/>
            <w:shd w:val="clear" w:color="auto" w:fill="465E66"/>
          </w:tcPr>
          <w:p>
            <w:pPr>
              <w:spacing w:after="0"/>
              <w:rPr>
                <w:sz w:val="12"/>
                <w:szCs w:val="12"/>
                <w:color w:val="auto"/>
              </w:rPr>
            </w:pPr>
          </w:p>
        </w:tc>
        <w:tc>
          <w:tcPr>
            <w:tcW w:w="1400" w:type="dxa"/>
            <w:vAlign w:val="bottom"/>
            <w:vMerge w:val="continue"/>
            <w:shd w:val="clear" w:color="auto" w:fill="465E66"/>
          </w:tcPr>
          <w:p>
            <w:pPr>
              <w:spacing w:after="0"/>
              <w:rPr>
                <w:sz w:val="12"/>
                <w:szCs w:val="12"/>
                <w:color w:val="auto"/>
              </w:rPr>
            </w:pPr>
          </w:p>
        </w:tc>
        <w:tc>
          <w:tcPr>
            <w:tcW w:w="1440" w:type="dxa"/>
            <w:vAlign w:val="bottom"/>
            <w:vMerge w:val="continue"/>
            <w:shd w:val="clear" w:color="auto" w:fill="465E66"/>
          </w:tcPr>
          <w:p>
            <w:pPr>
              <w:spacing w:after="0"/>
              <w:rPr>
                <w:sz w:val="12"/>
                <w:szCs w:val="12"/>
                <w:color w:val="auto"/>
              </w:rPr>
            </w:pPr>
          </w:p>
        </w:tc>
        <w:tc>
          <w:tcPr>
            <w:tcW w:w="1660" w:type="dxa"/>
            <w:vAlign w:val="bottom"/>
            <w:vMerge w:val="continue"/>
            <w:shd w:val="clear" w:color="auto" w:fill="465E66"/>
          </w:tcPr>
          <w:p>
            <w:pPr>
              <w:spacing w:after="0"/>
              <w:rPr>
                <w:sz w:val="12"/>
                <w:szCs w:val="12"/>
                <w:color w:val="auto"/>
              </w:rPr>
            </w:pPr>
          </w:p>
        </w:tc>
        <w:tc>
          <w:tcPr>
            <w:tcW w:w="1400" w:type="dxa"/>
            <w:vAlign w:val="bottom"/>
            <w:vMerge w:val="restart"/>
            <w:shd w:val="clear" w:color="auto" w:fill="465E66"/>
          </w:tcPr>
          <w:p>
            <w:pPr>
              <w:ind w:left="140"/>
              <w:spacing w:after="0"/>
              <w:rPr>
                <w:sz w:val="20"/>
                <w:szCs w:val="20"/>
                <w:color w:val="auto"/>
              </w:rPr>
            </w:pPr>
            <w:r>
              <w:rPr>
                <w:rFonts w:ascii="Arial" w:cs="Arial" w:eastAsia="Arial" w:hAnsi="Arial"/>
                <w:sz w:val="14"/>
                <w:szCs w:val="14"/>
                <w:b w:val="1"/>
                <w:bCs w:val="1"/>
                <w:color w:val="FFFFFF"/>
              </w:rPr>
              <w:t>Ending CAP ($)</w:t>
            </w:r>
          </w:p>
        </w:tc>
        <w:tc>
          <w:tcPr>
            <w:tcW w:w="0" w:type="dxa"/>
            <w:vAlign w:val="bottom"/>
          </w:tcPr>
          <w:p>
            <w:pPr>
              <w:spacing w:after="0"/>
              <w:rPr>
                <w:sz w:val="1"/>
                <w:szCs w:val="1"/>
                <w:color w:val="auto"/>
              </w:rPr>
            </w:pPr>
          </w:p>
        </w:tc>
      </w:tr>
      <w:tr>
        <w:trPr>
          <w:trHeight w:val="189"/>
        </w:trPr>
        <w:tc>
          <w:tcPr>
            <w:tcW w:w="860" w:type="dxa"/>
            <w:vAlign w:val="bottom"/>
            <w:vMerge w:val="continue"/>
            <w:shd w:val="clear" w:color="auto" w:fill="465E66"/>
          </w:tcPr>
          <w:p>
            <w:pPr>
              <w:spacing w:after="0"/>
              <w:rPr>
                <w:sz w:val="16"/>
                <w:szCs w:val="16"/>
                <w:color w:val="auto"/>
              </w:rPr>
            </w:pPr>
          </w:p>
        </w:tc>
        <w:tc>
          <w:tcPr>
            <w:tcW w:w="1360" w:type="dxa"/>
            <w:vAlign w:val="bottom"/>
            <w:vMerge w:val="continue"/>
            <w:shd w:val="clear" w:color="auto" w:fill="465E66"/>
          </w:tcPr>
          <w:p>
            <w:pPr>
              <w:spacing w:after="0"/>
              <w:rPr>
                <w:sz w:val="16"/>
                <w:szCs w:val="16"/>
                <w:color w:val="auto"/>
              </w:rPr>
            </w:pPr>
          </w:p>
        </w:tc>
        <w:tc>
          <w:tcPr>
            <w:tcW w:w="17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reported in SCT ($)</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Value at 12/31 ($)</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as of 12/31 ($)</w:t>
            </w:r>
          </w:p>
        </w:tc>
        <w:tc>
          <w:tcPr>
            <w:tcW w:w="14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2022</w:t>
            </w:r>
          </w:p>
        </w:tc>
        <w:tc>
          <w:tcPr>
            <w:tcW w:w="13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16,519,702</w:t>
            </w: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(12,557,026)</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18,713,998</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(3,109,730)</w:t>
            </w:r>
          </w:p>
        </w:tc>
        <w:tc>
          <w:tcPr>
            <w:tcW w:w="14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682,099</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20,249,043</w:t>
            </w:r>
          </w:p>
        </w:tc>
        <w:tc>
          <w:tcPr>
            <w:tcW w:w="0" w:type="dxa"/>
            <w:vAlign w:val="bottom"/>
          </w:tcPr>
          <w:p>
            <w:pPr>
              <w:spacing w:after="0"/>
              <w:rPr>
                <w:sz w:val="1"/>
                <w:szCs w:val="1"/>
                <w:color w:val="auto"/>
              </w:rPr>
            </w:pPr>
          </w:p>
        </w:tc>
      </w:tr>
      <w:tr>
        <w:trPr>
          <w:trHeight w:val="198"/>
        </w:trPr>
        <w:tc>
          <w:tcPr>
            <w:tcW w:w="860" w:type="dxa"/>
            <w:vAlign w:val="bottom"/>
          </w:tcPr>
          <w:p>
            <w:pPr>
              <w:ind w:left="20"/>
              <w:spacing w:after="0"/>
              <w:rPr>
                <w:sz w:val="20"/>
                <w:szCs w:val="20"/>
                <w:color w:val="auto"/>
              </w:rPr>
            </w:pPr>
            <w:r>
              <w:rPr>
                <w:rFonts w:ascii="Arial" w:cs="Arial" w:eastAsia="Arial" w:hAnsi="Arial"/>
                <w:sz w:val="14"/>
                <w:szCs w:val="14"/>
                <w:color w:val="auto"/>
              </w:rPr>
              <w:t>2021</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12,825,562</w:t>
            </w:r>
          </w:p>
        </w:tc>
        <w:tc>
          <w:tcPr>
            <w:tcW w:w="1720" w:type="dxa"/>
            <w:vAlign w:val="bottom"/>
          </w:tcPr>
          <w:p>
            <w:pPr>
              <w:jc w:val="center"/>
              <w:spacing w:after="0"/>
              <w:rPr>
                <w:sz w:val="20"/>
                <w:szCs w:val="20"/>
                <w:color w:val="auto"/>
              </w:rPr>
            </w:pPr>
            <w:r>
              <w:rPr>
                <w:rFonts w:ascii="Arial" w:cs="Arial" w:eastAsia="Arial" w:hAnsi="Arial"/>
                <w:sz w:val="14"/>
                <w:szCs w:val="14"/>
                <w:color w:val="auto"/>
              </w:rPr>
              <w:t>(9,413,592)</w:t>
            </w:r>
          </w:p>
        </w:tc>
        <w:tc>
          <w:tcPr>
            <w:tcW w:w="1400" w:type="dxa"/>
            <w:vAlign w:val="bottom"/>
          </w:tcPr>
          <w:p>
            <w:pPr>
              <w:jc w:val="center"/>
              <w:spacing w:after="0"/>
              <w:rPr>
                <w:sz w:val="20"/>
                <w:szCs w:val="20"/>
                <w:color w:val="auto"/>
              </w:rPr>
            </w:pPr>
            <w:r>
              <w:rPr>
                <w:rFonts w:ascii="Arial" w:cs="Arial" w:eastAsia="Arial" w:hAnsi="Arial"/>
                <w:sz w:val="14"/>
                <w:szCs w:val="14"/>
                <w:color w:val="auto"/>
              </w:rPr>
              <w:t>20,760,924</w:t>
            </w:r>
          </w:p>
        </w:tc>
        <w:tc>
          <w:tcPr>
            <w:tcW w:w="1400" w:type="dxa"/>
            <w:vAlign w:val="bottom"/>
          </w:tcPr>
          <w:p>
            <w:pPr>
              <w:jc w:val="center"/>
              <w:spacing w:after="0"/>
              <w:rPr>
                <w:sz w:val="20"/>
                <w:szCs w:val="20"/>
                <w:color w:val="auto"/>
              </w:rPr>
            </w:pPr>
            <w:r>
              <w:rPr>
                <w:rFonts w:ascii="Arial" w:cs="Arial" w:eastAsia="Arial" w:hAnsi="Arial"/>
                <w:sz w:val="14"/>
                <w:szCs w:val="14"/>
                <w:color w:val="auto"/>
              </w:rPr>
              <w:t>12,588,427</w:t>
            </w:r>
          </w:p>
        </w:tc>
        <w:tc>
          <w:tcPr>
            <w:tcW w:w="1440" w:type="dxa"/>
            <w:vAlign w:val="bottom"/>
          </w:tcPr>
          <w:p>
            <w:pPr>
              <w:jc w:val="center"/>
              <w:spacing w:after="0"/>
              <w:rPr>
                <w:sz w:val="20"/>
                <w:szCs w:val="20"/>
                <w:color w:val="auto"/>
              </w:rPr>
            </w:pPr>
            <w:r>
              <w:rPr>
                <w:rFonts w:ascii="Arial" w:cs="Arial" w:eastAsia="Arial" w:hAnsi="Arial"/>
                <w:sz w:val="14"/>
                <w:szCs w:val="14"/>
                <w:color w:val="auto"/>
              </w:rPr>
              <w:t>1,070,174</w:t>
            </w:r>
          </w:p>
        </w:tc>
        <w:tc>
          <w:tcPr>
            <w:tcW w:w="166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37,831,495</w:t>
            </w:r>
          </w:p>
        </w:tc>
        <w:tc>
          <w:tcPr>
            <w:tcW w:w="0" w:type="dxa"/>
            <w:vAlign w:val="bottom"/>
          </w:tcPr>
          <w:p>
            <w:pPr>
              <w:spacing w:after="0"/>
              <w:rPr>
                <w:sz w:val="1"/>
                <w:szCs w:val="1"/>
                <w:color w:val="auto"/>
              </w:rPr>
            </w:pPr>
          </w:p>
        </w:tc>
      </w:tr>
      <w:tr>
        <w:trPr>
          <w:trHeight w:val="207"/>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2020 (B)</w:t>
            </w:r>
          </w:p>
        </w:tc>
        <w:tc>
          <w:tcPr>
            <w:tcW w:w="13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7,866,813</w:t>
            </w: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(7,578,939)</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8,223,096</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8,510,970</w:t>
            </w:r>
          </w:p>
        </w:tc>
        <w:tc>
          <w:tcPr>
            <w:tcW w:w="0" w:type="dxa"/>
            <w:vAlign w:val="bottom"/>
          </w:tcPr>
          <w:p>
            <w:pPr>
              <w:spacing w:after="0"/>
              <w:rPr>
                <w:sz w:val="1"/>
                <w:szCs w:val="1"/>
                <w:color w:val="auto"/>
              </w:rPr>
            </w:pPr>
          </w:p>
        </w:tc>
      </w:tr>
      <w:tr>
        <w:trPr>
          <w:trHeight w:val="195"/>
        </w:trPr>
        <w:tc>
          <w:tcPr>
            <w:tcW w:w="860" w:type="dxa"/>
            <w:vAlign w:val="bottom"/>
          </w:tcPr>
          <w:p>
            <w:pPr>
              <w:ind w:left="20"/>
              <w:spacing w:after="0"/>
              <w:rPr>
                <w:sz w:val="20"/>
                <w:szCs w:val="20"/>
                <w:color w:val="auto"/>
              </w:rPr>
            </w:pPr>
            <w:r>
              <w:rPr>
                <w:rFonts w:ascii="Arial" w:cs="Arial" w:eastAsia="Arial" w:hAnsi="Arial"/>
                <w:sz w:val="14"/>
                <w:szCs w:val="14"/>
                <w:color w:val="auto"/>
              </w:rPr>
              <w:t>2020 (C)</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7,056,742</w:t>
            </w:r>
          </w:p>
        </w:tc>
        <w:tc>
          <w:tcPr>
            <w:tcW w:w="1720" w:type="dxa"/>
            <w:vAlign w:val="bottom"/>
          </w:tcPr>
          <w:p>
            <w:pPr>
              <w:jc w:val="center"/>
              <w:spacing w:after="0"/>
              <w:rPr>
                <w:sz w:val="20"/>
                <w:szCs w:val="20"/>
                <w:color w:val="auto"/>
              </w:rPr>
            </w:pPr>
            <w:r>
              <w:rPr>
                <w:rFonts w:ascii="Arial" w:cs="Arial" w:eastAsia="Arial" w:hAnsi="Arial"/>
                <w:sz w:val="14"/>
                <w:szCs w:val="14"/>
                <w:color w:val="auto"/>
              </w:rPr>
              <w:t>(5,982,515)</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4,357,116</w:t>
            </w:r>
          </w:p>
        </w:tc>
        <w:tc>
          <w:tcPr>
            <w:tcW w:w="1400" w:type="dxa"/>
            <w:vAlign w:val="bottom"/>
          </w:tcPr>
          <w:p>
            <w:pPr>
              <w:jc w:val="center"/>
              <w:spacing w:after="0"/>
              <w:rPr>
                <w:sz w:val="20"/>
                <w:szCs w:val="20"/>
                <w:color w:val="auto"/>
              </w:rPr>
            </w:pPr>
            <w:r>
              <w:rPr>
                <w:rFonts w:ascii="Arial" w:cs="Arial" w:eastAsia="Arial" w:hAnsi="Arial"/>
                <w:sz w:val="14"/>
                <w:szCs w:val="14"/>
                <w:color w:val="auto"/>
              </w:rPr>
              <w:t>2,376,715</w:t>
            </w:r>
          </w:p>
        </w:tc>
        <w:tc>
          <w:tcPr>
            <w:tcW w:w="1440" w:type="dxa"/>
            <w:vAlign w:val="bottom"/>
          </w:tcPr>
          <w:p>
            <w:pPr>
              <w:jc w:val="center"/>
              <w:spacing w:after="0"/>
              <w:rPr>
                <w:sz w:val="20"/>
                <w:szCs w:val="20"/>
                <w:color w:val="auto"/>
              </w:rPr>
            </w:pPr>
            <w:r>
              <w:rPr>
                <w:rFonts w:ascii="Arial" w:cs="Arial" w:eastAsia="Arial" w:hAnsi="Arial"/>
                <w:sz w:val="14"/>
                <w:szCs w:val="14"/>
                <w:color w:val="auto"/>
              </w:rPr>
              <w:t>(2,024,880)</w:t>
            </w:r>
          </w:p>
        </w:tc>
        <w:tc>
          <w:tcPr>
            <w:tcW w:w="166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5,783,178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1836420</wp:posOffset>
            </wp:positionH>
            <wp:positionV relativeFrom="paragraph">
              <wp:posOffset>-843280</wp:posOffset>
            </wp:positionV>
            <wp:extent cx="40011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01135" cy="8890"/>
                    </a:xfrm>
                    <a:prstGeom prst="rect">
                      <a:avLst/>
                    </a:prstGeom>
                    <a:noFill/>
                  </pic:spPr>
                </pic:pic>
              </a:graphicData>
            </a:graphic>
          </wp:anchor>
        </w:drawing>
      </w:r>
    </w:p>
    <w:p>
      <w:pPr>
        <w:spacing w:after="0" w:line="6" w:lineRule="exact"/>
        <w:rPr>
          <w:sz w:val="20"/>
          <w:szCs w:val="20"/>
          <w:color w:val="auto"/>
        </w:rPr>
      </w:pPr>
    </w:p>
    <w:p>
      <w:pPr>
        <w:ind w:left="260" w:right="220" w:hanging="234"/>
        <w:spacing w:after="0" w:line="235" w:lineRule="auto"/>
        <w:tabs>
          <w:tab w:leader="none" w:pos="249"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 determining the fair value of unvested equity awards, we applied the same methodology used to determine grant date fair value of equity awards for purposes of SCT reporting but calculated as of the last day of the year, with no material changes to the underlying assumptions for any of the awards since grant date except that probable outcomes may have changed. For more information, please see Note 1 to the SCT.</w:t>
      </w:r>
    </w:p>
    <w:p>
      <w:pPr>
        <w:spacing w:after="0" w:line="13" w:lineRule="exact"/>
        <w:rPr>
          <w:rFonts w:ascii="Arial" w:cs="Arial" w:eastAsia="Arial" w:hAnsi="Arial"/>
          <w:sz w:val="14"/>
          <w:szCs w:val="14"/>
          <w:color w:val="auto"/>
        </w:rPr>
      </w:pPr>
    </w:p>
    <w:p>
      <w:pPr>
        <w:ind w:left="260" w:hanging="234"/>
        <w:spacing w:after="0"/>
        <w:tabs>
          <w:tab w:leader="none" w:pos="2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This is the SCT to CAP reconciliation for Mr. El-Khoury.</w:t>
      </w:r>
    </w:p>
    <w:p>
      <w:pPr>
        <w:spacing w:after="0" w:line="41" w:lineRule="exact"/>
        <w:rPr>
          <w:rFonts w:ascii="Arial" w:cs="Arial" w:eastAsia="Arial" w:hAnsi="Arial"/>
          <w:sz w:val="14"/>
          <w:szCs w:val="14"/>
          <w:color w:val="auto"/>
        </w:rPr>
      </w:pPr>
    </w:p>
    <w:p>
      <w:pPr>
        <w:ind w:left="260" w:hanging="234"/>
        <w:spacing w:after="0"/>
        <w:tabs>
          <w:tab w:leader="none" w:pos="2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This is the SCT to CAP reconciliation for Mr. Jackson, our Former PEO.</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shd w:val="clear" w:color="auto" w:fill="465E66"/>
          </w:tcPr>
          <w:p>
            <w:pPr>
              <w:spacing w:after="0"/>
              <w:rPr>
                <w:sz w:val="17"/>
                <w:szCs w:val="17"/>
                <w:color w:val="auto"/>
              </w:rPr>
            </w:pPr>
          </w:p>
        </w:tc>
        <w:tc>
          <w:tcPr>
            <w:tcW w:w="1360" w:type="dxa"/>
            <w:vAlign w:val="bottom"/>
            <w:shd w:val="clear" w:color="auto" w:fill="465E66"/>
          </w:tcPr>
          <w:p>
            <w:pPr>
              <w:spacing w:after="0"/>
              <w:rPr>
                <w:sz w:val="17"/>
                <w:szCs w:val="17"/>
                <w:color w:val="auto"/>
              </w:rPr>
            </w:pPr>
          </w:p>
        </w:tc>
        <w:tc>
          <w:tcPr>
            <w:tcW w:w="5960" w:type="dxa"/>
            <w:vAlign w:val="bottom"/>
            <w:gridSpan w:val="4"/>
            <w:shd w:val="clear" w:color="auto" w:fill="465E66"/>
          </w:tcPr>
          <w:p>
            <w:pPr>
              <w:ind w:left="1340"/>
              <w:spacing w:after="0"/>
              <w:rPr>
                <w:sz w:val="20"/>
                <w:szCs w:val="20"/>
                <w:color w:val="auto"/>
              </w:rPr>
            </w:pPr>
            <w:r>
              <w:rPr>
                <w:rFonts w:ascii="Arial" w:cs="Arial" w:eastAsia="Arial" w:hAnsi="Arial"/>
                <w:sz w:val="14"/>
                <w:szCs w:val="14"/>
                <w:b w:val="1"/>
                <w:bCs w:val="1"/>
                <w:color w:val="FFFFFF"/>
              </w:rPr>
              <w:t>SCT to CAP Reconciliation — Average of All Other NEOs (A)</w:t>
            </w:r>
          </w:p>
        </w:tc>
        <w:tc>
          <w:tcPr>
            <w:tcW w:w="1660" w:type="dxa"/>
            <w:vAlign w:val="bottom"/>
            <w:shd w:val="clear" w:color="auto" w:fill="465E66"/>
          </w:tcPr>
          <w:p>
            <w:pPr>
              <w:spacing w:after="0"/>
              <w:rPr>
                <w:sz w:val="17"/>
                <w:szCs w:val="17"/>
                <w:color w:val="auto"/>
              </w:rPr>
            </w:pPr>
          </w:p>
        </w:tc>
        <w:tc>
          <w:tcPr>
            <w:tcW w:w="140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0" w:type="dxa"/>
            <w:vAlign w:val="bottom"/>
            <w:shd w:val="clear" w:color="auto" w:fill="465E66"/>
          </w:tcPr>
          <w:p>
            <w:pPr>
              <w:spacing w:after="0"/>
              <w:rPr>
                <w:sz w:val="13"/>
                <w:szCs w:val="13"/>
                <w:color w:val="auto"/>
              </w:rPr>
            </w:pPr>
          </w:p>
        </w:tc>
        <w:tc>
          <w:tcPr>
            <w:tcW w:w="1360" w:type="dxa"/>
            <w:vAlign w:val="bottom"/>
            <w:shd w:val="clear" w:color="auto" w:fill="465E66"/>
          </w:tcPr>
          <w:p>
            <w:pPr>
              <w:spacing w:after="0"/>
              <w:rPr>
                <w:sz w:val="13"/>
                <w:szCs w:val="13"/>
                <w:color w:val="auto"/>
              </w:rPr>
            </w:pPr>
          </w:p>
        </w:tc>
        <w:tc>
          <w:tcPr>
            <w:tcW w:w="3120" w:type="dxa"/>
            <w:vAlign w:val="bottom"/>
            <w:gridSpan w:val="2"/>
            <w:shd w:val="clear" w:color="auto" w:fill="465E66"/>
          </w:tcPr>
          <w:p>
            <w:pPr>
              <w:jc w:val="center"/>
              <w:ind w:left="48"/>
              <w:spacing w:after="0" w:line="153" w:lineRule="exact"/>
              <w:rPr>
                <w:sz w:val="20"/>
                <w:szCs w:val="20"/>
                <w:color w:val="auto"/>
              </w:rPr>
            </w:pPr>
            <w:r>
              <w:rPr>
                <w:rFonts w:ascii="Arial" w:cs="Arial" w:eastAsia="Arial" w:hAnsi="Arial"/>
                <w:sz w:val="14"/>
                <w:szCs w:val="14"/>
                <w:b w:val="1"/>
                <w:bCs w:val="1"/>
                <w:color w:val="FFFFFF"/>
              </w:rPr>
              <w:t>Adjust Value of</w:t>
            </w:r>
          </w:p>
        </w:tc>
        <w:tc>
          <w:tcPr>
            <w:tcW w:w="4500" w:type="dxa"/>
            <w:vAlign w:val="bottom"/>
            <w:gridSpan w:val="3"/>
            <w:shd w:val="clear" w:color="auto" w:fill="465E66"/>
          </w:tcPr>
          <w:p>
            <w:pPr>
              <w:jc w:val="center"/>
              <w:spacing w:after="0" w:line="153" w:lineRule="exact"/>
              <w:rPr>
                <w:sz w:val="20"/>
                <w:szCs w:val="20"/>
                <w:color w:val="auto"/>
              </w:rPr>
            </w:pPr>
            <w:r>
              <w:rPr>
                <w:rFonts w:ascii="Arial" w:cs="Arial" w:eastAsia="Arial" w:hAnsi="Arial"/>
                <w:sz w:val="14"/>
                <w:szCs w:val="14"/>
                <w:b w:val="1"/>
                <w:bCs w:val="1"/>
                <w:color w:val="FFFFFF"/>
              </w:rPr>
              <w:t xml:space="preserve">Adjust for Incremental </w:t>
            </w:r>
            <w:r>
              <w:rPr>
                <w:rFonts w:ascii="Arial" w:cs="Arial" w:eastAsia="Arial" w:hAnsi="Arial"/>
                <w:sz w:val="14"/>
                <w:szCs w:val="14"/>
                <w:b w:val="1"/>
                <w:bCs w:val="1"/>
                <w:i w:val="1"/>
                <w:iCs w:val="1"/>
                <w:color w:val="FFFFFF"/>
              </w:rPr>
              <w:t>Increase/(Decrease)</w:t>
            </w:r>
          </w:p>
        </w:tc>
        <w:tc>
          <w:tcPr>
            <w:tcW w:w="1400" w:type="dxa"/>
            <w:vAlign w:val="bottom"/>
            <w:shd w:val="clear" w:color="auto" w:fill="465E66"/>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60" w:type="dxa"/>
            <w:vAlign w:val="bottom"/>
            <w:shd w:val="clear" w:color="auto" w:fill="465E66"/>
          </w:tcPr>
          <w:p>
            <w:pPr>
              <w:spacing w:after="0"/>
              <w:rPr>
                <w:sz w:val="16"/>
                <w:szCs w:val="16"/>
                <w:color w:val="auto"/>
              </w:rPr>
            </w:pPr>
          </w:p>
        </w:tc>
        <w:tc>
          <w:tcPr>
            <w:tcW w:w="1360" w:type="dxa"/>
            <w:vAlign w:val="bottom"/>
            <w:shd w:val="clear" w:color="auto" w:fill="465E66"/>
          </w:tcPr>
          <w:p>
            <w:pPr>
              <w:spacing w:after="0"/>
              <w:rPr>
                <w:sz w:val="16"/>
                <w:szCs w:val="16"/>
                <w:color w:val="auto"/>
              </w:rPr>
            </w:pPr>
          </w:p>
        </w:tc>
        <w:tc>
          <w:tcPr>
            <w:tcW w:w="3120" w:type="dxa"/>
            <w:vAlign w:val="bottom"/>
            <w:gridSpan w:val="2"/>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Current Year’s Equity Grant</w:t>
            </w:r>
          </w:p>
        </w:tc>
        <w:tc>
          <w:tcPr>
            <w:tcW w:w="4500" w:type="dxa"/>
            <w:vAlign w:val="bottom"/>
            <w:gridSpan w:val="3"/>
            <w:shd w:val="clear" w:color="auto" w:fill="465E66"/>
          </w:tcPr>
          <w:p>
            <w:pPr>
              <w:jc w:val="center"/>
              <w:spacing w:after="0"/>
              <w:rPr>
                <w:sz w:val="20"/>
                <w:szCs w:val="20"/>
                <w:color w:val="auto"/>
              </w:rPr>
            </w:pPr>
            <w:r>
              <w:rPr>
                <w:rFonts w:ascii="Arial" w:cs="Arial" w:eastAsia="Arial" w:hAnsi="Arial"/>
                <w:sz w:val="14"/>
                <w:szCs w:val="14"/>
                <w:b w:val="1"/>
                <w:bCs w:val="1"/>
                <w:color w:val="FFFFFF"/>
              </w:rPr>
              <w:t>in Value of All Other Outstanding Equity Grants</w:t>
            </w:r>
          </w:p>
        </w:tc>
        <w:tc>
          <w:tcPr>
            <w:tcW w:w="1400" w:type="dxa"/>
            <w:vAlign w:val="bottom"/>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0" w:type="dxa"/>
            <w:vAlign w:val="bottom"/>
            <w:shd w:val="clear" w:color="auto" w:fill="465E66"/>
          </w:tcPr>
          <w:p>
            <w:pPr>
              <w:spacing w:after="0"/>
              <w:rPr>
                <w:sz w:val="13"/>
                <w:szCs w:val="13"/>
                <w:color w:val="auto"/>
              </w:rPr>
            </w:pPr>
          </w:p>
        </w:tc>
        <w:tc>
          <w:tcPr>
            <w:tcW w:w="1360" w:type="dxa"/>
            <w:vAlign w:val="bottom"/>
            <w:shd w:val="clear" w:color="auto" w:fill="465E66"/>
          </w:tcPr>
          <w:p>
            <w:pPr>
              <w:spacing w:after="0"/>
              <w:rPr>
                <w:sz w:val="13"/>
                <w:szCs w:val="13"/>
                <w:color w:val="auto"/>
              </w:rPr>
            </w:pPr>
          </w:p>
        </w:tc>
        <w:tc>
          <w:tcPr>
            <w:tcW w:w="1720" w:type="dxa"/>
            <w:vAlign w:val="bottom"/>
            <w:shd w:val="clear" w:color="auto" w:fill="465E66"/>
          </w:tcPr>
          <w:p>
            <w:pPr>
              <w:jc w:val="center"/>
              <w:ind w:left="8"/>
              <w:spacing w:after="0" w:line="153" w:lineRule="exact"/>
              <w:rPr>
                <w:sz w:val="20"/>
                <w:szCs w:val="20"/>
                <w:color w:val="auto"/>
              </w:rPr>
            </w:pPr>
            <w:r>
              <w:rPr>
                <w:rFonts w:ascii="Arial" w:cs="Arial" w:eastAsia="Arial" w:hAnsi="Arial"/>
                <w:sz w:val="14"/>
                <w:szCs w:val="14"/>
                <w:b w:val="1"/>
                <w:bCs w:val="1"/>
                <w:i w:val="1"/>
                <w:iCs w:val="1"/>
                <w:color w:val="FFFFFF"/>
              </w:rPr>
              <w:t xml:space="preserve">Subtract </w:t>
            </w:r>
            <w:r>
              <w:rPr>
                <w:rFonts w:ascii="Arial" w:cs="Arial" w:eastAsia="Arial" w:hAnsi="Arial"/>
                <w:sz w:val="14"/>
                <w:szCs w:val="14"/>
                <w:b w:val="1"/>
                <w:bCs w:val="1"/>
                <w:color w:val="FFFFFF"/>
              </w:rPr>
              <w:t>Grant Date</w:t>
            </w: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 xml:space="preserve">Add </w:t>
            </w:r>
            <w:r>
              <w:rPr>
                <w:rFonts w:ascii="Arial" w:cs="Arial" w:eastAsia="Arial" w:hAnsi="Arial"/>
                <w:sz w:val="14"/>
                <w:szCs w:val="14"/>
                <w:b w:val="1"/>
                <w:bCs w:val="1"/>
                <w:color w:val="FFFFFF"/>
              </w:rPr>
              <w:t>Fair Market</w:t>
            </w: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Unvested Awards</w:t>
            </w:r>
          </w:p>
        </w:tc>
        <w:tc>
          <w:tcPr>
            <w:tcW w:w="144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Vested during Year</w:t>
            </w:r>
          </w:p>
        </w:tc>
        <w:tc>
          <w:tcPr>
            <w:tcW w:w="166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Forfeited during Year</w:t>
            </w:r>
          </w:p>
        </w:tc>
        <w:tc>
          <w:tcPr>
            <w:tcW w:w="1400" w:type="dxa"/>
            <w:vAlign w:val="bottom"/>
            <w:shd w:val="clear" w:color="auto" w:fill="465E66"/>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Year</w:t>
            </w:r>
          </w:p>
        </w:tc>
        <w:tc>
          <w:tcPr>
            <w:tcW w:w="1360" w:type="dxa"/>
            <w:vAlign w:val="bottom"/>
            <w:vMerge w:val="restart"/>
            <w:shd w:val="clear" w:color="auto" w:fill="465E66"/>
          </w:tcPr>
          <w:p>
            <w:pPr>
              <w:jc w:val="center"/>
              <w:ind w:left="8"/>
              <w:spacing w:after="0"/>
              <w:rPr>
                <w:sz w:val="20"/>
                <w:szCs w:val="20"/>
                <w:color w:val="auto"/>
              </w:rPr>
            </w:pPr>
            <w:r>
              <w:rPr>
                <w:rFonts w:ascii="Arial" w:cs="Arial" w:eastAsia="Arial" w:hAnsi="Arial"/>
                <w:sz w:val="14"/>
                <w:szCs w:val="14"/>
                <w:b w:val="1"/>
                <w:bCs w:val="1"/>
                <w:color w:val="FFFFFF"/>
              </w:rPr>
              <w:t>SCT Total ($)</w:t>
            </w:r>
          </w:p>
        </w:tc>
        <w:tc>
          <w:tcPr>
            <w:tcW w:w="17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Fair Market Value as</w:t>
            </w:r>
          </w:p>
        </w:tc>
        <w:tc>
          <w:tcPr>
            <w:tcW w:w="1400" w:type="dxa"/>
            <w:vAlign w:val="bottom"/>
            <w:vMerge w:val="continue"/>
            <w:shd w:val="clear" w:color="auto" w:fill="465E66"/>
          </w:tcPr>
          <w:p>
            <w:pPr>
              <w:spacing w:after="0"/>
              <w:rPr>
                <w:sz w:val="12"/>
                <w:szCs w:val="12"/>
                <w:color w:val="auto"/>
              </w:rPr>
            </w:pPr>
          </w:p>
        </w:tc>
        <w:tc>
          <w:tcPr>
            <w:tcW w:w="1400" w:type="dxa"/>
            <w:vAlign w:val="bottom"/>
            <w:vMerge w:val="continue"/>
            <w:shd w:val="clear" w:color="auto" w:fill="465E66"/>
          </w:tcPr>
          <w:p>
            <w:pPr>
              <w:spacing w:after="0"/>
              <w:rPr>
                <w:sz w:val="12"/>
                <w:szCs w:val="12"/>
                <w:color w:val="auto"/>
              </w:rPr>
            </w:pPr>
          </w:p>
        </w:tc>
        <w:tc>
          <w:tcPr>
            <w:tcW w:w="1440" w:type="dxa"/>
            <w:vAlign w:val="bottom"/>
            <w:vMerge w:val="continue"/>
            <w:shd w:val="clear" w:color="auto" w:fill="465E66"/>
          </w:tcPr>
          <w:p>
            <w:pPr>
              <w:spacing w:after="0"/>
              <w:rPr>
                <w:sz w:val="12"/>
                <w:szCs w:val="12"/>
                <w:color w:val="auto"/>
              </w:rPr>
            </w:pPr>
          </w:p>
        </w:tc>
        <w:tc>
          <w:tcPr>
            <w:tcW w:w="1660" w:type="dxa"/>
            <w:vAlign w:val="bottom"/>
            <w:vMerge w:val="continue"/>
            <w:shd w:val="clear" w:color="auto" w:fill="465E66"/>
          </w:tcPr>
          <w:p>
            <w:pPr>
              <w:spacing w:after="0"/>
              <w:rPr>
                <w:sz w:val="12"/>
                <w:szCs w:val="12"/>
                <w:color w:val="auto"/>
              </w:rPr>
            </w:pPr>
          </w:p>
        </w:tc>
        <w:tc>
          <w:tcPr>
            <w:tcW w:w="1400" w:type="dxa"/>
            <w:vAlign w:val="bottom"/>
            <w:vMerge w:val="restart"/>
            <w:shd w:val="clear" w:color="auto" w:fill="465E66"/>
          </w:tcPr>
          <w:p>
            <w:pPr>
              <w:ind w:left="140"/>
              <w:spacing w:after="0"/>
              <w:rPr>
                <w:sz w:val="20"/>
                <w:szCs w:val="20"/>
                <w:color w:val="auto"/>
              </w:rPr>
            </w:pPr>
            <w:r>
              <w:rPr>
                <w:rFonts w:ascii="Arial" w:cs="Arial" w:eastAsia="Arial" w:hAnsi="Arial"/>
                <w:sz w:val="14"/>
                <w:szCs w:val="14"/>
                <w:b w:val="1"/>
                <w:bCs w:val="1"/>
                <w:color w:val="FFFFFF"/>
              </w:rPr>
              <w:t>Ending CAP ($)</w:t>
            </w:r>
          </w:p>
        </w:tc>
        <w:tc>
          <w:tcPr>
            <w:tcW w:w="0" w:type="dxa"/>
            <w:vAlign w:val="bottom"/>
          </w:tcPr>
          <w:p>
            <w:pPr>
              <w:spacing w:after="0"/>
              <w:rPr>
                <w:sz w:val="1"/>
                <w:szCs w:val="1"/>
                <w:color w:val="auto"/>
              </w:rPr>
            </w:pPr>
          </w:p>
        </w:tc>
      </w:tr>
      <w:tr>
        <w:trPr>
          <w:trHeight w:val="185"/>
        </w:trPr>
        <w:tc>
          <w:tcPr>
            <w:tcW w:w="860" w:type="dxa"/>
            <w:vAlign w:val="bottom"/>
            <w:vMerge w:val="continue"/>
            <w:shd w:val="clear" w:color="auto" w:fill="465E66"/>
          </w:tcPr>
          <w:p>
            <w:pPr>
              <w:spacing w:after="0"/>
              <w:rPr>
                <w:sz w:val="16"/>
                <w:szCs w:val="16"/>
                <w:color w:val="auto"/>
              </w:rPr>
            </w:pPr>
          </w:p>
        </w:tc>
        <w:tc>
          <w:tcPr>
            <w:tcW w:w="1360" w:type="dxa"/>
            <w:vAlign w:val="bottom"/>
            <w:vMerge w:val="continue"/>
            <w:shd w:val="clear" w:color="auto" w:fill="465E66"/>
          </w:tcPr>
          <w:p>
            <w:pPr>
              <w:spacing w:after="0"/>
              <w:rPr>
                <w:sz w:val="16"/>
                <w:szCs w:val="16"/>
                <w:color w:val="auto"/>
              </w:rPr>
            </w:pPr>
          </w:p>
        </w:tc>
        <w:tc>
          <w:tcPr>
            <w:tcW w:w="17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reported in SCT ($)</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Value at 12/31 ($)</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as of 12/31 ($)</w:t>
            </w:r>
          </w:p>
        </w:tc>
        <w:tc>
          <w:tcPr>
            <w:tcW w:w="14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2022</w:t>
            </w:r>
          </w:p>
        </w:tc>
        <w:tc>
          <w:tcPr>
            <w:tcW w:w="13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3,699,715</w:t>
            </w: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(2,542,484)</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2,887,979</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(700,029)</w:t>
            </w:r>
          </w:p>
        </w:tc>
        <w:tc>
          <w:tcPr>
            <w:tcW w:w="14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(413)</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(634,222)</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2,710,546</w:t>
            </w:r>
          </w:p>
        </w:tc>
        <w:tc>
          <w:tcPr>
            <w:tcW w:w="0" w:type="dxa"/>
            <w:vAlign w:val="bottom"/>
          </w:tcPr>
          <w:p>
            <w:pPr>
              <w:spacing w:after="0"/>
              <w:rPr>
                <w:sz w:val="1"/>
                <w:szCs w:val="1"/>
                <w:color w:val="auto"/>
              </w:rPr>
            </w:pPr>
          </w:p>
        </w:tc>
      </w:tr>
      <w:tr>
        <w:trPr>
          <w:trHeight w:val="199"/>
        </w:trPr>
        <w:tc>
          <w:tcPr>
            <w:tcW w:w="860" w:type="dxa"/>
            <w:vAlign w:val="bottom"/>
          </w:tcPr>
          <w:p>
            <w:pPr>
              <w:ind w:left="20"/>
              <w:spacing w:after="0"/>
              <w:rPr>
                <w:sz w:val="20"/>
                <w:szCs w:val="20"/>
                <w:color w:val="auto"/>
              </w:rPr>
            </w:pPr>
            <w:r>
              <w:rPr>
                <w:rFonts w:ascii="Arial" w:cs="Arial" w:eastAsia="Arial" w:hAnsi="Arial"/>
                <w:sz w:val="14"/>
                <w:szCs w:val="14"/>
                <w:color w:val="auto"/>
              </w:rPr>
              <w:t>2021</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4,014,944</w:t>
            </w:r>
          </w:p>
        </w:tc>
        <w:tc>
          <w:tcPr>
            <w:tcW w:w="1720" w:type="dxa"/>
            <w:vAlign w:val="bottom"/>
          </w:tcPr>
          <w:p>
            <w:pPr>
              <w:jc w:val="center"/>
              <w:spacing w:after="0"/>
              <w:rPr>
                <w:sz w:val="20"/>
                <w:szCs w:val="20"/>
                <w:color w:val="auto"/>
              </w:rPr>
            </w:pPr>
            <w:r>
              <w:rPr>
                <w:rFonts w:ascii="Arial" w:cs="Arial" w:eastAsia="Arial" w:hAnsi="Arial"/>
                <w:sz w:val="14"/>
                <w:szCs w:val="14"/>
                <w:color w:val="auto"/>
              </w:rPr>
              <w:t>(2,955,672)</w:t>
            </w:r>
          </w:p>
        </w:tc>
        <w:tc>
          <w:tcPr>
            <w:tcW w:w="1400" w:type="dxa"/>
            <w:vAlign w:val="bottom"/>
          </w:tcPr>
          <w:p>
            <w:pPr>
              <w:jc w:val="center"/>
              <w:spacing w:after="0"/>
              <w:rPr>
                <w:sz w:val="20"/>
                <w:szCs w:val="20"/>
                <w:color w:val="auto"/>
              </w:rPr>
            </w:pPr>
            <w:r>
              <w:rPr>
                <w:rFonts w:ascii="Arial" w:cs="Arial" w:eastAsia="Arial" w:hAnsi="Arial"/>
                <w:sz w:val="14"/>
                <w:szCs w:val="14"/>
                <w:color w:val="auto"/>
              </w:rPr>
              <w:t>6,317,938</w:t>
            </w:r>
          </w:p>
        </w:tc>
        <w:tc>
          <w:tcPr>
            <w:tcW w:w="1400" w:type="dxa"/>
            <w:vAlign w:val="bottom"/>
          </w:tcPr>
          <w:p>
            <w:pPr>
              <w:jc w:val="center"/>
              <w:spacing w:after="0"/>
              <w:rPr>
                <w:sz w:val="20"/>
                <w:szCs w:val="20"/>
                <w:color w:val="auto"/>
              </w:rPr>
            </w:pPr>
            <w:r>
              <w:rPr>
                <w:rFonts w:ascii="Arial" w:cs="Arial" w:eastAsia="Arial" w:hAnsi="Arial"/>
                <w:sz w:val="14"/>
                <w:szCs w:val="14"/>
                <w:color w:val="auto"/>
              </w:rPr>
              <w:t>4,106,036</w:t>
            </w:r>
          </w:p>
        </w:tc>
        <w:tc>
          <w:tcPr>
            <w:tcW w:w="1440" w:type="dxa"/>
            <w:vAlign w:val="bottom"/>
          </w:tcPr>
          <w:p>
            <w:pPr>
              <w:jc w:val="center"/>
              <w:spacing w:after="0"/>
              <w:rPr>
                <w:sz w:val="20"/>
                <w:szCs w:val="20"/>
                <w:color w:val="auto"/>
              </w:rPr>
            </w:pPr>
            <w:r>
              <w:rPr>
                <w:rFonts w:ascii="Arial" w:cs="Arial" w:eastAsia="Arial" w:hAnsi="Arial"/>
                <w:sz w:val="14"/>
                <w:szCs w:val="14"/>
                <w:color w:val="auto"/>
              </w:rPr>
              <w:t>228,638</w:t>
            </w:r>
          </w:p>
        </w:tc>
        <w:tc>
          <w:tcPr>
            <w:tcW w:w="1660" w:type="dxa"/>
            <w:vAlign w:val="bottom"/>
          </w:tcPr>
          <w:p>
            <w:pPr>
              <w:jc w:val="center"/>
              <w:spacing w:after="0"/>
              <w:rPr>
                <w:sz w:val="20"/>
                <w:szCs w:val="20"/>
                <w:color w:val="auto"/>
              </w:rPr>
            </w:pPr>
            <w:r>
              <w:rPr>
                <w:rFonts w:ascii="Arial" w:cs="Arial" w:eastAsia="Arial" w:hAnsi="Arial"/>
                <w:sz w:val="14"/>
                <w:szCs w:val="14"/>
                <w:color w:val="auto"/>
              </w:rPr>
              <w:t>(715,477)</w:t>
            </w:r>
          </w:p>
        </w:tc>
        <w:tc>
          <w:tcPr>
            <w:tcW w:w="1400" w:type="dxa"/>
            <w:vAlign w:val="bottom"/>
          </w:tcPr>
          <w:p>
            <w:pPr>
              <w:jc w:val="center"/>
              <w:spacing w:after="0"/>
              <w:rPr>
                <w:sz w:val="20"/>
                <w:szCs w:val="20"/>
                <w:color w:val="auto"/>
              </w:rPr>
            </w:pPr>
            <w:r>
              <w:rPr>
                <w:rFonts w:ascii="Arial" w:cs="Arial" w:eastAsia="Arial" w:hAnsi="Arial"/>
                <w:sz w:val="14"/>
                <w:szCs w:val="14"/>
                <w:color w:val="auto"/>
              </w:rPr>
              <w:t>10,996,407</w:t>
            </w:r>
          </w:p>
        </w:tc>
        <w:tc>
          <w:tcPr>
            <w:tcW w:w="0" w:type="dxa"/>
            <w:vAlign w:val="bottom"/>
          </w:tcPr>
          <w:p>
            <w:pPr>
              <w:spacing w:after="0"/>
              <w:rPr>
                <w:sz w:val="1"/>
                <w:szCs w:val="1"/>
                <w:color w:val="auto"/>
              </w:rPr>
            </w:pPr>
          </w:p>
        </w:tc>
      </w:tr>
      <w:tr>
        <w:trPr>
          <w:trHeight w:val="203"/>
        </w:trPr>
        <w:tc>
          <w:tcPr>
            <w:tcW w:w="8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2020</w:t>
            </w:r>
          </w:p>
        </w:tc>
        <w:tc>
          <w:tcPr>
            <w:tcW w:w="1360" w:type="dxa"/>
            <w:vAlign w:val="bottom"/>
            <w:tcBorders>
              <w:bottom w:val="single" w:sz="8" w:color="auto"/>
            </w:tcBorders>
            <w:shd w:val="clear" w:color="auto" w:fill="DBDBDB"/>
          </w:tcPr>
          <w:p>
            <w:pPr>
              <w:jc w:val="center"/>
              <w:ind w:left="8"/>
              <w:spacing w:after="0"/>
              <w:rPr>
                <w:sz w:val="20"/>
                <w:szCs w:val="20"/>
                <w:color w:val="auto"/>
              </w:rPr>
            </w:pPr>
            <w:r>
              <w:rPr>
                <w:rFonts w:ascii="Arial" w:cs="Arial" w:eastAsia="Arial" w:hAnsi="Arial"/>
                <w:sz w:val="14"/>
                <w:szCs w:val="14"/>
                <w:color w:val="auto"/>
              </w:rPr>
              <w:t>2,363,835</w:t>
            </w:r>
          </w:p>
        </w:tc>
        <w:tc>
          <w:tcPr>
            <w:tcW w:w="17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(1,868,651)</w:t>
            </w:r>
          </w:p>
        </w:tc>
        <w:tc>
          <w:tcPr>
            <w:tcW w:w="1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1,429,507</w:t>
            </w:r>
          </w:p>
        </w:tc>
        <w:tc>
          <w:tcPr>
            <w:tcW w:w="1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647,814</w:t>
            </w:r>
          </w:p>
        </w:tc>
        <w:tc>
          <w:tcPr>
            <w:tcW w:w="14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(443,157)</w:t>
            </w:r>
          </w:p>
        </w:tc>
        <w:tc>
          <w:tcPr>
            <w:tcW w:w="16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2,129,348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-719455</wp:posOffset>
            </wp:positionV>
            <wp:extent cx="40011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01135" cy="8890"/>
                    </a:xfrm>
                    <a:prstGeom prst="rect">
                      <a:avLst/>
                    </a:prstGeom>
                    <a:noFill/>
                  </pic:spPr>
                </pic:pic>
              </a:graphicData>
            </a:graphic>
          </wp:anchor>
        </w:drawing>
      </w:r>
    </w:p>
    <w:p>
      <w:pPr>
        <w:ind w:left="260" w:right="220" w:hanging="234"/>
        <w:spacing w:after="0" w:line="243" w:lineRule="auto"/>
        <w:tabs>
          <w:tab w:leader="none" w:pos="249"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 determining the fair value of unvested equity awards, we applied the same methodology used to determine grant date fair value of equity awards for purposes of SCT reporting but calculated as of the last day of the year, with no material changes to the underlying assumptions for any of the awards since grant date except that probable outcomes may have changed. For more information, please see Note 1 to the SCT.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2" w:name="page63"/>
    <w:bookmarkEnd w:id="62"/>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Relationship between CAP and Selected Performance Measures</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graphs illustrate how CAP compares to each of the performance metrics in the main Pay versus Performance table. For 2020, the year in which we had two PEOs, the figure used for PEO CAP is their combined CAP for that year.</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in our CD&amp;A, annual equity awards represent the most significant portion of each executive officer’s compensation. In addition, Mr. El-Khoury’s initial compensation package, granted in late 2020, included an award of PBRSUs with payout tied to our two-year TSR performance as compared to a defined group of peer companies. As a result, over the three-year period covered by the table, CAP to PEO aligns most closely with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139700</wp:posOffset>
            </wp:positionV>
            <wp:extent cx="3000375" cy="50749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00375" cy="507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Most Important Performance Metrics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five of the most important metrics that we use to link executive compensation actually paid to Company performance</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most recently completed fiscal year. For more information about how each is used in our programs, please see the section entitled “Elements of our Compensation Program” in our CD&amp;A.</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58</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63" w:name="page64"/>
    <w:bookmarkEnd w:id="63"/>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FFFFFF"/>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-127635</wp:posOffset>
            </wp:positionV>
            <wp:extent cx="2828925" cy="291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28925" cy="291465"/>
                    </a:xfrm>
                    <a:prstGeom prst="rect">
                      <a:avLst/>
                    </a:prstGeom>
                    <a:noFill/>
                  </pic:spPr>
                </pic:pic>
              </a:graphicData>
            </a:graphic>
          </wp:anchor>
        </w:drawing>
      </w:r>
    </w:p>
    <w:p>
      <w:pPr>
        <w:spacing w:after="0" w:line="2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Revenue</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12065</wp:posOffset>
            </wp:positionV>
            <wp:extent cx="2828925"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28925" cy="14541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Non-GAAP Operating Expense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12065</wp:posOffset>
            </wp:positionV>
            <wp:extent cx="2828925"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28925" cy="14541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12065</wp:posOffset>
            </wp:positionV>
            <wp:extent cx="28289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AUDIT COMMITTEE MATTERS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Proposal No. 4: Ratification of Selection of Independent Registered Public Accounting Firm</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Board unanimously recommends a vote “FOR” the ratification of our selection of PwC as our independent registered public accounting firm for the year ended December 31, 2023.</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Audit Committee: (i) has selected PwC as the independent registered public accounting firm to (1) audit our consolidated financial statements for the year ending December 31, 2023, and (2) render other services as required of them, including to report on the effectiveness of our internal control over financial reporting as of December 31, 2023; and (ii) is seeking ratification of this selection from our stockholders. PwC has served as our independent auditor continuously since 2001.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whether to retain PwC as our 2023 independent auditor, our Audit Committee considered, among other things:</w:t>
      </w:r>
    </w:p>
    <w:p>
      <w:pPr>
        <w:spacing w:after="0" w:line="9"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historical and recent performance of PwC on our audits;</w:t>
      </w:r>
    </w:p>
    <w:p>
      <w:pPr>
        <w:ind w:left="660" w:hanging="328"/>
        <w:spacing w:after="0" w:line="234"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breadth of knowledge of PwC with respect to our industry and business, our accounting policies and practices and our internal control over financial reporting;</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capability and expertise of PwC in handling the breadth and complexity of our worldwide operations;</w:t>
      </w:r>
    </w:p>
    <w:p>
      <w:pPr>
        <w:ind w:left="660" w:hanging="328"/>
        <w:spacing w:after="0" w:line="23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external data on audit quality and performance, including recent PCAOB reports on PwC and its peer firms;</w:t>
      </w:r>
    </w:p>
    <w:p>
      <w:pPr>
        <w:ind w:left="660" w:hanging="328"/>
        <w:spacing w:after="0" w:line="21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appropriateness of PwC’s fees for audit and non-audit services; and</w:t>
      </w: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PwC’s independence and tenure as our independent auditor.</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this evaluation, our Audit Committee believes that the retention of PwC as our independent auditor for the year ended December 31, 2023 is in the best interest of us and our stockholders. Although stockholder ratification is not required, this appointment is being submitted to our stockholders for ratification as a matter of good corporate governance. If our stockholders fail to ratify the selection, the Audit Committee may reconsider the selection of PwC. Even if the selection is ratified, our Audit Committee, in its discretion, may select a different independent registered public accounting firm at any time during the year if it determines that such a selection would be in our best interest and the best interest of our stockholders.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representative of PwC is expected to be present at our 2023 annual meeting, will have the opportunity to make a statement if he or she so desires and will be available to respond to appropriate questions.</w:t>
      </w:r>
    </w:p>
    <w:p>
      <w:pPr>
        <w:spacing w:after="0" w:line="194"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Vote Required to Ratify the Appointment of PricewaterhouseCoopers LLP as our Independent Registered Public Accounting Firm for 2023</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our Audit Committee may select our independent auditor without stockholder approval, the Audit Committee will consider the affirmative vote of a majority of the shares present in person or represented by proxy and entitled to vote on the matter as approval for this Proposal No. 4. See “Questions and Answers About the Proxy Materials, Annual Meeting and Voting” for more information.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Audit Committee Report</w:t>
      </w:r>
    </w:p>
    <w:p>
      <w:pPr>
        <w:spacing w:after="0" w:line="12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Our Audit Committee is responsible for monitoring the integrity of our consolidated financial statements, our compliance with legal and regulatory requirements, our system of disclosure controls and procedures that may have a material impact on our financial statements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(including internal control over financial reporting) and the qualifications, independence and performance of its independent registered public accounting firm. It has the sole authority and responsibility to select, oversee and, when appropriate, replace our independent registered public accounting firm. Our Audit Committee meets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4" w:name="page65"/>
    <w:bookmarkEnd w:id="64"/>
    <w:p>
      <w:pPr>
        <w:ind w:left="20"/>
        <w:spacing w:after="0"/>
        <w:rPr>
          <w:sz w:val="20"/>
          <w:szCs w:val="20"/>
          <w:color w:val="auto"/>
        </w:rPr>
      </w:pPr>
      <w:r>
        <w:rPr>
          <w:rFonts w:ascii="Arial" w:cs="Arial" w:eastAsia="Arial" w:hAnsi="Arial"/>
          <w:sz w:val="18"/>
          <w:szCs w:val="18"/>
          <w:color w:val="E97D2E"/>
        </w:rPr>
        <w:t>Audit Committee Matters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periodically with the internal auditors and independent registered public accounting firm, with and without management present, to discuss the results of their examinations, their evaluations of our disclosure controls and procedures (including internal control over financial reporting) and the overall quality of our financial reporting.</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Audit Committee, currently comprised of four independent non-employee directors and operating under its written charter, has: (i) reviewed and discussed the audited financial statements with our management; (ii) discussed with our independent registered public accounting firm the matters required to be discussed by the applicable requirements of the PCAOB and the SEC; (iii) received and reviewed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written disclosures and the letter from our independent registered public accounting firm required by applicable requirements of the PCAOB regarding the independent registered public accounting firm’s communications with the Audit Committee concerning independence;</w:t>
      </w:r>
    </w:p>
    <w:p>
      <w:pPr>
        <w:spacing w:after="0" w:line="2" w:lineRule="exact"/>
        <w:rPr>
          <w:sz w:val="20"/>
          <w:szCs w:val="20"/>
          <w:color w:val="auto"/>
        </w:rPr>
      </w:pPr>
    </w:p>
    <w:p>
      <w:pPr>
        <w:jc w:val="both"/>
        <w:ind w:firstLine="8"/>
        <w:spacing w:after="0" w:line="239"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such independent registered public accounting firm’s independence; and (v) discussed with management critical accounting policies, the processes and controls related to the President and CEO and the CFO financial reporting certifications required by the SEC and the Sarbanes-Oxley Act of 2002 to accompany our periodic filings with the SEC. Based on its review and discussions listed above, as well as such other matters deemed relevant and appropriate by it, the Audit Committee recommended to our Board that the audited financial statements be included in the Form 10-K.</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is not the duty of the Audit Committee to determine that our financial statements and disclosures are complete and accurate and in accordance with GAAP or to plan or conduct audits. Those are the responsibilities of management and our independent registered public accounting firm. In giving its recommendation to the Board, our Audit Committee has relied on: (i) management’s representation that such financial statements have been prepared with integrity and objectivity and in conformity with GAAP; and (ii) the report of our independent registered public accounting firm with respect to such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Audit Committee.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Susan K. Carter, Chair</w:t>
      </w:r>
    </w:p>
    <w:p>
      <w:pPr>
        <w:ind w:left="660"/>
        <w:spacing w:after="0" w:line="234" w:lineRule="auto"/>
        <w:rPr>
          <w:sz w:val="20"/>
          <w:szCs w:val="20"/>
          <w:color w:val="auto"/>
        </w:rPr>
      </w:pPr>
      <w:r>
        <w:rPr>
          <w:rFonts w:ascii="Arial" w:cs="Arial" w:eastAsia="Arial" w:hAnsi="Arial"/>
          <w:sz w:val="18"/>
          <w:szCs w:val="18"/>
          <w:color w:val="auto"/>
        </w:rPr>
        <w:t>Atsushi Abe</w:t>
      </w:r>
    </w:p>
    <w:p>
      <w:pPr>
        <w:ind w:left="660"/>
        <w:spacing w:after="0" w:line="235" w:lineRule="auto"/>
        <w:rPr>
          <w:sz w:val="20"/>
          <w:szCs w:val="20"/>
          <w:color w:val="auto"/>
        </w:rPr>
      </w:pPr>
      <w:r>
        <w:rPr>
          <w:rFonts w:ascii="Arial" w:cs="Arial" w:eastAsia="Arial" w:hAnsi="Arial"/>
          <w:sz w:val="18"/>
          <w:szCs w:val="18"/>
          <w:color w:val="auto"/>
        </w:rPr>
        <w:t>Alan Campbell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Bruce E. Kiddoo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60</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5" w:name="page66"/>
    <w:bookmarkEnd w:id="65"/>
    <w:p>
      <w:pPr>
        <w:ind w:left="9240"/>
        <w:spacing w:after="0"/>
        <w:rPr>
          <w:sz w:val="20"/>
          <w:szCs w:val="20"/>
          <w:color w:val="auto"/>
        </w:rPr>
      </w:pPr>
      <w:r>
        <w:rPr>
          <w:rFonts w:ascii="Arial" w:cs="Arial" w:eastAsia="Arial" w:hAnsi="Arial"/>
          <w:sz w:val="18"/>
          <w:szCs w:val="18"/>
          <w:color w:val="E97D2E"/>
        </w:rPr>
        <w:t>Audit Committee Matters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Independent Registered Public Accounting Firm</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and Related Fees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Audit Committee reviews and approves audit and permissible non-audit services performed by PwC, as well as the fees charged by PwC for such services. In its review of non-audit services and fees and its selection of PwC as our independent registered public accounting firm, the Audit Committee considered whether the provision of such services is compatible with maintaining PwC’s independence. The table below sets forth the aggregate fees for audit and other services provided by PwC for each of the past two fiscal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shd w:val="clear" w:color="auto" w:fill="465E66"/>
          </w:tcPr>
          <w:p>
            <w:pPr>
              <w:ind w:left="20"/>
              <w:spacing w:after="0"/>
              <w:rPr>
                <w:sz w:val="20"/>
                <w:szCs w:val="20"/>
                <w:color w:val="auto"/>
              </w:rPr>
            </w:pPr>
            <w:r>
              <w:rPr>
                <w:rFonts w:ascii="Arial" w:cs="Arial" w:eastAsia="Arial" w:hAnsi="Arial"/>
                <w:sz w:val="18"/>
                <w:szCs w:val="18"/>
                <w:b w:val="1"/>
                <w:bCs w:val="1"/>
                <w:color w:val="FFFFFF"/>
              </w:rPr>
              <w:t>Fee Type</w:t>
            </w:r>
          </w:p>
        </w:tc>
        <w:tc>
          <w:tcPr>
            <w:tcW w:w="368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2022</w:t>
            </w:r>
          </w:p>
        </w:tc>
        <w:tc>
          <w:tcPr>
            <w:tcW w:w="160" w:type="dxa"/>
            <w:vAlign w:val="bottom"/>
            <w:shd w:val="clear" w:color="auto" w:fill="465E66"/>
          </w:tcPr>
          <w:p>
            <w:pPr>
              <w:spacing w:after="0"/>
              <w:rPr>
                <w:sz w:val="17"/>
                <w:szCs w:val="17"/>
                <w:color w:val="auto"/>
              </w:rPr>
            </w:pPr>
          </w:p>
        </w:tc>
        <w:tc>
          <w:tcPr>
            <w:tcW w:w="370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2021</w:t>
            </w:r>
          </w:p>
        </w:tc>
        <w:tc>
          <w:tcPr>
            <w:tcW w:w="0" w:type="dxa"/>
            <w:vAlign w:val="bottom"/>
          </w:tcPr>
          <w:p>
            <w:pPr>
              <w:spacing w:after="0"/>
              <w:rPr>
                <w:sz w:val="1"/>
                <w:szCs w:val="1"/>
                <w:color w:val="auto"/>
              </w:rPr>
            </w:pPr>
          </w:p>
        </w:tc>
      </w:tr>
      <w:tr>
        <w:trPr>
          <w:trHeight w:val="243"/>
        </w:trPr>
        <w:tc>
          <w:tcPr>
            <w:tcW w:w="3680" w:type="dxa"/>
            <w:vAlign w:val="bottom"/>
            <w:vMerge w:val="continue"/>
            <w:shd w:val="clear" w:color="auto" w:fill="465E66"/>
          </w:tcPr>
          <w:p>
            <w:pPr>
              <w:spacing w:after="0"/>
              <w:rPr>
                <w:sz w:val="21"/>
                <w:szCs w:val="21"/>
                <w:color w:val="auto"/>
              </w:rPr>
            </w:pPr>
          </w:p>
        </w:tc>
        <w:tc>
          <w:tcPr>
            <w:tcW w:w="3840" w:type="dxa"/>
            <w:vAlign w:val="bottom"/>
            <w:gridSpan w:val="2"/>
            <w:shd w:val="clear" w:color="auto" w:fill="465E66"/>
          </w:tcPr>
          <w:p>
            <w:pPr>
              <w:ind w:left="1260"/>
              <w:spacing w:after="0"/>
              <w:rPr>
                <w:sz w:val="20"/>
                <w:szCs w:val="20"/>
                <w:color w:val="auto"/>
              </w:rPr>
            </w:pPr>
            <w:r>
              <w:rPr>
                <w:rFonts w:ascii="Arial" w:cs="Arial" w:eastAsia="Arial" w:hAnsi="Arial"/>
                <w:sz w:val="18"/>
                <w:szCs w:val="18"/>
                <w:b w:val="1"/>
                <w:bCs w:val="1"/>
                <w:color w:val="FFFFFF"/>
              </w:rPr>
              <w:t>($ in millions)</w:t>
            </w:r>
          </w:p>
        </w:tc>
        <w:tc>
          <w:tcPr>
            <w:tcW w:w="3700" w:type="dxa"/>
            <w:vAlign w:val="bottom"/>
            <w:shd w:val="clear" w:color="auto" w:fill="465E66"/>
          </w:tcPr>
          <w:p>
            <w:pPr>
              <w:ind w:left="1260"/>
              <w:spacing w:after="0"/>
              <w:rPr>
                <w:sz w:val="20"/>
                <w:szCs w:val="20"/>
                <w:color w:val="auto"/>
              </w:rPr>
            </w:pPr>
            <w:r>
              <w:rPr>
                <w:rFonts w:ascii="Arial" w:cs="Arial" w:eastAsia="Arial" w:hAnsi="Arial"/>
                <w:sz w:val="18"/>
                <w:szCs w:val="18"/>
                <w:b w:val="1"/>
                <w:bCs w:val="1"/>
                <w:color w:val="FFFFFF"/>
              </w:rPr>
              <w:t>($ in millions)</w:t>
            </w:r>
          </w:p>
        </w:tc>
        <w:tc>
          <w:tcPr>
            <w:tcW w:w="0" w:type="dxa"/>
            <w:vAlign w:val="bottom"/>
          </w:tcPr>
          <w:p>
            <w:pPr>
              <w:spacing w:after="0"/>
              <w:rPr>
                <w:sz w:val="1"/>
                <w:szCs w:val="1"/>
                <w:color w:val="auto"/>
              </w:rPr>
            </w:pPr>
          </w:p>
        </w:tc>
      </w:tr>
      <w:tr>
        <w:trPr>
          <w:trHeight w:val="229"/>
        </w:trPr>
        <w:tc>
          <w:tcPr>
            <w:tcW w:w="3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Audit Fees (1)</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6.0</w:t>
            </w:r>
          </w:p>
        </w:tc>
        <w:tc>
          <w:tcPr>
            <w:tcW w:w="160" w:type="dxa"/>
            <w:vAlign w:val="bottom"/>
            <w:shd w:val="clear" w:color="auto" w:fill="DBDBDB"/>
          </w:tcPr>
          <w:p>
            <w:pPr>
              <w:spacing w:after="0"/>
              <w:rPr>
                <w:sz w:val="19"/>
                <w:szCs w:val="19"/>
                <w:color w:val="auto"/>
              </w:rPr>
            </w:pPr>
          </w:p>
        </w:tc>
        <w:tc>
          <w:tcPr>
            <w:tcW w:w="37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6.3</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 Fees (2)</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0.7</w:t>
            </w:r>
          </w:p>
        </w:tc>
        <w:tc>
          <w:tcPr>
            <w:tcW w:w="160" w:type="dxa"/>
            <w:vAlign w:val="bottom"/>
            <w:shd w:val="clear" w:color="auto" w:fill="DBDBDB"/>
          </w:tcPr>
          <w:p>
            <w:pPr>
              <w:spacing w:after="0"/>
              <w:rPr>
                <w:sz w:val="19"/>
                <w:szCs w:val="19"/>
                <w:color w:val="auto"/>
              </w:rPr>
            </w:pPr>
          </w:p>
        </w:tc>
        <w:tc>
          <w:tcPr>
            <w:tcW w:w="37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0.9</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Fees</w:t>
            </w:r>
          </w:p>
        </w:tc>
        <w:tc>
          <w:tcPr>
            <w:tcW w:w="36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5"/>
              </w:rPr>
              <w:t>6.7</w:t>
            </w:r>
          </w:p>
        </w:tc>
        <w:tc>
          <w:tcPr>
            <w:tcW w:w="160" w:type="dxa"/>
            <w:vAlign w:val="bottom"/>
            <w:tcBorders>
              <w:top w:val="single" w:sz="8" w:color="DBDBDB"/>
            </w:tcBorders>
            <w:shd w:val="clear" w:color="auto" w:fill="DBDBDB"/>
          </w:tcPr>
          <w:p>
            <w:pPr>
              <w:spacing w:after="0"/>
              <w:rPr>
                <w:sz w:val="19"/>
                <w:szCs w:val="19"/>
                <w:color w:val="auto"/>
              </w:rPr>
            </w:pPr>
          </w:p>
        </w:tc>
        <w:tc>
          <w:tcPr>
            <w:tcW w:w="37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5"/>
              </w:rPr>
              <w:t>7.2</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60" w:hanging="234"/>
        <w:spacing w:after="0"/>
        <w:tabs>
          <w:tab w:leader="none" w:pos="233"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fees billed or expected to be billed for each of 2022 and 2021 for professional services rendered in connection with the audit of our consolidated financial statements, limited reviews of our interim consolidated financial information, audits of the financial statements of certain of our subsidiaries and joint ventures, review of purchase accounting and acquisition matters and assistance with securities offerings, including the review of related documents, preparation of comfort letters and issuance of consents.</w:t>
      </w:r>
    </w:p>
    <w:p>
      <w:pPr>
        <w:spacing w:after="0" w:line="151" w:lineRule="exact"/>
        <w:rPr>
          <w:rFonts w:ascii="Arial" w:cs="Arial" w:eastAsia="Arial" w:hAnsi="Arial"/>
          <w:sz w:val="14"/>
          <w:szCs w:val="14"/>
          <w:color w:val="auto"/>
        </w:rPr>
      </w:pPr>
    </w:p>
    <w:p>
      <w:pPr>
        <w:ind w:left="260" w:right="560" w:hanging="234"/>
        <w:spacing w:after="0" w:line="264" w:lineRule="auto"/>
        <w:tabs>
          <w:tab w:leader="none" w:pos="233"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fees billed or expected to be billed for each of 2022 and 2021 for professional services rendered in connection with tax consulting, tax compliance, tax audit assistance and transfer pricing.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has determined that the provision of services described above is compatible with maintaining PwC’s independence.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Under its charter, our Audit Committee must pre-approve all audit and permitted non-audit services (including fees and terms) to be performed by our independent registered public accounting firm, except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that are approved by the Audit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Committee prior to the completion of the audit and that qualify for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under federal securities laws and regulations (the pre-approval policy).</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pre-approval policy requires the Audit Committee to pre-approve certain audit, audit-related, tax, tax-related and other services to be performed by our independent registered public accounting firm. With certain exceptions, the term of pre-approval is 12 months from the date of pre-approval. Our Audit Committee periodically revises the list of pre-approved services. The Audit Committee may delegate pre-approval authority to one or more of its members, who then must report any pre-approval decisions to our full Audit Committee at its next scheduled meeting. In granting any such pre-approvals, the Audit Committee considers the extent to which approved services could impair the independence of our independent registered public accounting firm. With respect to each proposed pre-approved service, the auditor must provide the Audit Committee, upon request, with detailed back-up documentation regarding the specific services to be performed. During 2022 and 2021, all audit and permissible non-audit services were pre-approved by our Audit Committee in accordance with the pre-approval policy and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6" w:name="page67"/>
    <w:bookmarkEnd w:id="66"/>
    <w:p>
      <w:pPr>
        <w:spacing w:after="0"/>
        <w:rPr>
          <w:sz w:val="20"/>
          <w:szCs w:val="20"/>
          <w:color w:val="auto"/>
        </w:rPr>
      </w:pPr>
      <w:r>
        <w:rPr>
          <w:rFonts w:ascii="Arial" w:cs="Arial" w:eastAsia="Arial" w:hAnsi="Arial"/>
          <w:sz w:val="25"/>
          <w:szCs w:val="25"/>
          <w:b w:val="1"/>
          <w:bCs w:val="1"/>
          <w:color w:val="E97D2E"/>
        </w:rPr>
        <w:t>STOCK OWNERSHIP</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Principal Stockholders</w:t>
      </w:r>
    </w:p>
    <w:p>
      <w:pPr>
        <w:spacing w:after="0" w:line="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Except as discussed in the footnotes below, the following table sets forth, as of the record date, certain information regarding any person who is a beneficial owner of more than 5% of our common stock. The percentages of class amounts set forth in the table below are based on 431,573,446 shares of common stock outstanding on the record date. The information with respect to the number of shares of common stock that the persons listed below beneficially own includes sole or shared voting power or investment power and is based solely on the information most recently filed by such persons with the SEC under the Exchange Act.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shd w:val="clear" w:color="auto" w:fill="465E66"/>
          </w:tcPr>
          <w:p>
            <w:pPr>
              <w:spacing w:after="0"/>
              <w:rPr>
                <w:sz w:val="17"/>
                <w:szCs w:val="17"/>
                <w:color w:val="auto"/>
              </w:rPr>
            </w:pPr>
          </w:p>
        </w:tc>
        <w:tc>
          <w:tcPr>
            <w:tcW w:w="3240" w:type="dxa"/>
            <w:vAlign w:val="bottom"/>
            <w:shd w:val="clear" w:color="auto" w:fill="465E66"/>
          </w:tcPr>
          <w:p>
            <w:pPr>
              <w:ind w:left="2080"/>
              <w:spacing w:after="0"/>
              <w:rPr>
                <w:sz w:val="20"/>
                <w:szCs w:val="20"/>
                <w:color w:val="auto"/>
              </w:rPr>
            </w:pPr>
            <w:r>
              <w:rPr>
                <w:rFonts w:ascii="Arial" w:cs="Arial" w:eastAsia="Arial" w:hAnsi="Arial"/>
                <w:sz w:val="14"/>
                <w:szCs w:val="14"/>
                <w:b w:val="1"/>
                <w:bCs w:val="1"/>
                <w:color w:val="FFFFFF"/>
              </w:rPr>
              <w:t>Common Stock</w:t>
            </w:r>
          </w:p>
        </w:tc>
        <w:tc>
          <w:tcPr>
            <w:tcW w:w="198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00" w:type="dxa"/>
            <w:vAlign w:val="bottom"/>
            <w:vMerge w:val="restart"/>
            <w:shd w:val="clear" w:color="auto" w:fill="465E66"/>
          </w:tcPr>
          <w:p>
            <w:pPr>
              <w:ind w:left="1660"/>
              <w:spacing w:after="0"/>
              <w:rPr>
                <w:sz w:val="20"/>
                <w:szCs w:val="20"/>
                <w:color w:val="auto"/>
              </w:rPr>
            </w:pPr>
            <w:r>
              <w:rPr>
                <w:rFonts w:ascii="Arial" w:cs="Arial" w:eastAsia="Arial" w:hAnsi="Arial"/>
                <w:sz w:val="14"/>
                <w:szCs w:val="14"/>
                <w:b w:val="1"/>
                <w:bCs w:val="1"/>
                <w:color w:val="FFFFFF"/>
              </w:rPr>
              <w:t>Name and Address of Beneficial Owner</w:t>
            </w:r>
          </w:p>
        </w:tc>
        <w:tc>
          <w:tcPr>
            <w:tcW w:w="3240" w:type="dxa"/>
            <w:vAlign w:val="bottom"/>
            <w:shd w:val="clear" w:color="auto" w:fill="465E66"/>
          </w:tcPr>
          <w:p>
            <w:pPr>
              <w:jc w:val="center"/>
              <w:ind w:right="564"/>
              <w:spacing w:after="0" w:line="153" w:lineRule="exact"/>
              <w:rPr>
                <w:sz w:val="20"/>
                <w:szCs w:val="20"/>
                <w:color w:val="auto"/>
              </w:rPr>
            </w:pPr>
            <w:r>
              <w:rPr>
                <w:rFonts w:ascii="Arial" w:cs="Arial" w:eastAsia="Arial" w:hAnsi="Arial"/>
                <w:sz w:val="14"/>
                <w:szCs w:val="14"/>
                <w:b w:val="1"/>
                <w:bCs w:val="1"/>
                <w:color w:val="FFFFFF"/>
              </w:rPr>
              <w:t>Amount and Nature of Beneficial</w:t>
            </w:r>
          </w:p>
        </w:tc>
        <w:tc>
          <w:tcPr>
            <w:tcW w:w="1980" w:type="dxa"/>
            <w:vAlign w:val="bottom"/>
            <w:vMerge w:val="restart"/>
            <w:shd w:val="clear" w:color="auto" w:fill="465E66"/>
          </w:tcPr>
          <w:p>
            <w:pPr>
              <w:jc w:val="center"/>
              <w:ind w:right="561"/>
              <w:spacing w:after="0"/>
              <w:rPr>
                <w:sz w:val="20"/>
                <w:szCs w:val="20"/>
                <w:color w:val="auto"/>
              </w:rPr>
            </w:pPr>
            <w:r>
              <w:rPr>
                <w:rFonts w:ascii="Arial" w:cs="Arial" w:eastAsia="Arial" w:hAnsi="Arial"/>
                <w:sz w:val="14"/>
                <w:szCs w:val="14"/>
                <w:b w:val="1"/>
                <w:bCs w:val="1"/>
                <w:color w:val="FFFFFF"/>
              </w:rPr>
              <w:t>Percent of Class</w:t>
            </w:r>
          </w:p>
        </w:tc>
        <w:tc>
          <w:tcPr>
            <w:tcW w:w="0" w:type="dxa"/>
            <w:vAlign w:val="bottom"/>
          </w:tcPr>
          <w:p>
            <w:pPr>
              <w:spacing w:after="0"/>
              <w:rPr>
                <w:sz w:val="1"/>
                <w:szCs w:val="1"/>
                <w:color w:val="auto"/>
              </w:rPr>
            </w:pPr>
          </w:p>
        </w:tc>
      </w:tr>
      <w:tr>
        <w:trPr>
          <w:trHeight w:val="185"/>
        </w:trPr>
        <w:tc>
          <w:tcPr>
            <w:tcW w:w="6000" w:type="dxa"/>
            <w:vAlign w:val="bottom"/>
            <w:vMerge w:val="continue"/>
            <w:shd w:val="clear" w:color="auto" w:fill="465E66"/>
          </w:tcPr>
          <w:p>
            <w:pPr>
              <w:spacing w:after="0"/>
              <w:rPr>
                <w:sz w:val="16"/>
                <w:szCs w:val="16"/>
                <w:color w:val="auto"/>
              </w:rPr>
            </w:pPr>
          </w:p>
        </w:tc>
        <w:tc>
          <w:tcPr>
            <w:tcW w:w="3240" w:type="dxa"/>
            <w:vAlign w:val="bottom"/>
            <w:shd w:val="clear" w:color="auto" w:fill="465E66"/>
          </w:tcPr>
          <w:p>
            <w:pPr>
              <w:jc w:val="center"/>
              <w:ind w:right="544"/>
              <w:spacing w:after="0"/>
              <w:rPr>
                <w:sz w:val="20"/>
                <w:szCs w:val="20"/>
                <w:color w:val="auto"/>
              </w:rPr>
            </w:pPr>
            <w:r>
              <w:rPr>
                <w:rFonts w:ascii="Arial" w:cs="Arial" w:eastAsia="Arial" w:hAnsi="Arial"/>
                <w:sz w:val="14"/>
                <w:szCs w:val="14"/>
                <w:b w:val="1"/>
                <w:bCs w:val="1"/>
                <w:color w:val="FFFFFF"/>
              </w:rPr>
              <w:t>Ownership</w:t>
            </w:r>
          </w:p>
        </w:tc>
        <w:tc>
          <w:tcPr>
            <w:tcW w:w="1980" w:type="dxa"/>
            <w:vAlign w:val="bottom"/>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FMR LLC</w:t>
            </w:r>
          </w:p>
        </w:tc>
        <w:tc>
          <w:tcPr>
            <w:tcW w:w="3240" w:type="dxa"/>
            <w:vAlign w:val="bottom"/>
            <w:shd w:val="clear" w:color="auto" w:fill="DBDBDB"/>
          </w:tcPr>
          <w:p>
            <w:pPr>
              <w:spacing w:after="0"/>
              <w:rPr>
                <w:sz w:val="14"/>
                <w:szCs w:val="14"/>
                <w:color w:val="auto"/>
              </w:rPr>
            </w:pPr>
          </w:p>
        </w:tc>
        <w:tc>
          <w:tcPr>
            <w:tcW w:w="19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245 Summer Street</w:t>
            </w:r>
          </w:p>
        </w:tc>
        <w:tc>
          <w:tcPr>
            <w:tcW w:w="3240" w:type="dxa"/>
            <w:vAlign w:val="bottom"/>
            <w:vMerge w:val="restart"/>
            <w:shd w:val="clear" w:color="auto" w:fill="DBDBDB"/>
          </w:tcPr>
          <w:p>
            <w:pPr>
              <w:jc w:val="center"/>
              <w:ind w:right="544"/>
              <w:spacing w:after="0"/>
              <w:rPr>
                <w:sz w:val="20"/>
                <w:szCs w:val="20"/>
                <w:color w:val="auto"/>
              </w:rPr>
            </w:pPr>
            <w:r>
              <w:rPr>
                <w:rFonts w:ascii="Arial" w:cs="Arial" w:eastAsia="Arial" w:hAnsi="Arial"/>
                <w:sz w:val="16"/>
                <w:szCs w:val="16"/>
                <w:color w:val="auto"/>
              </w:rPr>
              <w:t>51,385,598 (1)</w:t>
            </w:r>
          </w:p>
        </w:tc>
        <w:tc>
          <w:tcPr>
            <w:tcW w:w="1980" w:type="dxa"/>
            <w:vAlign w:val="bottom"/>
            <w:vMerge w:val="restart"/>
            <w:shd w:val="clear" w:color="auto" w:fill="DBDBDB"/>
          </w:tcPr>
          <w:p>
            <w:pPr>
              <w:jc w:val="center"/>
              <w:ind w:right="56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6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Boston, Massachusetts 02210</w:t>
            </w:r>
          </w:p>
        </w:tc>
        <w:tc>
          <w:tcPr>
            <w:tcW w:w="3240" w:type="dxa"/>
            <w:vAlign w:val="bottom"/>
            <w:vMerge w:val="continue"/>
            <w:shd w:val="clear" w:color="auto" w:fill="DBDBDB"/>
          </w:tcPr>
          <w:p>
            <w:pPr>
              <w:spacing w:after="0"/>
              <w:rPr>
                <w:sz w:val="18"/>
                <w:szCs w:val="18"/>
                <w:color w:val="auto"/>
              </w:rPr>
            </w:pPr>
          </w:p>
        </w:tc>
        <w:tc>
          <w:tcPr>
            <w:tcW w:w="19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0"/>
              <w:spacing w:after="0" w:line="162" w:lineRule="exact"/>
              <w:rPr>
                <w:sz w:val="20"/>
                <w:szCs w:val="20"/>
                <w:color w:val="auto"/>
              </w:rPr>
            </w:pPr>
            <w:r>
              <w:rPr>
                <w:rFonts w:ascii="Arial" w:cs="Arial" w:eastAsia="Arial" w:hAnsi="Arial"/>
                <w:sz w:val="16"/>
                <w:szCs w:val="16"/>
                <w:color w:val="auto"/>
              </w:rPr>
              <w:t>The Vanguard Group, Inc.</w:t>
            </w:r>
          </w:p>
        </w:tc>
        <w:tc>
          <w:tcPr>
            <w:tcW w:w="3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0"/>
              <w:spacing w:after="0" w:line="162" w:lineRule="exact"/>
              <w:rPr>
                <w:sz w:val="20"/>
                <w:szCs w:val="20"/>
                <w:color w:val="auto"/>
              </w:rPr>
            </w:pPr>
            <w:r>
              <w:rPr>
                <w:rFonts w:ascii="Arial" w:cs="Arial" w:eastAsia="Arial" w:hAnsi="Arial"/>
                <w:sz w:val="16"/>
                <w:szCs w:val="16"/>
                <w:color w:val="auto"/>
              </w:rPr>
              <w:t>100 Vanguard Blvd.</w:t>
            </w:r>
          </w:p>
        </w:tc>
        <w:tc>
          <w:tcPr>
            <w:tcW w:w="3240" w:type="dxa"/>
            <w:vAlign w:val="bottom"/>
            <w:vMerge w:val="restart"/>
          </w:tcPr>
          <w:p>
            <w:pPr>
              <w:jc w:val="center"/>
              <w:ind w:right="544"/>
              <w:spacing w:after="0"/>
              <w:rPr>
                <w:sz w:val="20"/>
                <w:szCs w:val="20"/>
                <w:color w:val="auto"/>
              </w:rPr>
            </w:pPr>
            <w:r>
              <w:rPr>
                <w:rFonts w:ascii="Arial" w:cs="Arial" w:eastAsia="Arial" w:hAnsi="Arial"/>
                <w:sz w:val="16"/>
                <w:szCs w:val="16"/>
                <w:color w:val="auto"/>
              </w:rPr>
              <w:t>49,935,983 (2)</w:t>
            </w:r>
          </w:p>
        </w:tc>
        <w:tc>
          <w:tcPr>
            <w:tcW w:w="1980" w:type="dxa"/>
            <w:vAlign w:val="bottom"/>
            <w:vMerge w:val="restart"/>
          </w:tcPr>
          <w:p>
            <w:pPr>
              <w:jc w:val="center"/>
              <w:ind w:right="56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Malvern, Pennsylvania 19355</w:t>
            </w:r>
          </w:p>
        </w:tc>
        <w:tc>
          <w:tcPr>
            <w:tcW w:w="324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BlackRock, Inc.</w:t>
            </w:r>
          </w:p>
        </w:tc>
        <w:tc>
          <w:tcPr>
            <w:tcW w:w="3240" w:type="dxa"/>
            <w:vAlign w:val="bottom"/>
            <w:shd w:val="clear" w:color="auto" w:fill="DBDBDB"/>
          </w:tcPr>
          <w:p>
            <w:pPr>
              <w:spacing w:after="0"/>
              <w:rPr>
                <w:sz w:val="14"/>
                <w:szCs w:val="14"/>
                <w:color w:val="auto"/>
              </w:rPr>
            </w:pPr>
          </w:p>
        </w:tc>
        <w:tc>
          <w:tcPr>
            <w:tcW w:w="19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55 East 52nd Street</w:t>
            </w:r>
          </w:p>
        </w:tc>
        <w:tc>
          <w:tcPr>
            <w:tcW w:w="3240" w:type="dxa"/>
            <w:vAlign w:val="bottom"/>
            <w:vMerge w:val="restart"/>
            <w:shd w:val="clear" w:color="auto" w:fill="DBDBDB"/>
          </w:tcPr>
          <w:p>
            <w:pPr>
              <w:jc w:val="center"/>
              <w:ind w:right="544"/>
              <w:spacing w:after="0"/>
              <w:rPr>
                <w:sz w:val="20"/>
                <w:szCs w:val="20"/>
                <w:color w:val="auto"/>
              </w:rPr>
            </w:pPr>
            <w:r>
              <w:rPr>
                <w:rFonts w:ascii="Arial" w:cs="Arial" w:eastAsia="Arial" w:hAnsi="Arial"/>
                <w:sz w:val="16"/>
                <w:szCs w:val="16"/>
                <w:color w:val="auto"/>
              </w:rPr>
              <w:t>43,279,141 (3)</w:t>
            </w:r>
          </w:p>
        </w:tc>
        <w:tc>
          <w:tcPr>
            <w:tcW w:w="1980" w:type="dxa"/>
            <w:vAlign w:val="bottom"/>
            <w:vMerge w:val="restart"/>
            <w:shd w:val="clear" w:color="auto" w:fill="DBDBDB"/>
          </w:tcPr>
          <w:p>
            <w:pPr>
              <w:jc w:val="center"/>
              <w:ind w:right="56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6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New York, New York 10055</w:t>
            </w:r>
          </w:p>
        </w:tc>
        <w:tc>
          <w:tcPr>
            <w:tcW w:w="3240" w:type="dxa"/>
            <w:vAlign w:val="bottom"/>
            <w:vMerge w:val="continue"/>
            <w:shd w:val="clear" w:color="auto" w:fill="DBDBDB"/>
          </w:tcPr>
          <w:p>
            <w:pPr>
              <w:spacing w:after="0"/>
              <w:rPr>
                <w:sz w:val="18"/>
                <w:szCs w:val="18"/>
                <w:color w:val="auto"/>
              </w:rPr>
            </w:pPr>
          </w:p>
        </w:tc>
        <w:tc>
          <w:tcPr>
            <w:tcW w:w="19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260" w:right="80" w:hanging="234"/>
        <w:spacing w:after="0" w:line="224" w:lineRule="auto"/>
        <w:tabs>
          <w:tab w:leader="none" w:pos="233" w:val="left"/>
        </w:tabs>
        <w:numPr>
          <w:ilvl w:val="0"/>
          <w:numId w:val="93"/>
        </w:numPr>
        <w:rPr>
          <w:rFonts w:ascii="Arial" w:cs="Arial" w:eastAsia="Arial" w:hAnsi="Arial"/>
          <w:sz w:val="14"/>
          <w:szCs w:val="14"/>
          <w:color w:val="auto"/>
        </w:rPr>
      </w:pPr>
      <w:r>
        <w:rPr>
          <w:rFonts w:ascii="Arial" w:cs="Arial" w:eastAsia="Arial" w:hAnsi="Arial"/>
          <w:sz w:val="14"/>
          <w:szCs w:val="14"/>
          <w:color w:val="auto"/>
        </w:rPr>
        <w:t>Based solely on the information contained in a Schedule 13G/A (Amendment No. 8) filed with the SEC by FMR LLC (FMR) and Abigail P. Johnson on February 9, 2023, as of December 31, 2022, FMR and Ms. Johnson are the beneficial owners of 51,385,598 shares of our common stock. FMR has sole power to vote or direct the vote with respect to 50,143,804 shares that it beneficially owns and no shared voting power. It has sole power to dispose or direct the disposition of 51,385,598 shares that it beneficially owns and no shared dispositive power. The shares are beneficially owned through the following entities: Fiam LLC, Fidelity Institutional Asset Management Trust Company, Fidelity Management &amp; Research (Hong Kong) Limited, Fidelity Management &amp; Research Company LLC (which beneficially owns 5% or greater of the shares of the class being reported on) and Strategic Advisers LLC. Ms. Johnson is a director, the Chairman and the Chief Executive Officer of FMR. Ms. Johnson and other members of the Johnson family own directly or indirectly 49% of the voting power of FMR, and they and all of the Series B stockholders have entered into a voting agreement under which all Series B voting common shares will be voted in accordance with the majority vote of such shares.</w:t>
      </w:r>
    </w:p>
    <w:p>
      <w:pPr>
        <w:ind w:left="260" w:right="140" w:hanging="234"/>
        <w:spacing w:after="0" w:line="231" w:lineRule="auto"/>
        <w:tabs>
          <w:tab w:leader="none" w:pos="233"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number of shares of common stock for The Vanguard Group, Inc. (Vanguard) is based solely on the information contained in the Schedule 13G/A (Amendment No. 11) filed with the SEC on February 9, 2023, reporting beneficial ownership as of December 31, 2022. Vanguard has the sole power to dispose or to direct the disposition of 48,140,473 shares it beneficially owns, does not have the sole power to vote or to direct the vote of any of the shares it beneficially owns, has shared power to vote or to direct the vote of 627,048 shares it beneficially owns and has shared power to dispose or direct the disposition of 1,795,510 shares it beneficially owns.</w:t>
      </w:r>
    </w:p>
    <w:p>
      <w:pPr>
        <w:spacing w:after="0" w:line="13" w:lineRule="exact"/>
        <w:rPr>
          <w:rFonts w:ascii="Arial" w:cs="Arial" w:eastAsia="Arial" w:hAnsi="Arial"/>
          <w:sz w:val="14"/>
          <w:szCs w:val="14"/>
          <w:color w:val="auto"/>
        </w:rPr>
      </w:pPr>
    </w:p>
    <w:p>
      <w:pPr>
        <w:ind w:left="260" w:right="200" w:hanging="234"/>
        <w:spacing w:after="0"/>
        <w:tabs>
          <w:tab w:leader="none" w:pos="233" w:val="left"/>
        </w:tabs>
        <w:numPr>
          <w:ilvl w:val="0"/>
          <w:numId w:val="93"/>
        </w:numPr>
        <w:rPr>
          <w:rFonts w:ascii="Arial" w:cs="Arial" w:eastAsia="Arial" w:hAnsi="Arial"/>
          <w:sz w:val="14"/>
          <w:szCs w:val="14"/>
          <w:color w:val="auto"/>
        </w:rPr>
      </w:pPr>
      <w:r>
        <w:rPr>
          <w:rFonts w:ascii="Arial" w:cs="Arial" w:eastAsia="Arial" w:hAnsi="Arial"/>
          <w:sz w:val="14"/>
          <w:szCs w:val="14"/>
          <w:color w:val="auto"/>
        </w:rPr>
        <w:t>Based solely on the information contained in its Schedule 13G/A, Amendment No. 1 filed with the SEC on January 23, 2023, as of December 31, 2022, BlackRock, Inc. (BlackRock) is the beneficial owner of 43,279,141 shares of our common stock. BlackRock has the sole power to dispose or direct the disposition of 43,279,141 shares of our common stock and no shared dispositive power. BlackRock has the sole power to vote or direct the voting of 40,108,242 shares of our common stock and no shared voting power. The shares are beneficially owned through the following entities: BlackRock Life Limited, BlackRock International Limited,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62</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7" w:name="page68"/>
    <w:bookmarkEnd w:id="67"/>
    <w:p>
      <w:pPr>
        <w:ind w:left="9860"/>
        <w:spacing w:after="0"/>
        <w:rPr>
          <w:sz w:val="20"/>
          <w:szCs w:val="20"/>
          <w:color w:val="auto"/>
        </w:rPr>
      </w:pPr>
      <w:r>
        <w:rPr>
          <w:rFonts w:ascii="Arial" w:cs="Arial" w:eastAsia="Arial" w:hAnsi="Arial"/>
          <w:sz w:val="18"/>
          <w:szCs w:val="18"/>
          <w:color w:val="E97D2E"/>
        </w:rPr>
        <w:t>Stock Ownership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Share Ownership of Directors and Executive Officers</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certain information, as of the record date, regarding beneficial ownership of our common stock by each director, each NEO and our current directors and executive officers as a group. The percentages set forth in the table below are based on 431,573,446 shares of common stock outstanding on the record date. Beneficial ownership includes sole or shared voting power or investment power and also any shares that the individual has the right to acquire within 60 days of the record date (such as the vesting of RSUs). Unless otherwise indicated, individuals in the following table have sole voting and investment power over the reported shares.</w:t>
      </w: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6200" w:type="dxa"/>
            <w:vAlign w:val="bottom"/>
            <w:shd w:val="clear" w:color="auto" w:fill="465E66"/>
          </w:tcPr>
          <w:p>
            <w:pPr>
              <w:spacing w:after="0"/>
              <w:rPr>
                <w:sz w:val="17"/>
                <w:szCs w:val="17"/>
                <w:color w:val="auto"/>
              </w:rPr>
            </w:pPr>
          </w:p>
        </w:tc>
        <w:tc>
          <w:tcPr>
            <w:tcW w:w="4180" w:type="dxa"/>
            <w:vAlign w:val="bottom"/>
            <w:gridSpan w:val="2"/>
            <w:shd w:val="clear" w:color="auto" w:fill="465E66"/>
          </w:tcPr>
          <w:p>
            <w:pPr>
              <w:ind w:left="1560"/>
              <w:spacing w:after="0"/>
              <w:rPr>
                <w:sz w:val="20"/>
                <w:szCs w:val="20"/>
                <w:color w:val="auto"/>
              </w:rPr>
            </w:pPr>
            <w:r>
              <w:rPr>
                <w:rFonts w:ascii="Arial" w:cs="Arial" w:eastAsia="Arial" w:hAnsi="Arial"/>
                <w:sz w:val="14"/>
                <w:szCs w:val="14"/>
                <w:b w:val="1"/>
                <w:bCs w:val="1"/>
                <w:color w:val="FFFFFF"/>
              </w:rPr>
              <w:t>Common Stock</w:t>
            </w:r>
          </w:p>
        </w:tc>
      </w:tr>
      <w:tr>
        <w:trPr>
          <w:trHeight w:val="203"/>
        </w:trPr>
        <w:tc>
          <w:tcPr>
            <w:tcW w:w="620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2200" w:type="dxa"/>
            <w:vAlign w:val="bottom"/>
            <w:shd w:val="clear" w:color="auto" w:fill="465E66"/>
          </w:tcPr>
          <w:p>
            <w:pPr>
              <w:jc w:val="right"/>
              <w:ind w:right="792"/>
              <w:spacing w:after="0"/>
              <w:rPr>
                <w:sz w:val="20"/>
                <w:szCs w:val="20"/>
                <w:color w:val="auto"/>
              </w:rPr>
            </w:pPr>
            <w:r>
              <w:rPr>
                <w:rFonts w:ascii="Arial" w:cs="Arial" w:eastAsia="Arial" w:hAnsi="Arial"/>
                <w:sz w:val="14"/>
                <w:szCs w:val="14"/>
                <w:b w:val="1"/>
                <w:bCs w:val="1"/>
                <w:color w:val="FFFFFF"/>
              </w:rPr>
              <w:t>Total (1)</w:t>
            </w:r>
          </w:p>
        </w:tc>
        <w:tc>
          <w:tcPr>
            <w:tcW w:w="1980" w:type="dxa"/>
            <w:vAlign w:val="bottom"/>
            <w:shd w:val="clear" w:color="auto" w:fill="465E66"/>
          </w:tcPr>
          <w:p>
            <w:pPr>
              <w:jc w:val="center"/>
              <w:ind w:right="60"/>
              <w:spacing w:after="0"/>
              <w:rPr>
                <w:sz w:val="20"/>
                <w:szCs w:val="20"/>
                <w:color w:val="auto"/>
              </w:rPr>
            </w:pPr>
            <w:r>
              <w:rPr>
                <w:rFonts w:ascii="Arial" w:cs="Arial" w:eastAsia="Arial" w:hAnsi="Arial"/>
                <w:sz w:val="14"/>
                <w:szCs w:val="14"/>
                <w:b w:val="1"/>
                <w:bCs w:val="1"/>
                <w:color w:val="FFFFFF"/>
              </w:rPr>
              <w:t>Percentage Ownership</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NEOs</w:t>
            </w:r>
          </w:p>
        </w:tc>
        <w:tc>
          <w:tcPr>
            <w:tcW w:w="2200" w:type="dxa"/>
            <w:vAlign w:val="bottom"/>
            <w:shd w:val="clear" w:color="auto" w:fill="DBDBDB"/>
          </w:tcPr>
          <w:p>
            <w:pPr>
              <w:spacing w:after="0"/>
              <w:rPr>
                <w:sz w:val="18"/>
                <w:szCs w:val="18"/>
                <w:color w:val="auto"/>
              </w:rPr>
            </w:pPr>
          </w:p>
        </w:tc>
        <w:tc>
          <w:tcPr>
            <w:tcW w:w="1980" w:type="dxa"/>
            <w:vAlign w:val="bottom"/>
            <w:shd w:val="clear" w:color="auto" w:fill="DBDBDB"/>
          </w:tcPr>
          <w:p>
            <w:pPr>
              <w:spacing w:after="0"/>
              <w:rPr>
                <w:sz w:val="18"/>
                <w:szCs w:val="18"/>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Hassane El-Khoury</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338,991</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Thad Trent</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154,610</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color w:val="auto"/>
              </w:rPr>
              <w:t>Simon Keeton</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151,074</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Ross F. Jatou</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58,874</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Robert Tong</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21,088</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Vincent C. Hopkin (2)</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10,788</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Directors</w:t>
            </w:r>
          </w:p>
        </w:tc>
        <w:tc>
          <w:tcPr>
            <w:tcW w:w="2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Atsushi Abe</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168,163</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color w:val="auto"/>
              </w:rPr>
              <w:t>Alan Campbell</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85,697</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Susan K. Carter</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9,289</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color w:val="auto"/>
              </w:rPr>
              <w:t>Thomas L. Deitrich</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9,711</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Gilles Delfassy</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52,043</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Bruce E. Kiddoo</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8,175</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Paul A. Mascarenas</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41,981</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Gregory Waters</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25,175</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Christine Y. Yan</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35,930</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9"/>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All current directors and executive officers as a group (14 persons)</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1,160,801</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-5080</wp:posOffset>
            </wp:positionV>
            <wp:extent cx="65919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ind w:left="660" w:hanging="209"/>
        <w:spacing w:after="0"/>
        <w:tabs>
          <w:tab w:leader="none" w:pos="6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Less than 1% of the total voting power of the outstanding shares of common stock.</w:t>
      </w:r>
    </w:p>
    <w:p>
      <w:pPr>
        <w:spacing w:after="0" w:line="42" w:lineRule="exact"/>
        <w:rPr>
          <w:sz w:val="20"/>
          <w:szCs w:val="20"/>
          <w:color w:val="auto"/>
        </w:rPr>
      </w:pPr>
    </w:p>
    <w:p>
      <w:pPr>
        <w:ind w:left="700" w:right="460" w:hanging="249"/>
        <w:spacing w:after="0" w:line="235" w:lineRule="auto"/>
        <w:tabs>
          <w:tab w:leader="none" w:pos="673"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each non-employee director, this figure includes 3,624 shares of restricted stock that are scheduled to vest on the day prior to the annual meeting. For our NEOs, this figure does not include any outstanding RSUs or PBRSUs as none of those awards are scheduled to vest and settle in shares within 60 days of the record date.</w:t>
      </w:r>
    </w:p>
    <w:p>
      <w:pPr>
        <w:spacing w:after="0" w:line="13" w:lineRule="exact"/>
        <w:rPr>
          <w:rFonts w:ascii="Arial" w:cs="Arial" w:eastAsia="Arial" w:hAnsi="Arial"/>
          <w:sz w:val="14"/>
          <w:szCs w:val="14"/>
          <w:color w:val="auto"/>
        </w:rPr>
      </w:pPr>
    </w:p>
    <w:p>
      <w:pPr>
        <w:jc w:val="both"/>
        <w:ind w:left="700" w:right="800" w:hanging="249"/>
        <w:spacing w:after="0" w:line="235" w:lineRule="auto"/>
        <w:tabs>
          <w:tab w:leader="none" w:pos="673" w:val="left"/>
        </w:tabs>
        <w:numPr>
          <w:ilvl w:val="0"/>
          <w:numId w:val="95"/>
        </w:numPr>
        <w:rPr>
          <w:rFonts w:ascii="Arial" w:cs="Arial" w:eastAsia="Arial" w:hAnsi="Arial"/>
          <w:sz w:val="14"/>
          <w:szCs w:val="14"/>
          <w:color w:val="auto"/>
        </w:rPr>
      </w:pPr>
      <w:r>
        <w:rPr>
          <w:rFonts w:ascii="Arial" w:cs="Arial" w:eastAsia="Arial" w:hAnsi="Arial"/>
          <w:sz w:val="14"/>
          <w:szCs w:val="14"/>
          <w:color w:val="auto"/>
        </w:rPr>
        <w:t xml:space="preserve">Mr. Hopkin stepped down from his officer roles on May 27, 2022 and fully retired from </w:t>
      </w:r>
      <w:r>
        <w:rPr>
          <w:rFonts w:ascii="Arial" w:cs="Arial" w:eastAsia="Arial" w:hAnsi="Arial"/>
          <w:sz w:val="14"/>
          <w:szCs w:val="14"/>
          <w:b w:val="1"/>
          <w:bCs w:val="1"/>
          <w:color w:val="auto"/>
        </w:rPr>
        <w:t>onsemi</w:t>
      </w:r>
      <w:r>
        <w:rPr>
          <w:rFonts w:ascii="Arial" w:cs="Arial" w:eastAsia="Arial" w:hAnsi="Arial"/>
          <w:sz w:val="14"/>
          <w:szCs w:val="14"/>
          <w:color w:val="auto"/>
        </w:rPr>
        <w:t xml:space="preserve"> effective August 1, 2022. The numbers listed for Mr. Hopkin reflect his self-reported beneficial ownership of our common stock as of February 1, 2023, updated for net shares issued to him prior to the record date in settlement of vested RSUs.</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Hedging and Pledging Restrictions</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our Insider Trading Policy, officers, directors and certain other specified key employees who have regular access to financial or other material information prior to the time the information is disclosed to the public (our insiders) may not engage in short sales of our securities or buy or sell financial instruments, including, without limitation, puts, calls or other derivatives of our securities, prepaid variable forwards, equity swaps, collars and exchange funds, or otherwise engage in hedging or monetization transactions, in any such case that hedge or offset, or are designed to hedge or offset, any decrease in the market value of our securities or that otherwise have economic consequences comparable to the same. Our insiders are also prohibited from holding our securities in a margin account or otherwise pledging our securities as collateral for a loan. Each insider is also responsible for transactions of specified family members and controlled entities and such</w:t>
      </w:r>
    </w:p>
    <w:p>
      <w:pPr>
        <w:spacing w:after="0" w:line="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transactions are subject to the same restrictions as if entered into for the account of the insider. We also encourage our employees who are not insiders to adhere to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8"/>
          <w:szCs w:val="18"/>
          <w:color w:val="E97D2E"/>
        </w:rPr>
        <w:t>Stock Ownership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Director and Officer Stock Ownership and Retention Guidelines</w:t>
      </w:r>
    </w:p>
    <w:p>
      <w:pPr>
        <w:spacing w:after="0" w:line="110"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 xml:space="preserve">In order to align directors’ and officers’ interests and objectives with those of our stockholders, and to further promote our longstanding commitment to sound corporate governance, we have established the following guidelines for </w:t>
      </w:r>
      <w:r>
        <w:rPr>
          <w:rFonts w:ascii="Arial" w:cs="Arial" w:eastAsia="Arial" w:hAnsi="Arial"/>
          <w:sz w:val="18"/>
          <w:szCs w:val="18"/>
          <w:b w:val="1"/>
          <w:bCs w:val="1"/>
          <w:color w:val="auto"/>
        </w:rPr>
        <w:t>onsemi</w:t>
      </w:r>
      <w:r>
        <w:rPr>
          <w:rFonts w:ascii="Arial" w:cs="Arial" w:eastAsia="Arial" w:hAnsi="Arial"/>
          <w:sz w:val="18"/>
          <w:szCs w:val="18"/>
          <w:color w:val="auto"/>
        </w:rPr>
        <w:t xml:space="preserve"> stock ownership and retention: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Guideline</w:t>
            </w:r>
          </w:p>
        </w:tc>
        <w:tc>
          <w:tcPr>
            <w:tcW w:w="4280" w:type="dxa"/>
            <w:vAlign w:val="bottom"/>
            <w:shd w:val="clear" w:color="auto" w:fill="465E66"/>
          </w:tcPr>
          <w:p>
            <w:pPr>
              <w:ind w:left="1420"/>
              <w:spacing w:after="0"/>
              <w:rPr>
                <w:sz w:val="20"/>
                <w:szCs w:val="20"/>
                <w:color w:val="auto"/>
              </w:rPr>
            </w:pPr>
            <w:r>
              <w:rPr>
                <w:rFonts w:ascii="Arial" w:cs="Arial" w:eastAsia="Arial" w:hAnsi="Arial"/>
                <w:sz w:val="14"/>
                <w:szCs w:val="14"/>
                <w:b w:val="1"/>
                <w:bCs w:val="1"/>
                <w:color w:val="FFFFFF"/>
              </w:rPr>
              <w:t>Non-Employee Directors</w:t>
            </w:r>
          </w:p>
        </w:tc>
        <w:tc>
          <w:tcPr>
            <w:tcW w:w="4120" w:type="dxa"/>
            <w:vAlign w:val="bottom"/>
            <w:shd w:val="clear" w:color="auto" w:fill="465E66"/>
          </w:tcPr>
          <w:p>
            <w:pPr>
              <w:ind w:left="1800"/>
              <w:spacing w:after="0"/>
              <w:rPr>
                <w:sz w:val="20"/>
                <w:szCs w:val="20"/>
                <w:color w:val="auto"/>
              </w:rPr>
            </w:pPr>
            <w:r>
              <w:rPr>
                <w:rFonts w:ascii="Arial" w:cs="Arial" w:eastAsia="Arial" w:hAnsi="Arial"/>
                <w:sz w:val="14"/>
                <w:szCs w:val="14"/>
                <w:b w:val="1"/>
                <w:bCs w:val="1"/>
                <w:color w:val="FFFFFF"/>
              </w:rPr>
              <w:t>Officers</w:t>
            </w:r>
          </w:p>
        </w:tc>
        <w:tc>
          <w:tcPr>
            <w:tcW w:w="0" w:type="dxa"/>
            <w:vAlign w:val="bottom"/>
          </w:tcPr>
          <w:p>
            <w:pPr>
              <w:spacing w:after="0"/>
              <w:rPr>
                <w:sz w:val="1"/>
                <w:szCs w:val="1"/>
                <w:color w:val="auto"/>
              </w:rPr>
            </w:pPr>
          </w:p>
        </w:tc>
      </w:tr>
      <w:tr>
        <w:trPr>
          <w:trHeight w:val="153"/>
        </w:trPr>
        <w:tc>
          <w:tcPr>
            <w:tcW w:w="2840" w:type="dxa"/>
            <w:vAlign w:val="bottom"/>
            <w:shd w:val="clear" w:color="auto" w:fill="DBDBDB"/>
          </w:tcPr>
          <w:p>
            <w:pPr>
              <w:spacing w:after="0"/>
              <w:rPr>
                <w:sz w:val="13"/>
                <w:szCs w:val="13"/>
                <w:color w:val="auto"/>
              </w:rPr>
            </w:pPr>
          </w:p>
        </w:tc>
        <w:tc>
          <w:tcPr>
            <w:tcW w:w="4280" w:type="dxa"/>
            <w:vAlign w:val="bottom"/>
            <w:shd w:val="clear" w:color="auto" w:fill="DBDBDB"/>
          </w:tcPr>
          <w:p>
            <w:pPr>
              <w:ind w:left="240"/>
              <w:spacing w:after="0" w:line="153" w:lineRule="exact"/>
              <w:rPr>
                <w:sz w:val="20"/>
                <w:szCs w:val="20"/>
                <w:color w:val="auto"/>
              </w:rPr>
            </w:pPr>
            <w:r>
              <w:rPr>
                <w:rFonts w:ascii="Arial" w:cs="Arial" w:eastAsia="Arial" w:hAnsi="Arial"/>
                <w:sz w:val="14"/>
                <w:szCs w:val="14"/>
                <w:color w:val="auto"/>
              </w:rPr>
              <w:t>•  A minimum of five times base annual cash retainer fee as of</w:t>
            </w:r>
          </w:p>
        </w:tc>
        <w:tc>
          <w:tcPr>
            <w:tcW w:w="4120" w:type="dxa"/>
            <w:vAlign w:val="bottom"/>
            <w:shd w:val="clear" w:color="auto" w:fill="DBDBDB"/>
          </w:tcPr>
          <w:p>
            <w:pPr>
              <w:ind w:left="40"/>
              <w:spacing w:after="0" w:line="153" w:lineRule="exact"/>
              <w:rPr>
                <w:sz w:val="20"/>
                <w:szCs w:val="20"/>
                <w:color w:val="auto"/>
              </w:rPr>
            </w:pPr>
            <w:r>
              <w:rPr>
                <w:rFonts w:ascii="Arial" w:cs="Arial" w:eastAsia="Arial" w:hAnsi="Arial"/>
                <w:sz w:val="14"/>
                <w:szCs w:val="14"/>
                <w:color w:val="auto"/>
              </w:rPr>
              <w:t>•  CEO: a minimum of six times annual base salary</w:t>
            </w:r>
          </w:p>
        </w:tc>
        <w:tc>
          <w:tcPr>
            <w:tcW w:w="0" w:type="dxa"/>
            <w:vAlign w:val="bottom"/>
          </w:tcPr>
          <w:p>
            <w:pPr>
              <w:spacing w:after="0"/>
              <w:rPr>
                <w:sz w:val="1"/>
                <w:szCs w:val="1"/>
                <w:color w:val="auto"/>
              </w:rPr>
            </w:pPr>
          </w:p>
        </w:tc>
      </w:tr>
      <w:tr>
        <w:trPr>
          <w:trHeight w:val="148"/>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ind w:left="400"/>
              <w:spacing w:after="0" w:line="149" w:lineRule="exact"/>
              <w:rPr>
                <w:sz w:val="20"/>
                <w:szCs w:val="20"/>
                <w:color w:val="auto"/>
              </w:rPr>
            </w:pPr>
            <w:r>
              <w:rPr>
                <w:rFonts w:ascii="Arial" w:cs="Arial" w:eastAsia="Arial" w:hAnsi="Arial"/>
                <w:sz w:val="14"/>
                <w:szCs w:val="14"/>
                <w:color w:val="auto"/>
              </w:rPr>
              <w:t>January 1 (1)</w:t>
            </w:r>
          </w:p>
        </w:tc>
        <w:tc>
          <w:tcPr>
            <w:tcW w:w="4120" w:type="dxa"/>
            <w:vAlign w:val="bottom"/>
            <w:shd w:val="clear" w:color="auto" w:fill="DBDBDB"/>
          </w:tcPr>
          <w:p>
            <w:pPr>
              <w:ind w:left="40"/>
              <w:spacing w:after="0" w:line="149" w:lineRule="exact"/>
              <w:rPr>
                <w:sz w:val="20"/>
                <w:szCs w:val="20"/>
                <w:color w:val="auto"/>
              </w:rPr>
            </w:pPr>
            <w:r>
              <w:rPr>
                <w:rFonts w:ascii="Arial" w:cs="Arial" w:eastAsia="Arial" w:hAnsi="Arial"/>
                <w:sz w:val="14"/>
                <w:szCs w:val="14"/>
                <w:color w:val="auto"/>
              </w:rPr>
              <w:t>•  Executive Vice Presidents: a minimum of three times annual</w:t>
            </w:r>
          </w:p>
        </w:tc>
        <w:tc>
          <w:tcPr>
            <w:tcW w:w="0" w:type="dxa"/>
            <w:vAlign w:val="bottom"/>
          </w:tcPr>
          <w:p>
            <w:pPr>
              <w:spacing w:after="0"/>
              <w:rPr>
                <w:sz w:val="1"/>
                <w:szCs w:val="1"/>
                <w:color w:val="auto"/>
              </w:rPr>
            </w:pPr>
          </w:p>
        </w:tc>
      </w:tr>
      <w:tr>
        <w:trPr>
          <w:trHeight w:val="144"/>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ind w:left="240"/>
              <w:spacing w:after="0" w:line="145" w:lineRule="exact"/>
              <w:rPr>
                <w:sz w:val="20"/>
                <w:szCs w:val="20"/>
                <w:color w:val="auto"/>
              </w:rPr>
            </w:pPr>
            <w:r>
              <w:rPr>
                <w:rFonts w:ascii="Arial" w:cs="Arial" w:eastAsia="Arial" w:hAnsi="Arial"/>
                <w:sz w:val="14"/>
                <w:szCs w:val="14"/>
                <w:color w:val="auto"/>
              </w:rPr>
              <w:t>•  Based on the average closing price of the Company’s</w:t>
            </w:r>
          </w:p>
        </w:tc>
        <w:tc>
          <w:tcPr>
            <w:tcW w:w="4120" w:type="dxa"/>
            <w:vAlign w:val="bottom"/>
            <w:shd w:val="clear" w:color="auto" w:fill="DBDBDB"/>
          </w:tcPr>
          <w:p>
            <w:pPr>
              <w:ind w:left="200"/>
              <w:spacing w:after="0" w:line="145" w:lineRule="exact"/>
              <w:rPr>
                <w:sz w:val="20"/>
                <w:szCs w:val="20"/>
                <w:color w:val="auto"/>
              </w:rPr>
            </w:pPr>
            <w:r>
              <w:rPr>
                <w:rFonts w:ascii="Arial" w:cs="Arial" w:eastAsia="Arial" w:hAnsi="Arial"/>
                <w:sz w:val="14"/>
                <w:szCs w:val="14"/>
                <w:color w:val="auto"/>
              </w:rPr>
              <w:t>base salary</w:t>
            </w:r>
          </w:p>
        </w:tc>
        <w:tc>
          <w:tcPr>
            <w:tcW w:w="0" w:type="dxa"/>
            <w:vAlign w:val="bottom"/>
          </w:tcPr>
          <w:p>
            <w:pPr>
              <w:spacing w:after="0"/>
              <w:rPr>
                <w:sz w:val="1"/>
                <w:szCs w:val="1"/>
                <w:color w:val="auto"/>
              </w:rPr>
            </w:pPr>
          </w:p>
        </w:tc>
      </w:tr>
      <w:tr>
        <w:trPr>
          <w:trHeight w:val="139"/>
        </w:trPr>
        <w:tc>
          <w:tcPr>
            <w:tcW w:w="284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auto"/>
              </w:rPr>
              <w:t>Stock Ownership</w:t>
            </w:r>
          </w:p>
        </w:tc>
        <w:tc>
          <w:tcPr>
            <w:tcW w:w="4280" w:type="dxa"/>
            <w:vAlign w:val="bottom"/>
            <w:shd w:val="clear" w:color="auto" w:fill="DBDBDB"/>
          </w:tcPr>
          <w:p>
            <w:pPr>
              <w:ind w:left="400"/>
              <w:spacing w:after="0" w:line="139" w:lineRule="exact"/>
              <w:rPr>
                <w:sz w:val="20"/>
                <w:szCs w:val="20"/>
                <w:color w:val="auto"/>
              </w:rPr>
            </w:pPr>
            <w:r>
              <w:rPr>
                <w:rFonts w:ascii="Arial" w:cs="Arial" w:eastAsia="Arial" w:hAnsi="Arial"/>
                <w:sz w:val="14"/>
                <w:szCs w:val="14"/>
                <w:color w:val="auto"/>
              </w:rPr>
              <w:t>common stock on Nasdaq for the prior calendar quarter (i.e.,</w:t>
            </w:r>
          </w:p>
        </w:tc>
        <w:tc>
          <w:tcPr>
            <w:tcW w:w="4120" w:type="dxa"/>
            <w:vAlign w:val="bottom"/>
            <w:shd w:val="clear" w:color="auto" w:fill="DBDBDB"/>
          </w:tcPr>
          <w:p>
            <w:pPr>
              <w:ind w:left="40"/>
              <w:spacing w:after="0" w:line="139" w:lineRule="exact"/>
              <w:rPr>
                <w:sz w:val="20"/>
                <w:szCs w:val="20"/>
                <w:color w:val="auto"/>
              </w:rPr>
            </w:pPr>
            <w:r>
              <w:rPr>
                <w:rFonts w:ascii="Arial" w:cs="Arial" w:eastAsia="Arial" w:hAnsi="Arial"/>
                <w:sz w:val="14"/>
                <w:szCs w:val="14"/>
                <w:color w:val="auto"/>
              </w:rPr>
              <w:t>•  Senior Vice Presidents: a minimum of two times annual base</w:t>
            </w:r>
          </w:p>
        </w:tc>
        <w:tc>
          <w:tcPr>
            <w:tcW w:w="0" w:type="dxa"/>
            <w:vAlign w:val="bottom"/>
          </w:tcPr>
          <w:p>
            <w:pPr>
              <w:spacing w:after="0"/>
              <w:rPr>
                <w:sz w:val="1"/>
                <w:szCs w:val="1"/>
                <w:color w:val="auto"/>
              </w:rPr>
            </w:pPr>
          </w:p>
        </w:tc>
      </w:tr>
      <w:tr>
        <w:trPr>
          <w:trHeight w:val="115"/>
        </w:trPr>
        <w:tc>
          <w:tcPr>
            <w:tcW w:w="2840" w:type="dxa"/>
            <w:vAlign w:val="bottom"/>
            <w:vMerge w:val="continue"/>
            <w:shd w:val="clear" w:color="auto" w:fill="DBDBDB"/>
          </w:tcPr>
          <w:p>
            <w:pPr>
              <w:spacing w:after="0"/>
              <w:rPr>
                <w:sz w:val="10"/>
                <w:szCs w:val="10"/>
                <w:color w:val="auto"/>
              </w:rPr>
            </w:pPr>
          </w:p>
        </w:tc>
        <w:tc>
          <w:tcPr>
            <w:tcW w:w="4280" w:type="dxa"/>
            <w:vAlign w:val="bottom"/>
            <w:vMerge w:val="restart"/>
            <w:shd w:val="clear" w:color="auto" w:fill="DBDBDB"/>
          </w:tcPr>
          <w:p>
            <w:pPr>
              <w:ind w:left="400"/>
              <w:spacing w:after="0" w:line="149" w:lineRule="exact"/>
              <w:rPr>
                <w:sz w:val="20"/>
                <w:szCs w:val="20"/>
                <w:color w:val="auto"/>
              </w:rPr>
            </w:pPr>
            <w:r>
              <w:rPr>
                <w:rFonts w:ascii="Arial" w:cs="Arial" w:eastAsia="Arial" w:hAnsi="Arial"/>
                <w:sz w:val="14"/>
                <w:szCs w:val="14"/>
                <w:color w:val="auto"/>
              </w:rPr>
              <w:t>the fourth quarter of the prior fiscal year)</w:t>
            </w:r>
          </w:p>
        </w:tc>
        <w:tc>
          <w:tcPr>
            <w:tcW w:w="4120" w:type="dxa"/>
            <w:vAlign w:val="bottom"/>
            <w:vMerge w:val="restart"/>
            <w:shd w:val="clear" w:color="auto" w:fill="DBDBDB"/>
          </w:tcPr>
          <w:p>
            <w:pPr>
              <w:ind w:left="200"/>
              <w:spacing w:after="0" w:line="149" w:lineRule="exact"/>
              <w:rPr>
                <w:sz w:val="20"/>
                <w:szCs w:val="20"/>
                <w:color w:val="auto"/>
              </w:rPr>
            </w:pPr>
            <w:r>
              <w:rPr>
                <w:rFonts w:ascii="Arial" w:cs="Arial" w:eastAsia="Arial" w:hAnsi="Arial"/>
                <w:sz w:val="14"/>
                <w:szCs w:val="14"/>
                <w:color w:val="auto"/>
              </w:rPr>
              <w:t>salary</w:t>
            </w:r>
          </w:p>
        </w:tc>
        <w:tc>
          <w:tcPr>
            <w:tcW w:w="0" w:type="dxa"/>
            <w:vAlign w:val="bottom"/>
          </w:tcPr>
          <w:p>
            <w:pPr>
              <w:spacing w:after="0"/>
              <w:rPr>
                <w:sz w:val="1"/>
                <w:szCs w:val="1"/>
                <w:color w:val="auto"/>
              </w:rPr>
            </w:pPr>
          </w:p>
        </w:tc>
      </w:tr>
      <w:tr>
        <w:trPr>
          <w:trHeight w:val="33"/>
        </w:trPr>
        <w:tc>
          <w:tcPr>
            <w:tcW w:w="2840" w:type="dxa"/>
            <w:vAlign w:val="bottom"/>
            <w:shd w:val="clear" w:color="auto" w:fill="DBDBDB"/>
          </w:tcPr>
          <w:p>
            <w:pPr>
              <w:spacing w:after="0"/>
              <w:rPr>
                <w:sz w:val="2"/>
                <w:szCs w:val="2"/>
                <w:color w:val="auto"/>
              </w:rPr>
            </w:pPr>
          </w:p>
        </w:tc>
        <w:tc>
          <w:tcPr>
            <w:tcW w:w="4280" w:type="dxa"/>
            <w:vAlign w:val="bottom"/>
            <w:vMerge w:val="continue"/>
            <w:shd w:val="clear" w:color="auto" w:fill="DBDBDB"/>
          </w:tcPr>
          <w:p>
            <w:pPr>
              <w:spacing w:after="0"/>
              <w:rPr>
                <w:sz w:val="2"/>
                <w:szCs w:val="2"/>
                <w:color w:val="auto"/>
              </w:rPr>
            </w:pPr>
          </w:p>
        </w:tc>
        <w:tc>
          <w:tcPr>
            <w:tcW w:w="4120" w:type="dxa"/>
            <w:vAlign w:val="bottom"/>
            <w:vMerge w:val="continue"/>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spacing w:after="0"/>
              <w:rPr>
                <w:sz w:val="12"/>
                <w:szCs w:val="12"/>
                <w:color w:val="auto"/>
              </w:rPr>
            </w:pPr>
          </w:p>
        </w:tc>
        <w:tc>
          <w:tcPr>
            <w:tcW w:w="4120" w:type="dxa"/>
            <w:vAlign w:val="bottom"/>
            <w:shd w:val="clear" w:color="auto" w:fill="DBDBDB"/>
          </w:tcPr>
          <w:p>
            <w:pPr>
              <w:ind w:left="40"/>
              <w:spacing w:after="0" w:line="145" w:lineRule="exact"/>
              <w:rPr>
                <w:sz w:val="20"/>
                <w:szCs w:val="20"/>
                <w:color w:val="auto"/>
              </w:rPr>
            </w:pPr>
            <w:r>
              <w:rPr>
                <w:rFonts w:ascii="Arial" w:cs="Arial" w:eastAsia="Arial" w:hAnsi="Arial"/>
                <w:sz w:val="14"/>
                <w:szCs w:val="14"/>
                <w:color w:val="auto"/>
              </w:rPr>
              <w:t>•  Based on the base salary of the employee as of January 1</w:t>
            </w:r>
          </w:p>
        </w:tc>
        <w:tc>
          <w:tcPr>
            <w:tcW w:w="0" w:type="dxa"/>
            <w:vAlign w:val="bottom"/>
          </w:tcPr>
          <w:p>
            <w:pPr>
              <w:spacing w:after="0"/>
              <w:rPr>
                <w:sz w:val="1"/>
                <w:szCs w:val="1"/>
                <w:color w:val="auto"/>
              </w:rPr>
            </w:pPr>
          </w:p>
        </w:tc>
      </w:tr>
      <w:tr>
        <w:trPr>
          <w:trHeight w:val="139"/>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spacing w:after="0"/>
              <w:rPr>
                <w:sz w:val="12"/>
                <w:szCs w:val="12"/>
                <w:color w:val="auto"/>
              </w:rPr>
            </w:pPr>
          </w:p>
        </w:tc>
        <w:tc>
          <w:tcPr>
            <w:tcW w:w="4120" w:type="dxa"/>
            <w:vAlign w:val="bottom"/>
            <w:shd w:val="clear" w:color="auto" w:fill="DBDBDB"/>
          </w:tcPr>
          <w:p>
            <w:pPr>
              <w:ind w:left="200"/>
              <w:spacing w:after="0" w:line="139" w:lineRule="exact"/>
              <w:rPr>
                <w:sz w:val="20"/>
                <w:szCs w:val="20"/>
                <w:color w:val="auto"/>
              </w:rPr>
            </w:pPr>
            <w:r>
              <w:rPr>
                <w:rFonts w:ascii="Arial" w:cs="Arial" w:eastAsia="Arial" w:hAnsi="Arial"/>
                <w:sz w:val="14"/>
                <w:szCs w:val="14"/>
                <w:color w:val="auto"/>
              </w:rPr>
              <w:t>and the average closing price of the Company’s common</w:t>
            </w:r>
          </w:p>
        </w:tc>
        <w:tc>
          <w:tcPr>
            <w:tcW w:w="0" w:type="dxa"/>
            <w:vAlign w:val="bottom"/>
          </w:tcPr>
          <w:p>
            <w:pPr>
              <w:spacing w:after="0"/>
              <w:rPr>
                <w:sz w:val="1"/>
                <w:szCs w:val="1"/>
                <w:color w:val="auto"/>
              </w:rPr>
            </w:pPr>
          </w:p>
        </w:tc>
      </w:tr>
      <w:tr>
        <w:trPr>
          <w:trHeight w:val="185"/>
        </w:trPr>
        <w:tc>
          <w:tcPr>
            <w:tcW w:w="2840" w:type="dxa"/>
            <w:vAlign w:val="bottom"/>
            <w:shd w:val="clear" w:color="auto" w:fill="DBDBDB"/>
          </w:tcPr>
          <w:p>
            <w:pPr>
              <w:spacing w:after="0"/>
              <w:rPr>
                <w:sz w:val="16"/>
                <w:szCs w:val="16"/>
                <w:color w:val="auto"/>
              </w:rPr>
            </w:pPr>
          </w:p>
        </w:tc>
        <w:tc>
          <w:tcPr>
            <w:tcW w:w="4280" w:type="dxa"/>
            <w:vAlign w:val="bottom"/>
            <w:shd w:val="clear" w:color="auto" w:fill="DBDBDB"/>
          </w:tcPr>
          <w:p>
            <w:pPr>
              <w:spacing w:after="0"/>
              <w:rPr>
                <w:sz w:val="16"/>
                <w:szCs w:val="16"/>
                <w:color w:val="auto"/>
              </w:rPr>
            </w:pPr>
          </w:p>
        </w:tc>
        <w:tc>
          <w:tcPr>
            <w:tcW w:w="41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stock on Nasdaq for the prior calendar quarter (2)</w:t>
            </w:r>
          </w:p>
        </w:tc>
        <w:tc>
          <w:tcPr>
            <w:tcW w:w="0" w:type="dxa"/>
            <w:vAlign w:val="bottom"/>
          </w:tcPr>
          <w:p>
            <w:pPr>
              <w:spacing w:after="0"/>
              <w:rPr>
                <w:sz w:val="1"/>
                <w:szCs w:val="1"/>
                <w:color w:val="auto"/>
              </w:rPr>
            </w:pPr>
          </w:p>
        </w:tc>
      </w:tr>
      <w:tr>
        <w:trPr>
          <w:trHeight w:val="153"/>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Time Period to Meet Stock Ownership</w:t>
            </w:r>
          </w:p>
        </w:tc>
        <w:tc>
          <w:tcPr>
            <w:tcW w:w="4280" w:type="dxa"/>
            <w:vAlign w:val="bottom"/>
          </w:tcPr>
          <w:p>
            <w:pPr>
              <w:ind w:left="240"/>
              <w:spacing w:after="0" w:line="153" w:lineRule="exact"/>
              <w:rPr>
                <w:sz w:val="20"/>
                <w:szCs w:val="20"/>
                <w:color w:val="auto"/>
              </w:rPr>
            </w:pPr>
            <w:r>
              <w:rPr>
                <w:rFonts w:ascii="Arial" w:cs="Arial" w:eastAsia="Arial" w:hAnsi="Arial"/>
                <w:sz w:val="14"/>
                <w:szCs w:val="14"/>
                <w:color w:val="auto"/>
              </w:rPr>
              <w:t>• Within five years of joining the Board</w:t>
            </w:r>
          </w:p>
        </w:tc>
        <w:tc>
          <w:tcPr>
            <w:tcW w:w="4120" w:type="dxa"/>
            <w:vAlign w:val="bottom"/>
          </w:tcPr>
          <w:p>
            <w:pPr>
              <w:ind w:left="40"/>
              <w:spacing w:after="0" w:line="153" w:lineRule="exact"/>
              <w:rPr>
                <w:sz w:val="20"/>
                <w:szCs w:val="20"/>
                <w:color w:val="auto"/>
              </w:rPr>
            </w:pPr>
            <w:r>
              <w:rPr>
                <w:rFonts w:ascii="Arial" w:cs="Arial" w:eastAsia="Arial" w:hAnsi="Arial"/>
                <w:sz w:val="14"/>
                <w:szCs w:val="14"/>
                <w:color w:val="auto"/>
              </w:rPr>
              <w:t>•  Within five years from the date on which the officer first</w:t>
            </w:r>
          </w:p>
        </w:tc>
        <w:tc>
          <w:tcPr>
            <w:tcW w:w="0" w:type="dxa"/>
            <w:vAlign w:val="bottom"/>
          </w:tcPr>
          <w:p>
            <w:pPr>
              <w:spacing w:after="0"/>
              <w:rPr>
                <w:sz w:val="1"/>
                <w:szCs w:val="1"/>
                <w:color w:val="auto"/>
              </w:rPr>
            </w:pPr>
          </w:p>
        </w:tc>
      </w:tr>
      <w:tr>
        <w:trPr>
          <w:trHeight w:val="115"/>
        </w:trPr>
        <w:tc>
          <w:tcPr>
            <w:tcW w:w="2840" w:type="dxa"/>
            <w:vAlign w:val="bottom"/>
            <w:vMerge w:val="continue"/>
          </w:tcPr>
          <w:p>
            <w:pPr>
              <w:spacing w:after="0"/>
              <w:rPr>
                <w:sz w:val="10"/>
                <w:szCs w:val="10"/>
                <w:color w:val="auto"/>
              </w:rPr>
            </w:pPr>
          </w:p>
        </w:tc>
        <w:tc>
          <w:tcPr>
            <w:tcW w:w="4280" w:type="dxa"/>
            <w:vAlign w:val="bottom"/>
          </w:tcPr>
          <w:p>
            <w:pPr>
              <w:spacing w:after="0"/>
              <w:rPr>
                <w:sz w:val="10"/>
                <w:szCs w:val="10"/>
                <w:color w:val="auto"/>
              </w:rPr>
            </w:pPr>
          </w:p>
        </w:tc>
        <w:tc>
          <w:tcPr>
            <w:tcW w:w="4120" w:type="dxa"/>
            <w:vAlign w:val="bottom"/>
            <w:vMerge w:val="restart"/>
          </w:tcPr>
          <w:p>
            <w:pPr>
              <w:ind w:left="200"/>
              <w:spacing w:after="0"/>
              <w:rPr>
                <w:sz w:val="20"/>
                <w:szCs w:val="20"/>
                <w:color w:val="auto"/>
              </w:rPr>
            </w:pPr>
            <w:r>
              <w:rPr>
                <w:rFonts w:ascii="Arial" w:cs="Arial" w:eastAsia="Arial" w:hAnsi="Arial"/>
                <w:sz w:val="14"/>
                <w:szCs w:val="14"/>
                <w:color w:val="auto"/>
              </w:rPr>
              <w:t>became subject to the applicable guideline</w:t>
            </w:r>
          </w:p>
        </w:tc>
        <w:tc>
          <w:tcPr>
            <w:tcW w:w="0" w:type="dxa"/>
            <w:vAlign w:val="bottom"/>
          </w:tcPr>
          <w:p>
            <w:pPr>
              <w:spacing w:after="0"/>
              <w:rPr>
                <w:sz w:val="1"/>
                <w:szCs w:val="1"/>
                <w:color w:val="auto"/>
              </w:rPr>
            </w:pPr>
          </w:p>
        </w:tc>
      </w:tr>
      <w:tr>
        <w:trPr>
          <w:trHeight w:val="70"/>
        </w:trPr>
        <w:tc>
          <w:tcPr>
            <w:tcW w:w="2840" w:type="dxa"/>
            <w:vAlign w:val="bottom"/>
          </w:tcPr>
          <w:p>
            <w:pPr>
              <w:spacing w:after="0"/>
              <w:rPr>
                <w:sz w:val="6"/>
                <w:szCs w:val="6"/>
                <w:color w:val="auto"/>
              </w:rPr>
            </w:pPr>
          </w:p>
        </w:tc>
        <w:tc>
          <w:tcPr>
            <w:tcW w:w="428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DBDBDB"/>
          </w:tcPr>
          <w:p>
            <w:pPr>
              <w:spacing w:after="0"/>
              <w:rPr>
                <w:sz w:val="13"/>
                <w:szCs w:val="13"/>
                <w:color w:val="auto"/>
              </w:rPr>
            </w:pPr>
          </w:p>
        </w:tc>
        <w:tc>
          <w:tcPr>
            <w:tcW w:w="4280" w:type="dxa"/>
            <w:vAlign w:val="bottom"/>
            <w:shd w:val="clear" w:color="auto" w:fill="DBDBDB"/>
          </w:tcPr>
          <w:p>
            <w:pPr>
              <w:ind w:left="240"/>
              <w:spacing w:after="0" w:line="153" w:lineRule="exact"/>
              <w:rPr>
                <w:sz w:val="20"/>
                <w:szCs w:val="20"/>
                <w:color w:val="auto"/>
              </w:rPr>
            </w:pPr>
            <w:r>
              <w:rPr>
                <w:rFonts w:ascii="Arial" w:cs="Arial" w:eastAsia="Arial" w:hAnsi="Arial"/>
                <w:sz w:val="14"/>
                <w:szCs w:val="14"/>
                <w:color w:val="auto"/>
              </w:rPr>
              <w:t>•  Shares purchased on the open market</w:t>
            </w:r>
          </w:p>
        </w:tc>
        <w:tc>
          <w:tcPr>
            <w:tcW w:w="4120" w:type="dxa"/>
            <w:vAlign w:val="bottom"/>
            <w:shd w:val="clear" w:color="auto" w:fill="DBDBDB"/>
          </w:tcPr>
          <w:p>
            <w:pPr>
              <w:ind w:left="40"/>
              <w:spacing w:after="0" w:line="153" w:lineRule="exact"/>
              <w:rPr>
                <w:sz w:val="20"/>
                <w:szCs w:val="20"/>
                <w:color w:val="auto"/>
              </w:rPr>
            </w:pPr>
            <w:r>
              <w:rPr>
                <w:rFonts w:ascii="Arial" w:cs="Arial" w:eastAsia="Arial" w:hAnsi="Arial"/>
                <w:sz w:val="14"/>
                <w:szCs w:val="14"/>
                <w:color w:val="auto"/>
              </w:rPr>
              <w:t>•  Shares purchased on the open market</w:t>
            </w:r>
          </w:p>
        </w:tc>
        <w:tc>
          <w:tcPr>
            <w:tcW w:w="0" w:type="dxa"/>
            <w:vAlign w:val="bottom"/>
          </w:tcPr>
          <w:p>
            <w:pPr>
              <w:spacing w:after="0"/>
              <w:rPr>
                <w:sz w:val="1"/>
                <w:szCs w:val="1"/>
                <w:color w:val="auto"/>
              </w:rPr>
            </w:pPr>
          </w:p>
        </w:tc>
      </w:tr>
      <w:tr>
        <w:trPr>
          <w:trHeight w:val="148"/>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ind w:left="240"/>
              <w:spacing w:after="0" w:line="149" w:lineRule="exact"/>
              <w:rPr>
                <w:sz w:val="20"/>
                <w:szCs w:val="20"/>
                <w:color w:val="auto"/>
              </w:rPr>
            </w:pPr>
            <w:r>
              <w:rPr>
                <w:rFonts w:ascii="Arial" w:cs="Arial" w:eastAsia="Arial" w:hAnsi="Arial"/>
                <w:sz w:val="14"/>
                <w:szCs w:val="14"/>
                <w:color w:val="auto"/>
              </w:rPr>
              <w:t>•  Vested stock units from RSU awards or other equity-based</w:t>
            </w:r>
          </w:p>
        </w:tc>
        <w:tc>
          <w:tcPr>
            <w:tcW w:w="4120" w:type="dxa"/>
            <w:vAlign w:val="bottom"/>
            <w:shd w:val="clear" w:color="auto" w:fill="DBDBDB"/>
          </w:tcPr>
          <w:p>
            <w:pPr>
              <w:ind w:left="40"/>
              <w:spacing w:after="0" w:line="149" w:lineRule="exact"/>
              <w:rPr>
                <w:sz w:val="20"/>
                <w:szCs w:val="20"/>
                <w:color w:val="auto"/>
              </w:rPr>
            </w:pPr>
            <w:r>
              <w:rPr>
                <w:rFonts w:ascii="Arial" w:cs="Arial" w:eastAsia="Arial" w:hAnsi="Arial"/>
                <w:sz w:val="14"/>
                <w:szCs w:val="14"/>
                <w:color w:val="auto"/>
              </w:rPr>
              <w:t>•  Shares obtained through exercises of stock options granted</w:t>
            </w:r>
          </w:p>
        </w:tc>
        <w:tc>
          <w:tcPr>
            <w:tcW w:w="0" w:type="dxa"/>
            <w:vAlign w:val="bottom"/>
          </w:tcPr>
          <w:p>
            <w:pPr>
              <w:spacing w:after="0"/>
              <w:rPr>
                <w:sz w:val="1"/>
                <w:szCs w:val="1"/>
                <w:color w:val="auto"/>
              </w:rPr>
            </w:pPr>
          </w:p>
        </w:tc>
      </w:tr>
      <w:tr>
        <w:trPr>
          <w:trHeight w:val="144"/>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ind w:left="400"/>
              <w:spacing w:after="0" w:line="145" w:lineRule="exact"/>
              <w:rPr>
                <w:sz w:val="20"/>
                <w:szCs w:val="20"/>
                <w:color w:val="auto"/>
              </w:rPr>
            </w:pPr>
            <w:r>
              <w:rPr>
                <w:rFonts w:ascii="Arial" w:cs="Arial" w:eastAsia="Arial" w:hAnsi="Arial"/>
                <w:sz w:val="14"/>
                <w:szCs w:val="14"/>
                <w:color w:val="auto"/>
              </w:rPr>
              <w:t>awards granted by the Company</w:t>
            </w:r>
          </w:p>
        </w:tc>
        <w:tc>
          <w:tcPr>
            <w:tcW w:w="4120" w:type="dxa"/>
            <w:vAlign w:val="bottom"/>
            <w:shd w:val="clear" w:color="auto" w:fill="DBDBDB"/>
          </w:tcPr>
          <w:p>
            <w:pPr>
              <w:ind w:left="200"/>
              <w:spacing w:after="0" w:line="145" w:lineRule="exact"/>
              <w:rPr>
                <w:sz w:val="20"/>
                <w:szCs w:val="20"/>
                <w:color w:val="auto"/>
              </w:rPr>
            </w:pPr>
            <w:r>
              <w:rPr>
                <w:rFonts w:ascii="Arial" w:cs="Arial" w:eastAsia="Arial" w:hAnsi="Arial"/>
                <w:sz w:val="14"/>
                <w:szCs w:val="14"/>
                <w:color w:val="auto"/>
              </w:rPr>
              <w:t>by the Company</w:t>
            </w:r>
          </w:p>
        </w:tc>
        <w:tc>
          <w:tcPr>
            <w:tcW w:w="0" w:type="dxa"/>
            <w:vAlign w:val="bottom"/>
          </w:tcPr>
          <w:p>
            <w:pPr>
              <w:spacing w:after="0"/>
              <w:rPr>
                <w:sz w:val="1"/>
                <w:szCs w:val="1"/>
                <w:color w:val="auto"/>
              </w:rPr>
            </w:pPr>
          </w:p>
        </w:tc>
      </w:tr>
      <w:tr>
        <w:trPr>
          <w:trHeight w:val="139"/>
        </w:trPr>
        <w:tc>
          <w:tcPr>
            <w:tcW w:w="284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auto"/>
              </w:rPr>
              <w:t>Qualifying Shares</w:t>
            </w:r>
          </w:p>
        </w:tc>
        <w:tc>
          <w:tcPr>
            <w:tcW w:w="4280" w:type="dxa"/>
            <w:vAlign w:val="bottom"/>
            <w:shd w:val="clear" w:color="auto" w:fill="DBDBDB"/>
          </w:tcPr>
          <w:p>
            <w:pPr>
              <w:ind w:left="240"/>
              <w:spacing w:after="0" w:line="139" w:lineRule="exact"/>
              <w:rPr>
                <w:sz w:val="20"/>
                <w:szCs w:val="20"/>
                <w:color w:val="auto"/>
              </w:rPr>
            </w:pPr>
            <w:r>
              <w:rPr>
                <w:rFonts w:ascii="Arial" w:cs="Arial" w:eastAsia="Arial" w:hAnsi="Arial"/>
                <w:sz w:val="14"/>
                <w:szCs w:val="14"/>
                <w:color w:val="auto"/>
              </w:rPr>
              <w:t>•  Shares owned jointly with, or separately by, a spouse and/or</w:t>
            </w:r>
          </w:p>
        </w:tc>
        <w:tc>
          <w:tcPr>
            <w:tcW w:w="4120" w:type="dxa"/>
            <w:vAlign w:val="bottom"/>
            <w:shd w:val="clear" w:color="auto" w:fill="DBDBDB"/>
          </w:tcPr>
          <w:p>
            <w:pPr>
              <w:ind w:left="40"/>
              <w:spacing w:after="0" w:line="139" w:lineRule="exact"/>
              <w:rPr>
                <w:sz w:val="20"/>
                <w:szCs w:val="20"/>
                <w:color w:val="auto"/>
              </w:rPr>
            </w:pPr>
            <w:r>
              <w:rPr>
                <w:rFonts w:ascii="Arial" w:cs="Arial" w:eastAsia="Arial" w:hAnsi="Arial"/>
                <w:sz w:val="14"/>
                <w:szCs w:val="14"/>
                <w:color w:val="auto"/>
              </w:rPr>
              <w:t>•  Vested stock units from RSU awards or other equity-based</w:t>
            </w:r>
          </w:p>
        </w:tc>
        <w:tc>
          <w:tcPr>
            <w:tcW w:w="0" w:type="dxa"/>
            <w:vAlign w:val="bottom"/>
          </w:tcPr>
          <w:p>
            <w:pPr>
              <w:spacing w:after="0"/>
              <w:rPr>
                <w:sz w:val="1"/>
                <w:szCs w:val="1"/>
                <w:color w:val="auto"/>
              </w:rPr>
            </w:pPr>
          </w:p>
        </w:tc>
      </w:tr>
      <w:tr>
        <w:trPr>
          <w:trHeight w:val="115"/>
        </w:trPr>
        <w:tc>
          <w:tcPr>
            <w:tcW w:w="2840" w:type="dxa"/>
            <w:vAlign w:val="bottom"/>
            <w:vMerge w:val="continue"/>
            <w:shd w:val="clear" w:color="auto" w:fill="DBDBDB"/>
          </w:tcPr>
          <w:p>
            <w:pPr>
              <w:spacing w:after="0"/>
              <w:rPr>
                <w:sz w:val="10"/>
                <w:szCs w:val="10"/>
                <w:color w:val="auto"/>
              </w:rPr>
            </w:pPr>
          </w:p>
        </w:tc>
        <w:tc>
          <w:tcPr>
            <w:tcW w:w="4280" w:type="dxa"/>
            <w:vAlign w:val="bottom"/>
            <w:vMerge w:val="restart"/>
            <w:shd w:val="clear" w:color="auto" w:fill="DBDBDB"/>
          </w:tcPr>
          <w:p>
            <w:pPr>
              <w:ind w:left="400"/>
              <w:spacing w:after="0" w:line="149" w:lineRule="exact"/>
              <w:rPr>
                <w:sz w:val="20"/>
                <w:szCs w:val="20"/>
                <w:color w:val="auto"/>
              </w:rPr>
            </w:pPr>
            <w:r>
              <w:rPr>
                <w:rFonts w:ascii="Arial" w:cs="Arial" w:eastAsia="Arial" w:hAnsi="Arial"/>
                <w:sz w:val="14"/>
                <w:szCs w:val="14"/>
                <w:color w:val="auto"/>
              </w:rPr>
              <w:t>minor children</w:t>
            </w:r>
          </w:p>
        </w:tc>
        <w:tc>
          <w:tcPr>
            <w:tcW w:w="4120" w:type="dxa"/>
            <w:vAlign w:val="bottom"/>
            <w:vMerge w:val="restart"/>
            <w:shd w:val="clear" w:color="auto" w:fill="DBDBDB"/>
          </w:tcPr>
          <w:p>
            <w:pPr>
              <w:ind w:left="200"/>
              <w:spacing w:after="0" w:line="149" w:lineRule="exact"/>
              <w:rPr>
                <w:sz w:val="20"/>
                <w:szCs w:val="20"/>
                <w:color w:val="auto"/>
              </w:rPr>
            </w:pPr>
            <w:r>
              <w:rPr>
                <w:rFonts w:ascii="Arial" w:cs="Arial" w:eastAsia="Arial" w:hAnsi="Arial"/>
                <w:sz w:val="14"/>
                <w:szCs w:val="14"/>
                <w:color w:val="auto"/>
              </w:rPr>
              <w:t>awards granted by the Company</w:t>
            </w:r>
          </w:p>
        </w:tc>
        <w:tc>
          <w:tcPr>
            <w:tcW w:w="0" w:type="dxa"/>
            <w:vAlign w:val="bottom"/>
          </w:tcPr>
          <w:p>
            <w:pPr>
              <w:spacing w:after="0"/>
              <w:rPr>
                <w:sz w:val="1"/>
                <w:szCs w:val="1"/>
                <w:color w:val="auto"/>
              </w:rPr>
            </w:pPr>
          </w:p>
        </w:tc>
      </w:tr>
      <w:tr>
        <w:trPr>
          <w:trHeight w:val="33"/>
        </w:trPr>
        <w:tc>
          <w:tcPr>
            <w:tcW w:w="2840" w:type="dxa"/>
            <w:vAlign w:val="bottom"/>
            <w:shd w:val="clear" w:color="auto" w:fill="DBDBDB"/>
          </w:tcPr>
          <w:p>
            <w:pPr>
              <w:spacing w:after="0"/>
              <w:rPr>
                <w:sz w:val="2"/>
                <w:szCs w:val="2"/>
                <w:color w:val="auto"/>
              </w:rPr>
            </w:pPr>
          </w:p>
        </w:tc>
        <w:tc>
          <w:tcPr>
            <w:tcW w:w="4280" w:type="dxa"/>
            <w:vAlign w:val="bottom"/>
            <w:vMerge w:val="continue"/>
            <w:shd w:val="clear" w:color="auto" w:fill="DBDBDB"/>
          </w:tcPr>
          <w:p>
            <w:pPr>
              <w:spacing w:after="0"/>
              <w:rPr>
                <w:sz w:val="2"/>
                <w:szCs w:val="2"/>
                <w:color w:val="auto"/>
              </w:rPr>
            </w:pPr>
          </w:p>
        </w:tc>
        <w:tc>
          <w:tcPr>
            <w:tcW w:w="4120" w:type="dxa"/>
            <w:vAlign w:val="bottom"/>
            <w:vMerge w:val="continue"/>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spacing w:after="0"/>
              <w:rPr>
                <w:sz w:val="12"/>
                <w:szCs w:val="12"/>
                <w:color w:val="auto"/>
              </w:rPr>
            </w:pPr>
          </w:p>
        </w:tc>
        <w:tc>
          <w:tcPr>
            <w:tcW w:w="4120" w:type="dxa"/>
            <w:vAlign w:val="bottom"/>
            <w:shd w:val="clear" w:color="auto" w:fill="DBDBDB"/>
          </w:tcPr>
          <w:p>
            <w:pPr>
              <w:ind w:left="40"/>
              <w:spacing w:after="0" w:line="145" w:lineRule="exact"/>
              <w:rPr>
                <w:sz w:val="20"/>
                <w:szCs w:val="20"/>
                <w:color w:val="auto"/>
              </w:rPr>
            </w:pPr>
            <w:r>
              <w:rPr>
                <w:rFonts w:ascii="Arial" w:cs="Arial" w:eastAsia="Arial" w:hAnsi="Arial"/>
                <w:sz w:val="14"/>
                <w:szCs w:val="14"/>
                <w:color w:val="auto"/>
              </w:rPr>
              <w:t>•  Shares obtained through the ESPP</w:t>
            </w:r>
          </w:p>
        </w:tc>
        <w:tc>
          <w:tcPr>
            <w:tcW w:w="0" w:type="dxa"/>
            <w:vAlign w:val="bottom"/>
          </w:tcPr>
          <w:p>
            <w:pPr>
              <w:spacing w:after="0"/>
              <w:rPr>
                <w:sz w:val="1"/>
                <w:szCs w:val="1"/>
                <w:color w:val="auto"/>
              </w:rPr>
            </w:pPr>
          </w:p>
        </w:tc>
      </w:tr>
      <w:tr>
        <w:trPr>
          <w:trHeight w:val="139"/>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spacing w:after="0"/>
              <w:rPr>
                <w:sz w:val="12"/>
                <w:szCs w:val="12"/>
                <w:color w:val="auto"/>
              </w:rPr>
            </w:pPr>
          </w:p>
        </w:tc>
        <w:tc>
          <w:tcPr>
            <w:tcW w:w="4120" w:type="dxa"/>
            <w:vAlign w:val="bottom"/>
            <w:shd w:val="clear" w:color="auto" w:fill="DBDBDB"/>
          </w:tcPr>
          <w:p>
            <w:pPr>
              <w:ind w:left="40"/>
              <w:spacing w:after="0" w:line="139" w:lineRule="exact"/>
              <w:rPr>
                <w:sz w:val="20"/>
                <w:szCs w:val="20"/>
                <w:color w:val="auto"/>
              </w:rPr>
            </w:pPr>
            <w:r>
              <w:rPr>
                <w:rFonts w:ascii="Arial" w:cs="Arial" w:eastAsia="Arial" w:hAnsi="Arial"/>
                <w:sz w:val="14"/>
                <w:szCs w:val="14"/>
                <w:color w:val="auto"/>
              </w:rPr>
              <w:t>•  Shares owned jointly with, or separately by, a spouse and/or</w:t>
            </w:r>
          </w:p>
        </w:tc>
        <w:tc>
          <w:tcPr>
            <w:tcW w:w="0" w:type="dxa"/>
            <w:vAlign w:val="bottom"/>
          </w:tcPr>
          <w:p>
            <w:pPr>
              <w:spacing w:after="0"/>
              <w:rPr>
                <w:sz w:val="1"/>
                <w:szCs w:val="1"/>
                <w:color w:val="auto"/>
              </w:rPr>
            </w:pPr>
          </w:p>
        </w:tc>
      </w:tr>
      <w:tr>
        <w:trPr>
          <w:trHeight w:val="185"/>
        </w:trPr>
        <w:tc>
          <w:tcPr>
            <w:tcW w:w="2840" w:type="dxa"/>
            <w:vAlign w:val="bottom"/>
            <w:shd w:val="clear" w:color="auto" w:fill="DBDBDB"/>
          </w:tcPr>
          <w:p>
            <w:pPr>
              <w:spacing w:after="0"/>
              <w:rPr>
                <w:sz w:val="16"/>
                <w:szCs w:val="16"/>
                <w:color w:val="auto"/>
              </w:rPr>
            </w:pPr>
          </w:p>
        </w:tc>
        <w:tc>
          <w:tcPr>
            <w:tcW w:w="4280" w:type="dxa"/>
            <w:vAlign w:val="bottom"/>
            <w:shd w:val="clear" w:color="auto" w:fill="DBDBDB"/>
          </w:tcPr>
          <w:p>
            <w:pPr>
              <w:spacing w:after="0"/>
              <w:rPr>
                <w:sz w:val="16"/>
                <w:szCs w:val="16"/>
                <w:color w:val="auto"/>
              </w:rPr>
            </w:pPr>
          </w:p>
        </w:tc>
        <w:tc>
          <w:tcPr>
            <w:tcW w:w="41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minor children</w:t>
            </w: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4280" w:type="dxa"/>
            <w:vAlign w:val="bottom"/>
          </w:tcPr>
          <w:p>
            <w:pPr>
              <w:ind w:left="240"/>
              <w:spacing w:after="0" w:line="153" w:lineRule="exact"/>
              <w:rPr>
                <w:sz w:val="20"/>
                <w:szCs w:val="20"/>
                <w:color w:val="auto"/>
              </w:rPr>
            </w:pPr>
            <w:r>
              <w:rPr>
                <w:rFonts w:ascii="Arial" w:cs="Arial" w:eastAsia="Arial" w:hAnsi="Arial"/>
                <w:sz w:val="14"/>
                <w:szCs w:val="14"/>
                <w:color w:val="auto"/>
              </w:rPr>
              <w:t>•  Meeting with Chair of the Board to formulate an</w:t>
            </w:r>
          </w:p>
        </w:tc>
        <w:tc>
          <w:tcPr>
            <w:tcW w:w="4120" w:type="dxa"/>
            <w:vAlign w:val="bottom"/>
          </w:tcPr>
          <w:p>
            <w:pPr>
              <w:ind w:left="40"/>
              <w:spacing w:after="0" w:line="153" w:lineRule="exact"/>
              <w:rPr>
                <w:sz w:val="20"/>
                <w:szCs w:val="20"/>
                <w:color w:val="auto"/>
              </w:rPr>
            </w:pPr>
            <w:r>
              <w:rPr>
                <w:rFonts w:ascii="Arial" w:cs="Arial" w:eastAsia="Arial" w:hAnsi="Arial"/>
                <w:sz w:val="14"/>
                <w:szCs w:val="14"/>
                <w:color w:val="auto"/>
              </w:rPr>
              <w:t>•  Meeting with HCC Committee to formulate an individualized</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4280" w:type="dxa"/>
            <w:vAlign w:val="bottom"/>
          </w:tcPr>
          <w:p>
            <w:pPr>
              <w:ind w:left="400"/>
              <w:spacing w:after="0" w:line="149" w:lineRule="exact"/>
              <w:rPr>
                <w:sz w:val="20"/>
                <w:szCs w:val="20"/>
                <w:color w:val="auto"/>
              </w:rPr>
            </w:pPr>
            <w:r>
              <w:rPr>
                <w:rFonts w:ascii="Arial" w:cs="Arial" w:eastAsia="Arial" w:hAnsi="Arial"/>
                <w:sz w:val="14"/>
                <w:szCs w:val="14"/>
                <w:color w:val="auto"/>
              </w:rPr>
              <w:t>individualized and structured plan to ensure compliance (3)</w:t>
            </w:r>
          </w:p>
        </w:tc>
        <w:tc>
          <w:tcPr>
            <w:tcW w:w="4120" w:type="dxa"/>
            <w:vAlign w:val="bottom"/>
          </w:tcPr>
          <w:p>
            <w:pPr>
              <w:ind w:left="200"/>
              <w:spacing w:after="0" w:line="149" w:lineRule="exact"/>
              <w:rPr>
                <w:sz w:val="20"/>
                <w:szCs w:val="20"/>
                <w:color w:val="auto"/>
              </w:rPr>
            </w:pPr>
            <w:r>
              <w:rPr>
                <w:rFonts w:ascii="Arial" w:cs="Arial" w:eastAsia="Arial" w:hAnsi="Arial"/>
                <w:sz w:val="14"/>
                <w:szCs w:val="14"/>
                <w:color w:val="auto"/>
              </w:rPr>
              <w:t>and structured plan to ensure compliance</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4280" w:type="dxa"/>
            <w:vAlign w:val="bottom"/>
          </w:tcPr>
          <w:p>
            <w:pPr>
              <w:ind w:left="240"/>
              <w:spacing w:after="0" w:line="145" w:lineRule="exact"/>
              <w:rPr>
                <w:sz w:val="20"/>
                <w:szCs w:val="20"/>
                <w:color w:val="auto"/>
              </w:rPr>
            </w:pPr>
            <w:r>
              <w:rPr>
                <w:rFonts w:ascii="Arial" w:cs="Arial" w:eastAsia="Arial" w:hAnsi="Arial"/>
                <w:sz w:val="14"/>
                <w:szCs w:val="14"/>
                <w:color w:val="auto"/>
              </w:rPr>
              <w:t>•  Failure to comply with the plan will make a non-employee</w:t>
            </w:r>
          </w:p>
        </w:tc>
        <w:tc>
          <w:tcPr>
            <w:tcW w:w="4120" w:type="dxa"/>
            <w:vAlign w:val="bottom"/>
          </w:tcPr>
          <w:p>
            <w:pPr>
              <w:ind w:left="40"/>
              <w:spacing w:after="0" w:line="145" w:lineRule="exact"/>
              <w:rPr>
                <w:sz w:val="20"/>
                <w:szCs w:val="20"/>
                <w:color w:val="auto"/>
              </w:rPr>
            </w:pPr>
            <w:r>
              <w:rPr>
                <w:rFonts w:ascii="Arial" w:cs="Arial" w:eastAsia="Arial" w:hAnsi="Arial"/>
                <w:sz w:val="14"/>
                <w:szCs w:val="14"/>
                <w:color w:val="auto"/>
              </w:rPr>
              <w:t>•  At any time when the ownership guideline is not met, the</w:t>
            </w:r>
          </w:p>
        </w:tc>
        <w:tc>
          <w:tcPr>
            <w:tcW w:w="0" w:type="dxa"/>
            <w:vAlign w:val="bottom"/>
          </w:tcPr>
          <w:p>
            <w:pPr>
              <w:spacing w:after="0"/>
              <w:rPr>
                <w:sz w:val="1"/>
                <w:szCs w:val="1"/>
                <w:color w:val="auto"/>
              </w:rPr>
            </w:pPr>
          </w:p>
        </w:tc>
      </w:tr>
      <w:tr>
        <w:trPr>
          <w:trHeight w:val="139"/>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Remedy for Failure to Comply</w:t>
            </w:r>
          </w:p>
        </w:tc>
        <w:tc>
          <w:tcPr>
            <w:tcW w:w="4280" w:type="dxa"/>
            <w:vAlign w:val="bottom"/>
          </w:tcPr>
          <w:p>
            <w:pPr>
              <w:ind w:left="400"/>
              <w:spacing w:after="0" w:line="139" w:lineRule="exact"/>
              <w:rPr>
                <w:sz w:val="20"/>
                <w:szCs w:val="20"/>
                <w:color w:val="auto"/>
              </w:rPr>
            </w:pPr>
            <w:r>
              <w:rPr>
                <w:rFonts w:ascii="Arial" w:cs="Arial" w:eastAsia="Arial" w:hAnsi="Arial"/>
                <w:sz w:val="14"/>
                <w:szCs w:val="14"/>
                <w:color w:val="auto"/>
              </w:rPr>
              <w:t>director ineligible for re-election at the next annual meeting</w:t>
            </w:r>
          </w:p>
        </w:tc>
        <w:tc>
          <w:tcPr>
            <w:tcW w:w="4120" w:type="dxa"/>
            <w:vAlign w:val="bottom"/>
          </w:tcPr>
          <w:p>
            <w:pPr>
              <w:ind w:left="200"/>
              <w:spacing w:after="0" w:line="139" w:lineRule="exact"/>
              <w:rPr>
                <w:sz w:val="20"/>
                <w:szCs w:val="20"/>
                <w:color w:val="auto"/>
              </w:rPr>
            </w:pPr>
            <w:r>
              <w:rPr>
                <w:rFonts w:ascii="Arial" w:cs="Arial" w:eastAsia="Arial" w:hAnsi="Arial"/>
                <w:sz w:val="14"/>
                <w:szCs w:val="14"/>
                <w:color w:val="auto"/>
              </w:rPr>
              <w:t>officer is expected to retain all of the net shares of Company</w:t>
            </w:r>
          </w:p>
        </w:tc>
        <w:tc>
          <w:tcPr>
            <w:tcW w:w="0" w:type="dxa"/>
            <w:vAlign w:val="bottom"/>
          </w:tcPr>
          <w:p>
            <w:pPr>
              <w:spacing w:after="0"/>
              <w:rPr>
                <w:sz w:val="1"/>
                <w:szCs w:val="1"/>
                <w:color w:val="auto"/>
              </w:rPr>
            </w:pPr>
          </w:p>
        </w:tc>
      </w:tr>
      <w:tr>
        <w:trPr>
          <w:trHeight w:val="115"/>
        </w:trPr>
        <w:tc>
          <w:tcPr>
            <w:tcW w:w="2840" w:type="dxa"/>
            <w:vAlign w:val="bottom"/>
            <w:vMerge w:val="continue"/>
          </w:tcPr>
          <w:p>
            <w:pPr>
              <w:spacing w:after="0"/>
              <w:rPr>
                <w:sz w:val="10"/>
                <w:szCs w:val="10"/>
                <w:color w:val="auto"/>
              </w:rPr>
            </w:pPr>
          </w:p>
        </w:tc>
        <w:tc>
          <w:tcPr>
            <w:tcW w:w="4280" w:type="dxa"/>
            <w:vAlign w:val="bottom"/>
            <w:vMerge w:val="restart"/>
          </w:tcPr>
          <w:p>
            <w:pPr>
              <w:ind w:left="400"/>
              <w:spacing w:after="0" w:line="149" w:lineRule="exact"/>
              <w:rPr>
                <w:sz w:val="20"/>
                <w:szCs w:val="20"/>
                <w:color w:val="auto"/>
              </w:rPr>
            </w:pPr>
            <w:r>
              <w:rPr>
                <w:rFonts w:ascii="Arial" w:cs="Arial" w:eastAsia="Arial" w:hAnsi="Arial"/>
                <w:sz w:val="14"/>
                <w:szCs w:val="14"/>
                <w:color w:val="auto"/>
              </w:rPr>
              <w:t>of stockholders</w:t>
            </w:r>
          </w:p>
        </w:tc>
        <w:tc>
          <w:tcPr>
            <w:tcW w:w="412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stock or equity-based awards received until such ownership</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4280" w:type="dxa"/>
            <w:vAlign w:val="bottom"/>
            <w:vMerge w:val="continue"/>
          </w:tcPr>
          <w:p>
            <w:pPr>
              <w:spacing w:after="0"/>
              <w:rPr>
                <w:sz w:val="2"/>
                <w:szCs w:val="2"/>
                <w:color w:val="auto"/>
              </w:rPr>
            </w:pPr>
          </w:p>
        </w:tc>
        <w:tc>
          <w:tcPr>
            <w:tcW w:w="4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840" w:type="dxa"/>
            <w:vAlign w:val="bottom"/>
          </w:tcPr>
          <w:p>
            <w:pPr>
              <w:spacing w:after="0"/>
              <w:rPr>
                <w:sz w:val="12"/>
                <w:szCs w:val="12"/>
                <w:color w:val="auto"/>
              </w:rPr>
            </w:pPr>
          </w:p>
        </w:tc>
        <w:tc>
          <w:tcPr>
            <w:tcW w:w="4280" w:type="dxa"/>
            <w:vAlign w:val="bottom"/>
          </w:tcPr>
          <w:p>
            <w:pPr>
              <w:ind w:left="240"/>
              <w:spacing w:after="0" w:line="145" w:lineRule="exact"/>
              <w:rPr>
                <w:sz w:val="20"/>
                <w:szCs w:val="20"/>
                <w:color w:val="auto"/>
              </w:rPr>
            </w:pPr>
            <w:r>
              <w:rPr>
                <w:rFonts w:ascii="Arial" w:cs="Arial" w:eastAsia="Arial" w:hAnsi="Arial"/>
                <w:sz w:val="14"/>
                <w:szCs w:val="14"/>
                <w:color w:val="auto"/>
              </w:rPr>
              <w:t>•  Non-employee directors are expected to retain all of the net</w:t>
            </w:r>
          </w:p>
        </w:tc>
        <w:tc>
          <w:tcPr>
            <w:tcW w:w="4120" w:type="dxa"/>
            <w:vAlign w:val="bottom"/>
          </w:tcPr>
          <w:p>
            <w:pPr>
              <w:ind w:left="200"/>
              <w:spacing w:after="0" w:line="145" w:lineRule="exact"/>
              <w:rPr>
                <w:sz w:val="20"/>
                <w:szCs w:val="20"/>
                <w:color w:val="auto"/>
              </w:rPr>
            </w:pPr>
            <w:r>
              <w:rPr>
                <w:rFonts w:ascii="Arial" w:cs="Arial" w:eastAsia="Arial" w:hAnsi="Arial"/>
                <w:sz w:val="14"/>
                <w:szCs w:val="14"/>
                <w:color w:val="auto"/>
              </w:rPr>
              <w:t>guideline is met</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4280" w:type="dxa"/>
            <w:vAlign w:val="bottom"/>
          </w:tcPr>
          <w:p>
            <w:pPr>
              <w:ind w:left="400"/>
              <w:spacing w:after="0" w:line="139" w:lineRule="exact"/>
              <w:rPr>
                <w:sz w:val="20"/>
                <w:szCs w:val="20"/>
                <w:color w:val="auto"/>
              </w:rPr>
            </w:pPr>
            <w:r>
              <w:rPr>
                <w:rFonts w:ascii="Arial" w:cs="Arial" w:eastAsia="Arial" w:hAnsi="Arial"/>
                <w:sz w:val="14"/>
                <w:szCs w:val="14"/>
                <w:color w:val="auto"/>
              </w:rPr>
              <w:t>shares of Company stock or equity-based awards received</w:t>
            </w:r>
          </w:p>
        </w:tc>
        <w:tc>
          <w:tcPr>
            <w:tcW w:w="4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4280" w:type="dxa"/>
            <w:vAlign w:val="bottom"/>
          </w:tcPr>
          <w:p>
            <w:pPr>
              <w:ind w:left="400"/>
              <w:spacing w:after="0"/>
              <w:rPr>
                <w:sz w:val="20"/>
                <w:szCs w:val="20"/>
                <w:color w:val="auto"/>
              </w:rPr>
            </w:pPr>
            <w:r>
              <w:rPr>
                <w:rFonts w:ascii="Arial" w:cs="Arial" w:eastAsia="Arial" w:hAnsi="Arial"/>
                <w:sz w:val="14"/>
                <w:szCs w:val="14"/>
                <w:color w:val="auto"/>
              </w:rPr>
              <w:t>until the guideline is met</w:t>
            </w:r>
          </w:p>
        </w:tc>
        <w:tc>
          <w:tcPr>
            <w:tcW w:w="4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right="780" w:hanging="234"/>
        <w:spacing w:after="0" w:line="252" w:lineRule="auto"/>
        <w:tabs>
          <w:tab w:leader="none" w:pos="233" w:val="left"/>
        </w:tabs>
        <w:numPr>
          <w:ilvl w:val="0"/>
          <w:numId w:val="96"/>
        </w:numPr>
        <w:rPr>
          <w:rFonts w:ascii="Arial" w:cs="Arial" w:eastAsia="Arial" w:hAnsi="Arial"/>
          <w:sz w:val="14"/>
          <w:szCs w:val="14"/>
          <w:color w:val="auto"/>
        </w:rPr>
      </w:pPr>
      <w:r>
        <w:rPr>
          <w:rFonts w:ascii="Arial" w:cs="Arial" w:eastAsia="Arial" w:hAnsi="Arial"/>
          <w:sz w:val="14"/>
          <w:szCs w:val="14"/>
          <w:color w:val="auto"/>
        </w:rPr>
        <w:t>For non-employee directors appointed or elected after January 1, for the first year of service, the guideline is based on the retainer for such director at the date of appointment or election.</w:t>
      </w:r>
    </w:p>
    <w:p>
      <w:pPr>
        <w:ind w:left="240" w:hanging="214"/>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For officers hired after January 1, for the first year of employment, the guideline will be based on the base salary for such officer at the date of hire.</w:t>
      </w:r>
    </w:p>
    <w:p>
      <w:pPr>
        <w:spacing w:after="0" w:line="40" w:lineRule="exact"/>
        <w:rPr>
          <w:rFonts w:ascii="Arial" w:cs="Arial" w:eastAsia="Arial" w:hAnsi="Arial"/>
          <w:sz w:val="14"/>
          <w:szCs w:val="14"/>
          <w:color w:val="auto"/>
        </w:rPr>
      </w:pPr>
    </w:p>
    <w:p>
      <w:pPr>
        <w:ind w:left="240" w:hanging="214"/>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If the affected director is the Chair of the Board, our HCC Committee will meet with him or her to formulate the individualized compliance plan.</w:t>
      </w:r>
    </w:p>
    <w:p>
      <w:pPr>
        <w:spacing w:after="0" w:line="3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compliance would create a severe hardship or for other good reasons, these guidelines may be waived for: (i) non-employee directors other than the Chair of the Board, at the discretion of the Chair of our Board; (ii) the Chair of the Board and the CEO, at the discretion of our HCC Committee; and (iii) officers, at the discretion of our HCC Committee and CEO. It is expected that these instances will be rare.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64</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9"/>
        </w:trPr>
        <w:tc>
          <w:tcPr>
            <w:tcW w:w="34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E97D2E"/>
              </w:rPr>
              <w:t>Stock Ownership</w:t>
            </w:r>
          </w:p>
        </w:tc>
        <w:tc>
          <w:tcPr>
            <w:tcW w:w="0" w:type="dxa"/>
            <w:vAlign w:val="bottom"/>
          </w:tcPr>
          <w:p>
            <w:pPr>
              <w:spacing w:after="0"/>
              <w:rPr>
                <w:sz w:val="1"/>
                <w:szCs w:val="1"/>
                <w:color w:val="auto"/>
              </w:rPr>
            </w:pPr>
          </w:p>
        </w:tc>
      </w:tr>
      <w:tr>
        <w:trPr>
          <w:trHeight w:val="1022"/>
        </w:trPr>
        <w:tc>
          <w:tcPr>
            <w:tcW w:w="6260" w:type="dxa"/>
            <w:vAlign w:val="bottom"/>
            <w:gridSpan w:val="2"/>
          </w:tcPr>
          <w:p>
            <w:pPr>
              <w:spacing w:after="0"/>
              <w:rPr>
                <w:sz w:val="20"/>
                <w:szCs w:val="20"/>
                <w:color w:val="auto"/>
              </w:rPr>
            </w:pPr>
            <w:r>
              <w:rPr>
                <w:rFonts w:ascii="Arial" w:cs="Arial" w:eastAsia="Arial" w:hAnsi="Arial"/>
                <w:sz w:val="25"/>
                <w:szCs w:val="25"/>
                <w:b w:val="1"/>
                <w:bCs w:val="1"/>
                <w:color w:val="465E66"/>
              </w:rPr>
              <w:t>Equity Compensation Plan Information</w:t>
            </w: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80" w:type="dxa"/>
            <w:vAlign w:val="bottom"/>
            <w:gridSpan w:val="3"/>
          </w:tcPr>
          <w:p>
            <w:pPr>
              <w:spacing w:after="0"/>
              <w:rPr>
                <w:sz w:val="20"/>
                <w:szCs w:val="20"/>
                <w:color w:val="auto"/>
              </w:rPr>
            </w:pPr>
            <w:r>
              <w:rPr>
                <w:rFonts w:ascii="Arial" w:cs="Arial" w:eastAsia="Arial" w:hAnsi="Arial"/>
                <w:sz w:val="18"/>
                <w:szCs w:val="18"/>
                <w:color w:val="auto"/>
              </w:rPr>
              <w:t>The following table sets forth equity compensation plan information as of December 31, 2022:</w:t>
            </w: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4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465E66"/>
          </w:tcPr>
          <w:p>
            <w:pPr>
              <w:spacing w:after="0"/>
              <w:rPr>
                <w:sz w:val="12"/>
                <w:szCs w:val="12"/>
                <w:color w:val="auto"/>
              </w:rPr>
            </w:pPr>
          </w:p>
        </w:tc>
        <w:tc>
          <w:tcPr>
            <w:tcW w:w="2840" w:type="dxa"/>
            <w:vAlign w:val="bottom"/>
            <w:shd w:val="clear" w:color="auto" w:fill="465E66"/>
          </w:tcPr>
          <w:p>
            <w:pPr>
              <w:spacing w:after="0"/>
              <w:rPr>
                <w:sz w:val="12"/>
                <w:szCs w:val="12"/>
                <w:color w:val="auto"/>
              </w:rPr>
            </w:pPr>
          </w:p>
        </w:tc>
        <w:tc>
          <w:tcPr>
            <w:tcW w:w="2020" w:type="dxa"/>
            <w:vAlign w:val="bottom"/>
            <w:vMerge w:val="restart"/>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Weighted-Average</w:t>
            </w:r>
          </w:p>
        </w:tc>
        <w:tc>
          <w:tcPr>
            <w:tcW w:w="380" w:type="dxa"/>
            <w:vAlign w:val="bottom"/>
            <w:shd w:val="clear" w:color="auto" w:fill="465E66"/>
          </w:tcPr>
          <w:p>
            <w:pPr>
              <w:spacing w:after="0"/>
              <w:rPr>
                <w:sz w:val="12"/>
                <w:szCs w:val="12"/>
                <w:color w:val="auto"/>
              </w:rPr>
            </w:pPr>
          </w:p>
        </w:tc>
        <w:tc>
          <w:tcPr>
            <w:tcW w:w="2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Number of Securities Remaining</w:t>
            </w:r>
          </w:p>
        </w:tc>
        <w:tc>
          <w:tcPr>
            <w:tcW w:w="0" w:type="dxa"/>
            <w:vAlign w:val="bottom"/>
          </w:tcPr>
          <w:p>
            <w:pPr>
              <w:spacing w:after="0"/>
              <w:rPr>
                <w:sz w:val="1"/>
                <w:szCs w:val="1"/>
                <w:color w:val="auto"/>
              </w:rPr>
            </w:pPr>
          </w:p>
        </w:tc>
      </w:tr>
      <w:tr>
        <w:trPr>
          <w:trHeight w:val="135"/>
        </w:trPr>
        <w:tc>
          <w:tcPr>
            <w:tcW w:w="3420" w:type="dxa"/>
            <w:vAlign w:val="bottom"/>
            <w:shd w:val="clear" w:color="auto" w:fill="465E66"/>
          </w:tcPr>
          <w:p>
            <w:pPr>
              <w:spacing w:after="0"/>
              <w:rPr>
                <w:sz w:val="11"/>
                <w:szCs w:val="11"/>
                <w:color w:val="auto"/>
              </w:rPr>
            </w:pPr>
          </w:p>
        </w:tc>
        <w:tc>
          <w:tcPr>
            <w:tcW w:w="2840" w:type="dxa"/>
            <w:vAlign w:val="bottom"/>
            <w:vMerge w:val="restart"/>
            <w:shd w:val="clear" w:color="auto" w:fill="465E66"/>
          </w:tcPr>
          <w:p>
            <w:pPr>
              <w:jc w:val="center"/>
              <w:ind w:right="161"/>
              <w:spacing w:after="0"/>
              <w:rPr>
                <w:sz w:val="20"/>
                <w:szCs w:val="20"/>
                <w:color w:val="auto"/>
              </w:rPr>
            </w:pPr>
            <w:r>
              <w:rPr>
                <w:rFonts w:ascii="Arial" w:cs="Arial" w:eastAsia="Arial" w:hAnsi="Arial"/>
                <w:sz w:val="14"/>
                <w:szCs w:val="14"/>
                <w:b w:val="1"/>
                <w:bCs w:val="1"/>
                <w:color w:val="FFFFFF"/>
              </w:rPr>
              <w:t>Number of Securities to be Issued</w:t>
            </w:r>
          </w:p>
        </w:tc>
        <w:tc>
          <w:tcPr>
            <w:tcW w:w="2020" w:type="dxa"/>
            <w:vAlign w:val="bottom"/>
            <w:vMerge w:val="continue"/>
            <w:shd w:val="clear" w:color="auto" w:fill="465E66"/>
          </w:tcPr>
          <w:p>
            <w:pPr>
              <w:spacing w:after="0"/>
              <w:rPr>
                <w:sz w:val="11"/>
                <w:szCs w:val="11"/>
                <w:color w:val="auto"/>
              </w:rPr>
            </w:pPr>
          </w:p>
        </w:tc>
        <w:tc>
          <w:tcPr>
            <w:tcW w:w="380" w:type="dxa"/>
            <w:vAlign w:val="bottom"/>
            <w:shd w:val="clear" w:color="auto" w:fill="465E66"/>
          </w:tcPr>
          <w:p>
            <w:pPr>
              <w:spacing w:after="0"/>
              <w:rPr>
                <w:sz w:val="11"/>
                <w:szCs w:val="11"/>
                <w:color w:val="auto"/>
              </w:rPr>
            </w:pPr>
          </w:p>
        </w:tc>
        <w:tc>
          <w:tcPr>
            <w:tcW w:w="258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Available for Future Issuance Under</w:t>
            </w:r>
          </w:p>
        </w:tc>
        <w:tc>
          <w:tcPr>
            <w:tcW w:w="0" w:type="dxa"/>
            <w:vAlign w:val="bottom"/>
          </w:tcPr>
          <w:p>
            <w:pPr>
              <w:spacing w:after="0"/>
              <w:rPr>
                <w:sz w:val="1"/>
                <w:szCs w:val="1"/>
                <w:color w:val="auto"/>
              </w:rPr>
            </w:pPr>
          </w:p>
        </w:tc>
      </w:tr>
      <w:tr>
        <w:trPr>
          <w:trHeight w:val="149"/>
        </w:trPr>
        <w:tc>
          <w:tcPr>
            <w:tcW w:w="3420" w:type="dxa"/>
            <w:vAlign w:val="bottom"/>
            <w:shd w:val="clear" w:color="auto" w:fill="465E66"/>
          </w:tcPr>
          <w:p>
            <w:pPr>
              <w:spacing w:after="0"/>
              <w:rPr>
                <w:sz w:val="12"/>
                <w:szCs w:val="12"/>
                <w:color w:val="auto"/>
              </w:rPr>
            </w:pPr>
          </w:p>
        </w:tc>
        <w:tc>
          <w:tcPr>
            <w:tcW w:w="2840" w:type="dxa"/>
            <w:vAlign w:val="bottom"/>
            <w:vMerge w:val="continue"/>
            <w:shd w:val="clear" w:color="auto" w:fill="465E66"/>
          </w:tcPr>
          <w:p>
            <w:pPr>
              <w:spacing w:after="0"/>
              <w:rPr>
                <w:sz w:val="12"/>
                <w:szCs w:val="12"/>
                <w:color w:val="auto"/>
              </w:rPr>
            </w:pPr>
          </w:p>
        </w:tc>
        <w:tc>
          <w:tcPr>
            <w:tcW w:w="2020" w:type="dxa"/>
            <w:vAlign w:val="bottom"/>
            <w:shd w:val="clear" w:color="auto" w:fill="465E66"/>
          </w:tcPr>
          <w:p>
            <w:pPr>
              <w:jc w:val="center"/>
              <w:ind w:left="68"/>
              <w:spacing w:after="0" w:line="149" w:lineRule="exact"/>
              <w:rPr>
                <w:sz w:val="20"/>
                <w:szCs w:val="20"/>
                <w:color w:val="auto"/>
              </w:rPr>
            </w:pPr>
            <w:r>
              <w:rPr>
                <w:rFonts w:ascii="Arial" w:cs="Arial" w:eastAsia="Arial" w:hAnsi="Arial"/>
                <w:sz w:val="14"/>
                <w:szCs w:val="14"/>
                <w:b w:val="1"/>
                <w:bCs w:val="1"/>
                <w:color w:val="FFFFFF"/>
              </w:rPr>
              <w:t>Exercise Price of</w:t>
            </w:r>
          </w:p>
        </w:tc>
        <w:tc>
          <w:tcPr>
            <w:tcW w:w="380" w:type="dxa"/>
            <w:vAlign w:val="bottom"/>
            <w:shd w:val="clear" w:color="auto" w:fill="465E66"/>
          </w:tcPr>
          <w:p>
            <w:pPr>
              <w:spacing w:after="0"/>
              <w:rPr>
                <w:sz w:val="12"/>
                <w:szCs w:val="12"/>
                <w:color w:val="auto"/>
              </w:rPr>
            </w:pPr>
          </w:p>
        </w:tc>
        <w:tc>
          <w:tcPr>
            <w:tcW w:w="2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Equity Compensation Plans</w:t>
            </w:r>
          </w:p>
        </w:tc>
        <w:tc>
          <w:tcPr>
            <w:tcW w:w="0" w:type="dxa"/>
            <w:vAlign w:val="bottom"/>
          </w:tcPr>
          <w:p>
            <w:pPr>
              <w:spacing w:after="0"/>
              <w:rPr>
                <w:sz w:val="1"/>
                <w:szCs w:val="1"/>
                <w:color w:val="auto"/>
              </w:rPr>
            </w:pPr>
          </w:p>
        </w:tc>
      </w:tr>
      <w:tr>
        <w:trPr>
          <w:trHeight w:val="148"/>
        </w:trPr>
        <w:tc>
          <w:tcPr>
            <w:tcW w:w="342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Plan Category</w:t>
            </w:r>
          </w:p>
        </w:tc>
        <w:tc>
          <w:tcPr>
            <w:tcW w:w="2840" w:type="dxa"/>
            <w:vAlign w:val="bottom"/>
            <w:shd w:val="clear" w:color="auto" w:fill="465E66"/>
          </w:tcPr>
          <w:p>
            <w:pPr>
              <w:jc w:val="center"/>
              <w:ind w:right="141"/>
              <w:spacing w:after="0" w:line="149" w:lineRule="exact"/>
              <w:rPr>
                <w:sz w:val="20"/>
                <w:szCs w:val="20"/>
                <w:color w:val="auto"/>
              </w:rPr>
            </w:pPr>
            <w:r>
              <w:rPr>
                <w:rFonts w:ascii="Arial" w:cs="Arial" w:eastAsia="Arial" w:hAnsi="Arial"/>
                <w:sz w:val="14"/>
                <w:szCs w:val="14"/>
                <w:b w:val="1"/>
                <w:bCs w:val="1"/>
                <w:color w:val="FFFFFF"/>
              </w:rPr>
              <w:t>Upon Exercise of Outstanding</w:t>
            </w:r>
          </w:p>
        </w:tc>
        <w:tc>
          <w:tcPr>
            <w:tcW w:w="2020" w:type="dxa"/>
            <w:vAlign w:val="bottom"/>
            <w:shd w:val="clear" w:color="auto" w:fill="465E66"/>
          </w:tcPr>
          <w:p>
            <w:pPr>
              <w:jc w:val="center"/>
              <w:ind w:left="48"/>
              <w:spacing w:after="0" w:line="149" w:lineRule="exact"/>
              <w:rPr>
                <w:sz w:val="20"/>
                <w:szCs w:val="20"/>
                <w:color w:val="auto"/>
              </w:rPr>
            </w:pPr>
            <w:r>
              <w:rPr>
                <w:rFonts w:ascii="Arial" w:cs="Arial" w:eastAsia="Arial" w:hAnsi="Arial"/>
                <w:sz w:val="14"/>
                <w:szCs w:val="14"/>
                <w:b w:val="1"/>
                <w:bCs w:val="1"/>
                <w:color w:val="FFFFFF"/>
              </w:rPr>
              <w:t>Outstanding Options,</w:t>
            </w:r>
          </w:p>
        </w:tc>
        <w:tc>
          <w:tcPr>
            <w:tcW w:w="380" w:type="dxa"/>
            <w:vAlign w:val="bottom"/>
            <w:shd w:val="clear" w:color="auto" w:fill="465E66"/>
          </w:tcPr>
          <w:p>
            <w:pPr>
              <w:spacing w:after="0"/>
              <w:rPr>
                <w:sz w:val="12"/>
                <w:szCs w:val="12"/>
                <w:color w:val="auto"/>
              </w:rPr>
            </w:pPr>
          </w:p>
        </w:tc>
        <w:tc>
          <w:tcPr>
            <w:tcW w:w="2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(Excluding Securities Reflected in</w:t>
            </w:r>
          </w:p>
        </w:tc>
        <w:tc>
          <w:tcPr>
            <w:tcW w:w="0" w:type="dxa"/>
            <w:vAlign w:val="bottom"/>
          </w:tcPr>
          <w:p>
            <w:pPr>
              <w:spacing w:after="0"/>
              <w:rPr>
                <w:sz w:val="1"/>
                <w:szCs w:val="1"/>
                <w:color w:val="auto"/>
              </w:rPr>
            </w:pPr>
          </w:p>
        </w:tc>
      </w:tr>
      <w:tr>
        <w:trPr>
          <w:trHeight w:val="189"/>
        </w:trPr>
        <w:tc>
          <w:tcPr>
            <w:tcW w:w="3420" w:type="dxa"/>
            <w:vAlign w:val="bottom"/>
            <w:vMerge w:val="continue"/>
            <w:shd w:val="clear" w:color="auto" w:fill="465E66"/>
          </w:tcPr>
          <w:p>
            <w:pPr>
              <w:spacing w:after="0"/>
              <w:rPr>
                <w:sz w:val="16"/>
                <w:szCs w:val="16"/>
                <w:color w:val="auto"/>
              </w:rPr>
            </w:pPr>
          </w:p>
        </w:tc>
        <w:tc>
          <w:tcPr>
            <w:tcW w:w="2840" w:type="dxa"/>
            <w:vAlign w:val="bottom"/>
            <w:shd w:val="clear" w:color="auto" w:fill="465E66"/>
          </w:tcPr>
          <w:p>
            <w:pPr>
              <w:jc w:val="center"/>
              <w:ind w:right="141"/>
              <w:spacing w:after="0"/>
              <w:rPr>
                <w:sz w:val="20"/>
                <w:szCs w:val="20"/>
                <w:color w:val="auto"/>
              </w:rPr>
            </w:pPr>
            <w:r>
              <w:rPr>
                <w:rFonts w:ascii="Arial" w:cs="Arial" w:eastAsia="Arial" w:hAnsi="Arial"/>
                <w:sz w:val="14"/>
                <w:szCs w:val="14"/>
                <w:b w:val="1"/>
                <w:bCs w:val="1"/>
                <w:color w:val="FFFFFF"/>
              </w:rPr>
              <w:t>Options, Warrants and Rights</w:t>
            </w:r>
          </w:p>
        </w:tc>
        <w:tc>
          <w:tcPr>
            <w:tcW w:w="2020" w:type="dxa"/>
            <w:vAlign w:val="bottom"/>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Warrants and Rights (1)</w:t>
            </w:r>
          </w:p>
        </w:tc>
        <w:tc>
          <w:tcPr>
            <w:tcW w:w="380" w:type="dxa"/>
            <w:vAlign w:val="bottom"/>
            <w:shd w:val="clear" w:color="auto" w:fill="465E66"/>
          </w:tcPr>
          <w:p>
            <w:pPr>
              <w:spacing w:after="0"/>
              <w:rPr>
                <w:sz w:val="16"/>
                <w:szCs w:val="16"/>
                <w:color w:val="auto"/>
              </w:rPr>
            </w:pPr>
          </w:p>
        </w:tc>
        <w:tc>
          <w:tcPr>
            <w:tcW w:w="25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First Column)</w:t>
            </w:r>
          </w:p>
        </w:tc>
        <w:tc>
          <w:tcPr>
            <w:tcW w:w="0" w:type="dxa"/>
            <w:vAlign w:val="bottom"/>
          </w:tcPr>
          <w:p>
            <w:pPr>
              <w:spacing w:after="0"/>
              <w:rPr>
                <w:sz w:val="1"/>
                <w:szCs w:val="1"/>
                <w:color w:val="auto"/>
              </w:rPr>
            </w:pPr>
          </w:p>
        </w:tc>
      </w:tr>
      <w:tr>
        <w:trPr>
          <w:trHeight w:val="162"/>
        </w:trPr>
        <w:tc>
          <w:tcPr>
            <w:tcW w:w="342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Equity Compensation Plans</w:t>
            </w:r>
          </w:p>
        </w:tc>
        <w:tc>
          <w:tcPr>
            <w:tcW w:w="2840" w:type="dxa"/>
            <w:vAlign w:val="bottom"/>
            <w:vMerge w:val="restart"/>
            <w:shd w:val="clear" w:color="auto" w:fill="DBDBDB"/>
          </w:tcPr>
          <w:p>
            <w:pPr>
              <w:jc w:val="right"/>
              <w:ind w:right="161"/>
              <w:spacing w:after="0"/>
              <w:rPr>
                <w:sz w:val="20"/>
                <w:szCs w:val="20"/>
                <w:color w:val="auto"/>
              </w:rPr>
            </w:pPr>
            <w:r>
              <w:rPr>
                <w:rFonts w:ascii="Arial" w:cs="Arial" w:eastAsia="Arial" w:hAnsi="Arial"/>
                <w:sz w:val="18"/>
                <w:szCs w:val="18"/>
                <w:color w:val="auto"/>
              </w:rPr>
              <w:t>3,783,365 (3)</w:t>
            </w:r>
          </w:p>
        </w:tc>
        <w:tc>
          <w:tcPr>
            <w:tcW w:w="2020" w:type="dxa"/>
            <w:vAlign w:val="bottom"/>
            <w:shd w:val="clear" w:color="auto" w:fill="DBDBDB"/>
          </w:tcPr>
          <w:p>
            <w:pPr>
              <w:spacing w:after="0"/>
              <w:rPr>
                <w:sz w:val="14"/>
                <w:szCs w:val="14"/>
                <w:color w:val="auto"/>
              </w:rPr>
            </w:pPr>
          </w:p>
        </w:tc>
        <w:tc>
          <w:tcPr>
            <w:tcW w:w="3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5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47,806,337 (4)</w:t>
            </w:r>
          </w:p>
        </w:tc>
        <w:tc>
          <w:tcPr>
            <w:tcW w:w="0" w:type="dxa"/>
            <w:vAlign w:val="bottom"/>
          </w:tcPr>
          <w:p>
            <w:pPr>
              <w:spacing w:after="0"/>
              <w:rPr>
                <w:sz w:val="1"/>
                <w:szCs w:val="1"/>
                <w:color w:val="auto"/>
              </w:rPr>
            </w:pPr>
          </w:p>
        </w:tc>
      </w:tr>
      <w:tr>
        <w:trPr>
          <w:trHeight w:val="216"/>
        </w:trPr>
        <w:tc>
          <w:tcPr>
            <w:tcW w:w="3420" w:type="dxa"/>
            <w:vAlign w:val="bottom"/>
            <w:shd w:val="clear" w:color="auto" w:fill="DBDBDB"/>
          </w:tcPr>
          <w:p>
            <w:pPr>
              <w:ind w:left="100"/>
              <w:spacing w:after="0"/>
              <w:rPr>
                <w:sz w:val="20"/>
                <w:szCs w:val="20"/>
                <w:color w:val="auto"/>
              </w:rPr>
            </w:pPr>
            <w:r>
              <w:rPr>
                <w:rFonts w:ascii="Arial" w:cs="Arial" w:eastAsia="Arial" w:hAnsi="Arial"/>
                <w:sz w:val="16"/>
                <w:szCs w:val="16"/>
                <w:color w:val="auto"/>
              </w:rPr>
              <w:t>Approved By Security Holders (2)</w:t>
            </w:r>
          </w:p>
        </w:tc>
        <w:tc>
          <w:tcPr>
            <w:tcW w:w="2840" w:type="dxa"/>
            <w:vAlign w:val="bottom"/>
            <w:vMerge w:val="continue"/>
            <w:shd w:val="clear" w:color="auto" w:fill="DBDBDB"/>
          </w:tcPr>
          <w:p>
            <w:pPr>
              <w:spacing w:after="0"/>
              <w:rPr>
                <w:sz w:val="18"/>
                <w:szCs w:val="18"/>
                <w:color w:val="auto"/>
              </w:rPr>
            </w:pPr>
          </w:p>
        </w:tc>
        <w:tc>
          <w:tcPr>
            <w:tcW w:w="2020" w:type="dxa"/>
            <w:vAlign w:val="bottom"/>
            <w:shd w:val="clear" w:color="auto" w:fill="DBDBDB"/>
          </w:tcPr>
          <w:p>
            <w:pPr>
              <w:spacing w:after="0"/>
              <w:rPr>
                <w:sz w:val="18"/>
                <w:szCs w:val="18"/>
                <w:color w:val="auto"/>
              </w:rPr>
            </w:pPr>
          </w:p>
        </w:tc>
        <w:tc>
          <w:tcPr>
            <w:tcW w:w="380" w:type="dxa"/>
            <w:vAlign w:val="bottom"/>
            <w:vMerge w:val="continue"/>
            <w:shd w:val="clear" w:color="auto" w:fill="DBDBDB"/>
          </w:tcPr>
          <w:p>
            <w:pPr>
              <w:spacing w:after="0"/>
              <w:rPr>
                <w:sz w:val="18"/>
                <w:szCs w:val="18"/>
                <w:color w:val="auto"/>
              </w:rPr>
            </w:pPr>
          </w:p>
        </w:tc>
        <w:tc>
          <w:tcPr>
            <w:tcW w:w="25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line="162" w:lineRule="exact"/>
              <w:rPr>
                <w:sz w:val="20"/>
                <w:szCs w:val="20"/>
                <w:color w:val="auto"/>
              </w:rPr>
            </w:pPr>
            <w:r>
              <w:rPr>
                <w:rFonts w:ascii="Arial" w:cs="Arial" w:eastAsia="Arial" w:hAnsi="Arial"/>
                <w:sz w:val="16"/>
                <w:szCs w:val="16"/>
                <w:color w:val="auto"/>
              </w:rPr>
              <w:t>Equity Compensation Plans</w:t>
            </w:r>
          </w:p>
        </w:tc>
        <w:tc>
          <w:tcPr>
            <w:tcW w:w="2840" w:type="dxa"/>
            <w:vAlign w:val="bottom"/>
            <w:vMerge w:val="restart"/>
          </w:tcPr>
          <w:p>
            <w:pPr>
              <w:jc w:val="right"/>
              <w:ind w:right="221"/>
              <w:spacing w:after="0"/>
              <w:rPr>
                <w:sz w:val="20"/>
                <w:szCs w:val="20"/>
                <w:color w:val="auto"/>
              </w:rPr>
            </w:pPr>
            <w:r>
              <w:rPr>
                <w:rFonts w:ascii="Arial" w:cs="Arial" w:eastAsia="Arial" w:hAnsi="Arial"/>
                <w:sz w:val="16"/>
                <w:szCs w:val="16"/>
                <w:color w:val="auto"/>
              </w:rPr>
              <w:t>—</w:t>
            </w:r>
          </w:p>
        </w:tc>
        <w:tc>
          <w:tcPr>
            <w:tcW w:w="2020" w:type="dxa"/>
            <w:vAlign w:val="bottom"/>
          </w:tcPr>
          <w:p>
            <w:pPr>
              <w:spacing w:after="0"/>
              <w:rPr>
                <w:sz w:val="14"/>
                <w:szCs w:val="14"/>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6"/>
                <w:szCs w:val="16"/>
                <w:color w:val="auto"/>
              </w:rPr>
              <w:t>—</w:t>
            </w:r>
          </w:p>
        </w:tc>
        <w:tc>
          <w:tcPr>
            <w:tcW w:w="25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2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Not Approved By Security Holders</w:t>
            </w:r>
          </w:p>
        </w:tc>
        <w:tc>
          <w:tcPr>
            <w:tcW w:w="284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auto"/>
            </w:tcBorders>
            <w:shd w:val="clear" w:color="auto" w:fill="DBDBDB"/>
          </w:tcPr>
          <w:p>
            <w:pPr>
              <w:jc w:val="right"/>
              <w:ind w:right="381"/>
              <w:spacing w:after="0"/>
              <w:rPr>
                <w:sz w:val="20"/>
                <w:szCs w:val="20"/>
                <w:color w:val="auto"/>
              </w:rPr>
            </w:pPr>
            <w:r>
              <w:rPr>
                <w:rFonts w:ascii="Arial" w:cs="Arial" w:eastAsia="Arial" w:hAnsi="Arial"/>
                <w:sz w:val="18"/>
                <w:szCs w:val="18"/>
                <w:color w:val="auto"/>
              </w:rPr>
              <w:t>3,783,365</w:t>
            </w:r>
          </w:p>
        </w:tc>
        <w:tc>
          <w:tcPr>
            <w:tcW w:w="202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auto"/>
            </w:tcBorders>
            <w:shd w:val="clear" w:color="auto" w:fill="DBDBDB"/>
          </w:tcPr>
          <w:p>
            <w:pPr>
              <w:jc w:val="right"/>
              <w:ind w:right="161"/>
              <w:spacing w:after="0"/>
              <w:rPr>
                <w:sz w:val="20"/>
                <w:szCs w:val="20"/>
                <w:color w:val="auto"/>
              </w:rPr>
            </w:pPr>
            <w:r>
              <w:rPr>
                <w:rFonts w:ascii="Arial" w:cs="Arial" w:eastAsia="Arial" w:hAnsi="Arial"/>
                <w:sz w:val="18"/>
                <w:szCs w:val="18"/>
                <w:color w:val="auto"/>
              </w:rPr>
              <w:t>47,806,337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120" w:hanging="234"/>
        <w:spacing w:after="0" w:line="231" w:lineRule="auto"/>
        <w:tabs>
          <w:tab w:leader="none" w:pos="233" w:val="left"/>
        </w:tabs>
        <w:numPr>
          <w:ilvl w:val="0"/>
          <w:numId w:val="97"/>
        </w:numPr>
        <w:rPr>
          <w:rFonts w:ascii="Arial" w:cs="Arial" w:eastAsia="Arial" w:hAnsi="Arial"/>
          <w:sz w:val="14"/>
          <w:szCs w:val="14"/>
          <w:color w:val="auto"/>
        </w:rPr>
      </w:pPr>
      <w:r>
        <w:rPr>
          <w:rFonts w:ascii="Arial" w:cs="Arial" w:eastAsia="Arial" w:hAnsi="Arial"/>
          <w:sz w:val="14"/>
          <w:szCs w:val="14"/>
          <w:color w:val="auto"/>
        </w:rPr>
        <w:t>Calculated without taking into account shares of common stock subject to outstanding RSUs and PBRSUs (including any shares issuable for performance exceeding target levels) that will become issuable as those units vest without any cash consideration or other payment required for such shares. No purchase rights were outstanding under the ESPP on December 31, 2022 and the only awards outstanding under the SIP were full value awards (RSUs and PBRSUs) that do not require payment of any cash consideration.</w:t>
      </w:r>
    </w:p>
    <w:p>
      <w:pPr>
        <w:spacing w:after="0" w:line="14" w:lineRule="exact"/>
        <w:rPr>
          <w:rFonts w:ascii="Arial" w:cs="Arial" w:eastAsia="Arial" w:hAnsi="Arial"/>
          <w:sz w:val="14"/>
          <w:szCs w:val="14"/>
          <w:color w:val="auto"/>
        </w:rPr>
      </w:pPr>
    </w:p>
    <w:p>
      <w:pPr>
        <w:ind w:left="240" w:hanging="214"/>
        <w:spacing w:after="0"/>
        <w:tabs>
          <w:tab w:leader="none" w:pos="2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the SIP and the ESPP.</w:t>
      </w:r>
    </w:p>
    <w:p>
      <w:pPr>
        <w:spacing w:after="0" w:line="41" w:lineRule="exact"/>
        <w:rPr>
          <w:rFonts w:ascii="Arial" w:cs="Arial" w:eastAsia="Arial" w:hAnsi="Arial"/>
          <w:sz w:val="14"/>
          <w:szCs w:val="14"/>
          <w:color w:val="auto"/>
        </w:rPr>
      </w:pPr>
    </w:p>
    <w:p>
      <w:pPr>
        <w:ind w:left="260" w:right="100" w:hanging="234"/>
        <w:spacing w:after="0"/>
        <w:tabs>
          <w:tab w:leader="none" w:pos="233"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3,783,065 shares of common stock subject to RSUs and PBRSUs, which entitle each holder to one share of common stock for each unit that vests over the holder’s period of continued service or based on the achievement of certain performance criteria, and an additional number of shares representing the maximum number of shares that may be earned under all outstanding PBRSUs that provide for payout above 100%. This amount excludes purchase rights accruing under the ESPP that has a stockholder-approved reserve of 34,500,000 shares. As of December 31, 2022, there were approximately 7.7 million shares available for issuance under the ESPP. See footnote (4).</w:t>
      </w:r>
    </w:p>
    <w:p>
      <w:pPr>
        <w:spacing w:after="0" w:line="125" w:lineRule="exact"/>
        <w:rPr>
          <w:rFonts w:ascii="Arial" w:cs="Arial" w:eastAsia="Arial" w:hAnsi="Arial"/>
          <w:sz w:val="14"/>
          <w:szCs w:val="14"/>
          <w:color w:val="auto"/>
        </w:rPr>
      </w:pPr>
    </w:p>
    <w:p>
      <w:pPr>
        <w:ind w:left="260" w:right="100" w:hanging="234"/>
        <w:spacing w:after="0" w:line="225" w:lineRule="auto"/>
        <w:tabs>
          <w:tab w:leader="none" w:pos="233"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7,732,997 shares of common stock reserved for future issuance under the ESPP and 40,073,340 shares of common stock available for issuance under the SIP, as adjusted to account for full-value awards, which reduce the shares of common stock available for future issuance at a fungible ratio of 1:1.58 for each full-value award previously awarded. However, if an award under the SIP is forfeited, terminated, canceled, expires or is paid in cash, the shares subject to such award, to the extent of the forfeiture, termination, cancellation, expiration or cash payment, may be added back to the shares available for issuance under the SIP on a 1:1 basis for options and stock appreciation rights and on a 1.58:1 basis for other awards.</w:t>
      </w:r>
    </w:p>
    <w:p>
      <w:pPr>
        <w:spacing w:after="0" w:line="391" w:lineRule="exact"/>
        <w:rPr>
          <w:sz w:val="20"/>
          <w:szCs w:val="20"/>
          <w:color w:val="auto"/>
        </w:rPr>
      </w:pPr>
    </w:p>
    <w:p>
      <w:pPr>
        <w:ind w:right="720"/>
        <w:spacing w:after="0" w:line="287" w:lineRule="auto"/>
        <w:rPr>
          <w:sz w:val="20"/>
          <w:szCs w:val="20"/>
          <w:color w:val="auto"/>
        </w:rPr>
      </w:pPr>
      <w:r>
        <w:rPr>
          <w:rFonts w:ascii="Arial" w:cs="Arial" w:eastAsia="Arial" w:hAnsi="Arial"/>
          <w:sz w:val="25"/>
          <w:szCs w:val="25"/>
          <w:b w:val="1"/>
          <w:bCs w:val="1"/>
          <w:color w:val="E97D2E"/>
        </w:rPr>
        <w:t>QUESTIONS AND ANSWERS ABOUT THE PROXY MATERIALS, ANNUAL MEETING AND VOTING</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Why am I receiving these proxy materials?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providing these proxy materials in connection with the solicitation by the Board, on behalf of </w:t>
      </w:r>
      <w:r>
        <w:rPr>
          <w:rFonts w:ascii="Arial" w:cs="Arial" w:eastAsia="Arial" w:hAnsi="Arial"/>
          <w:sz w:val="18"/>
          <w:szCs w:val="18"/>
          <w:b w:val="1"/>
          <w:bCs w:val="1"/>
          <w:color w:val="auto"/>
        </w:rPr>
        <w:t>onsemi</w:t>
      </w:r>
      <w:r>
        <w:rPr>
          <w:rFonts w:ascii="Arial" w:cs="Arial" w:eastAsia="Arial" w:hAnsi="Arial"/>
          <w:sz w:val="18"/>
          <w:szCs w:val="18"/>
          <w:color w:val="auto"/>
        </w:rPr>
        <w:t>, of proxies to be voted at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annual meeting. We either (1) mailed you a Notice of Internet Availability of Proxy Materials (the notice) notifying each stockholder entitled to vote at the annual meeting how to vote and how to electronically access a copy of this proxy statement and our 2022 annual report to</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stockholders (collectively referred to as the proxy materials) or (2) mailed you a paper copy of the proxy materials and a proxy card or voting instruction form in paper format. You received these proxy materials because you were a stockholder of record as of the close of business on March 21, 2023. If you have not received, but would like to receive, a paper copy of our proxy materials, you should follow the instructions for requesting such materials contained in the notice.</w:t>
      </w:r>
    </w:p>
    <w:p>
      <w:pPr>
        <w:spacing w:after="0" w:line="215" w:lineRule="exact"/>
        <w:rPr>
          <w:sz w:val="20"/>
          <w:szCs w:val="20"/>
          <w:color w:val="auto"/>
        </w:rPr>
      </w:pPr>
    </w:p>
    <w:p>
      <w:pPr>
        <w:ind w:right="600"/>
        <w:spacing w:after="0" w:line="284" w:lineRule="auto"/>
        <w:rPr>
          <w:sz w:val="20"/>
          <w:szCs w:val="20"/>
          <w:color w:val="auto"/>
        </w:rPr>
      </w:pPr>
      <w:r>
        <w:rPr>
          <w:rFonts w:ascii="Arial" w:cs="Arial" w:eastAsia="Arial" w:hAnsi="Arial"/>
          <w:sz w:val="25"/>
          <w:szCs w:val="25"/>
          <w:b w:val="1"/>
          <w:bCs w:val="1"/>
          <w:color w:val="465E66"/>
        </w:rPr>
        <w:t>Why did I receive a notice of internet availability of proxy materials instead of a full set of proxy materials?</w:t>
      </w:r>
    </w:p>
    <w:p>
      <w:pPr>
        <w:jc w:val="both"/>
        <w:spacing w:after="0" w:line="244" w:lineRule="auto"/>
        <w:rPr>
          <w:sz w:val="20"/>
          <w:szCs w:val="20"/>
          <w:color w:val="auto"/>
        </w:rPr>
      </w:pPr>
      <w:r>
        <w:rPr>
          <w:rFonts w:ascii="Arial" w:cs="Arial" w:eastAsia="Arial" w:hAnsi="Arial"/>
          <w:sz w:val="18"/>
          <w:szCs w:val="18"/>
          <w:color w:val="auto"/>
        </w:rPr>
        <w:t>As permitted by SEC rules, we are furnishing our proxy materials online instead of mailing printed copies to each stockholder. Unless you previously requested to receive printed copies of our proxy materials, you will receive the notice by mail or e-mail. The notice will tell you how to access and review our proxy materials and how to vote your shares after you have reviewed our proxy materials. If you received the notice by mail and would like to receive a printed copy of our proxy materials, please follow the instructions included in the notice. The notice and our proxy materials are being made available to our stockholders beginning on or about April 6,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is committed to creating a cleaner, smarter world, we would like to emphasize that stockholders may elect to receive proxy</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materials, and other stockholder communications, via e-mail. Not only is this a way to mitigate the natural resource consumption, paper waste and cost associated with the printing and mailing of such materials, but it also will allow stockholders to receive such items sooner than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via regular mail. If you are interested in signing up for online access, please follow the instructions contained 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8"/>
          <w:szCs w:val="18"/>
          <w:color w:val="E97D2E"/>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you are a beneficial holder, please contact your bank, broker, trustee or other nominee for instructions on how to opt into electronic delivery of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What is the date, time and location of the annual meeting?</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will hold the annual meeting at 8:00 am, local time, on Thursday, May 18, 2023, at our principal executive offices, located at 5701 North Pima Road, Scottsdale, Arizona 85250, subject to any adjournments or postponements. Directions to the meeting location and related information may be found on our website at </w:t>
      </w:r>
      <w:r>
        <w:rPr>
          <w:rFonts w:ascii="Arial" w:cs="Arial" w:eastAsia="Arial" w:hAnsi="Arial"/>
          <w:sz w:val="18"/>
          <w:szCs w:val="18"/>
          <w:u w:val="single" w:color="auto"/>
          <w:color w:val="auto"/>
        </w:rPr>
        <w:t>www.onsemi.com/annualmeeting</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Who is entitled to vote and what constitutes a quorum?</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has set March 21, 2023 as the record date for the annual meeting. All persons who were registered holders of our common stock at the close of business on that date are stockholders of record for the purposes of the annual meeting and will be entitled to receive notice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of, and to attend and vote at, the annual meeting. Beneficial owners who, at the close of business on the record date, held their shares in an account with a broker, bank or other holder of record generally cannot vote their shares directly and instead must instruct the record holder how to vote their shares. For 10 days prior to the annual meeting, a list of stockholders entitled to vote at the annual meeting will be available for inspection in the office of our Law Department, located at 5701 North Pima Road, Scottsdale, Arizona 85250, between the hours of 8:30 a.m. and 5:00 p.m., local time, each weekday.</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the record date, there were 431,573,446 shares of our common stock outstanding and entitled to vote at the annual meeting. The presence, in person or by proxy, of stockholders holding a majority of the shares entitled to vote at the annual meeting will constitute a</w:t>
      </w:r>
    </w:p>
    <w:p>
      <w:pPr>
        <w:jc w:val="both"/>
        <w:spacing w:after="0" w:line="253" w:lineRule="auto"/>
        <w:rPr>
          <w:sz w:val="20"/>
          <w:szCs w:val="20"/>
          <w:color w:val="auto"/>
        </w:rPr>
      </w:pPr>
      <w:r>
        <w:rPr>
          <w:rFonts w:ascii="Arial" w:cs="Arial" w:eastAsia="Arial" w:hAnsi="Arial"/>
          <w:sz w:val="18"/>
          <w:szCs w:val="18"/>
          <w:color w:val="auto"/>
        </w:rPr>
        <w:t>quorum. Abstentions and broker non-votes are included in determining whether a quorum has been met for the annual meeting. Abstentions include shares present in person but not voting and shares represented by proxy where the holder has abstained from voting on one or more proposals.</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How do I vote?</w:t>
      </w:r>
    </w:p>
    <w:p>
      <w:pPr>
        <w:spacing w:after="0" w:line="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Regardless of whether you plan to attend the annual meeting, please promptly submit your proxy and voting instructions by internet, phone or mail as described herein and in the notice or, if you received printed materials, on your proxy card or voting instruction form. Stockholders are encouraged to submit proxies and voting instructions in advance of the meeting by internet or phone, or by signing, dating and returning a proxy card (if received by mail), as early as possible to avoid any possible delays. Our stockholders are entitled to one vote for each share they held as of the record date.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E97D2E"/>
        </w:rPr>
        <w:t>Stockholders of Record</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Registered stockholders (that is, stockholders who hold their shares directly with our transfer agent, Computershare) can vote in one of the following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9525</wp:posOffset>
            </wp:positionV>
            <wp:extent cx="8255" cy="1954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195453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9525</wp:posOffset>
            </wp:positionV>
            <wp:extent cx="342900" cy="3429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9525</wp:posOffset>
            </wp:positionV>
            <wp:extent cx="342900" cy="3429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9525</wp:posOffset>
            </wp:positionV>
            <wp:extent cx="342900" cy="3429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15" w:lineRule="exact"/>
        <w:rPr>
          <w:sz w:val="20"/>
          <w:szCs w:val="20"/>
          <w:color w:val="auto"/>
        </w:rPr>
      </w:pPr>
    </w:p>
    <w:tbl>
      <w:tblPr>
        <w:tblLayout w:type="fixed"/>
        <w:tblInd w:w="430" w:type="dxa"/>
        <w:tblCellMar>
          <w:top w:w="0" w:type="dxa"/>
          <w:left w:w="0" w:type="dxa"/>
          <w:bottom w:w="0" w:type="dxa"/>
          <w:right w:w="0" w:type="dxa"/>
        </w:tblCellMar>
      </w:tblPr>
      <w:tr>
        <w:trPr>
          <w:trHeight w:val="859"/>
        </w:trPr>
        <w:tc>
          <w:tcPr>
            <w:tcW w:w="520" w:type="dxa"/>
            <w:vAlign w:val="bottom"/>
            <w:tcBorders>
              <w:left w:val="single" w:sz="8" w:color="465E66"/>
            </w:tcBorders>
          </w:tcPr>
          <w:p>
            <w:pPr>
              <w:spacing w:after="0"/>
              <w:rPr>
                <w:sz w:val="24"/>
                <w:szCs w:val="24"/>
                <w:color w:val="auto"/>
              </w:rPr>
            </w:pPr>
          </w:p>
        </w:tc>
        <w:tc>
          <w:tcPr>
            <w:tcW w:w="2100" w:type="dxa"/>
            <w:vAlign w:val="bottom"/>
            <w:tcBorders>
              <w:right w:val="single" w:sz="8" w:color="465E66"/>
            </w:tcBorders>
            <w:gridSpan w:val="2"/>
          </w:tcPr>
          <w:p>
            <w:pPr>
              <w:ind w:left="300"/>
              <w:spacing w:after="0"/>
              <w:rPr>
                <w:sz w:val="20"/>
                <w:szCs w:val="20"/>
                <w:color w:val="auto"/>
              </w:rPr>
            </w:pPr>
            <w:r>
              <w:rPr>
                <w:rFonts w:ascii="Arial" w:cs="Arial" w:eastAsia="Arial" w:hAnsi="Arial"/>
                <w:sz w:val="18"/>
                <w:szCs w:val="18"/>
                <w:b w:val="1"/>
                <w:bCs w:val="1"/>
                <w:color w:val="auto"/>
              </w:rPr>
              <w:t>Vote online</w:t>
            </w:r>
          </w:p>
        </w:tc>
        <w:tc>
          <w:tcPr>
            <w:tcW w:w="2560" w:type="dxa"/>
            <w:vAlign w:val="bottom"/>
          </w:tcPr>
          <w:p>
            <w:pPr>
              <w:ind w:left="520"/>
              <w:spacing w:after="0"/>
              <w:rPr>
                <w:sz w:val="20"/>
                <w:szCs w:val="20"/>
                <w:color w:val="auto"/>
              </w:rPr>
            </w:pPr>
            <w:r>
              <w:rPr>
                <w:rFonts w:ascii="Arial" w:cs="Arial" w:eastAsia="Arial" w:hAnsi="Arial"/>
                <w:sz w:val="18"/>
                <w:szCs w:val="18"/>
                <w:b w:val="1"/>
                <w:bCs w:val="1"/>
                <w:color w:val="auto"/>
              </w:rPr>
              <w:t>Vote by telephone</w:t>
            </w:r>
          </w:p>
        </w:tc>
        <w:tc>
          <w:tcPr>
            <w:tcW w:w="0" w:type="dxa"/>
            <w:vAlign w:val="bottom"/>
          </w:tcPr>
          <w:p>
            <w:pPr>
              <w:spacing w:after="0"/>
              <w:rPr>
                <w:sz w:val="1"/>
                <w:szCs w:val="1"/>
                <w:color w:val="auto"/>
              </w:rPr>
            </w:pPr>
          </w:p>
        </w:tc>
      </w:tr>
      <w:tr>
        <w:trPr>
          <w:trHeight w:val="181"/>
        </w:trPr>
        <w:tc>
          <w:tcPr>
            <w:tcW w:w="2620" w:type="dxa"/>
            <w:vAlign w:val="bottom"/>
            <w:tcBorders>
              <w:left w:val="single" w:sz="8" w:color="465E66"/>
              <w:right w:val="single" w:sz="8" w:color="465E66"/>
            </w:tcBorders>
            <w:gridSpan w:val="3"/>
          </w:tcPr>
          <w:p>
            <w:pPr>
              <w:ind w:left="40"/>
              <w:spacing w:after="0" w:line="181" w:lineRule="exact"/>
              <w:rPr>
                <w:sz w:val="20"/>
                <w:szCs w:val="20"/>
                <w:color w:val="auto"/>
              </w:rPr>
            </w:pPr>
            <w:r>
              <w:rPr>
                <w:rFonts w:ascii="Arial" w:cs="Arial" w:eastAsia="Arial" w:hAnsi="Arial"/>
                <w:sz w:val="18"/>
                <w:szCs w:val="18"/>
                <w:color w:val="auto"/>
              </w:rPr>
              <w:t>Go to www.proxyvote.com to</w:t>
            </w:r>
          </w:p>
        </w:tc>
        <w:tc>
          <w:tcPr>
            <w:tcW w:w="2560" w:type="dxa"/>
            <w:vAlign w:val="bottom"/>
          </w:tcPr>
          <w:p>
            <w:pPr>
              <w:spacing w:after="0" w:line="181" w:lineRule="exact"/>
              <w:rPr>
                <w:sz w:val="20"/>
                <w:szCs w:val="20"/>
                <w:color w:val="auto"/>
              </w:rPr>
            </w:pPr>
            <w:r>
              <w:rPr>
                <w:rFonts w:ascii="Arial" w:cs="Arial" w:eastAsia="Arial" w:hAnsi="Arial"/>
                <w:sz w:val="18"/>
                <w:szCs w:val="18"/>
                <w:color w:val="auto"/>
              </w:rPr>
              <w:t>Call 1 (800) 579-1639 from the</w:t>
            </w:r>
          </w:p>
        </w:tc>
        <w:tc>
          <w:tcPr>
            <w:tcW w:w="0" w:type="dxa"/>
            <w:vAlign w:val="bottom"/>
          </w:tcPr>
          <w:p>
            <w:pPr>
              <w:spacing w:after="0"/>
              <w:rPr>
                <w:sz w:val="1"/>
                <w:szCs w:val="1"/>
                <w:color w:val="auto"/>
              </w:rPr>
            </w:pPr>
          </w:p>
        </w:tc>
      </w:tr>
      <w:tr>
        <w:trPr>
          <w:trHeight w:val="27"/>
        </w:trPr>
        <w:tc>
          <w:tcPr>
            <w:tcW w:w="520" w:type="dxa"/>
            <w:vAlign w:val="bottom"/>
            <w:tcBorders>
              <w:left w:val="single" w:sz="8" w:color="465E66"/>
            </w:tcBorders>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500" w:type="dxa"/>
            <w:vAlign w:val="bottom"/>
            <w:tcBorders>
              <w:right w:val="single" w:sz="8" w:color="465E66"/>
            </w:tcBorders>
            <w:vMerge w:val="restart"/>
          </w:tcPr>
          <w:p>
            <w:pPr>
              <w:ind w:left="20"/>
              <w:spacing w:after="0" w:line="183" w:lineRule="exact"/>
              <w:rPr>
                <w:sz w:val="20"/>
                <w:szCs w:val="20"/>
                <w:color w:val="auto"/>
              </w:rPr>
            </w:pPr>
            <w:r>
              <w:rPr>
                <w:rFonts w:ascii="Arial" w:cs="Arial" w:eastAsia="Arial" w:hAnsi="Arial"/>
                <w:sz w:val="18"/>
                <w:szCs w:val="18"/>
                <w:color w:val="auto"/>
              </w:rPr>
              <w:t>the</w:t>
            </w:r>
          </w:p>
        </w:tc>
        <w:tc>
          <w:tcPr>
            <w:tcW w:w="2560" w:type="dxa"/>
            <w:vAlign w:val="bottom"/>
            <w:vMerge w:val="restart"/>
          </w:tcPr>
          <w:p>
            <w:pPr>
              <w:spacing w:after="0" w:line="183" w:lineRule="exact"/>
              <w:rPr>
                <w:sz w:val="20"/>
                <w:szCs w:val="20"/>
                <w:color w:val="auto"/>
              </w:rPr>
            </w:pPr>
            <w:r>
              <w:rPr>
                <w:rFonts w:ascii="Arial" w:cs="Arial" w:eastAsia="Arial" w:hAnsi="Arial"/>
                <w:sz w:val="18"/>
                <w:szCs w:val="18"/>
                <w:color w:val="auto"/>
              </w:rPr>
              <w:t>U.S., U.S. territories and</w:t>
            </w:r>
          </w:p>
        </w:tc>
        <w:tc>
          <w:tcPr>
            <w:tcW w:w="0" w:type="dxa"/>
            <w:vAlign w:val="bottom"/>
          </w:tcPr>
          <w:p>
            <w:pPr>
              <w:spacing w:after="0" w:line="20" w:lineRule="exact"/>
              <w:rPr>
                <w:sz w:val="1"/>
                <w:szCs w:val="1"/>
                <w:color w:val="auto"/>
              </w:rPr>
            </w:pPr>
          </w:p>
        </w:tc>
      </w:tr>
      <w:tr>
        <w:trPr>
          <w:trHeight w:val="157"/>
        </w:trPr>
        <w:tc>
          <w:tcPr>
            <w:tcW w:w="2120" w:type="dxa"/>
            <w:vAlign w:val="bottom"/>
            <w:tcBorders>
              <w:left w:val="single" w:sz="8" w:color="465E66"/>
            </w:tcBorders>
            <w:gridSpan w:val="2"/>
          </w:tcPr>
          <w:p>
            <w:pPr>
              <w:ind w:left="40"/>
              <w:spacing w:after="0" w:line="157" w:lineRule="exact"/>
              <w:rPr>
                <w:sz w:val="20"/>
                <w:szCs w:val="20"/>
                <w:color w:val="auto"/>
              </w:rPr>
            </w:pPr>
            <w:r>
              <w:rPr>
                <w:rFonts w:ascii="Arial" w:cs="Arial" w:eastAsia="Arial" w:hAnsi="Arial"/>
                <w:sz w:val="18"/>
                <w:szCs w:val="18"/>
                <w:color w:val="auto"/>
              </w:rPr>
              <w:t>vote via the internet using</w:t>
            </w:r>
          </w:p>
        </w:tc>
        <w:tc>
          <w:tcPr>
            <w:tcW w:w="500" w:type="dxa"/>
            <w:vAlign w:val="bottom"/>
            <w:tcBorders>
              <w:right w:val="single" w:sz="8" w:color="465E66"/>
            </w:tcBorders>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20" w:type="dxa"/>
            <w:vAlign w:val="bottom"/>
            <w:tcBorders>
              <w:left w:val="single" w:sz="8" w:color="465E66"/>
              <w:right w:val="single" w:sz="8" w:color="465E66"/>
            </w:tcBorders>
            <w:gridSpan w:val="3"/>
          </w:tcPr>
          <w:p>
            <w:pPr>
              <w:ind w:left="40"/>
              <w:spacing w:after="0" w:line="181" w:lineRule="exact"/>
              <w:rPr>
                <w:sz w:val="20"/>
                <w:szCs w:val="20"/>
                <w:color w:val="auto"/>
              </w:rPr>
            </w:pPr>
            <w:r>
              <w:rPr>
                <w:rFonts w:ascii="Arial" w:cs="Arial" w:eastAsia="Arial" w:hAnsi="Arial"/>
                <w:sz w:val="18"/>
                <w:szCs w:val="18"/>
                <w:color w:val="auto"/>
              </w:rPr>
              <w:t>16-digit control number you</w:t>
            </w:r>
          </w:p>
        </w:tc>
        <w:tc>
          <w:tcPr>
            <w:tcW w:w="2560" w:type="dxa"/>
            <w:vAlign w:val="bottom"/>
          </w:tcPr>
          <w:p>
            <w:pPr>
              <w:spacing w:after="0" w:line="181" w:lineRule="exact"/>
              <w:rPr>
                <w:sz w:val="20"/>
                <w:szCs w:val="20"/>
                <w:color w:val="auto"/>
              </w:rPr>
            </w:pPr>
            <w:r>
              <w:rPr>
                <w:rFonts w:ascii="Arial" w:cs="Arial" w:eastAsia="Arial" w:hAnsi="Arial"/>
                <w:sz w:val="18"/>
                <w:szCs w:val="18"/>
                <w:color w:val="auto"/>
              </w:rPr>
              <w:t>Canada. You will need to use</w:t>
            </w:r>
          </w:p>
        </w:tc>
        <w:tc>
          <w:tcPr>
            <w:tcW w:w="0" w:type="dxa"/>
            <w:vAlign w:val="bottom"/>
          </w:tcPr>
          <w:p>
            <w:pPr>
              <w:spacing w:after="0"/>
              <w:rPr>
                <w:sz w:val="1"/>
                <w:szCs w:val="1"/>
                <w:color w:val="auto"/>
              </w:rPr>
            </w:pPr>
          </w:p>
        </w:tc>
      </w:tr>
      <w:tr>
        <w:trPr>
          <w:trHeight w:val="175"/>
        </w:trPr>
        <w:tc>
          <w:tcPr>
            <w:tcW w:w="2620" w:type="dxa"/>
            <w:vAlign w:val="bottom"/>
            <w:tcBorders>
              <w:left w:val="single" w:sz="8" w:color="465E66"/>
              <w:right w:val="single" w:sz="8" w:color="465E66"/>
            </w:tcBorders>
            <w:gridSpan w:val="3"/>
          </w:tcPr>
          <w:p>
            <w:pPr>
              <w:ind w:left="40"/>
              <w:spacing w:after="0" w:line="176" w:lineRule="exact"/>
              <w:rPr>
                <w:sz w:val="20"/>
                <w:szCs w:val="20"/>
                <w:color w:val="auto"/>
              </w:rPr>
            </w:pPr>
            <w:r>
              <w:rPr>
                <w:rFonts w:ascii="Arial" w:cs="Arial" w:eastAsia="Arial" w:hAnsi="Arial"/>
                <w:sz w:val="18"/>
                <w:szCs w:val="18"/>
                <w:color w:val="auto"/>
              </w:rPr>
              <w:t>were provided on your proxy</w:t>
            </w:r>
          </w:p>
        </w:tc>
        <w:tc>
          <w:tcPr>
            <w:tcW w:w="2560" w:type="dxa"/>
            <w:vAlign w:val="bottom"/>
          </w:tcPr>
          <w:p>
            <w:pPr>
              <w:spacing w:after="0" w:line="176" w:lineRule="exact"/>
              <w:rPr>
                <w:sz w:val="20"/>
                <w:szCs w:val="20"/>
                <w:color w:val="auto"/>
              </w:rPr>
            </w:pPr>
            <w:r>
              <w:rPr>
                <w:rFonts w:ascii="Arial" w:cs="Arial" w:eastAsia="Arial" w:hAnsi="Arial"/>
                <w:sz w:val="18"/>
                <w:szCs w:val="18"/>
                <w:color w:val="auto"/>
              </w:rPr>
              <w:t>the 16-digit control number you</w:t>
            </w:r>
          </w:p>
        </w:tc>
        <w:tc>
          <w:tcPr>
            <w:tcW w:w="0" w:type="dxa"/>
            <w:vAlign w:val="bottom"/>
          </w:tcPr>
          <w:p>
            <w:pPr>
              <w:spacing w:after="0"/>
              <w:rPr>
                <w:sz w:val="1"/>
                <w:szCs w:val="1"/>
                <w:color w:val="auto"/>
              </w:rPr>
            </w:pPr>
          </w:p>
        </w:tc>
      </w:tr>
      <w:tr>
        <w:trPr>
          <w:trHeight w:val="175"/>
        </w:trPr>
        <w:tc>
          <w:tcPr>
            <w:tcW w:w="2620" w:type="dxa"/>
            <w:vAlign w:val="bottom"/>
            <w:tcBorders>
              <w:left w:val="single" w:sz="8" w:color="465E66"/>
              <w:right w:val="single" w:sz="8" w:color="465E66"/>
            </w:tcBorders>
            <w:gridSpan w:val="3"/>
          </w:tcPr>
          <w:p>
            <w:pPr>
              <w:ind w:left="40"/>
              <w:spacing w:after="0" w:line="176" w:lineRule="exact"/>
              <w:rPr>
                <w:sz w:val="20"/>
                <w:szCs w:val="20"/>
                <w:color w:val="auto"/>
              </w:rPr>
            </w:pPr>
            <w:r>
              <w:rPr>
                <w:rFonts w:ascii="Arial" w:cs="Arial" w:eastAsia="Arial" w:hAnsi="Arial"/>
                <w:sz w:val="18"/>
                <w:szCs w:val="18"/>
                <w:color w:val="auto"/>
              </w:rPr>
              <w:t>card or notice. You will need to</w:t>
            </w:r>
          </w:p>
        </w:tc>
        <w:tc>
          <w:tcPr>
            <w:tcW w:w="2560" w:type="dxa"/>
            <w:vAlign w:val="bottom"/>
          </w:tcPr>
          <w:p>
            <w:pPr>
              <w:spacing w:after="0" w:line="176" w:lineRule="exact"/>
              <w:rPr>
                <w:sz w:val="20"/>
                <w:szCs w:val="20"/>
                <w:color w:val="auto"/>
              </w:rPr>
            </w:pPr>
            <w:r>
              <w:rPr>
                <w:rFonts w:ascii="Arial" w:cs="Arial" w:eastAsia="Arial" w:hAnsi="Arial"/>
                <w:sz w:val="18"/>
                <w:szCs w:val="18"/>
                <w:color w:val="auto"/>
              </w:rPr>
              <w:t>were provided on your proxy</w:t>
            </w:r>
          </w:p>
        </w:tc>
        <w:tc>
          <w:tcPr>
            <w:tcW w:w="0" w:type="dxa"/>
            <w:vAlign w:val="bottom"/>
          </w:tcPr>
          <w:p>
            <w:pPr>
              <w:spacing w:after="0"/>
              <w:rPr>
                <w:sz w:val="1"/>
                <w:szCs w:val="1"/>
                <w:color w:val="auto"/>
              </w:rPr>
            </w:pPr>
          </w:p>
        </w:tc>
      </w:tr>
      <w:tr>
        <w:trPr>
          <w:trHeight w:val="184"/>
        </w:trPr>
        <w:tc>
          <w:tcPr>
            <w:tcW w:w="2620" w:type="dxa"/>
            <w:vAlign w:val="bottom"/>
            <w:tcBorders>
              <w:left w:val="single" w:sz="8" w:color="465E66"/>
              <w:right w:val="single" w:sz="8" w:color="465E66"/>
            </w:tcBorders>
            <w:gridSpan w:val="3"/>
          </w:tcPr>
          <w:p>
            <w:pPr>
              <w:ind w:left="40"/>
              <w:spacing w:after="0" w:line="183" w:lineRule="exact"/>
              <w:rPr>
                <w:sz w:val="20"/>
                <w:szCs w:val="20"/>
                <w:color w:val="auto"/>
              </w:rPr>
            </w:pPr>
            <w:r>
              <w:rPr>
                <w:rFonts w:ascii="Arial" w:cs="Arial" w:eastAsia="Arial" w:hAnsi="Arial"/>
                <w:sz w:val="18"/>
                <w:szCs w:val="18"/>
                <w:color w:val="auto"/>
              </w:rPr>
              <w:t>follow the instructions on the</w:t>
            </w:r>
          </w:p>
        </w:tc>
        <w:tc>
          <w:tcPr>
            <w:tcW w:w="2560" w:type="dxa"/>
            <w:vAlign w:val="bottom"/>
          </w:tcPr>
          <w:p>
            <w:pPr>
              <w:spacing w:after="0" w:line="183" w:lineRule="exact"/>
              <w:rPr>
                <w:sz w:val="20"/>
                <w:szCs w:val="20"/>
                <w:color w:val="auto"/>
              </w:rPr>
            </w:pPr>
            <w:r>
              <w:rPr>
                <w:rFonts w:ascii="Arial" w:cs="Arial" w:eastAsia="Arial" w:hAnsi="Arial"/>
                <w:sz w:val="18"/>
                <w:szCs w:val="18"/>
                <w:color w:val="auto"/>
              </w:rPr>
              <w:t>card or notice, and follow the</w:t>
            </w:r>
          </w:p>
        </w:tc>
        <w:tc>
          <w:tcPr>
            <w:tcW w:w="0" w:type="dxa"/>
            <w:vAlign w:val="bottom"/>
          </w:tcPr>
          <w:p>
            <w:pPr>
              <w:spacing w:after="0"/>
              <w:rPr>
                <w:sz w:val="1"/>
                <w:szCs w:val="1"/>
                <w:color w:val="auto"/>
              </w:rPr>
            </w:pPr>
          </w:p>
        </w:tc>
      </w:tr>
      <w:tr>
        <w:trPr>
          <w:trHeight w:val="181"/>
        </w:trPr>
        <w:tc>
          <w:tcPr>
            <w:tcW w:w="2620" w:type="dxa"/>
            <w:vAlign w:val="bottom"/>
            <w:tcBorders>
              <w:left w:val="single" w:sz="8" w:color="465E66"/>
              <w:right w:val="single" w:sz="8" w:color="465E66"/>
            </w:tcBorders>
            <w:gridSpan w:val="3"/>
          </w:tcPr>
          <w:p>
            <w:pPr>
              <w:ind w:left="40"/>
              <w:spacing w:after="0" w:line="181" w:lineRule="exact"/>
              <w:rPr>
                <w:sz w:val="20"/>
                <w:szCs w:val="20"/>
                <w:color w:val="auto"/>
              </w:rPr>
            </w:pPr>
            <w:r>
              <w:rPr>
                <w:rFonts w:ascii="Arial" w:cs="Arial" w:eastAsia="Arial" w:hAnsi="Arial"/>
                <w:sz w:val="18"/>
                <w:szCs w:val="18"/>
                <w:color w:val="auto"/>
              </w:rPr>
              <w:t>website. Internet voting is</w:t>
            </w:r>
          </w:p>
        </w:tc>
        <w:tc>
          <w:tcPr>
            <w:tcW w:w="2560" w:type="dxa"/>
            <w:vAlign w:val="bottom"/>
          </w:tcPr>
          <w:p>
            <w:pPr>
              <w:spacing w:after="0" w:line="181" w:lineRule="exact"/>
              <w:rPr>
                <w:sz w:val="20"/>
                <w:szCs w:val="20"/>
                <w:color w:val="auto"/>
              </w:rPr>
            </w:pPr>
            <w:r>
              <w:rPr>
                <w:rFonts w:ascii="Arial" w:cs="Arial" w:eastAsia="Arial" w:hAnsi="Arial"/>
                <w:sz w:val="18"/>
                <w:szCs w:val="18"/>
                <w:color w:val="auto"/>
              </w:rPr>
              <w:t>instructions given by the voice</w:t>
            </w:r>
          </w:p>
        </w:tc>
        <w:tc>
          <w:tcPr>
            <w:tcW w:w="0" w:type="dxa"/>
            <w:vAlign w:val="bottom"/>
          </w:tcPr>
          <w:p>
            <w:pPr>
              <w:spacing w:after="0"/>
              <w:rPr>
                <w:sz w:val="1"/>
                <w:szCs w:val="1"/>
                <w:color w:val="auto"/>
              </w:rPr>
            </w:pPr>
          </w:p>
        </w:tc>
      </w:tr>
      <w:tr>
        <w:trPr>
          <w:trHeight w:val="175"/>
        </w:trPr>
        <w:tc>
          <w:tcPr>
            <w:tcW w:w="2620" w:type="dxa"/>
            <w:vAlign w:val="bottom"/>
            <w:tcBorders>
              <w:left w:val="single" w:sz="8" w:color="465E66"/>
              <w:right w:val="single" w:sz="8" w:color="465E66"/>
            </w:tcBorders>
            <w:gridSpan w:val="3"/>
          </w:tcPr>
          <w:p>
            <w:pPr>
              <w:ind w:left="40"/>
              <w:spacing w:after="0" w:line="176" w:lineRule="exact"/>
              <w:rPr>
                <w:sz w:val="20"/>
                <w:szCs w:val="20"/>
                <w:color w:val="auto"/>
              </w:rPr>
            </w:pPr>
            <w:r>
              <w:rPr>
                <w:rFonts w:ascii="Arial" w:cs="Arial" w:eastAsia="Arial" w:hAnsi="Arial"/>
                <w:sz w:val="18"/>
                <w:szCs w:val="18"/>
                <w:color w:val="auto"/>
              </w:rPr>
              <w:t>available 24 hours a day, seven</w:t>
            </w:r>
          </w:p>
        </w:tc>
        <w:tc>
          <w:tcPr>
            <w:tcW w:w="2560" w:type="dxa"/>
            <w:vAlign w:val="bottom"/>
          </w:tcPr>
          <w:p>
            <w:pPr>
              <w:spacing w:after="0" w:line="176" w:lineRule="exact"/>
              <w:rPr>
                <w:sz w:val="20"/>
                <w:szCs w:val="20"/>
                <w:color w:val="auto"/>
              </w:rPr>
            </w:pPr>
            <w:r>
              <w:rPr>
                <w:rFonts w:ascii="Arial" w:cs="Arial" w:eastAsia="Arial" w:hAnsi="Arial"/>
                <w:sz w:val="18"/>
                <w:szCs w:val="18"/>
                <w:color w:val="auto"/>
              </w:rPr>
              <w:t>prompts. Telephone voting is</w:t>
            </w:r>
          </w:p>
        </w:tc>
        <w:tc>
          <w:tcPr>
            <w:tcW w:w="0" w:type="dxa"/>
            <w:vAlign w:val="bottom"/>
          </w:tcPr>
          <w:p>
            <w:pPr>
              <w:spacing w:after="0"/>
              <w:rPr>
                <w:sz w:val="1"/>
                <w:szCs w:val="1"/>
                <w:color w:val="auto"/>
              </w:rPr>
            </w:pPr>
          </w:p>
        </w:tc>
      </w:tr>
      <w:tr>
        <w:trPr>
          <w:trHeight w:val="184"/>
        </w:trPr>
        <w:tc>
          <w:tcPr>
            <w:tcW w:w="2620" w:type="dxa"/>
            <w:vAlign w:val="bottom"/>
            <w:tcBorders>
              <w:left w:val="single" w:sz="8" w:color="465E66"/>
              <w:right w:val="single" w:sz="8" w:color="465E66"/>
            </w:tcBorders>
            <w:gridSpan w:val="3"/>
          </w:tcPr>
          <w:p>
            <w:pPr>
              <w:ind w:left="40"/>
              <w:spacing w:after="0" w:line="183" w:lineRule="exact"/>
              <w:rPr>
                <w:sz w:val="20"/>
                <w:szCs w:val="20"/>
                <w:color w:val="auto"/>
              </w:rPr>
            </w:pPr>
            <w:r>
              <w:rPr>
                <w:rFonts w:ascii="Arial" w:cs="Arial" w:eastAsia="Arial" w:hAnsi="Arial"/>
                <w:sz w:val="18"/>
                <w:szCs w:val="18"/>
                <w:color w:val="auto"/>
              </w:rPr>
              <w:t>days a week, up until 11:59</w:t>
            </w:r>
          </w:p>
        </w:tc>
        <w:tc>
          <w:tcPr>
            <w:tcW w:w="2560" w:type="dxa"/>
            <w:vAlign w:val="bottom"/>
          </w:tcPr>
          <w:p>
            <w:pPr>
              <w:spacing w:after="0" w:line="183" w:lineRule="exact"/>
              <w:rPr>
                <w:sz w:val="20"/>
                <w:szCs w:val="20"/>
                <w:color w:val="auto"/>
              </w:rPr>
            </w:pPr>
            <w:r>
              <w:rPr>
                <w:rFonts w:ascii="Arial" w:cs="Arial" w:eastAsia="Arial" w:hAnsi="Arial"/>
                <w:sz w:val="18"/>
                <w:szCs w:val="18"/>
                <w:color w:val="auto"/>
              </w:rPr>
              <w:t>available 24 hours a day, seven</w:t>
            </w:r>
          </w:p>
        </w:tc>
        <w:tc>
          <w:tcPr>
            <w:tcW w:w="0" w:type="dxa"/>
            <w:vAlign w:val="bottom"/>
          </w:tcPr>
          <w:p>
            <w:pPr>
              <w:spacing w:after="0"/>
              <w:rPr>
                <w:sz w:val="1"/>
                <w:szCs w:val="1"/>
                <w:color w:val="auto"/>
              </w:rPr>
            </w:pPr>
          </w:p>
        </w:tc>
      </w:tr>
      <w:tr>
        <w:trPr>
          <w:trHeight w:val="181"/>
        </w:trPr>
        <w:tc>
          <w:tcPr>
            <w:tcW w:w="2620" w:type="dxa"/>
            <w:vAlign w:val="bottom"/>
            <w:tcBorders>
              <w:left w:val="single" w:sz="8" w:color="465E66"/>
              <w:right w:val="single" w:sz="8" w:color="465E66"/>
            </w:tcBorders>
            <w:gridSpan w:val="3"/>
          </w:tcPr>
          <w:p>
            <w:pPr>
              <w:ind w:left="40"/>
              <w:spacing w:after="0" w:line="181" w:lineRule="exact"/>
              <w:rPr>
                <w:sz w:val="20"/>
                <w:szCs w:val="20"/>
                <w:color w:val="auto"/>
              </w:rPr>
            </w:pPr>
            <w:r>
              <w:rPr>
                <w:rFonts w:ascii="Arial" w:cs="Arial" w:eastAsia="Arial" w:hAnsi="Arial"/>
                <w:sz w:val="18"/>
                <w:szCs w:val="18"/>
                <w:color w:val="auto"/>
              </w:rPr>
              <w:t>p.m. Eastern Time,</w:t>
            </w:r>
          </w:p>
        </w:tc>
        <w:tc>
          <w:tcPr>
            <w:tcW w:w="2560" w:type="dxa"/>
            <w:vAlign w:val="bottom"/>
          </w:tcPr>
          <w:p>
            <w:pPr>
              <w:spacing w:after="0" w:line="181" w:lineRule="exact"/>
              <w:rPr>
                <w:sz w:val="20"/>
                <w:szCs w:val="20"/>
                <w:color w:val="auto"/>
              </w:rPr>
            </w:pPr>
            <w:r>
              <w:rPr>
                <w:rFonts w:ascii="Arial" w:cs="Arial" w:eastAsia="Arial" w:hAnsi="Arial"/>
                <w:sz w:val="18"/>
                <w:szCs w:val="18"/>
                <w:color w:val="auto"/>
              </w:rPr>
              <w:t>days a week, up until 11:59</w:t>
            </w:r>
          </w:p>
        </w:tc>
        <w:tc>
          <w:tcPr>
            <w:tcW w:w="0" w:type="dxa"/>
            <w:vAlign w:val="bottom"/>
          </w:tcPr>
          <w:p>
            <w:pPr>
              <w:spacing w:after="0"/>
              <w:rPr>
                <w:sz w:val="1"/>
                <w:szCs w:val="1"/>
                <w:color w:val="auto"/>
              </w:rPr>
            </w:pPr>
          </w:p>
        </w:tc>
      </w:tr>
      <w:tr>
        <w:trPr>
          <w:trHeight w:val="175"/>
        </w:trPr>
        <w:tc>
          <w:tcPr>
            <w:tcW w:w="2620" w:type="dxa"/>
            <w:vAlign w:val="bottom"/>
            <w:tcBorders>
              <w:left w:val="single" w:sz="8" w:color="465E66"/>
              <w:right w:val="single" w:sz="8" w:color="465E66"/>
            </w:tcBorders>
            <w:gridSpan w:val="3"/>
          </w:tcPr>
          <w:p>
            <w:pPr>
              <w:ind w:left="40"/>
              <w:spacing w:after="0" w:line="176" w:lineRule="exact"/>
              <w:rPr>
                <w:sz w:val="20"/>
                <w:szCs w:val="20"/>
                <w:color w:val="auto"/>
              </w:rPr>
            </w:pPr>
            <w:r>
              <w:rPr>
                <w:rFonts w:ascii="Arial" w:cs="Arial" w:eastAsia="Arial" w:hAnsi="Arial"/>
                <w:sz w:val="18"/>
                <w:szCs w:val="18"/>
                <w:color w:val="auto"/>
              </w:rPr>
              <w:t>Wednesday, May 17, 2023.</w:t>
            </w:r>
          </w:p>
        </w:tc>
        <w:tc>
          <w:tcPr>
            <w:tcW w:w="2560" w:type="dxa"/>
            <w:vAlign w:val="bottom"/>
          </w:tcPr>
          <w:p>
            <w:pPr>
              <w:spacing w:after="0" w:line="176" w:lineRule="exact"/>
              <w:rPr>
                <w:sz w:val="20"/>
                <w:szCs w:val="20"/>
                <w:color w:val="auto"/>
              </w:rPr>
            </w:pPr>
            <w:r>
              <w:rPr>
                <w:rFonts w:ascii="Arial" w:cs="Arial" w:eastAsia="Arial" w:hAnsi="Arial"/>
                <w:sz w:val="18"/>
                <w:szCs w:val="18"/>
                <w:color w:val="auto"/>
                <w:w w:val="98"/>
              </w:rPr>
              <w:t>p.m. Eastern Time, Wednesday,</w:t>
            </w:r>
          </w:p>
        </w:tc>
        <w:tc>
          <w:tcPr>
            <w:tcW w:w="0" w:type="dxa"/>
            <w:vAlign w:val="bottom"/>
          </w:tcPr>
          <w:p>
            <w:pPr>
              <w:spacing w:after="0"/>
              <w:rPr>
                <w:sz w:val="1"/>
                <w:szCs w:val="1"/>
                <w:color w:val="auto"/>
              </w:rPr>
            </w:pPr>
          </w:p>
        </w:tc>
      </w:tr>
      <w:tr>
        <w:trPr>
          <w:trHeight w:val="243"/>
        </w:trPr>
        <w:tc>
          <w:tcPr>
            <w:tcW w:w="520" w:type="dxa"/>
            <w:vAlign w:val="bottom"/>
            <w:tcBorders>
              <w:left w:val="single" w:sz="8" w:color="465E66"/>
            </w:tcBorders>
          </w:tcPr>
          <w:p>
            <w:pPr>
              <w:spacing w:after="0"/>
              <w:rPr>
                <w:sz w:val="21"/>
                <w:szCs w:val="21"/>
                <w:color w:val="auto"/>
              </w:rPr>
            </w:pPr>
          </w:p>
        </w:tc>
        <w:tc>
          <w:tcPr>
            <w:tcW w:w="1600" w:type="dxa"/>
            <w:vAlign w:val="bottom"/>
          </w:tcPr>
          <w:p>
            <w:pPr>
              <w:spacing w:after="0"/>
              <w:rPr>
                <w:sz w:val="21"/>
                <w:szCs w:val="21"/>
                <w:color w:val="auto"/>
              </w:rPr>
            </w:pPr>
          </w:p>
        </w:tc>
        <w:tc>
          <w:tcPr>
            <w:tcW w:w="500" w:type="dxa"/>
            <w:vAlign w:val="bottom"/>
            <w:tcBorders>
              <w:right w:val="single" w:sz="8" w:color="465E66"/>
            </w:tcBorders>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859"/>
        </w:trPr>
        <w:tc>
          <w:tcPr>
            <w:tcW w:w="2620" w:type="dxa"/>
            <w:vAlign w:val="bottom"/>
            <w:tcBorders>
              <w:left w:val="single" w:sz="8" w:color="465E66"/>
              <w:right w:val="single" w:sz="8" w:color="465E66"/>
            </w:tcBorders>
          </w:tcPr>
          <w:p>
            <w:pPr>
              <w:ind w:left="780"/>
              <w:spacing w:after="0"/>
              <w:rPr>
                <w:sz w:val="20"/>
                <w:szCs w:val="20"/>
                <w:color w:val="auto"/>
              </w:rPr>
            </w:pPr>
            <w:r>
              <w:rPr>
                <w:rFonts w:ascii="Arial" w:cs="Arial" w:eastAsia="Arial" w:hAnsi="Arial"/>
                <w:sz w:val="18"/>
                <w:szCs w:val="18"/>
                <w:b w:val="1"/>
                <w:bCs w:val="1"/>
                <w:color w:val="auto"/>
              </w:rPr>
              <w:t>Vote by mail</w:t>
            </w:r>
          </w:p>
        </w:tc>
        <w:tc>
          <w:tcPr>
            <w:tcW w:w="2540" w:type="dxa"/>
            <w:vAlign w:val="bottom"/>
          </w:tcPr>
          <w:p>
            <w:pPr>
              <w:ind w:left="680"/>
              <w:spacing w:after="0"/>
              <w:rPr>
                <w:sz w:val="20"/>
                <w:szCs w:val="20"/>
                <w:color w:val="auto"/>
              </w:rPr>
            </w:pPr>
            <w:r>
              <w:rPr>
                <w:rFonts w:ascii="Arial" w:cs="Arial" w:eastAsia="Arial" w:hAnsi="Arial"/>
                <w:sz w:val="18"/>
                <w:szCs w:val="18"/>
                <w:b w:val="1"/>
                <w:bCs w:val="1"/>
                <w:color w:val="auto"/>
              </w:rPr>
              <w:t>Vote in person</w:t>
            </w:r>
          </w:p>
        </w:tc>
      </w:tr>
      <w:tr>
        <w:trPr>
          <w:trHeight w:val="181"/>
        </w:trPr>
        <w:tc>
          <w:tcPr>
            <w:tcW w:w="2620" w:type="dxa"/>
            <w:vAlign w:val="bottom"/>
            <w:tcBorders>
              <w:left w:val="single" w:sz="8" w:color="465E66"/>
              <w:right w:val="single" w:sz="8" w:color="465E66"/>
            </w:tcBorders>
          </w:tcPr>
          <w:p>
            <w:pPr>
              <w:ind w:left="20"/>
              <w:spacing w:after="0" w:line="181" w:lineRule="exact"/>
              <w:rPr>
                <w:sz w:val="20"/>
                <w:szCs w:val="20"/>
                <w:color w:val="auto"/>
              </w:rPr>
            </w:pPr>
            <w:r>
              <w:rPr>
                <w:rFonts w:ascii="Arial" w:cs="Arial" w:eastAsia="Arial" w:hAnsi="Arial"/>
                <w:sz w:val="18"/>
                <w:szCs w:val="18"/>
                <w:color w:val="auto"/>
              </w:rPr>
              <w:t>If you received a printed copy of</w:t>
            </w:r>
          </w:p>
        </w:tc>
        <w:tc>
          <w:tcPr>
            <w:tcW w:w="2540" w:type="dxa"/>
            <w:vAlign w:val="bottom"/>
          </w:tcPr>
          <w:p>
            <w:pPr>
              <w:ind w:left="20"/>
              <w:spacing w:after="0" w:line="181" w:lineRule="exact"/>
              <w:rPr>
                <w:sz w:val="20"/>
                <w:szCs w:val="20"/>
                <w:color w:val="auto"/>
              </w:rPr>
            </w:pPr>
            <w:r>
              <w:rPr>
                <w:rFonts w:ascii="Arial" w:cs="Arial" w:eastAsia="Arial" w:hAnsi="Arial"/>
                <w:sz w:val="18"/>
                <w:szCs w:val="18"/>
                <w:color w:val="auto"/>
              </w:rPr>
              <w:t>You may vote in person if you</w:t>
            </w:r>
          </w:p>
        </w:tc>
      </w:tr>
      <w:tr>
        <w:trPr>
          <w:trHeight w:val="184"/>
        </w:trPr>
        <w:tc>
          <w:tcPr>
            <w:tcW w:w="2620" w:type="dxa"/>
            <w:vAlign w:val="bottom"/>
            <w:tcBorders>
              <w:left w:val="single" w:sz="8" w:color="465E66"/>
              <w:right w:val="single" w:sz="8" w:color="465E66"/>
            </w:tcBorders>
          </w:tcPr>
          <w:p>
            <w:pPr>
              <w:ind w:left="20"/>
              <w:spacing w:after="0" w:line="183" w:lineRule="exact"/>
              <w:rPr>
                <w:sz w:val="20"/>
                <w:szCs w:val="20"/>
                <w:color w:val="auto"/>
              </w:rPr>
            </w:pPr>
            <w:r>
              <w:rPr>
                <w:rFonts w:ascii="Arial" w:cs="Arial" w:eastAsia="Arial" w:hAnsi="Arial"/>
                <w:sz w:val="18"/>
                <w:szCs w:val="18"/>
                <w:color w:val="auto"/>
              </w:rPr>
              <w:t>our materials, you can vote by</w:t>
            </w:r>
          </w:p>
        </w:tc>
        <w:tc>
          <w:tcPr>
            <w:tcW w:w="2540" w:type="dxa"/>
            <w:vAlign w:val="bottom"/>
          </w:tcPr>
          <w:p>
            <w:pPr>
              <w:ind w:left="20"/>
              <w:spacing w:after="0" w:line="183" w:lineRule="exact"/>
              <w:rPr>
                <w:sz w:val="20"/>
                <w:szCs w:val="20"/>
                <w:color w:val="auto"/>
              </w:rPr>
            </w:pPr>
            <w:r>
              <w:rPr>
                <w:rFonts w:ascii="Arial" w:cs="Arial" w:eastAsia="Arial" w:hAnsi="Arial"/>
                <w:sz w:val="18"/>
                <w:szCs w:val="18"/>
                <w:color w:val="auto"/>
                <w:w w:val="98"/>
              </w:rPr>
              <w:t>or your validly designated proxy</w:t>
            </w:r>
          </w:p>
        </w:tc>
      </w:tr>
      <w:tr>
        <w:trPr>
          <w:trHeight w:val="181"/>
        </w:trPr>
        <w:tc>
          <w:tcPr>
            <w:tcW w:w="2620" w:type="dxa"/>
            <w:vAlign w:val="bottom"/>
            <w:tcBorders>
              <w:left w:val="single" w:sz="8" w:color="465E66"/>
              <w:right w:val="single" w:sz="8" w:color="465E66"/>
            </w:tcBorders>
          </w:tcPr>
          <w:p>
            <w:pPr>
              <w:ind w:left="20"/>
              <w:spacing w:after="0" w:line="181" w:lineRule="exact"/>
              <w:rPr>
                <w:sz w:val="20"/>
                <w:szCs w:val="20"/>
                <w:color w:val="auto"/>
              </w:rPr>
            </w:pPr>
            <w:r>
              <w:rPr>
                <w:rFonts w:ascii="Arial" w:cs="Arial" w:eastAsia="Arial" w:hAnsi="Arial"/>
                <w:sz w:val="18"/>
                <w:szCs w:val="18"/>
                <w:color w:val="auto"/>
              </w:rPr>
              <w:t>filling out the proxy card or</w:t>
            </w:r>
          </w:p>
        </w:tc>
        <w:tc>
          <w:tcPr>
            <w:tcW w:w="2540" w:type="dxa"/>
            <w:vAlign w:val="bottom"/>
          </w:tcPr>
          <w:p>
            <w:pPr>
              <w:ind w:left="20"/>
              <w:spacing w:after="0" w:line="181" w:lineRule="exact"/>
              <w:rPr>
                <w:sz w:val="20"/>
                <w:szCs w:val="20"/>
                <w:color w:val="auto"/>
              </w:rPr>
            </w:pPr>
            <w:r>
              <w:rPr>
                <w:rFonts w:ascii="Arial" w:cs="Arial" w:eastAsia="Arial" w:hAnsi="Arial"/>
                <w:sz w:val="18"/>
                <w:szCs w:val="18"/>
                <w:color w:val="auto"/>
              </w:rPr>
              <w:t>attend the annual meeting.</w:t>
            </w:r>
          </w:p>
        </w:tc>
      </w:tr>
      <w:tr>
        <w:trPr>
          <w:trHeight w:val="175"/>
        </w:trPr>
        <w:tc>
          <w:tcPr>
            <w:tcW w:w="2620" w:type="dxa"/>
            <w:vAlign w:val="bottom"/>
            <w:tcBorders>
              <w:left w:val="single" w:sz="8" w:color="465E66"/>
              <w:right w:val="single" w:sz="8" w:color="465E66"/>
            </w:tcBorders>
          </w:tcPr>
          <w:p>
            <w:pPr>
              <w:ind w:left="20"/>
              <w:spacing w:after="0" w:line="176" w:lineRule="exact"/>
              <w:rPr>
                <w:sz w:val="20"/>
                <w:szCs w:val="20"/>
                <w:color w:val="auto"/>
              </w:rPr>
            </w:pPr>
            <w:r>
              <w:rPr>
                <w:rFonts w:ascii="Arial" w:cs="Arial" w:eastAsia="Arial" w:hAnsi="Arial"/>
                <w:sz w:val="18"/>
                <w:szCs w:val="18"/>
                <w:color w:val="auto"/>
              </w:rPr>
              <w:t>voting instruction form that was</w:t>
            </w:r>
          </w:p>
        </w:tc>
        <w:tc>
          <w:tcPr>
            <w:tcW w:w="2540" w:type="dxa"/>
            <w:vAlign w:val="bottom"/>
          </w:tcPr>
          <w:p>
            <w:pPr>
              <w:spacing w:after="0"/>
              <w:rPr>
                <w:sz w:val="15"/>
                <w:szCs w:val="15"/>
                <w:color w:val="auto"/>
              </w:rPr>
            </w:pPr>
          </w:p>
        </w:tc>
      </w:tr>
      <w:tr>
        <w:trPr>
          <w:trHeight w:val="175"/>
        </w:trPr>
        <w:tc>
          <w:tcPr>
            <w:tcW w:w="2620" w:type="dxa"/>
            <w:vAlign w:val="bottom"/>
            <w:tcBorders>
              <w:left w:val="single" w:sz="8" w:color="465E66"/>
              <w:right w:val="single" w:sz="8" w:color="465E66"/>
            </w:tcBorders>
          </w:tcPr>
          <w:p>
            <w:pPr>
              <w:ind w:left="20"/>
              <w:spacing w:after="0" w:line="176" w:lineRule="exact"/>
              <w:rPr>
                <w:sz w:val="20"/>
                <w:szCs w:val="20"/>
                <w:color w:val="auto"/>
              </w:rPr>
            </w:pPr>
            <w:r>
              <w:rPr>
                <w:rFonts w:ascii="Arial" w:cs="Arial" w:eastAsia="Arial" w:hAnsi="Arial"/>
                <w:sz w:val="18"/>
                <w:szCs w:val="18"/>
                <w:color w:val="auto"/>
              </w:rPr>
              <w:t>included in those materials and</w:t>
            </w:r>
          </w:p>
        </w:tc>
        <w:tc>
          <w:tcPr>
            <w:tcW w:w="2540" w:type="dxa"/>
            <w:vAlign w:val="bottom"/>
          </w:tcPr>
          <w:p>
            <w:pPr>
              <w:spacing w:after="0"/>
              <w:rPr>
                <w:sz w:val="15"/>
                <w:szCs w:val="15"/>
                <w:color w:val="auto"/>
              </w:rPr>
            </w:pPr>
          </w:p>
        </w:tc>
      </w:tr>
      <w:tr>
        <w:trPr>
          <w:trHeight w:val="184"/>
        </w:trPr>
        <w:tc>
          <w:tcPr>
            <w:tcW w:w="2620" w:type="dxa"/>
            <w:vAlign w:val="bottom"/>
            <w:tcBorders>
              <w:left w:val="single" w:sz="8" w:color="465E66"/>
              <w:right w:val="single" w:sz="8" w:color="465E66"/>
            </w:tcBorders>
          </w:tcPr>
          <w:p>
            <w:pPr>
              <w:ind w:left="20"/>
              <w:spacing w:after="0" w:line="183" w:lineRule="exact"/>
              <w:rPr>
                <w:sz w:val="20"/>
                <w:szCs w:val="20"/>
                <w:color w:val="auto"/>
              </w:rPr>
            </w:pPr>
            <w:r>
              <w:rPr>
                <w:rFonts w:ascii="Arial" w:cs="Arial" w:eastAsia="Arial" w:hAnsi="Arial"/>
                <w:sz w:val="18"/>
                <w:szCs w:val="18"/>
                <w:color w:val="auto"/>
              </w:rPr>
              <w:t>returning it in the postage-paid</w:t>
            </w:r>
          </w:p>
        </w:tc>
        <w:tc>
          <w:tcPr>
            <w:tcW w:w="2540" w:type="dxa"/>
            <w:vAlign w:val="bottom"/>
          </w:tcPr>
          <w:p>
            <w:pPr>
              <w:spacing w:after="0"/>
              <w:rPr>
                <w:sz w:val="15"/>
                <w:szCs w:val="15"/>
                <w:color w:val="auto"/>
              </w:rPr>
            </w:pPr>
          </w:p>
        </w:tc>
      </w:tr>
      <w:tr>
        <w:trPr>
          <w:trHeight w:val="181"/>
        </w:trPr>
        <w:tc>
          <w:tcPr>
            <w:tcW w:w="2620" w:type="dxa"/>
            <w:vAlign w:val="bottom"/>
            <w:tcBorders>
              <w:left w:val="single" w:sz="8" w:color="465E66"/>
              <w:right w:val="single" w:sz="8" w:color="465E66"/>
            </w:tcBorders>
          </w:tcPr>
          <w:p>
            <w:pPr>
              <w:ind w:left="20"/>
              <w:spacing w:after="0" w:line="181" w:lineRule="exact"/>
              <w:rPr>
                <w:sz w:val="20"/>
                <w:szCs w:val="20"/>
                <w:color w:val="auto"/>
              </w:rPr>
            </w:pPr>
            <w:r>
              <w:rPr>
                <w:rFonts w:ascii="Arial" w:cs="Arial" w:eastAsia="Arial" w:hAnsi="Arial"/>
                <w:sz w:val="18"/>
                <w:szCs w:val="18"/>
                <w:color w:val="auto"/>
              </w:rPr>
              <w:t>envelope by the date of our</w:t>
            </w:r>
          </w:p>
        </w:tc>
        <w:tc>
          <w:tcPr>
            <w:tcW w:w="2540" w:type="dxa"/>
            <w:vAlign w:val="bottom"/>
          </w:tcPr>
          <w:p>
            <w:pPr>
              <w:spacing w:after="0"/>
              <w:rPr>
                <w:sz w:val="15"/>
                <w:szCs w:val="15"/>
                <w:color w:val="auto"/>
              </w:rPr>
            </w:pPr>
          </w:p>
        </w:tc>
      </w:tr>
      <w:tr>
        <w:trPr>
          <w:trHeight w:val="175"/>
        </w:trPr>
        <w:tc>
          <w:tcPr>
            <w:tcW w:w="2620" w:type="dxa"/>
            <w:vAlign w:val="bottom"/>
            <w:tcBorders>
              <w:left w:val="single" w:sz="8" w:color="465E66"/>
              <w:right w:val="single" w:sz="8" w:color="465E66"/>
            </w:tcBorders>
          </w:tcPr>
          <w:p>
            <w:pPr>
              <w:ind w:left="20"/>
              <w:spacing w:after="0" w:line="176" w:lineRule="exact"/>
              <w:rPr>
                <w:sz w:val="20"/>
                <w:szCs w:val="20"/>
                <w:color w:val="auto"/>
              </w:rPr>
            </w:pPr>
            <w:r>
              <w:rPr>
                <w:rFonts w:ascii="Arial" w:cs="Arial" w:eastAsia="Arial" w:hAnsi="Arial"/>
                <w:sz w:val="18"/>
                <w:szCs w:val="18"/>
                <w:color w:val="auto"/>
              </w:rPr>
              <w:t>annual meeting, Thursday, May</w:t>
            </w:r>
          </w:p>
        </w:tc>
        <w:tc>
          <w:tcPr>
            <w:tcW w:w="2540" w:type="dxa"/>
            <w:vAlign w:val="bottom"/>
          </w:tcPr>
          <w:p>
            <w:pPr>
              <w:spacing w:after="0"/>
              <w:rPr>
                <w:sz w:val="15"/>
                <w:szCs w:val="15"/>
                <w:color w:val="auto"/>
              </w:rPr>
            </w:pPr>
          </w:p>
        </w:tc>
      </w:tr>
      <w:tr>
        <w:trPr>
          <w:trHeight w:val="239"/>
        </w:trPr>
        <w:tc>
          <w:tcPr>
            <w:tcW w:w="2620" w:type="dxa"/>
            <w:vAlign w:val="bottom"/>
            <w:tcBorders>
              <w:left w:val="single" w:sz="8" w:color="465E66"/>
              <w:right w:val="single" w:sz="8" w:color="465E66"/>
            </w:tcBorders>
          </w:tcPr>
          <w:p>
            <w:pPr>
              <w:ind w:left="20"/>
              <w:spacing w:after="0"/>
              <w:rPr>
                <w:sz w:val="20"/>
                <w:szCs w:val="20"/>
                <w:color w:val="auto"/>
              </w:rPr>
            </w:pPr>
            <w:r>
              <w:rPr>
                <w:rFonts w:ascii="Arial" w:cs="Arial" w:eastAsia="Arial" w:hAnsi="Arial"/>
                <w:sz w:val="18"/>
                <w:szCs w:val="18"/>
                <w:color w:val="auto"/>
              </w:rPr>
              <w:t>18, 2023.</w:t>
            </w:r>
          </w:p>
        </w:tc>
        <w:tc>
          <w:tcPr>
            <w:tcW w:w="2540" w:type="dxa"/>
            <w:vAlign w:val="bottom"/>
          </w:tcPr>
          <w:p>
            <w:pPr>
              <w:spacing w:after="0"/>
              <w:rPr>
                <w:sz w:val="20"/>
                <w:szCs w:val="20"/>
                <w:color w:val="auto"/>
              </w:rPr>
            </w:pPr>
          </w:p>
        </w:tc>
      </w:tr>
      <w:tr>
        <w:trPr>
          <w:trHeight w:val="544"/>
        </w:trPr>
        <w:tc>
          <w:tcPr>
            <w:tcW w:w="2620" w:type="dxa"/>
            <w:vAlign w:val="bottom"/>
            <w:tcBorders>
              <w:left w:val="single" w:sz="8" w:color="465E66"/>
              <w:right w:val="single" w:sz="8" w:color="465E66"/>
            </w:tcBorders>
          </w:tcPr>
          <w:p>
            <w:pPr>
              <w:spacing w:after="0"/>
              <w:rPr>
                <w:sz w:val="24"/>
                <w:szCs w:val="24"/>
                <w:color w:val="auto"/>
              </w:rPr>
            </w:pPr>
          </w:p>
        </w:tc>
        <w:tc>
          <w:tcPr>
            <w:tcW w:w="25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600" w:space="20"/>
            <w:col w:w="5620"/>
          </w:cols>
          <w:pgMar w:left="320" w:top="161" w:right="339" w:bottom="1440" w:gutter="0" w:footer="0" w:header="0"/>
          <w:type w:val="continuous"/>
        </w:sectPr>
      </w:pP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submit your proxy and voting instructions via the internet or by phone, please do not mail your proxy card. The proxies will vote your shares of our common stock at the annual meeting as instructed, if applicable, by the latest dated proxy received from you, whether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submitted via the internet or by phone or mail.</w:t>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66</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71" w:name="page72"/>
    <w:bookmarkEnd w:id="71"/>
    <w:p>
      <w:pPr>
        <w:ind w:left="9320"/>
        <w:spacing w:after="0"/>
        <w:rPr>
          <w:sz w:val="20"/>
          <w:szCs w:val="20"/>
          <w:color w:val="auto"/>
        </w:rPr>
      </w:pPr>
      <w:r>
        <w:rPr>
          <w:rFonts w:ascii="Arial" w:cs="Arial" w:eastAsia="Arial" w:hAnsi="Arial"/>
          <w:sz w:val="18"/>
          <w:szCs w:val="18"/>
          <w:color w:val="E97D2E"/>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E97D2E"/>
        </w:rPr>
        <w:t>Beneficial Owners</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Please note that if the shares you own are held in “street name” by a broker, bank or other nominee (brokers), then your broker, as the record owner, will vote your shares according to the instructions you, as the beneficial owner, provide to them online, by telephone, or by mail as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described above. If you wish to vote in person at the meeting, you must obtain a legal proxy from the broker that holds your shares, and bring it with you to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What do I need to be admitted to the Annual Meeting?</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You are entitled to attend the annual meeting only if you were a stockholder as of the close of business on the record date or hold a valid proxy for the annual meeting. To be admitted to the annual meeting, we may, in our sole discretion, require you to present each of the following documents as proof of ownership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stock on the record date and authority to vote the shares:</w:t>
      </w:r>
    </w:p>
    <w:p>
      <w:pPr>
        <w:spacing w:after="0" w:line="212"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22"/>
          <w:szCs w:val="22"/>
          <w:color w:val="auto"/>
        </w:rPr>
      </w:pPr>
      <w:r>
        <w:rPr>
          <w:rFonts w:ascii="Arial" w:cs="Arial" w:eastAsia="Arial" w:hAnsi="Arial"/>
          <w:sz w:val="18"/>
          <w:szCs w:val="18"/>
          <w:color w:val="auto"/>
        </w:rPr>
        <w:t>a brokerage statement or letter from a broker indicating ownership on the record date;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8"/>
        </w:numPr>
        <w:rPr>
          <w:rFonts w:ascii="Arial" w:cs="Arial" w:eastAsia="Arial" w:hAnsi="Arial"/>
          <w:sz w:val="22"/>
          <w:szCs w:val="22"/>
          <w:color w:val="auto"/>
        </w:rPr>
      </w:pPr>
      <w:r>
        <w:rPr>
          <w:rFonts w:ascii="Arial" w:cs="Arial" w:eastAsia="Arial" w:hAnsi="Arial"/>
          <w:sz w:val="18"/>
          <w:szCs w:val="18"/>
          <w:color w:val="auto"/>
        </w:rPr>
        <w:t>the notice of internet availability;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8"/>
        </w:numPr>
        <w:rPr>
          <w:rFonts w:ascii="Arial" w:cs="Arial" w:eastAsia="Arial" w:hAnsi="Arial"/>
          <w:sz w:val="22"/>
          <w:szCs w:val="22"/>
          <w:color w:val="auto"/>
        </w:rPr>
      </w:pPr>
      <w:r>
        <w:rPr>
          <w:rFonts w:ascii="Arial" w:cs="Arial" w:eastAsia="Arial" w:hAnsi="Arial"/>
          <w:sz w:val="18"/>
          <w:szCs w:val="18"/>
          <w:color w:val="auto"/>
        </w:rPr>
        <w:t>a printout of the proxy distribution email (if you received your materials online) or your proxy card or voting instruction form;</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8"/>
        </w:numPr>
        <w:rPr>
          <w:rFonts w:ascii="Arial" w:cs="Arial" w:eastAsia="Arial" w:hAnsi="Arial"/>
          <w:sz w:val="22"/>
          <w:szCs w:val="22"/>
          <w:color w:val="auto"/>
        </w:rPr>
      </w:pPr>
      <w:r>
        <w:rPr>
          <w:rFonts w:ascii="Arial" w:cs="Arial" w:eastAsia="Arial" w:hAnsi="Arial"/>
          <w:sz w:val="18"/>
          <w:szCs w:val="18"/>
          <w:color w:val="auto"/>
        </w:rPr>
        <w:t>if you hold shares in “street name,” a legal proxy provided by your broker as the holder of record;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8"/>
        </w:numPr>
        <w:rPr>
          <w:rFonts w:ascii="Arial" w:cs="Arial" w:eastAsia="Arial" w:hAnsi="Arial"/>
          <w:sz w:val="22"/>
          <w:szCs w:val="22"/>
          <w:color w:val="auto"/>
        </w:rPr>
      </w:pPr>
      <w:r>
        <w:rPr>
          <w:rFonts w:ascii="Arial" w:cs="Arial" w:eastAsia="Arial" w:hAnsi="Arial"/>
          <w:sz w:val="18"/>
          <w:szCs w:val="18"/>
          <w:color w:val="auto"/>
        </w:rPr>
        <w:t>a form of photo identification, such as a driver’s license.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reserve the right to deny admission to anyone who refuses to provide the applicable documents set forth above.</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5"/>
          <w:szCs w:val="25"/>
          <w:b w:val="1"/>
          <w:bCs w:val="1"/>
          <w:color w:val="465E66"/>
        </w:rPr>
        <w:t>What vote will be required, what does the Board recommend, and how will my votes be counted, to elect directors and to approve each of the other proposals discussed in this proxy statement?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All shares represented by valid proxies will be voted as specified. If no specification is made, the proxies will be voted according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Board’s recommendations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Proposal</w:t>
            </w:r>
          </w:p>
        </w:tc>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Your Voting</w:t>
            </w:r>
          </w:p>
        </w:tc>
        <w:tc>
          <w:tcPr>
            <w:tcW w:w="22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Board Recommendation</w:t>
            </w:r>
          </w:p>
        </w:tc>
        <w:tc>
          <w:tcPr>
            <w:tcW w:w="2280" w:type="dxa"/>
            <w:vAlign w:val="bottom"/>
          </w:tcPr>
          <w:p>
            <w:pPr>
              <w:ind w:left="420"/>
              <w:spacing w:after="0"/>
              <w:rPr>
                <w:sz w:val="20"/>
                <w:szCs w:val="20"/>
                <w:color w:val="auto"/>
              </w:rPr>
            </w:pPr>
            <w:r>
              <w:rPr>
                <w:rFonts w:ascii="Arial" w:cs="Arial" w:eastAsia="Arial" w:hAnsi="Arial"/>
                <w:sz w:val="18"/>
                <w:szCs w:val="18"/>
                <w:b w:val="1"/>
                <w:bCs w:val="1"/>
                <w:color w:val="auto"/>
              </w:rPr>
              <w:t>Vote Required for</w:t>
            </w:r>
          </w:p>
        </w:tc>
        <w:tc>
          <w:tcPr>
            <w:tcW w:w="1400" w:type="dxa"/>
            <w:vAlign w:val="bottom"/>
          </w:tcPr>
          <w:p>
            <w:pPr>
              <w:jc w:val="center"/>
              <w:ind w:left="35"/>
              <w:spacing w:after="0"/>
              <w:rPr>
                <w:sz w:val="20"/>
                <w:szCs w:val="20"/>
                <w:color w:val="auto"/>
              </w:rPr>
            </w:pPr>
            <w:r>
              <w:rPr>
                <w:rFonts w:ascii="Arial" w:cs="Arial" w:eastAsia="Arial" w:hAnsi="Arial"/>
                <w:sz w:val="18"/>
                <w:szCs w:val="18"/>
                <w:b w:val="1"/>
                <w:bCs w:val="1"/>
                <w:color w:val="auto"/>
                <w:w w:val="99"/>
              </w:rPr>
              <w:t>Effect of</w:t>
            </w:r>
          </w:p>
        </w:tc>
        <w:tc>
          <w:tcPr>
            <w:tcW w:w="2360" w:type="dxa"/>
            <w:vAlign w:val="bottom"/>
          </w:tcPr>
          <w:p>
            <w:pPr>
              <w:jc w:val="center"/>
              <w:ind w:left="35"/>
              <w:spacing w:after="0"/>
              <w:rPr>
                <w:sz w:val="20"/>
                <w:szCs w:val="20"/>
                <w:color w:val="auto"/>
              </w:rPr>
            </w:pPr>
            <w:r>
              <w:rPr>
                <w:rFonts w:ascii="Arial" w:cs="Arial" w:eastAsia="Arial" w:hAnsi="Arial"/>
                <w:sz w:val="18"/>
                <w:szCs w:val="18"/>
                <w:b w:val="1"/>
                <w:bCs w:val="1"/>
                <w:color w:val="auto"/>
                <w:w w:val="99"/>
              </w:rPr>
              <w:t>Effect of</w:t>
            </w:r>
          </w:p>
        </w:tc>
        <w:tc>
          <w:tcPr>
            <w:tcW w:w="0" w:type="dxa"/>
            <w:vAlign w:val="bottom"/>
          </w:tcPr>
          <w:p>
            <w:pPr>
              <w:spacing w:after="0"/>
              <w:rPr>
                <w:sz w:val="1"/>
                <w:szCs w:val="1"/>
                <w:color w:val="auto"/>
              </w:rPr>
            </w:pPr>
          </w:p>
        </w:tc>
      </w:tr>
      <w:tr>
        <w:trPr>
          <w:trHeight w:val="243"/>
        </w:trPr>
        <w:tc>
          <w:tcPr>
            <w:tcW w:w="1520" w:type="dxa"/>
            <w:vAlign w:val="bottom"/>
            <w:tcBorders>
              <w:bottom w:val="single" w:sz="8" w:color="E97D2E"/>
            </w:tcBorders>
            <w:vMerge w:val="continue"/>
          </w:tcPr>
          <w:p>
            <w:pPr>
              <w:spacing w:after="0"/>
              <w:rPr>
                <w:sz w:val="21"/>
                <w:szCs w:val="21"/>
                <w:color w:val="auto"/>
              </w:rPr>
            </w:pPr>
          </w:p>
        </w:tc>
        <w:tc>
          <w:tcPr>
            <w:tcW w:w="1420" w:type="dxa"/>
            <w:vAlign w:val="bottom"/>
            <w:tcBorders>
              <w:bottom w:val="single" w:sz="8" w:color="E97D2E"/>
            </w:tcBorders>
          </w:tcPr>
          <w:p>
            <w:pPr>
              <w:ind w:left="420"/>
              <w:spacing w:after="0"/>
              <w:rPr>
                <w:sz w:val="20"/>
                <w:szCs w:val="20"/>
                <w:color w:val="auto"/>
              </w:rPr>
            </w:pPr>
            <w:r>
              <w:rPr>
                <w:rFonts w:ascii="Arial" w:cs="Arial" w:eastAsia="Arial" w:hAnsi="Arial"/>
                <w:sz w:val="18"/>
                <w:szCs w:val="18"/>
                <w:b w:val="1"/>
                <w:bCs w:val="1"/>
                <w:color w:val="auto"/>
              </w:rPr>
              <w:t>Options</w:t>
            </w:r>
          </w:p>
        </w:tc>
        <w:tc>
          <w:tcPr>
            <w:tcW w:w="2260" w:type="dxa"/>
            <w:vAlign w:val="bottom"/>
            <w:tcBorders>
              <w:bottom w:val="single" w:sz="8" w:color="E97D2E"/>
            </w:tcBorders>
            <w:vMerge w:val="continue"/>
          </w:tcPr>
          <w:p>
            <w:pPr>
              <w:spacing w:after="0"/>
              <w:rPr>
                <w:sz w:val="21"/>
                <w:szCs w:val="21"/>
                <w:color w:val="auto"/>
              </w:rPr>
            </w:pPr>
          </w:p>
        </w:tc>
        <w:tc>
          <w:tcPr>
            <w:tcW w:w="2280" w:type="dxa"/>
            <w:vAlign w:val="bottom"/>
            <w:tcBorders>
              <w:bottom w:val="single" w:sz="8" w:color="E97D2E"/>
            </w:tcBorders>
          </w:tcPr>
          <w:p>
            <w:pPr>
              <w:ind w:left="780"/>
              <w:spacing w:after="0"/>
              <w:rPr>
                <w:sz w:val="20"/>
                <w:szCs w:val="20"/>
                <w:color w:val="auto"/>
              </w:rPr>
            </w:pPr>
            <w:r>
              <w:rPr>
                <w:rFonts w:ascii="Arial" w:cs="Arial" w:eastAsia="Arial" w:hAnsi="Arial"/>
                <w:sz w:val="18"/>
                <w:szCs w:val="18"/>
                <w:b w:val="1"/>
                <w:bCs w:val="1"/>
                <w:color w:val="auto"/>
              </w:rPr>
              <w:t>Approval</w:t>
            </w:r>
          </w:p>
        </w:tc>
        <w:tc>
          <w:tcPr>
            <w:tcW w:w="1400" w:type="dxa"/>
            <w:vAlign w:val="bottom"/>
            <w:tcBorders>
              <w:bottom w:val="single" w:sz="8" w:color="E97D2E"/>
            </w:tcBorders>
          </w:tcPr>
          <w:p>
            <w:pPr>
              <w:jc w:val="center"/>
              <w:ind w:left="35"/>
              <w:spacing w:after="0"/>
              <w:rPr>
                <w:sz w:val="20"/>
                <w:szCs w:val="20"/>
                <w:color w:val="auto"/>
              </w:rPr>
            </w:pPr>
            <w:r>
              <w:rPr>
                <w:rFonts w:ascii="Arial" w:cs="Arial" w:eastAsia="Arial" w:hAnsi="Arial"/>
                <w:sz w:val="18"/>
                <w:szCs w:val="18"/>
                <w:b w:val="1"/>
                <w:bCs w:val="1"/>
                <w:color w:val="auto"/>
                <w:w w:val="99"/>
              </w:rPr>
              <w:t>Abstentions</w:t>
            </w:r>
          </w:p>
        </w:tc>
        <w:tc>
          <w:tcPr>
            <w:tcW w:w="2360" w:type="dxa"/>
            <w:vAlign w:val="bottom"/>
            <w:tcBorders>
              <w:bottom w:val="single" w:sz="8" w:color="E97D2E"/>
            </w:tcBorders>
          </w:tcPr>
          <w:p>
            <w:pPr>
              <w:jc w:val="center"/>
              <w:ind w:left="35"/>
              <w:spacing w:after="0"/>
              <w:rPr>
                <w:sz w:val="20"/>
                <w:szCs w:val="20"/>
                <w:color w:val="auto"/>
              </w:rPr>
            </w:pPr>
            <w:r>
              <w:rPr>
                <w:rFonts w:ascii="Arial" w:cs="Arial" w:eastAsia="Arial" w:hAnsi="Arial"/>
                <w:sz w:val="18"/>
                <w:szCs w:val="18"/>
                <w:b w:val="1"/>
                <w:bCs w:val="1"/>
                <w:color w:val="auto"/>
                <w:w w:val="99"/>
              </w:rPr>
              <w:t>Broker Non-Votes</w:t>
            </w:r>
          </w:p>
        </w:tc>
        <w:tc>
          <w:tcPr>
            <w:tcW w:w="0" w:type="dxa"/>
            <w:vAlign w:val="bottom"/>
          </w:tcPr>
          <w:p>
            <w:pPr>
              <w:spacing w:after="0"/>
              <w:rPr>
                <w:sz w:val="1"/>
                <w:szCs w:val="1"/>
                <w:color w:val="auto"/>
              </w:rPr>
            </w:pPr>
          </w:p>
        </w:tc>
      </w:tr>
      <w:tr>
        <w:trPr>
          <w:trHeight w:val="169"/>
        </w:trPr>
        <w:tc>
          <w:tcPr>
            <w:tcW w:w="1520" w:type="dxa"/>
            <w:vAlign w:val="bottom"/>
          </w:tcPr>
          <w:p>
            <w:pPr>
              <w:ind w:left="20"/>
              <w:spacing w:after="0" w:line="169" w:lineRule="exact"/>
              <w:rPr>
                <w:sz w:val="20"/>
                <w:szCs w:val="20"/>
                <w:color w:val="auto"/>
              </w:rPr>
            </w:pPr>
            <w:r>
              <w:rPr>
                <w:rFonts w:ascii="Arial" w:cs="Arial" w:eastAsia="Arial" w:hAnsi="Arial"/>
                <w:sz w:val="18"/>
                <w:szCs w:val="18"/>
                <w:color w:val="auto"/>
              </w:rPr>
              <w:t>1. Election of nine</w:t>
            </w:r>
          </w:p>
        </w:tc>
        <w:tc>
          <w:tcPr>
            <w:tcW w:w="1420" w:type="dxa"/>
            <w:vAlign w:val="bottom"/>
          </w:tcPr>
          <w:p>
            <w:pPr>
              <w:ind w:left="80"/>
              <w:spacing w:after="0" w:line="169" w:lineRule="exact"/>
              <w:rPr>
                <w:sz w:val="20"/>
                <w:szCs w:val="20"/>
                <w:color w:val="auto"/>
              </w:rPr>
            </w:pPr>
            <w:r>
              <w:rPr>
                <w:rFonts w:ascii="Arial" w:cs="Arial" w:eastAsia="Arial" w:hAnsi="Arial"/>
                <w:sz w:val="16"/>
                <w:szCs w:val="16"/>
                <w:color w:val="auto"/>
              </w:rPr>
              <w:t>You may vote</w:t>
            </w:r>
          </w:p>
        </w:tc>
        <w:tc>
          <w:tcPr>
            <w:tcW w:w="2260" w:type="dxa"/>
            <w:vAlign w:val="bottom"/>
          </w:tcPr>
          <w:p>
            <w:pPr>
              <w:ind w:left="60"/>
              <w:spacing w:after="0" w:line="169" w:lineRule="exact"/>
              <w:rPr>
                <w:sz w:val="20"/>
                <w:szCs w:val="20"/>
                <w:color w:val="auto"/>
              </w:rPr>
            </w:pPr>
            <w:r>
              <w:rPr>
                <w:rFonts w:ascii="Arial" w:cs="Arial" w:eastAsia="Arial" w:hAnsi="Arial"/>
                <w:sz w:val="16"/>
                <w:szCs w:val="16"/>
                <w:color w:val="auto"/>
              </w:rPr>
              <w:t>The Board recommends that</w:t>
            </w:r>
          </w:p>
        </w:tc>
        <w:tc>
          <w:tcPr>
            <w:tcW w:w="2280" w:type="dxa"/>
            <w:vAlign w:val="bottom"/>
          </w:tcPr>
          <w:p>
            <w:pPr>
              <w:ind w:left="60"/>
              <w:spacing w:after="0" w:line="169" w:lineRule="exact"/>
              <w:rPr>
                <w:sz w:val="20"/>
                <w:szCs w:val="20"/>
                <w:color w:val="auto"/>
              </w:rPr>
            </w:pPr>
            <w:r>
              <w:rPr>
                <w:rFonts w:ascii="Arial" w:cs="Arial" w:eastAsia="Arial" w:hAnsi="Arial"/>
                <w:sz w:val="16"/>
                <w:szCs w:val="16"/>
                <w:color w:val="auto"/>
              </w:rPr>
              <w:t>Each nominee must receive</w:t>
            </w:r>
          </w:p>
        </w:tc>
        <w:tc>
          <w:tcPr>
            <w:tcW w:w="1400" w:type="dxa"/>
            <w:vAlign w:val="bottom"/>
          </w:tcPr>
          <w:p>
            <w:pPr>
              <w:ind w:left="20"/>
              <w:spacing w:after="0" w:line="169" w:lineRule="exact"/>
              <w:rPr>
                <w:sz w:val="20"/>
                <w:szCs w:val="20"/>
                <w:color w:val="auto"/>
              </w:rPr>
            </w:pPr>
            <w:r>
              <w:rPr>
                <w:rFonts w:ascii="Arial" w:cs="Arial" w:eastAsia="Arial" w:hAnsi="Arial"/>
                <w:sz w:val="16"/>
                <w:szCs w:val="16"/>
                <w:color w:val="auto"/>
              </w:rPr>
              <w:t>No effect</w:t>
            </w:r>
          </w:p>
        </w:tc>
        <w:tc>
          <w:tcPr>
            <w:tcW w:w="2360" w:type="dxa"/>
            <w:vAlign w:val="bottom"/>
          </w:tcPr>
          <w:p>
            <w:pPr>
              <w:ind w:left="120"/>
              <w:spacing w:after="0" w:line="169" w:lineRule="exact"/>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75"/>
        </w:trPr>
        <w:tc>
          <w:tcPr>
            <w:tcW w:w="1520" w:type="dxa"/>
            <w:vAlign w:val="bottom"/>
          </w:tcPr>
          <w:p>
            <w:pPr>
              <w:ind w:left="220"/>
              <w:spacing w:after="0" w:line="176" w:lineRule="exact"/>
              <w:rPr>
                <w:sz w:val="20"/>
                <w:szCs w:val="20"/>
                <w:color w:val="auto"/>
              </w:rPr>
            </w:pPr>
            <w:r>
              <w:rPr>
                <w:rFonts w:ascii="Arial" w:cs="Arial" w:eastAsia="Arial" w:hAnsi="Arial"/>
                <w:sz w:val="18"/>
                <w:szCs w:val="18"/>
                <w:color w:val="auto"/>
              </w:rPr>
              <w:t>directors</w:t>
            </w:r>
          </w:p>
        </w:tc>
        <w:tc>
          <w:tcPr>
            <w:tcW w:w="1420" w:type="dxa"/>
            <w:vAlign w:val="bottom"/>
          </w:tcPr>
          <w:p>
            <w:pPr>
              <w:ind w:left="80"/>
              <w:spacing w:after="0" w:line="175" w:lineRule="exact"/>
              <w:rPr>
                <w:sz w:val="20"/>
                <w:szCs w:val="20"/>
                <w:color w:val="auto"/>
              </w:rPr>
            </w:pPr>
            <w:r>
              <w:rPr>
                <w:rFonts w:ascii="Arial" w:cs="Arial" w:eastAsia="Arial" w:hAnsi="Arial"/>
                <w:sz w:val="16"/>
                <w:szCs w:val="16"/>
                <w:color w:val="auto"/>
              </w:rPr>
              <w:t>FOR or AGAINST</w:t>
            </w:r>
          </w:p>
        </w:tc>
        <w:tc>
          <w:tcPr>
            <w:tcW w:w="454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you vote FOR each of the nine an affirmative vote from the</w:t>
            </w:r>
          </w:p>
        </w:tc>
        <w:tc>
          <w:tcPr>
            <w:tcW w:w="1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20" w:type="dxa"/>
            <w:vAlign w:val="bottom"/>
          </w:tcPr>
          <w:p>
            <w:pPr>
              <w:ind w:left="80"/>
              <w:spacing w:after="0" w:line="135" w:lineRule="exact"/>
              <w:rPr>
                <w:sz w:val="20"/>
                <w:szCs w:val="20"/>
                <w:color w:val="auto"/>
              </w:rPr>
            </w:pPr>
            <w:r>
              <w:rPr>
                <w:rFonts w:ascii="Arial" w:cs="Arial" w:eastAsia="Arial" w:hAnsi="Arial"/>
                <w:sz w:val="15"/>
                <w:szCs w:val="15"/>
                <w:color w:val="auto"/>
              </w:rPr>
              <w:t>each nominee or</w:t>
            </w:r>
          </w:p>
        </w:tc>
        <w:tc>
          <w:tcPr>
            <w:tcW w:w="2260" w:type="dxa"/>
            <w:vAlign w:val="bottom"/>
          </w:tcPr>
          <w:p>
            <w:pPr>
              <w:ind w:left="60"/>
              <w:spacing w:after="0" w:line="135" w:lineRule="exact"/>
              <w:rPr>
                <w:sz w:val="20"/>
                <w:szCs w:val="20"/>
                <w:color w:val="auto"/>
              </w:rPr>
            </w:pPr>
            <w:r>
              <w:rPr>
                <w:rFonts w:ascii="Arial" w:cs="Arial" w:eastAsia="Arial" w:hAnsi="Arial"/>
                <w:sz w:val="15"/>
                <w:szCs w:val="15"/>
                <w:color w:val="auto"/>
              </w:rPr>
              <w:t>nominees</w:t>
            </w:r>
          </w:p>
        </w:tc>
        <w:tc>
          <w:tcPr>
            <w:tcW w:w="2280" w:type="dxa"/>
            <w:vAlign w:val="bottom"/>
          </w:tcPr>
          <w:p>
            <w:pPr>
              <w:ind w:left="60"/>
              <w:spacing w:after="0" w:line="135" w:lineRule="exact"/>
              <w:rPr>
                <w:sz w:val="20"/>
                <w:szCs w:val="20"/>
                <w:color w:val="auto"/>
              </w:rPr>
            </w:pPr>
            <w:r>
              <w:rPr>
                <w:rFonts w:ascii="Arial" w:cs="Arial" w:eastAsia="Arial" w:hAnsi="Arial"/>
                <w:sz w:val="15"/>
                <w:szCs w:val="15"/>
                <w:color w:val="auto"/>
              </w:rPr>
              <w:t>majority of the votes cast in his</w:t>
            </w:r>
          </w:p>
        </w:tc>
        <w:tc>
          <w:tcPr>
            <w:tcW w:w="14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choose to</w:t>
            </w:r>
          </w:p>
        </w:tc>
        <w:tc>
          <w:tcPr>
            <w:tcW w:w="2260" w:type="dxa"/>
            <w:vAlign w:val="bottom"/>
          </w:tcPr>
          <w:p>
            <w:pPr>
              <w:spacing w:after="0"/>
              <w:rPr>
                <w:sz w:val="14"/>
                <w:szCs w:val="14"/>
                <w:color w:val="auto"/>
              </w:rPr>
            </w:pPr>
          </w:p>
        </w:tc>
        <w:tc>
          <w:tcPr>
            <w:tcW w:w="2280" w:type="dxa"/>
            <w:vAlign w:val="bottom"/>
          </w:tcPr>
          <w:p>
            <w:pPr>
              <w:ind w:left="60"/>
              <w:spacing w:after="0" w:line="162" w:lineRule="exact"/>
              <w:rPr>
                <w:sz w:val="20"/>
                <w:szCs w:val="20"/>
                <w:color w:val="auto"/>
              </w:rPr>
            </w:pPr>
            <w:r>
              <w:rPr>
                <w:rFonts w:ascii="Arial" w:cs="Arial" w:eastAsia="Arial" w:hAnsi="Arial"/>
                <w:sz w:val="16"/>
                <w:szCs w:val="16"/>
                <w:color w:val="auto"/>
              </w:rPr>
              <w:t>or her election</w:t>
            </w: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ABSTAIN from</w:t>
            </w:r>
          </w:p>
        </w:tc>
        <w:tc>
          <w:tcPr>
            <w:tcW w:w="2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520" w:type="dxa"/>
            <w:vAlign w:val="bottom"/>
            <w:tcBorders>
              <w:bottom w:val="single" w:sz="8" w:color="E97D2E"/>
            </w:tcBorders>
          </w:tcPr>
          <w:p>
            <w:pPr>
              <w:spacing w:after="0"/>
              <w:rPr>
                <w:sz w:val="18"/>
                <w:szCs w:val="18"/>
                <w:color w:val="auto"/>
              </w:rPr>
            </w:pPr>
          </w:p>
        </w:tc>
        <w:tc>
          <w:tcPr>
            <w:tcW w:w="1420" w:type="dxa"/>
            <w:vAlign w:val="bottom"/>
            <w:tcBorders>
              <w:bottom w:val="single" w:sz="8" w:color="E97D2E"/>
            </w:tcBorders>
          </w:tcPr>
          <w:p>
            <w:pPr>
              <w:ind w:left="80"/>
              <w:spacing w:after="0"/>
              <w:rPr>
                <w:sz w:val="20"/>
                <w:szCs w:val="20"/>
                <w:color w:val="auto"/>
              </w:rPr>
            </w:pPr>
            <w:r>
              <w:rPr>
                <w:rFonts w:ascii="Arial" w:cs="Arial" w:eastAsia="Arial" w:hAnsi="Arial"/>
                <w:sz w:val="16"/>
                <w:szCs w:val="16"/>
                <w:color w:val="auto"/>
              </w:rPr>
              <w:t>voting</w:t>
            </w:r>
          </w:p>
        </w:tc>
        <w:tc>
          <w:tcPr>
            <w:tcW w:w="2260" w:type="dxa"/>
            <w:vAlign w:val="bottom"/>
            <w:tcBorders>
              <w:bottom w:val="single" w:sz="8" w:color="E97D2E"/>
            </w:tcBorders>
          </w:tcPr>
          <w:p>
            <w:pPr>
              <w:spacing w:after="0"/>
              <w:rPr>
                <w:sz w:val="18"/>
                <w:szCs w:val="18"/>
                <w:color w:val="auto"/>
              </w:rPr>
            </w:pPr>
          </w:p>
        </w:tc>
        <w:tc>
          <w:tcPr>
            <w:tcW w:w="2280" w:type="dxa"/>
            <w:vAlign w:val="bottom"/>
            <w:tcBorders>
              <w:bottom w:val="single" w:sz="8" w:color="E97D2E"/>
            </w:tcBorders>
          </w:tcPr>
          <w:p>
            <w:pPr>
              <w:spacing w:after="0"/>
              <w:rPr>
                <w:sz w:val="18"/>
                <w:szCs w:val="18"/>
                <w:color w:val="auto"/>
              </w:rPr>
            </w:pPr>
          </w:p>
        </w:tc>
        <w:tc>
          <w:tcPr>
            <w:tcW w:w="1400" w:type="dxa"/>
            <w:vAlign w:val="bottom"/>
            <w:tcBorders>
              <w:bottom w:val="single" w:sz="8" w:color="E97D2E"/>
            </w:tcBorders>
          </w:tcPr>
          <w:p>
            <w:pPr>
              <w:spacing w:after="0"/>
              <w:rPr>
                <w:sz w:val="18"/>
                <w:szCs w:val="18"/>
                <w:color w:val="auto"/>
              </w:rPr>
            </w:pPr>
          </w:p>
        </w:tc>
        <w:tc>
          <w:tcPr>
            <w:tcW w:w="2360" w:type="dxa"/>
            <w:vAlign w:val="bottom"/>
            <w:tcBorders>
              <w:bottom w:val="single" w:sz="8" w:color="E97D2E"/>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9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 xml:space="preserve">2. Advisory say-on- </w:t>
            </w:r>
            <w:r>
              <w:rPr>
                <w:rFonts w:ascii="Arial" w:cs="Arial" w:eastAsia="Arial" w:hAnsi="Arial"/>
                <w:sz w:val="16"/>
                <w:szCs w:val="16"/>
                <w:color w:val="auto"/>
              </w:rPr>
              <w:t>You may vote</w:t>
            </w:r>
          </w:p>
        </w:tc>
        <w:tc>
          <w:tcPr>
            <w:tcW w:w="2260" w:type="dxa"/>
            <w:vAlign w:val="bottom"/>
          </w:tcPr>
          <w:p>
            <w:pPr>
              <w:ind w:left="60"/>
              <w:spacing w:after="0" w:line="170" w:lineRule="exact"/>
              <w:rPr>
                <w:sz w:val="20"/>
                <w:szCs w:val="20"/>
                <w:color w:val="auto"/>
              </w:rPr>
            </w:pPr>
            <w:r>
              <w:rPr>
                <w:rFonts w:ascii="Arial" w:cs="Arial" w:eastAsia="Arial" w:hAnsi="Arial"/>
                <w:sz w:val="16"/>
                <w:szCs w:val="16"/>
                <w:color w:val="auto"/>
              </w:rPr>
              <w:t>The Board recommends that</w:t>
            </w:r>
          </w:p>
        </w:tc>
        <w:tc>
          <w:tcPr>
            <w:tcW w:w="2280" w:type="dxa"/>
            <w:vAlign w:val="bottom"/>
          </w:tcPr>
          <w:p>
            <w:pPr>
              <w:ind w:left="60"/>
              <w:spacing w:after="0" w:line="170" w:lineRule="exact"/>
              <w:rPr>
                <w:sz w:val="20"/>
                <w:szCs w:val="20"/>
                <w:color w:val="auto"/>
              </w:rPr>
            </w:pPr>
            <w:r>
              <w:rPr>
                <w:rFonts w:ascii="Arial" w:cs="Arial" w:eastAsia="Arial" w:hAnsi="Arial"/>
                <w:sz w:val="16"/>
                <w:szCs w:val="16"/>
                <w:color w:val="auto"/>
              </w:rPr>
              <w:t>This proposal must receive an</w:t>
            </w:r>
          </w:p>
        </w:tc>
        <w:tc>
          <w:tcPr>
            <w:tcW w:w="1400" w:type="dxa"/>
            <w:vAlign w:val="bottom"/>
          </w:tcPr>
          <w:p>
            <w:pPr>
              <w:ind w:left="20"/>
              <w:spacing w:after="0" w:line="170" w:lineRule="exact"/>
              <w:rPr>
                <w:sz w:val="20"/>
                <w:szCs w:val="20"/>
                <w:color w:val="auto"/>
              </w:rPr>
            </w:pPr>
            <w:r>
              <w:rPr>
                <w:rFonts w:ascii="Arial" w:cs="Arial" w:eastAsia="Arial" w:hAnsi="Arial"/>
                <w:sz w:val="16"/>
                <w:szCs w:val="16"/>
                <w:color w:val="auto"/>
              </w:rPr>
              <w:t>Treated as votes</w:t>
            </w:r>
          </w:p>
        </w:tc>
        <w:tc>
          <w:tcPr>
            <w:tcW w:w="2360" w:type="dxa"/>
            <w:vAlign w:val="bottom"/>
          </w:tcPr>
          <w:p>
            <w:pPr>
              <w:ind w:left="120"/>
              <w:spacing w:after="0" w:line="170" w:lineRule="exact"/>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64"/>
        </w:trPr>
        <w:tc>
          <w:tcPr>
            <w:tcW w:w="1520" w:type="dxa"/>
            <w:vAlign w:val="bottom"/>
          </w:tcPr>
          <w:p>
            <w:pPr>
              <w:ind w:left="180"/>
              <w:spacing w:after="0" w:line="164" w:lineRule="exact"/>
              <w:rPr>
                <w:sz w:val="20"/>
                <w:szCs w:val="20"/>
                <w:color w:val="auto"/>
              </w:rPr>
            </w:pPr>
            <w:r>
              <w:rPr>
                <w:rFonts w:ascii="Arial" w:cs="Arial" w:eastAsia="Arial" w:hAnsi="Arial"/>
                <w:sz w:val="18"/>
                <w:szCs w:val="18"/>
                <w:color w:val="auto"/>
              </w:rPr>
              <w:t>pay vote</w:t>
            </w:r>
          </w:p>
        </w:tc>
        <w:tc>
          <w:tcPr>
            <w:tcW w:w="1420" w:type="dxa"/>
            <w:vAlign w:val="bottom"/>
          </w:tcPr>
          <w:p>
            <w:pPr>
              <w:ind w:left="80"/>
              <w:spacing w:after="0" w:line="164" w:lineRule="exact"/>
              <w:rPr>
                <w:sz w:val="20"/>
                <w:szCs w:val="20"/>
                <w:color w:val="auto"/>
              </w:rPr>
            </w:pPr>
            <w:r>
              <w:rPr>
                <w:rFonts w:ascii="Arial" w:cs="Arial" w:eastAsia="Arial" w:hAnsi="Arial"/>
                <w:sz w:val="16"/>
                <w:szCs w:val="16"/>
                <w:color w:val="auto"/>
              </w:rPr>
              <w:t>FOR or AGAINST</w:t>
            </w:r>
          </w:p>
        </w:tc>
        <w:tc>
          <w:tcPr>
            <w:tcW w:w="2260" w:type="dxa"/>
            <w:vAlign w:val="bottom"/>
          </w:tcPr>
          <w:p>
            <w:pPr>
              <w:ind w:left="60"/>
              <w:spacing w:after="0" w:line="164" w:lineRule="exact"/>
              <w:rPr>
                <w:sz w:val="20"/>
                <w:szCs w:val="20"/>
                <w:color w:val="auto"/>
              </w:rPr>
            </w:pPr>
            <w:r>
              <w:rPr>
                <w:rFonts w:ascii="Arial" w:cs="Arial" w:eastAsia="Arial" w:hAnsi="Arial"/>
                <w:sz w:val="16"/>
                <w:szCs w:val="16"/>
                <w:color w:val="auto"/>
              </w:rPr>
              <w:t>you vote FOR this proposal</w:t>
            </w:r>
          </w:p>
        </w:tc>
        <w:tc>
          <w:tcPr>
            <w:tcW w:w="2280" w:type="dxa"/>
            <w:vAlign w:val="bottom"/>
          </w:tcPr>
          <w:p>
            <w:pPr>
              <w:ind w:left="60"/>
              <w:spacing w:after="0" w:line="164" w:lineRule="exact"/>
              <w:rPr>
                <w:sz w:val="20"/>
                <w:szCs w:val="20"/>
                <w:color w:val="auto"/>
              </w:rPr>
            </w:pPr>
            <w:r>
              <w:rPr>
                <w:rFonts w:ascii="Arial" w:cs="Arial" w:eastAsia="Arial" w:hAnsi="Arial"/>
                <w:sz w:val="16"/>
                <w:szCs w:val="16"/>
                <w:color w:val="auto"/>
              </w:rPr>
              <w:t>affirmative vote of the holders</w:t>
            </w:r>
          </w:p>
        </w:tc>
        <w:tc>
          <w:tcPr>
            <w:tcW w:w="1400" w:type="dxa"/>
            <w:vAlign w:val="bottom"/>
          </w:tcPr>
          <w:p>
            <w:pPr>
              <w:ind w:left="20"/>
              <w:spacing w:after="0" w:line="164" w:lineRule="exact"/>
              <w:rPr>
                <w:sz w:val="20"/>
                <w:szCs w:val="20"/>
                <w:color w:val="auto"/>
              </w:rPr>
            </w:pPr>
            <w:r>
              <w:rPr>
                <w:rFonts w:ascii="Arial" w:cs="Arial" w:eastAsia="Arial" w:hAnsi="Arial"/>
                <w:sz w:val="16"/>
                <w:szCs w:val="16"/>
                <w:color w:val="auto"/>
              </w:rPr>
              <w:t>against</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20" w:type="dxa"/>
            <w:vAlign w:val="bottom"/>
          </w:tcPr>
          <w:p>
            <w:pPr>
              <w:spacing w:after="0"/>
              <w:rPr>
                <w:sz w:val="12"/>
                <w:szCs w:val="12"/>
                <w:color w:val="auto"/>
              </w:rPr>
            </w:pPr>
          </w:p>
        </w:tc>
        <w:tc>
          <w:tcPr>
            <w:tcW w:w="1420" w:type="dxa"/>
            <w:vAlign w:val="bottom"/>
          </w:tcPr>
          <w:p>
            <w:pPr>
              <w:ind w:left="80"/>
              <w:spacing w:after="0" w:line="147" w:lineRule="exact"/>
              <w:rPr>
                <w:sz w:val="20"/>
                <w:szCs w:val="20"/>
                <w:color w:val="auto"/>
              </w:rPr>
            </w:pPr>
            <w:r>
              <w:rPr>
                <w:rFonts w:ascii="Arial" w:cs="Arial" w:eastAsia="Arial" w:hAnsi="Arial"/>
                <w:sz w:val="16"/>
                <w:szCs w:val="16"/>
                <w:color w:val="auto"/>
              </w:rPr>
              <w:t>this proposal or</w:t>
            </w:r>
          </w:p>
        </w:tc>
        <w:tc>
          <w:tcPr>
            <w:tcW w:w="2260" w:type="dxa"/>
            <w:vAlign w:val="bottom"/>
          </w:tcPr>
          <w:p>
            <w:pPr>
              <w:spacing w:after="0"/>
              <w:rPr>
                <w:sz w:val="12"/>
                <w:szCs w:val="12"/>
                <w:color w:val="auto"/>
              </w:rPr>
            </w:pPr>
          </w:p>
        </w:tc>
        <w:tc>
          <w:tcPr>
            <w:tcW w:w="2280" w:type="dxa"/>
            <w:vAlign w:val="bottom"/>
          </w:tcPr>
          <w:p>
            <w:pPr>
              <w:ind w:left="60"/>
              <w:spacing w:after="0" w:line="147" w:lineRule="exact"/>
              <w:rPr>
                <w:sz w:val="20"/>
                <w:szCs w:val="20"/>
                <w:color w:val="auto"/>
              </w:rPr>
            </w:pPr>
            <w:r>
              <w:rPr>
                <w:rFonts w:ascii="Arial" w:cs="Arial" w:eastAsia="Arial" w:hAnsi="Arial"/>
                <w:sz w:val="16"/>
                <w:szCs w:val="16"/>
                <w:color w:val="auto"/>
              </w:rPr>
              <w:t>of a majority of the shares</w:t>
            </w: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choose to</w:t>
            </w:r>
          </w:p>
        </w:tc>
        <w:tc>
          <w:tcPr>
            <w:tcW w:w="2260" w:type="dxa"/>
            <w:vAlign w:val="bottom"/>
          </w:tcPr>
          <w:p>
            <w:pPr>
              <w:spacing w:after="0"/>
              <w:rPr>
                <w:sz w:val="14"/>
                <w:szCs w:val="14"/>
                <w:color w:val="auto"/>
              </w:rPr>
            </w:pPr>
          </w:p>
        </w:tc>
        <w:tc>
          <w:tcPr>
            <w:tcW w:w="2280" w:type="dxa"/>
            <w:vAlign w:val="bottom"/>
          </w:tcPr>
          <w:p>
            <w:pPr>
              <w:ind w:left="60"/>
              <w:spacing w:after="0" w:line="162" w:lineRule="exact"/>
              <w:rPr>
                <w:sz w:val="20"/>
                <w:szCs w:val="20"/>
                <w:color w:val="auto"/>
              </w:rPr>
            </w:pPr>
            <w:r>
              <w:rPr>
                <w:rFonts w:ascii="Arial" w:cs="Arial" w:eastAsia="Arial" w:hAnsi="Arial"/>
                <w:sz w:val="16"/>
                <w:szCs w:val="16"/>
                <w:color w:val="auto"/>
              </w:rPr>
              <w:t>present in person or</w:t>
            </w: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ABSTAIN from</w:t>
            </w:r>
          </w:p>
        </w:tc>
        <w:tc>
          <w:tcPr>
            <w:tcW w:w="2260" w:type="dxa"/>
            <w:vAlign w:val="bottom"/>
          </w:tcPr>
          <w:p>
            <w:pPr>
              <w:spacing w:after="0"/>
              <w:rPr>
                <w:sz w:val="14"/>
                <w:szCs w:val="14"/>
                <w:color w:val="auto"/>
              </w:rPr>
            </w:pPr>
          </w:p>
        </w:tc>
        <w:tc>
          <w:tcPr>
            <w:tcW w:w="2280" w:type="dxa"/>
            <w:vAlign w:val="bottom"/>
          </w:tcPr>
          <w:p>
            <w:pPr>
              <w:ind w:left="60"/>
              <w:spacing w:after="0" w:line="162" w:lineRule="exact"/>
              <w:rPr>
                <w:sz w:val="20"/>
                <w:szCs w:val="20"/>
                <w:color w:val="auto"/>
              </w:rPr>
            </w:pPr>
            <w:r>
              <w:rPr>
                <w:rFonts w:ascii="Arial" w:cs="Arial" w:eastAsia="Arial" w:hAnsi="Arial"/>
                <w:sz w:val="16"/>
                <w:szCs w:val="16"/>
                <w:color w:val="auto"/>
              </w:rPr>
              <w:t>represented by proxy and</w:t>
            </w: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520" w:type="dxa"/>
            <w:vAlign w:val="bottom"/>
            <w:tcBorders>
              <w:bottom w:val="single" w:sz="8" w:color="E97D2E"/>
            </w:tcBorders>
          </w:tcPr>
          <w:p>
            <w:pPr>
              <w:spacing w:after="0"/>
              <w:rPr>
                <w:sz w:val="18"/>
                <w:szCs w:val="18"/>
                <w:color w:val="auto"/>
              </w:rPr>
            </w:pPr>
          </w:p>
        </w:tc>
        <w:tc>
          <w:tcPr>
            <w:tcW w:w="1420" w:type="dxa"/>
            <w:vAlign w:val="bottom"/>
            <w:tcBorders>
              <w:bottom w:val="single" w:sz="8" w:color="E97D2E"/>
            </w:tcBorders>
          </w:tcPr>
          <w:p>
            <w:pPr>
              <w:ind w:left="80"/>
              <w:spacing w:after="0"/>
              <w:rPr>
                <w:sz w:val="20"/>
                <w:szCs w:val="20"/>
                <w:color w:val="auto"/>
              </w:rPr>
            </w:pPr>
            <w:r>
              <w:rPr>
                <w:rFonts w:ascii="Arial" w:cs="Arial" w:eastAsia="Arial" w:hAnsi="Arial"/>
                <w:sz w:val="16"/>
                <w:szCs w:val="16"/>
                <w:color w:val="auto"/>
              </w:rPr>
              <w:t>voting</w:t>
            </w:r>
          </w:p>
        </w:tc>
        <w:tc>
          <w:tcPr>
            <w:tcW w:w="2260" w:type="dxa"/>
            <w:vAlign w:val="bottom"/>
            <w:tcBorders>
              <w:bottom w:val="single" w:sz="8" w:color="E97D2E"/>
            </w:tcBorders>
          </w:tcPr>
          <w:p>
            <w:pPr>
              <w:spacing w:after="0"/>
              <w:rPr>
                <w:sz w:val="18"/>
                <w:szCs w:val="18"/>
                <w:color w:val="auto"/>
              </w:rPr>
            </w:pPr>
          </w:p>
        </w:tc>
        <w:tc>
          <w:tcPr>
            <w:tcW w:w="2280" w:type="dxa"/>
            <w:vAlign w:val="bottom"/>
            <w:tcBorders>
              <w:bottom w:val="single" w:sz="8" w:color="E97D2E"/>
            </w:tcBorders>
          </w:tcPr>
          <w:p>
            <w:pPr>
              <w:ind w:left="60"/>
              <w:spacing w:after="0"/>
              <w:rPr>
                <w:sz w:val="20"/>
                <w:szCs w:val="20"/>
                <w:color w:val="auto"/>
              </w:rPr>
            </w:pPr>
            <w:r>
              <w:rPr>
                <w:rFonts w:ascii="Arial" w:cs="Arial" w:eastAsia="Arial" w:hAnsi="Arial"/>
                <w:sz w:val="16"/>
                <w:szCs w:val="16"/>
                <w:color w:val="auto"/>
              </w:rPr>
              <w:t>entitled to vote thereon</w:t>
            </w:r>
          </w:p>
        </w:tc>
        <w:tc>
          <w:tcPr>
            <w:tcW w:w="1400" w:type="dxa"/>
            <w:vAlign w:val="bottom"/>
            <w:tcBorders>
              <w:bottom w:val="single" w:sz="8" w:color="E97D2E"/>
            </w:tcBorders>
          </w:tcPr>
          <w:p>
            <w:pPr>
              <w:spacing w:after="0"/>
              <w:rPr>
                <w:sz w:val="18"/>
                <w:szCs w:val="18"/>
                <w:color w:val="auto"/>
              </w:rPr>
            </w:pPr>
          </w:p>
        </w:tc>
        <w:tc>
          <w:tcPr>
            <w:tcW w:w="2360" w:type="dxa"/>
            <w:vAlign w:val="bottom"/>
            <w:tcBorders>
              <w:bottom w:val="single" w:sz="8" w:color="E97D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2" w:name="page73"/>
    <w:bookmarkEnd w:id="72"/>
    <w:p>
      <w:pPr>
        <w:ind w:left="20"/>
        <w:spacing w:after="0"/>
        <w:rPr>
          <w:sz w:val="20"/>
          <w:szCs w:val="20"/>
          <w:color w:val="auto"/>
        </w:rPr>
      </w:pPr>
      <w:r>
        <w:rPr>
          <w:rFonts w:ascii="Arial" w:cs="Arial" w:eastAsia="Arial" w:hAnsi="Arial"/>
          <w:sz w:val="17"/>
          <w:szCs w:val="17"/>
          <w:color w:val="E97D2E"/>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hanging="154"/>
        <w:spacing w:after="0" w:line="225" w:lineRule="auto"/>
        <w:tabs>
          <w:tab w:leader="none" w:pos="21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Advisory vote on the frequency of future say-on-pay votes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You may vote in favor of holding a say-on-pay vote every 1 YEAR, 2 YEARS, or 3 YEARS or choose to ABSTAIN from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Board recommends that you vote for holding a say-on-pay vote every 1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color w:val="auto"/>
        </w:rPr>
        <w:t>This proposal must receive an Treated as votes</w:t>
      </w:r>
      <w:r>
        <w:rPr>
          <w:sz w:val="20"/>
          <w:szCs w:val="20"/>
          <w:color w:val="auto"/>
        </w:rPr>
        <w:tab/>
      </w:r>
      <w:r>
        <w:rPr>
          <w:rFonts w:ascii="Arial" w:cs="Arial" w:eastAsia="Arial" w:hAnsi="Arial"/>
          <w:sz w:val="15"/>
          <w:szCs w:val="15"/>
          <w:color w:val="auto"/>
        </w:rPr>
        <w:t>No effect</w:t>
      </w:r>
    </w:p>
    <w:p>
      <w:pPr>
        <w:spacing w:after="0" w:line="211" w:lineRule="auto"/>
        <w:tabs>
          <w:tab w:leader="none" w:pos="2220" w:val="left"/>
        </w:tabs>
        <w:rPr>
          <w:sz w:val="20"/>
          <w:szCs w:val="20"/>
          <w:color w:val="auto"/>
        </w:rPr>
      </w:pPr>
      <w:r>
        <w:rPr>
          <w:rFonts w:ascii="Arial" w:cs="Arial" w:eastAsia="Arial" w:hAnsi="Arial"/>
          <w:sz w:val="16"/>
          <w:szCs w:val="16"/>
          <w:color w:val="auto"/>
        </w:rPr>
        <w:t>affirmative vote from the</w:t>
      </w:r>
      <w:r>
        <w:rPr>
          <w:sz w:val="20"/>
          <w:szCs w:val="20"/>
          <w:color w:val="auto"/>
        </w:rPr>
        <w:tab/>
      </w:r>
      <w:r>
        <w:rPr>
          <w:rFonts w:ascii="Arial" w:cs="Arial" w:eastAsia="Arial" w:hAnsi="Arial"/>
          <w:sz w:val="16"/>
          <w:szCs w:val="16"/>
          <w:color w:val="auto"/>
        </w:rPr>
        <w:t>against</w:t>
      </w:r>
    </w:p>
    <w:p>
      <w:pPr>
        <w:spacing w:after="0" w:line="211" w:lineRule="auto"/>
        <w:rPr>
          <w:sz w:val="20"/>
          <w:szCs w:val="20"/>
          <w:color w:val="auto"/>
        </w:rPr>
      </w:pPr>
      <w:r>
        <w:rPr>
          <w:rFonts w:ascii="Arial" w:cs="Arial" w:eastAsia="Arial" w:hAnsi="Arial"/>
          <w:sz w:val="16"/>
          <w:szCs w:val="16"/>
          <w:color w:val="auto"/>
        </w:rPr>
        <w:t>majority of the holders of a</w:t>
      </w:r>
    </w:p>
    <w:p>
      <w:pPr>
        <w:spacing w:after="0" w:line="211" w:lineRule="auto"/>
        <w:rPr>
          <w:sz w:val="20"/>
          <w:szCs w:val="20"/>
          <w:color w:val="auto"/>
        </w:rPr>
      </w:pPr>
      <w:r>
        <w:rPr>
          <w:rFonts w:ascii="Arial" w:cs="Arial" w:eastAsia="Arial" w:hAnsi="Arial"/>
          <w:sz w:val="16"/>
          <w:szCs w:val="16"/>
          <w:color w:val="auto"/>
        </w:rPr>
        <w:t>majority of the shares present</w:t>
      </w:r>
    </w:p>
    <w:p>
      <w:pPr>
        <w:spacing w:after="0" w:line="212" w:lineRule="auto"/>
        <w:rPr>
          <w:sz w:val="20"/>
          <w:szCs w:val="20"/>
          <w:color w:val="auto"/>
        </w:rPr>
      </w:pPr>
      <w:r>
        <w:rPr>
          <w:rFonts w:ascii="Arial" w:cs="Arial" w:eastAsia="Arial" w:hAnsi="Arial"/>
          <w:sz w:val="16"/>
          <w:szCs w:val="16"/>
          <w:color w:val="auto"/>
        </w:rPr>
        <w:t>in person or represented by</w:t>
      </w:r>
    </w:p>
    <w:p>
      <w:pPr>
        <w:spacing w:after="0" w:line="211" w:lineRule="auto"/>
        <w:rPr>
          <w:sz w:val="20"/>
          <w:szCs w:val="20"/>
          <w:color w:val="auto"/>
        </w:rPr>
      </w:pPr>
      <w:r>
        <w:rPr>
          <w:rFonts w:ascii="Arial" w:cs="Arial" w:eastAsia="Arial" w:hAnsi="Arial"/>
          <w:sz w:val="16"/>
          <w:szCs w:val="16"/>
          <w:color w:val="auto"/>
        </w:rPr>
        <w:t>proxy and entitled to vote</w:t>
      </w:r>
    </w:p>
    <w:p>
      <w:pPr>
        <w:spacing w:after="0"/>
        <w:rPr>
          <w:sz w:val="20"/>
          <w:szCs w:val="20"/>
          <w:color w:val="auto"/>
        </w:rPr>
      </w:pPr>
      <w:r>
        <w:rPr>
          <w:rFonts w:ascii="Arial" w:cs="Arial" w:eastAsia="Arial" w:hAnsi="Arial"/>
          <w:sz w:val="16"/>
          <w:szCs w:val="16"/>
          <w:color w:val="auto"/>
        </w:rPr>
        <w:t>thereon (1)</w:t>
      </w:r>
    </w:p>
    <w:p>
      <w:pPr>
        <w:spacing w:after="0" w:line="177" w:lineRule="exact"/>
        <w:rPr>
          <w:sz w:val="20"/>
          <w:szCs w:val="20"/>
          <w:color w:val="auto"/>
        </w:rPr>
      </w:pPr>
    </w:p>
    <w:p>
      <w:pPr>
        <w:sectPr>
          <w:pgSz w:w="11900" w:h="16838" w:orient="portrait"/>
          <w:cols w:equalWidth="0" w:num="4">
            <w:col w:w="1560" w:space="60"/>
            <w:col w:w="1300" w:space="80"/>
            <w:col w:w="2140" w:space="120"/>
            <w:col w:w="5980"/>
          </w:cols>
          <w:pgMar w:left="320" w:top="161"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1500" w:type="dxa"/>
            <w:vAlign w:val="bottom"/>
            <w:tcBorders>
              <w:top w:val="single" w:sz="8" w:color="E97D2E"/>
            </w:tcBorders>
          </w:tcPr>
          <w:p>
            <w:pPr>
              <w:ind w:left="20"/>
              <w:spacing w:after="0" w:line="171" w:lineRule="exact"/>
              <w:rPr>
                <w:sz w:val="20"/>
                <w:szCs w:val="20"/>
                <w:color w:val="auto"/>
              </w:rPr>
            </w:pPr>
            <w:r>
              <w:rPr>
                <w:rFonts w:ascii="Arial" w:cs="Arial" w:eastAsia="Arial" w:hAnsi="Arial"/>
                <w:sz w:val="18"/>
                <w:szCs w:val="18"/>
                <w:color w:val="auto"/>
              </w:rPr>
              <w:t>4. Ratification of</w:t>
            </w:r>
          </w:p>
        </w:tc>
        <w:tc>
          <w:tcPr>
            <w:tcW w:w="1460" w:type="dxa"/>
            <w:vAlign w:val="bottom"/>
            <w:tcBorders>
              <w:top w:val="single" w:sz="8" w:color="E97D2E"/>
            </w:tcBorders>
          </w:tcPr>
          <w:p>
            <w:pPr>
              <w:ind w:left="120"/>
              <w:spacing w:after="0" w:line="171" w:lineRule="exact"/>
              <w:rPr>
                <w:sz w:val="20"/>
                <w:szCs w:val="20"/>
                <w:color w:val="auto"/>
              </w:rPr>
            </w:pPr>
            <w:r>
              <w:rPr>
                <w:rFonts w:ascii="Arial" w:cs="Arial" w:eastAsia="Arial" w:hAnsi="Arial"/>
                <w:sz w:val="16"/>
                <w:szCs w:val="16"/>
                <w:color w:val="auto"/>
              </w:rPr>
              <w:t>You may vote</w:t>
            </w:r>
          </w:p>
        </w:tc>
        <w:tc>
          <w:tcPr>
            <w:tcW w:w="2200" w:type="dxa"/>
            <w:vAlign w:val="bottom"/>
            <w:tcBorders>
              <w:top w:val="single" w:sz="8" w:color="E97D2E"/>
            </w:tcBorders>
          </w:tcPr>
          <w:p>
            <w:pPr>
              <w:ind w:left="40"/>
              <w:spacing w:after="0" w:line="171" w:lineRule="exact"/>
              <w:rPr>
                <w:sz w:val="20"/>
                <w:szCs w:val="20"/>
                <w:color w:val="auto"/>
              </w:rPr>
            </w:pPr>
            <w:r>
              <w:rPr>
                <w:rFonts w:ascii="Arial" w:cs="Arial" w:eastAsia="Arial" w:hAnsi="Arial"/>
                <w:sz w:val="16"/>
                <w:szCs w:val="16"/>
                <w:color w:val="auto"/>
              </w:rPr>
              <w:t>The Board recommends that</w:t>
            </w:r>
          </w:p>
        </w:tc>
        <w:tc>
          <w:tcPr>
            <w:tcW w:w="2300" w:type="dxa"/>
            <w:vAlign w:val="bottom"/>
            <w:tcBorders>
              <w:top w:val="single" w:sz="8" w:color="E97D2E"/>
            </w:tcBorders>
          </w:tcPr>
          <w:p>
            <w:pPr>
              <w:ind w:left="100"/>
              <w:spacing w:after="0" w:line="171" w:lineRule="exact"/>
              <w:rPr>
                <w:sz w:val="20"/>
                <w:szCs w:val="20"/>
                <w:color w:val="auto"/>
              </w:rPr>
            </w:pPr>
            <w:r>
              <w:rPr>
                <w:rFonts w:ascii="Arial" w:cs="Arial" w:eastAsia="Arial" w:hAnsi="Arial"/>
                <w:sz w:val="16"/>
                <w:szCs w:val="16"/>
                <w:color w:val="auto"/>
              </w:rPr>
              <w:t>This proposal must receive an</w:t>
            </w:r>
          </w:p>
        </w:tc>
        <w:tc>
          <w:tcPr>
            <w:tcW w:w="1400" w:type="dxa"/>
            <w:vAlign w:val="bottom"/>
            <w:tcBorders>
              <w:top w:val="single" w:sz="8" w:color="E97D2E"/>
            </w:tcBorders>
          </w:tcPr>
          <w:p>
            <w:pPr>
              <w:ind w:left="40"/>
              <w:spacing w:after="0" w:line="171" w:lineRule="exact"/>
              <w:rPr>
                <w:sz w:val="20"/>
                <w:szCs w:val="20"/>
                <w:color w:val="auto"/>
              </w:rPr>
            </w:pPr>
            <w:r>
              <w:rPr>
                <w:rFonts w:ascii="Arial" w:cs="Arial" w:eastAsia="Arial" w:hAnsi="Arial"/>
                <w:sz w:val="16"/>
                <w:szCs w:val="16"/>
                <w:color w:val="auto"/>
              </w:rPr>
              <w:t>Treated as votes</w:t>
            </w:r>
          </w:p>
        </w:tc>
        <w:tc>
          <w:tcPr>
            <w:tcW w:w="2380" w:type="dxa"/>
            <w:vAlign w:val="bottom"/>
            <w:tcBorders>
              <w:top w:val="single" w:sz="8" w:color="E97D2E"/>
            </w:tcBorders>
          </w:tcPr>
          <w:p>
            <w:pPr>
              <w:ind w:left="140"/>
              <w:spacing w:after="0" w:line="171" w:lineRule="exact"/>
              <w:rPr>
                <w:sz w:val="20"/>
                <w:szCs w:val="20"/>
                <w:color w:val="auto"/>
              </w:rPr>
            </w:pPr>
            <w:r>
              <w:rPr>
                <w:rFonts w:ascii="Arial" w:cs="Arial" w:eastAsia="Arial" w:hAnsi="Arial"/>
                <w:sz w:val="16"/>
                <w:szCs w:val="16"/>
                <w:color w:val="auto"/>
              </w:rPr>
              <w:t>There will be no broker non-</w:t>
            </w:r>
          </w:p>
        </w:tc>
      </w:tr>
      <w:tr>
        <w:trPr>
          <w:trHeight w:val="176"/>
        </w:trPr>
        <w:tc>
          <w:tcPr>
            <w:tcW w:w="1500" w:type="dxa"/>
            <w:vAlign w:val="bottom"/>
          </w:tcPr>
          <w:p>
            <w:pPr>
              <w:ind w:left="180"/>
              <w:spacing w:after="0" w:line="176" w:lineRule="exact"/>
              <w:rPr>
                <w:sz w:val="20"/>
                <w:szCs w:val="20"/>
                <w:color w:val="auto"/>
              </w:rPr>
            </w:pPr>
            <w:r>
              <w:rPr>
                <w:rFonts w:ascii="Arial" w:cs="Arial" w:eastAsia="Arial" w:hAnsi="Arial"/>
                <w:sz w:val="18"/>
                <w:szCs w:val="18"/>
                <w:color w:val="auto"/>
              </w:rPr>
              <w:t>the selection of</w:t>
            </w:r>
          </w:p>
        </w:tc>
        <w:tc>
          <w:tcPr>
            <w:tcW w:w="1460" w:type="dxa"/>
            <w:vAlign w:val="bottom"/>
          </w:tcPr>
          <w:p>
            <w:pPr>
              <w:ind w:left="120"/>
              <w:spacing w:after="0" w:line="175" w:lineRule="exact"/>
              <w:rPr>
                <w:sz w:val="20"/>
                <w:szCs w:val="20"/>
                <w:color w:val="auto"/>
              </w:rPr>
            </w:pPr>
            <w:r>
              <w:rPr>
                <w:rFonts w:ascii="Arial" w:cs="Arial" w:eastAsia="Arial" w:hAnsi="Arial"/>
                <w:sz w:val="16"/>
                <w:szCs w:val="16"/>
                <w:color w:val="auto"/>
              </w:rPr>
              <w:t>FOR or AGAINST</w:t>
            </w:r>
          </w:p>
        </w:tc>
        <w:tc>
          <w:tcPr>
            <w:tcW w:w="2200" w:type="dxa"/>
            <w:vAlign w:val="bottom"/>
          </w:tcPr>
          <w:p>
            <w:pPr>
              <w:ind w:left="40"/>
              <w:spacing w:after="0" w:line="175" w:lineRule="exact"/>
              <w:rPr>
                <w:sz w:val="20"/>
                <w:szCs w:val="20"/>
                <w:color w:val="auto"/>
              </w:rPr>
            </w:pPr>
            <w:r>
              <w:rPr>
                <w:rFonts w:ascii="Arial" w:cs="Arial" w:eastAsia="Arial" w:hAnsi="Arial"/>
                <w:sz w:val="16"/>
                <w:szCs w:val="16"/>
                <w:color w:val="auto"/>
              </w:rPr>
              <w:t>you vote FOR this proposal</w:t>
            </w:r>
          </w:p>
        </w:tc>
        <w:tc>
          <w:tcPr>
            <w:tcW w:w="2300" w:type="dxa"/>
            <w:vAlign w:val="bottom"/>
          </w:tcPr>
          <w:p>
            <w:pPr>
              <w:ind w:left="100"/>
              <w:spacing w:after="0" w:line="175" w:lineRule="exact"/>
              <w:rPr>
                <w:sz w:val="20"/>
                <w:szCs w:val="20"/>
                <w:color w:val="auto"/>
              </w:rPr>
            </w:pPr>
            <w:r>
              <w:rPr>
                <w:rFonts w:ascii="Arial" w:cs="Arial" w:eastAsia="Arial" w:hAnsi="Arial"/>
                <w:sz w:val="16"/>
                <w:szCs w:val="16"/>
                <w:color w:val="auto"/>
              </w:rPr>
              <w:t>affirmative vote from the</w:t>
            </w:r>
          </w:p>
        </w:tc>
        <w:tc>
          <w:tcPr>
            <w:tcW w:w="1400" w:type="dxa"/>
            <w:vAlign w:val="bottom"/>
          </w:tcPr>
          <w:p>
            <w:pPr>
              <w:ind w:left="40"/>
              <w:spacing w:after="0" w:line="175" w:lineRule="exact"/>
              <w:rPr>
                <w:sz w:val="20"/>
                <w:szCs w:val="20"/>
                <w:color w:val="auto"/>
              </w:rPr>
            </w:pPr>
            <w:r>
              <w:rPr>
                <w:rFonts w:ascii="Arial" w:cs="Arial" w:eastAsia="Arial" w:hAnsi="Arial"/>
                <w:sz w:val="16"/>
                <w:szCs w:val="16"/>
                <w:color w:val="auto"/>
              </w:rPr>
              <w:t>against</w:t>
            </w:r>
          </w:p>
        </w:tc>
        <w:tc>
          <w:tcPr>
            <w:tcW w:w="2380" w:type="dxa"/>
            <w:vAlign w:val="bottom"/>
          </w:tcPr>
          <w:p>
            <w:pPr>
              <w:ind w:left="140"/>
              <w:spacing w:after="0" w:line="175" w:lineRule="exact"/>
              <w:rPr>
                <w:sz w:val="20"/>
                <w:szCs w:val="20"/>
                <w:color w:val="auto"/>
              </w:rPr>
            </w:pPr>
            <w:r>
              <w:rPr>
                <w:rFonts w:ascii="Arial" w:cs="Arial" w:eastAsia="Arial" w:hAnsi="Arial"/>
                <w:sz w:val="16"/>
                <w:szCs w:val="16"/>
                <w:color w:val="auto"/>
              </w:rPr>
              <w:t>votes, as this is a “routine”</w:t>
            </w:r>
          </w:p>
        </w:tc>
      </w:tr>
      <w:tr>
        <w:trPr>
          <w:trHeight w:val="150"/>
        </w:trPr>
        <w:tc>
          <w:tcPr>
            <w:tcW w:w="1500" w:type="dxa"/>
            <w:vAlign w:val="bottom"/>
          </w:tcPr>
          <w:p>
            <w:pPr>
              <w:ind w:left="180"/>
              <w:spacing w:after="0" w:line="150" w:lineRule="exact"/>
              <w:rPr>
                <w:sz w:val="20"/>
                <w:szCs w:val="20"/>
                <w:color w:val="auto"/>
              </w:rPr>
            </w:pPr>
            <w:r>
              <w:rPr>
                <w:rFonts w:ascii="Arial" w:cs="Arial" w:eastAsia="Arial" w:hAnsi="Arial"/>
                <w:sz w:val="17"/>
                <w:szCs w:val="17"/>
                <w:color w:val="auto"/>
              </w:rPr>
              <w:t>PwC as our</w:t>
            </w:r>
          </w:p>
        </w:tc>
        <w:tc>
          <w:tcPr>
            <w:tcW w:w="1460" w:type="dxa"/>
            <w:vAlign w:val="bottom"/>
          </w:tcPr>
          <w:p>
            <w:pPr>
              <w:ind w:left="120"/>
              <w:spacing w:after="0" w:line="151" w:lineRule="exact"/>
              <w:rPr>
                <w:sz w:val="20"/>
                <w:szCs w:val="20"/>
                <w:color w:val="auto"/>
              </w:rPr>
            </w:pPr>
            <w:r>
              <w:rPr>
                <w:rFonts w:ascii="Arial" w:cs="Arial" w:eastAsia="Arial" w:hAnsi="Arial"/>
                <w:sz w:val="16"/>
                <w:szCs w:val="16"/>
                <w:color w:val="auto"/>
              </w:rPr>
              <w:t>this proposal or</w:t>
            </w:r>
          </w:p>
        </w:tc>
        <w:tc>
          <w:tcPr>
            <w:tcW w:w="2200" w:type="dxa"/>
            <w:vAlign w:val="bottom"/>
          </w:tcPr>
          <w:p>
            <w:pPr>
              <w:spacing w:after="0"/>
              <w:rPr>
                <w:sz w:val="13"/>
                <w:szCs w:val="13"/>
                <w:color w:val="auto"/>
              </w:rPr>
            </w:pPr>
          </w:p>
        </w:tc>
        <w:tc>
          <w:tcPr>
            <w:tcW w:w="2300" w:type="dxa"/>
            <w:vAlign w:val="bottom"/>
          </w:tcPr>
          <w:p>
            <w:pPr>
              <w:ind w:left="100"/>
              <w:spacing w:after="0" w:line="151" w:lineRule="exact"/>
              <w:rPr>
                <w:sz w:val="20"/>
                <w:szCs w:val="20"/>
                <w:color w:val="auto"/>
              </w:rPr>
            </w:pPr>
            <w:r>
              <w:rPr>
                <w:rFonts w:ascii="Arial" w:cs="Arial" w:eastAsia="Arial" w:hAnsi="Arial"/>
                <w:sz w:val="16"/>
                <w:szCs w:val="16"/>
                <w:color w:val="auto"/>
              </w:rPr>
              <w:t>majority of the holders of a</w:t>
            </w:r>
          </w:p>
        </w:tc>
        <w:tc>
          <w:tcPr>
            <w:tcW w:w="1400" w:type="dxa"/>
            <w:vAlign w:val="bottom"/>
          </w:tcPr>
          <w:p>
            <w:pPr>
              <w:spacing w:after="0"/>
              <w:rPr>
                <w:sz w:val="13"/>
                <w:szCs w:val="13"/>
                <w:color w:val="auto"/>
              </w:rPr>
            </w:pPr>
          </w:p>
        </w:tc>
        <w:tc>
          <w:tcPr>
            <w:tcW w:w="2380" w:type="dxa"/>
            <w:vAlign w:val="bottom"/>
          </w:tcPr>
          <w:p>
            <w:pPr>
              <w:ind w:left="140"/>
              <w:spacing w:after="0" w:line="151" w:lineRule="exact"/>
              <w:rPr>
                <w:sz w:val="20"/>
                <w:szCs w:val="20"/>
                <w:color w:val="auto"/>
              </w:rPr>
            </w:pPr>
            <w:r>
              <w:rPr>
                <w:rFonts w:ascii="Arial" w:cs="Arial" w:eastAsia="Arial" w:hAnsi="Arial"/>
                <w:sz w:val="16"/>
                <w:szCs w:val="16"/>
                <w:color w:val="auto"/>
              </w:rPr>
              <w:t>proposal for which brokers</w:t>
            </w:r>
          </w:p>
        </w:tc>
      </w:tr>
      <w:tr>
        <w:trPr>
          <w:trHeight w:val="214"/>
        </w:trPr>
        <w:tc>
          <w:tcPr>
            <w:tcW w:w="1500" w:type="dxa"/>
            <w:vAlign w:val="bottom"/>
          </w:tcPr>
          <w:p>
            <w:pPr>
              <w:ind w:left="180"/>
              <w:spacing w:after="0"/>
              <w:rPr>
                <w:sz w:val="20"/>
                <w:szCs w:val="20"/>
                <w:color w:val="auto"/>
              </w:rPr>
            </w:pPr>
            <w:r>
              <w:rPr>
                <w:rFonts w:ascii="Arial" w:cs="Arial" w:eastAsia="Arial" w:hAnsi="Arial"/>
                <w:sz w:val="18"/>
                <w:szCs w:val="18"/>
                <w:color w:val="auto"/>
              </w:rPr>
              <w:t>auditor</w:t>
            </w:r>
          </w:p>
        </w:tc>
        <w:tc>
          <w:tcPr>
            <w:tcW w:w="1460" w:type="dxa"/>
            <w:vAlign w:val="bottom"/>
          </w:tcPr>
          <w:p>
            <w:pPr>
              <w:ind w:left="120"/>
              <w:spacing w:after="0"/>
              <w:rPr>
                <w:sz w:val="20"/>
                <w:szCs w:val="20"/>
                <w:color w:val="auto"/>
              </w:rPr>
            </w:pPr>
            <w:r>
              <w:rPr>
                <w:rFonts w:ascii="Arial" w:cs="Arial" w:eastAsia="Arial" w:hAnsi="Arial"/>
                <w:sz w:val="16"/>
                <w:szCs w:val="16"/>
                <w:color w:val="auto"/>
              </w:rPr>
              <w:t>choose to</w:t>
            </w:r>
          </w:p>
        </w:tc>
        <w:tc>
          <w:tcPr>
            <w:tcW w:w="2200" w:type="dxa"/>
            <w:vAlign w:val="bottom"/>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6"/>
                <w:szCs w:val="16"/>
                <w:color w:val="auto"/>
              </w:rPr>
              <w:t>majority of the shares present</w:t>
            </w:r>
          </w:p>
        </w:tc>
        <w:tc>
          <w:tcPr>
            <w:tcW w:w="140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have discretionary voting</w:t>
            </w:r>
          </w:p>
        </w:tc>
      </w:tr>
      <w:tr>
        <w:trPr>
          <w:trHeight w:val="95"/>
        </w:trPr>
        <w:tc>
          <w:tcPr>
            <w:tcW w:w="1500" w:type="dxa"/>
            <w:vAlign w:val="bottom"/>
          </w:tcPr>
          <w:p>
            <w:pPr>
              <w:spacing w:after="0"/>
              <w:rPr>
                <w:sz w:val="8"/>
                <w:szCs w:val="8"/>
                <w:color w:val="auto"/>
              </w:rPr>
            </w:pPr>
          </w:p>
        </w:tc>
        <w:tc>
          <w:tcPr>
            <w:tcW w:w="1460" w:type="dxa"/>
            <w:vAlign w:val="bottom"/>
          </w:tcPr>
          <w:p>
            <w:pPr>
              <w:ind w:left="120"/>
              <w:spacing w:after="0" w:line="95" w:lineRule="exact"/>
              <w:rPr>
                <w:sz w:val="20"/>
                <w:szCs w:val="20"/>
                <w:color w:val="auto"/>
              </w:rPr>
            </w:pPr>
            <w:r>
              <w:rPr>
                <w:rFonts w:ascii="Arial" w:cs="Arial" w:eastAsia="Arial" w:hAnsi="Arial"/>
                <w:sz w:val="10"/>
                <w:szCs w:val="10"/>
                <w:color w:val="auto"/>
              </w:rPr>
              <w:t>ABSTAIN from</w:t>
            </w:r>
          </w:p>
        </w:tc>
        <w:tc>
          <w:tcPr>
            <w:tcW w:w="2200" w:type="dxa"/>
            <w:vAlign w:val="bottom"/>
          </w:tcPr>
          <w:p>
            <w:pPr>
              <w:spacing w:after="0"/>
              <w:rPr>
                <w:sz w:val="8"/>
                <w:szCs w:val="8"/>
                <w:color w:val="auto"/>
              </w:rPr>
            </w:pPr>
          </w:p>
        </w:tc>
        <w:tc>
          <w:tcPr>
            <w:tcW w:w="2300" w:type="dxa"/>
            <w:vAlign w:val="bottom"/>
          </w:tcPr>
          <w:p>
            <w:pPr>
              <w:ind w:left="100"/>
              <w:spacing w:after="0" w:line="95" w:lineRule="exact"/>
              <w:rPr>
                <w:sz w:val="20"/>
                <w:szCs w:val="20"/>
                <w:color w:val="auto"/>
              </w:rPr>
            </w:pPr>
            <w:r>
              <w:rPr>
                <w:rFonts w:ascii="Arial" w:cs="Arial" w:eastAsia="Arial" w:hAnsi="Arial"/>
                <w:sz w:val="10"/>
                <w:szCs w:val="10"/>
                <w:color w:val="auto"/>
              </w:rPr>
              <w:t>in person or represented by</w:t>
            </w:r>
          </w:p>
        </w:tc>
        <w:tc>
          <w:tcPr>
            <w:tcW w:w="1400" w:type="dxa"/>
            <w:vAlign w:val="bottom"/>
          </w:tcPr>
          <w:p>
            <w:pPr>
              <w:spacing w:after="0"/>
              <w:rPr>
                <w:sz w:val="8"/>
                <w:szCs w:val="8"/>
                <w:color w:val="auto"/>
              </w:rPr>
            </w:pPr>
          </w:p>
        </w:tc>
        <w:tc>
          <w:tcPr>
            <w:tcW w:w="2380" w:type="dxa"/>
            <w:vAlign w:val="bottom"/>
          </w:tcPr>
          <w:p>
            <w:pPr>
              <w:ind w:left="140"/>
              <w:spacing w:after="0" w:line="95" w:lineRule="exact"/>
              <w:rPr>
                <w:sz w:val="20"/>
                <w:szCs w:val="20"/>
                <w:color w:val="auto"/>
              </w:rPr>
            </w:pPr>
            <w:r>
              <w:rPr>
                <w:rFonts w:ascii="Arial" w:cs="Arial" w:eastAsia="Arial" w:hAnsi="Arial"/>
                <w:sz w:val="10"/>
                <w:szCs w:val="10"/>
                <w:color w:val="auto"/>
              </w:rPr>
              <w:t>authority</w:t>
            </w:r>
          </w:p>
        </w:tc>
      </w:tr>
      <w:tr>
        <w:trPr>
          <w:trHeight w:val="162"/>
        </w:trPr>
        <w:tc>
          <w:tcPr>
            <w:tcW w:w="1500" w:type="dxa"/>
            <w:vAlign w:val="bottom"/>
          </w:tcPr>
          <w:p>
            <w:pPr>
              <w:spacing w:after="0"/>
              <w:rPr>
                <w:sz w:val="14"/>
                <w:szCs w:val="14"/>
                <w:color w:val="auto"/>
              </w:rPr>
            </w:pPr>
          </w:p>
        </w:tc>
        <w:tc>
          <w:tcPr>
            <w:tcW w:w="1460" w:type="dxa"/>
            <w:vAlign w:val="bottom"/>
          </w:tcPr>
          <w:p>
            <w:pPr>
              <w:ind w:left="120"/>
              <w:spacing w:after="0" w:line="162" w:lineRule="exact"/>
              <w:rPr>
                <w:sz w:val="20"/>
                <w:szCs w:val="20"/>
                <w:color w:val="auto"/>
              </w:rPr>
            </w:pPr>
            <w:r>
              <w:rPr>
                <w:rFonts w:ascii="Arial" w:cs="Arial" w:eastAsia="Arial" w:hAnsi="Arial"/>
                <w:sz w:val="16"/>
                <w:szCs w:val="16"/>
                <w:color w:val="auto"/>
              </w:rPr>
              <w:t>voting</w:t>
            </w:r>
          </w:p>
        </w:tc>
        <w:tc>
          <w:tcPr>
            <w:tcW w:w="2200" w:type="dxa"/>
            <w:vAlign w:val="bottom"/>
          </w:tcPr>
          <w:p>
            <w:pPr>
              <w:spacing w:after="0"/>
              <w:rPr>
                <w:sz w:val="14"/>
                <w:szCs w:val="14"/>
                <w:color w:val="auto"/>
              </w:rPr>
            </w:pPr>
          </w:p>
        </w:tc>
        <w:tc>
          <w:tcPr>
            <w:tcW w:w="2300" w:type="dxa"/>
            <w:vAlign w:val="bottom"/>
          </w:tcPr>
          <w:p>
            <w:pPr>
              <w:ind w:left="100"/>
              <w:spacing w:after="0" w:line="162" w:lineRule="exact"/>
              <w:rPr>
                <w:sz w:val="20"/>
                <w:szCs w:val="20"/>
                <w:color w:val="auto"/>
              </w:rPr>
            </w:pPr>
            <w:r>
              <w:rPr>
                <w:rFonts w:ascii="Arial" w:cs="Arial" w:eastAsia="Arial" w:hAnsi="Arial"/>
                <w:sz w:val="16"/>
                <w:szCs w:val="16"/>
                <w:color w:val="auto"/>
              </w:rPr>
              <w:t>proxy and entitled to vote</w:t>
            </w:r>
          </w:p>
        </w:tc>
        <w:tc>
          <w:tcPr>
            <w:tcW w:w="14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15"/>
        </w:trPr>
        <w:tc>
          <w:tcPr>
            <w:tcW w:w="1500" w:type="dxa"/>
            <w:vAlign w:val="bottom"/>
            <w:tcBorders>
              <w:bottom w:val="single" w:sz="8" w:color="E97D2E"/>
            </w:tcBorders>
          </w:tcPr>
          <w:p>
            <w:pPr>
              <w:spacing w:after="0"/>
              <w:rPr>
                <w:sz w:val="18"/>
                <w:szCs w:val="18"/>
                <w:color w:val="auto"/>
              </w:rPr>
            </w:pPr>
          </w:p>
        </w:tc>
        <w:tc>
          <w:tcPr>
            <w:tcW w:w="1460" w:type="dxa"/>
            <w:vAlign w:val="bottom"/>
            <w:tcBorders>
              <w:bottom w:val="single" w:sz="8" w:color="E97D2E"/>
            </w:tcBorders>
          </w:tcPr>
          <w:p>
            <w:pPr>
              <w:spacing w:after="0"/>
              <w:rPr>
                <w:sz w:val="18"/>
                <w:szCs w:val="18"/>
                <w:color w:val="auto"/>
              </w:rPr>
            </w:pPr>
          </w:p>
        </w:tc>
        <w:tc>
          <w:tcPr>
            <w:tcW w:w="2200" w:type="dxa"/>
            <w:vAlign w:val="bottom"/>
            <w:tcBorders>
              <w:bottom w:val="single" w:sz="8" w:color="E97D2E"/>
            </w:tcBorders>
          </w:tcPr>
          <w:p>
            <w:pPr>
              <w:spacing w:after="0"/>
              <w:rPr>
                <w:sz w:val="18"/>
                <w:szCs w:val="18"/>
                <w:color w:val="auto"/>
              </w:rPr>
            </w:pPr>
          </w:p>
        </w:tc>
        <w:tc>
          <w:tcPr>
            <w:tcW w:w="2300" w:type="dxa"/>
            <w:vAlign w:val="bottom"/>
            <w:tcBorders>
              <w:bottom w:val="single" w:sz="8" w:color="E97D2E"/>
            </w:tcBorders>
          </w:tcPr>
          <w:p>
            <w:pPr>
              <w:ind w:left="100"/>
              <w:spacing w:after="0"/>
              <w:rPr>
                <w:sz w:val="20"/>
                <w:szCs w:val="20"/>
                <w:color w:val="auto"/>
              </w:rPr>
            </w:pPr>
            <w:r>
              <w:rPr>
                <w:rFonts w:ascii="Arial" w:cs="Arial" w:eastAsia="Arial" w:hAnsi="Arial"/>
                <w:sz w:val="16"/>
                <w:szCs w:val="16"/>
                <w:color w:val="auto"/>
              </w:rPr>
              <w:t>thereon</w:t>
            </w:r>
          </w:p>
        </w:tc>
        <w:tc>
          <w:tcPr>
            <w:tcW w:w="1400" w:type="dxa"/>
            <w:vAlign w:val="bottom"/>
            <w:tcBorders>
              <w:bottom w:val="single" w:sz="8" w:color="E97D2E"/>
            </w:tcBorders>
          </w:tcPr>
          <w:p>
            <w:pPr>
              <w:spacing w:after="0"/>
              <w:rPr>
                <w:sz w:val="18"/>
                <w:szCs w:val="18"/>
                <w:color w:val="auto"/>
              </w:rPr>
            </w:pPr>
          </w:p>
        </w:tc>
        <w:tc>
          <w:tcPr>
            <w:tcW w:w="2380" w:type="dxa"/>
            <w:vAlign w:val="bottom"/>
            <w:tcBorders>
              <w:bottom w:val="single" w:sz="8" w:color="E97D2E"/>
            </w:tcBorders>
          </w:tcPr>
          <w:p>
            <w:pPr>
              <w:spacing w:after="0"/>
              <w:rPr>
                <w:sz w:val="18"/>
                <w:szCs w:val="18"/>
                <w:color w:val="auto"/>
              </w:rPr>
            </w:pPr>
          </w:p>
        </w:tc>
      </w:tr>
    </w:tbl>
    <w:p>
      <w:pPr>
        <w:spacing w:after="0" w:line="170" w:lineRule="exact"/>
        <w:rPr>
          <w:sz w:val="20"/>
          <w:szCs w:val="20"/>
          <w:color w:val="auto"/>
        </w:rPr>
      </w:pPr>
    </w:p>
    <w:p>
      <w:pPr>
        <w:ind w:left="340" w:hanging="332"/>
        <w:spacing w:after="0" w:line="271" w:lineRule="auto"/>
        <w:tabs>
          <w:tab w:leader="none" w:pos="2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Because this advisory vote has three possible frequency voting options, if none of the frequency options receive a majority of the votes, the option receiving the greatest number of votes will be considered the frequency recommended by our stockholders.</w:t>
      </w:r>
    </w:p>
    <w:p>
      <w:pPr>
        <w:spacing w:after="0" w:line="188" w:lineRule="exact"/>
        <w:rPr>
          <w:sz w:val="20"/>
          <w:szCs w:val="20"/>
          <w:color w:val="auto"/>
        </w:rPr>
      </w:pPr>
    </w:p>
    <w:p>
      <w:pPr>
        <w:ind w:right="560"/>
        <w:spacing w:after="0" w:line="278" w:lineRule="auto"/>
        <w:rPr>
          <w:sz w:val="20"/>
          <w:szCs w:val="20"/>
          <w:color w:val="auto"/>
        </w:rPr>
      </w:pPr>
      <w:r>
        <w:rPr>
          <w:rFonts w:ascii="Arial" w:cs="Arial" w:eastAsia="Arial" w:hAnsi="Arial"/>
          <w:sz w:val="25"/>
          <w:szCs w:val="25"/>
          <w:b w:val="1"/>
          <w:bCs w:val="1"/>
          <w:color w:val="465E66"/>
        </w:rPr>
        <w:t>What happens if I do not submit voting instructions for a proposal? What is discretionary voting? What is a broker non-vote?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properly complete, sign, date and return a proxy card or voting instruction form, your shares of our common stock will be voted as you specify. If you are a stockholder of record and you make no specifications on your proxy card, your shares of our common stock will be voted in accordance with the recommendations of our Board, as provided above. If you are a beneficial owner and you do not provide voting instructions to your bank, broker, trustee or other nominee holding shares of our common stock for you, your shares of our common stock will not be voted with respect to any proposal for which the stockholder of record does not have discretionary authority to vote. A “broker non-vote” occurs when a bank, broker, trustee or other nominee holding shares for a beneficial owner returns a valid proxy, but does not vote on a particular proposal because it does not have discretionary authority to vote on the matter and has not received voting instructions from the stockholder for whom it is holding shares. Specifically, a broker only has discretionary authority to vote, without instructions from the</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beneficial owner, on “routine” items such as the ratification of the appointment of an independent registered public accounting firm. A broker would not have authority to vote on any other matter proposed in this proxy statement in the absence of instructions from the beneficial owner (resulting in a broker non-vote).</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proposal relating to the ratification, on an advisory basis, of the appointment of our independent registered public accounting firm is the only discretionary proposal. If you are a beneficial owner and you do not provide voting instructions to your bank, broker, trustee or other</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nominee holding shares for you, your shares may be voted with respect to the ratification, on an advisory basis, of the appointment of our independent registered public accounting firm.</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proposals relating to the election of directors, the compensation of our named executive officers and say-on-frequency are non-discretionary proposals. Accordingly, if you are a beneficial owner and you do not provide voting instructions to your bank, broker, trustee or other nominee holding shares for you, your shares will not be voted with respect to these proposals. Without your voting instructions, a broker non-vote will occur with respect to your shares on each non-discretionary proposal for which you have not provided voting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Could other matters be considered and voted upon at the annual meeting?</w:t>
      </w:r>
    </w:p>
    <w:p>
      <w:pPr>
        <w:spacing w:after="0" w:line="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than the proposals set forth in this proxy statement, we do not intend to bring, and we are not currently aware of, any other matters to be voted on at the annual meeting. In addition, pursuant to our bylaws, the time has elapsed for any stockholder to properly bring a matter before the annual meeting. If, however, other matters are properly presented at the annual meeting and you have signed and returned your proxy card, the proxies will have discretion to vote your shares on such matters to the extent authorized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68</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73" w:name="page74"/>
    <w:bookmarkEnd w:id="73"/>
    <w:p>
      <w:pPr>
        <w:ind w:left="9320"/>
        <w:spacing w:after="0"/>
        <w:rPr>
          <w:sz w:val="20"/>
          <w:szCs w:val="20"/>
          <w:color w:val="auto"/>
        </w:rPr>
      </w:pPr>
      <w:r>
        <w:rPr>
          <w:rFonts w:ascii="Arial" w:cs="Arial" w:eastAsia="Arial" w:hAnsi="Arial"/>
          <w:sz w:val="18"/>
          <w:szCs w:val="18"/>
          <w:color w:val="E97D2E"/>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Can I revoke my proxy or change my vote after I have voted?</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may revoke your proxy at any time before it is voted by attending the annual meeting and voting in person or by submitting a written notice of revocation or a properly executed proxy bearing a later date to our Secretary at our principal executive offices, located at 5701 North Pima Road, Scottsdale, Arizona 85250.</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Who pays for soliciting proxies?</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cost of soliciting proxies will be borne by us. We have retained Georgeson LLC (Georgeson) under an agreement to assist in the solicitation of proxies for the annual meeting. We have agreed to indemnify Georgeson against certain liabilities arising out of or in</w:t>
      </w:r>
    </w:p>
    <w:p>
      <w:pPr>
        <w:jc w:val="both"/>
        <w:spacing w:after="0" w:line="226" w:lineRule="auto"/>
        <w:rPr>
          <w:sz w:val="20"/>
          <w:szCs w:val="20"/>
          <w:color w:val="auto"/>
        </w:rPr>
      </w:pPr>
      <w:r>
        <w:rPr>
          <w:rFonts w:ascii="Arial" w:cs="Arial" w:eastAsia="Arial" w:hAnsi="Arial"/>
          <w:sz w:val="18"/>
          <w:szCs w:val="18"/>
          <w:color w:val="auto"/>
        </w:rPr>
        <w:t>connection with the engagement and to limit its aggregate liability for its services. The estimated cost for such services is $12,000, plus additional fees relating to telephone solicitation of proxies and upon the occurrence of certain other contingencies, as well as other customary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costs. In addition to the above services, we will request brokers and other record holders to send proxies and proxy materials to the beneficial owners of the stock and secure their voting instructions, if necessary. We will reimburse such record holders for their reasonable expenses in so doing. We may also use our directors, officers and/or regular employees, who will not be specially compensated, to solicit proxies personally or by telephone, email, U.S. mail or a private delivery service.</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What happens if the annual meeting is postponed or adjourned?</w:t>
      </w:r>
    </w:p>
    <w:p>
      <w:pPr>
        <w:spacing w:after="0" w:line="11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Unless a new record date is fixed, your proxy will still be valid and may be used to vote shares of our common stock at the postponed or adjourned annual meeting. You will still be able to change or revoke your proxy until it is used to vote your shares.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Where can I find the voting results of the annual meeting?</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will report the voting results in a Current Report on Form 8-K filed with the SEC within four business days of our annual meeting, a copy of which will also be available on our website.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MISCELLANEOUS INFORMATION</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Annual Report/Form 10-K</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Our 2022 annual report to stockholders (the annual report), which includes the Form 10-K (without certain exhibits that are excluded from the annual report pursuant to Rule 14a-3(b) of the Exchange Act), is being delivered concurrently with this proxy statement to all stockholders of record as of the record date. Those exhibits that are excluded from the annual report as described above are available for the cost of photocopying. To receive a copy, please write to: Investor Relations, ON Semiconductor Corporation, 5701 North Pima Road, Scottsdale, Arizona 85250; call: Investor Relations at (602) 244-3437; send an email to: investor@onsemi.com; or go to the Investor Relations section of our website at </w:t>
      </w:r>
      <w:r>
        <w:rPr>
          <w:rFonts w:ascii="Arial" w:cs="Arial" w:eastAsia="Arial" w:hAnsi="Arial"/>
          <w:sz w:val="18"/>
          <w:szCs w:val="18"/>
          <w:b w:val="1"/>
          <w:bCs w:val="1"/>
          <w:u w:val="single" w:color="auto"/>
          <w:color w:val="auto"/>
        </w:rPr>
        <w:t>www.onsemi.com</w:t>
      </w:r>
      <w:r>
        <w:rPr>
          <w:rFonts w:ascii="Arial" w:cs="Arial" w:eastAsia="Arial" w:hAnsi="Arial"/>
          <w:sz w:val="18"/>
          <w:szCs w:val="18"/>
          <w:b w:val="1"/>
          <w:bCs w:val="1"/>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Stockholders Sharing the Same Address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you hold your shares through a broker and share the same address as another stockholder, you will receive only one notice or set of proxy materials, including the annual report, unless you have provided contrary instructions. If you hold your shares in “street name” and wish to receive a separate notice or set of proxy materials, or if you share the same address as another stockholder and are receiving multiple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notices or sets of proxy materials and wish to receive only one, you will need to contact your broker. Each registered holder is provided with a notice or set of proxy materials; however, if you are a registered holder and would like an additional copy or, alternatively, if you share the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same address as another stockholder and (i) are receiving a single notice or set of proxy materials and wish to receive separate notices or sets or (ii) are receiving multiple notices or sets of proxy materials and wish to receive only one, please contact: Investor Relations, ON Semiconductor Corporation, 5701 North Pima Road, Scottsdale, Arizona 85250; call: Investor Relations at (602) 244-3437; send an email to: </w:t>
      </w:r>
      <w:r>
        <w:rPr>
          <w:rFonts w:ascii="Arial" w:cs="Arial" w:eastAsia="Arial" w:hAnsi="Arial"/>
          <w:sz w:val="18"/>
          <w:szCs w:val="18"/>
          <w:u w:val="single" w:color="auto"/>
          <w:color w:val="auto"/>
        </w:rPr>
        <w:t>investor@onsemi.com</w:t>
      </w:r>
      <w:r>
        <w:rPr>
          <w:rFonts w:ascii="Arial" w:cs="Arial" w:eastAsia="Arial" w:hAnsi="Arial"/>
          <w:sz w:val="18"/>
          <w:szCs w:val="18"/>
          <w:color w:val="auto"/>
        </w:rPr>
        <w:t xml:space="preserve">; or go to the Investor Relations section of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Stockholder Communications with the Board of Directors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 process by which our stockholders can send communications to the Board, and every effort is made to ensure that the Board or individual directors, as applicable, hear the views of our stockholders so that appropriate responses can be provided to our stockholders in a timely manner. Any matter intended for the Board, or for any individual member or members of the Board, should be directed to our Executive Vice President, Chief Legal Officer, Chief Compliance Officer</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74" w:name="page75"/>
    <w:bookmarkEnd w:id="74"/>
    <w:p>
      <w:pPr>
        <w:ind w:left="20"/>
        <w:spacing w:after="0"/>
        <w:rPr>
          <w:sz w:val="20"/>
          <w:szCs w:val="20"/>
          <w:color w:val="auto"/>
        </w:rPr>
      </w:pPr>
      <w:r>
        <w:rPr>
          <w:rFonts w:ascii="Arial" w:cs="Arial" w:eastAsia="Arial" w:hAnsi="Arial"/>
          <w:sz w:val="18"/>
          <w:szCs w:val="18"/>
          <w:color w:val="E97D2E"/>
        </w:rPr>
        <w:t>Miscellaneous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and Secretary, Pamela Tondreau, at the address of our principal executive offices, located at 5701 North Pima Road, Scottsdale, Arizona 85250, with a request to forward the same to the intended recipient. Substantive communications will generally be forwarded to the Board.</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Stockholder Nominations and Proposals (Non-Proxy Access)</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Stockholders may present, and our GS Committee will consider, proposals for action at a future meeting if they comply with our bylaws and SEC rules. Unless the Board determines otherwise, our 2024 annual meeting of stockholders will be held on May 16, 2024.</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SEC Rule 14a-8, stockholder proposals intended for inclusion in our 2024 proxy statement and acted upon at our 2024 annual meeting of stockholders must be received at our principal executive offices, located at 5701 North Pima Road, Scottsdale, Arizona 85250, on or prior to December 8, 2023.</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Stockholder proposals submitted for consideration at the 2024 annual meeting of stockholders but not submitted for inclusion in the proxy statement for our 2024 annual meeting, including stockholder nominations for candidates for election as directors, must be submitted in accordance with applicable advance notice provisions of our bylaws. Subject to advance notice provisions contained in our bylaws, a stockholder of record may propose the nomination of someone for election as a director at our annual meeting of stockholders by timely</w:t>
      </w:r>
    </w:p>
    <w:p>
      <w:pPr>
        <w:jc w:val="both"/>
        <w:ind w:right="20"/>
        <w:spacing w:after="0" w:line="237" w:lineRule="auto"/>
        <w:rPr>
          <w:sz w:val="20"/>
          <w:szCs w:val="20"/>
          <w:color w:val="auto"/>
        </w:rPr>
      </w:pPr>
      <w:r>
        <w:rPr>
          <w:rFonts w:ascii="Arial" w:cs="Arial" w:eastAsia="Arial" w:hAnsi="Arial"/>
          <w:sz w:val="18"/>
          <w:szCs w:val="18"/>
          <w:color w:val="auto"/>
        </w:rPr>
        <w:t>written notice to our Secretary. Stockholder proposals or nominations must include the specified information concerning the stockholder and the proposal or nominee as described in our bylaws.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Generally, a notice is timely if received by our Secretary not less than 90 days nor more than 120 days before the first anniversary of the date of the 2023 annual meeting of stockholders. As a result, any notice given by a stockholder pursuant to the provisions of our bylaws (other than notice pursuant to SEC Rule 14a-8 or proxy access as discussed below) must be received no earlier than January 19, 2024, and no later than February 18, 2024. However, if the date of the 2024 annual meeting occurs more than 30 days before or more than 30 days after May 18, 2024, notice by the stockholder of a proposal must be delivered not less than 90 days nor more than 120 days before the date of such annual meeting designated by the Board provided, if the first public disclosure or announcement of the date of such annual meeting is less than 105 days prior to the date of such annual meeting, then not less than 15 days after such public announcement. In addition, not more than 10 days after a request from our Secretary, the nominating or sponsoring stockholder must furnish to the Secretary such additional information as the Secretary may reasonably require. A nomination or stockholder proposal that does not comply with the above procedure and other procedures described in our bylaws will be disregarded. You may contact our Secretary at the principal executive office to request a copy of the relevant bylaw provisions regarding the requirements for making stockholder nominations or proposals. If any such matter is</w:t>
      </w:r>
    </w:p>
    <w:p>
      <w:pPr>
        <w:spacing w:after="0" w:line="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brought before an annual meeting, our management will use its discretionary authority to vote the shares subject to the proxies as the Board may recommend, to the extent allowed by our bylaws and applicable law. In addition, stockholders who intend to solicit proxies in support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director nominees other than the Company’s nominees must comply with the additional requirements of SEC Rule 14a-19(b).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70</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5" w:name="page76"/>
    <w:bookmarkEnd w:id="75"/>
    <w:p>
      <w:pPr>
        <w:ind w:left="9140"/>
        <w:spacing w:after="0"/>
        <w:rPr>
          <w:sz w:val="20"/>
          <w:szCs w:val="20"/>
          <w:color w:val="auto"/>
        </w:rPr>
      </w:pPr>
      <w:r>
        <w:rPr>
          <w:rFonts w:ascii="Arial" w:cs="Arial" w:eastAsia="Arial" w:hAnsi="Arial"/>
          <w:sz w:val="18"/>
          <w:szCs w:val="18"/>
          <w:color w:val="E97D2E"/>
        </w:rPr>
        <w:t>Miscellaneous Information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Proxy Access Nominations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bylaws also contain a proxy access provision as follows: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We permit a stockholder, or a group of up to </w:t>
      </w:r>
      <w:r>
        <w:rPr>
          <w:rFonts w:ascii="Arial" w:cs="Arial" w:eastAsia="Arial" w:hAnsi="Arial"/>
          <w:sz w:val="18"/>
          <w:szCs w:val="18"/>
          <w:color w:val="E97D2E"/>
        </w:rPr>
        <w:t>20</w:t>
      </w:r>
      <w:r>
        <w:rPr>
          <w:rFonts w:ascii="Arial" w:cs="Arial" w:eastAsia="Arial" w:hAnsi="Arial"/>
          <w:sz w:val="18"/>
          <w:szCs w:val="18"/>
          <w:color w:val="auto"/>
        </w:rPr>
        <w:t xml:space="preserve"> stockholders, owning at least </w:t>
      </w:r>
      <w:r>
        <w:rPr>
          <w:rFonts w:ascii="Arial" w:cs="Arial" w:eastAsia="Arial" w:hAnsi="Arial"/>
          <w:sz w:val="18"/>
          <w:szCs w:val="18"/>
          <w:color w:val="E97D2E"/>
        </w:rPr>
        <w:t>3%</w:t>
      </w:r>
      <w:r>
        <w:rPr>
          <w:rFonts w:ascii="Arial" w:cs="Arial" w:eastAsia="Arial" w:hAnsi="Arial"/>
          <w:sz w:val="18"/>
          <w:szCs w:val="18"/>
          <w:color w:val="auto"/>
        </w:rPr>
        <w:t xml:space="preserve"> of the Company’s outstanding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771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520" w:right="20"/>
        <w:spacing w:after="0" w:line="229" w:lineRule="auto"/>
        <w:rPr>
          <w:sz w:val="20"/>
          <w:szCs w:val="20"/>
          <w:color w:val="auto"/>
        </w:rPr>
      </w:pPr>
      <w:r>
        <w:rPr>
          <w:rFonts w:ascii="Arial" w:cs="Arial" w:eastAsia="Arial" w:hAnsi="Arial"/>
          <w:sz w:val="18"/>
          <w:szCs w:val="18"/>
          <w:color w:val="auto"/>
        </w:rPr>
        <w:t xml:space="preserve">stock continuously for at least </w:t>
      </w:r>
      <w:r>
        <w:rPr>
          <w:rFonts w:ascii="Arial" w:cs="Arial" w:eastAsia="Arial" w:hAnsi="Arial"/>
          <w:sz w:val="18"/>
          <w:szCs w:val="18"/>
          <w:color w:val="E97D2E"/>
        </w:rPr>
        <w:t>three</w:t>
      </w:r>
      <w:r>
        <w:rPr>
          <w:rFonts w:ascii="Arial" w:cs="Arial" w:eastAsia="Arial" w:hAnsi="Arial"/>
          <w:sz w:val="18"/>
          <w:szCs w:val="18"/>
          <w:color w:val="auto"/>
        </w:rPr>
        <w:t xml:space="preserve"> years, to nominate and include in our annual meeting proxy materials director nominees constituting up to the greater of </w:t>
      </w:r>
      <w:r>
        <w:rPr>
          <w:rFonts w:ascii="Arial" w:cs="Arial" w:eastAsia="Arial" w:hAnsi="Arial"/>
          <w:sz w:val="18"/>
          <w:szCs w:val="18"/>
          <w:color w:val="E97D2E"/>
        </w:rPr>
        <w:t>two</w:t>
      </w:r>
      <w:r>
        <w:rPr>
          <w:rFonts w:ascii="Arial" w:cs="Arial" w:eastAsia="Arial" w:hAnsi="Arial"/>
          <w:sz w:val="18"/>
          <w:szCs w:val="18"/>
          <w:color w:val="auto"/>
        </w:rPr>
        <w:t xml:space="preserve"> nominees or </w:t>
      </w:r>
      <w:r>
        <w:rPr>
          <w:rFonts w:ascii="Arial" w:cs="Arial" w:eastAsia="Arial" w:hAnsi="Arial"/>
          <w:sz w:val="18"/>
          <w:szCs w:val="18"/>
          <w:color w:val="E97D2E"/>
        </w:rPr>
        <w:t>20%</w:t>
      </w:r>
      <w:r>
        <w:rPr>
          <w:rFonts w:ascii="Arial" w:cs="Arial" w:eastAsia="Arial" w:hAnsi="Arial"/>
          <w:sz w:val="18"/>
          <w:szCs w:val="18"/>
          <w:color w:val="auto"/>
        </w:rPr>
        <w:t xml:space="preserve"> of the board, subject to the requirements specified in our bylaws.</w:t>
      </w:r>
    </w:p>
    <w:p>
      <w:pPr>
        <w:spacing w:after="0" w:line="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director nomination pursuant to our proxy access bylaw must be in writing and received by our Secretary not less than 120 days nor more than 150 days before the first anniversary of the date that this proxy statement was first sent to stockholders. As a result, any director nomination pursuant to our proxy access bylaws must be received no earlier than November 8, 2023 and no later than December 8, 2023. However, if the date of the 2024 annual meeting occurs more than 30 days before or more than 30 days after May 18, 2024, the proxy access nomination must be delivered not less than 120 days nor more than 150 days before the date of such annual meeting designated by the Board provided, if the first public disclosure or announcement of the date of such annual meeting is less than 135 days prior to the date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 such annual meeting, then not less than 15 days after such public announcement. Any stockholder submitting a nomination under our proxy access bylaw procedures must comply with the procedure, notice and information requirements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005965" cy="514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059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PAMELA TONDREAU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Legal Officer, Chief Compliance</w:t>
      </w:r>
    </w:p>
    <w:p>
      <w:pPr>
        <w:spacing w:after="0" w:line="234" w:lineRule="auto"/>
        <w:rPr>
          <w:sz w:val="20"/>
          <w:szCs w:val="20"/>
          <w:color w:val="auto"/>
        </w:rPr>
      </w:pPr>
      <w:r>
        <w:rPr>
          <w:rFonts w:ascii="Arial" w:cs="Arial" w:eastAsia="Arial" w:hAnsi="Arial"/>
          <w:sz w:val="18"/>
          <w:szCs w:val="18"/>
          <w:color w:val="auto"/>
        </w:rPr>
        <w:t>Officer and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 April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6" w:name="page77"/>
    <w:bookmarkEnd w:id="76"/>
    <w:p>
      <w:pPr>
        <w:spacing w:after="0"/>
        <w:rPr>
          <w:sz w:val="20"/>
          <w:szCs w:val="20"/>
          <w:color w:val="auto"/>
        </w:rPr>
      </w:pPr>
      <w:r>
        <w:rPr>
          <w:rFonts w:ascii="Arial" w:cs="Arial" w:eastAsia="Arial" w:hAnsi="Arial"/>
          <w:sz w:val="25"/>
          <w:szCs w:val="25"/>
          <w:b w:val="1"/>
          <w:bCs w:val="1"/>
          <w:color w:val="E97D2E"/>
        </w:rPr>
        <w:t>APPENDIX</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Reconciliation of Non-GAAP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81915</wp:posOffset>
            </wp:positionV>
            <wp:extent cx="3686175" cy="72866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86175" cy="728662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72</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type w:val="continuous"/>
        </w:sectPr>
      </w:pPr>
    </w:p>
    <w:bookmarkStart w:id="77" w:name="page78"/>
    <w:bookmarkEnd w:id="77"/>
    <w:p>
      <w:pPr>
        <w:ind w:left="10480"/>
        <w:spacing w:after="0"/>
        <w:rPr>
          <w:sz w:val="20"/>
          <w:szCs w:val="20"/>
          <w:color w:val="auto"/>
        </w:rPr>
      </w:pPr>
      <w:r>
        <w:rPr>
          <w:rFonts w:ascii="Arial" w:cs="Arial" w:eastAsia="Arial" w:hAnsi="Arial"/>
          <w:sz w:val="18"/>
          <w:szCs w:val="18"/>
          <w:color w:val="E97D2E"/>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Limitations and Considerations on the Use of Non-GAAP Financial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Non-GAAP Gross Margin</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use of non-GAAP gross margin allows management to evaluate, among other things, the gross margin of the Company’s core businesses and trends across different reporting periods on a consistent basis, independent of non-cash items including, generally speaking, amortization of acquisition-related intangibles, expensing of appraised inventory fair market value step-up and non-recurring facility costs. In addition,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revenue generation performance relative to the direct costs of revenue of onsemi’s core businesses.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Non-GAAP Operating Margin</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use of non-GAAP operating margin allows management to evaluate, among other things, the operating margin of the Company’s core businesses and trends across different reporting periods on a consistent basis, independent of non-cash items including, generally speaking, expensing of appraised inventory fair market value step-up, non-recurring facility costs, amortization and impairments of intangible assets, goodwill and intangible asset impairment charges, third party acquisition and divestiture related costs, restructuring charges, and certain other special items as necessary. In addition,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the Company’s revenue generation performance relative to the direct costs of operations of onsemi’s core businesses.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Non-GAAP Net Income Attributable to onsemi and Non-GAAP Diluted Earnings Per Share</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use of non-GAAP net income attributable to onsemi and non-GAAP diluted earnings per share allows management to evaluate the operating results of onsemi’s core businesses and trends across different reporting periods on a consistent basis, independent of non-cash items including, generally, the amortization and impairments of intangible assets, goodwill and intangible asset impairment charges, expensing of appraised inventory fair market value step-up, non-recurring facility costs, restructuring, gains and losses on debt prepayment, non-cash interest expense, actuarial (gains) losses on pension plans and other pension benefits, third party acquisition and divestiture related costs, tax impact of these items and other non-GAAP adjustments, and certain other special items, as necessary. In addition, these items are important components of management’s internal performance measurement and incentive and reward process, as they are used to assess the current and historical financial results of the business and for strategic decision making, preparing budgets, setting targets, and forecasting future results. Management presents these non-GAAP financial measures to enable investors and analysts to understand the results of operations of onsemi’s core businesses and, to the extent comparable, to compare our results of operations on a more consistent basis against those of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2023 Proxy Statement</w:t>
      </w:r>
      <w:r>
        <w:rPr>
          <w:sz w:val="20"/>
          <w:szCs w:val="20"/>
          <w:color w:val="auto"/>
        </w:rPr>
        <w:tab/>
      </w:r>
      <w:r>
        <w:rPr>
          <w:rFonts w:ascii="Arial" w:cs="Arial" w:eastAsia="Arial" w:hAnsi="Arial"/>
          <w:sz w:val="17"/>
          <w:szCs w:val="17"/>
          <w:color w:val="E97D2E"/>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8" w:name="page79"/>
    <w:bookmarkEnd w:id="78"/>
    <w:p>
      <w:pPr>
        <w:ind w:left="20"/>
        <w:spacing w:after="0"/>
        <w:rPr>
          <w:sz w:val="20"/>
          <w:szCs w:val="20"/>
          <w:color w:val="auto"/>
        </w:rPr>
      </w:pPr>
      <w:r>
        <w:rPr>
          <w:rFonts w:ascii="Arial" w:cs="Arial" w:eastAsia="Arial" w:hAnsi="Arial"/>
          <w:sz w:val="18"/>
          <w:szCs w:val="18"/>
          <w:color w:val="E97D2E"/>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Free Cash Flow</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use of free cash flow allows management to evaluate, among other things, the ability of the Company to make interest or principal payments on its debt. Free cash flow is defined as the difference between cash flow from operating activities and capital expenditures disclosed under investing activities in the consolidated statement of cash flows. Free cash flow is not an alternate to cash flow from operating activities as a measure of liquidity.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revenue generation performance relative to the direct costs of operations of onsemi’s core businesses.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Non-GAAP Diluted Share Count</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use of non-GAAP diluted share count allows management to evaluate, among other things, the potential dilution due to the outstanding stock options and restricted stock units excluding the dilution from the convertible notes that is covered by hedging activity up to a certain threshold. In periods when the quarterly average stock price per share exceeds $20.72, the non-GAAP diluted share count includes the anti-dilutive impact of the Company’s hedge transactions issued concurrently with the 1.625% convertible notes. As such, at an average stock price per share between $20.72 and $30.70, the hedging activity offsets the potentially dilutive effect of the 1.625% convertible notes. In periods when the quarterly average stock price per share exceeds $52.97, the non-GAAP diluted share count includes the anti-dilutive impact of the Company’s hedge transactions issued concurrently with the 0% convertible notes. As such, at an average stock price per share between $52.97 and $74.34, the hedging activity offsets the potentially dilutive effect of the 0%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74</w:t>
        <w:tab/>
        <w:t>onsemi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85940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8594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706120</wp:posOffset>
            </wp:positionV>
            <wp:extent cx="6035040" cy="78181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6035040" cy="7818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ü"/>
      <w:numFmt w:val="bullet"/>
      <w:start w:val="1"/>
    </w:lvl>
  </w:abstractNum>
  <w:abstractNum w:abstractNumId="7">
    <w:nsid w:val="374A3FE6"/>
    <w:multiLevelType w:val="hybridMultilevel"/>
    <w:lvl w:ilvl="0">
      <w:lvlJc w:val="left"/>
      <w:lvlText w:val="ü"/>
      <w:numFmt w:val="bullet"/>
      <w:start w:val="1"/>
    </w:lvl>
  </w:abstractNum>
  <w:abstractNum w:abstractNumId="8">
    <w:nsid w:val="4F4EF005"/>
    <w:multiLevelType w:val="hybridMultilevel"/>
    <w:lvl w:ilvl="0">
      <w:lvlJc w:val="left"/>
      <w:lvlText w:val="2"/>
      <w:numFmt w:val="bullet"/>
      <w:start w:val="1"/>
    </w:lvl>
  </w:abstractNum>
  <w:abstractNum w:abstractNumId="9">
    <w:nsid w:val="23F9C13C"/>
    <w:multiLevelType w:val="hybridMultilevel"/>
    <w:lvl w:ilvl="0">
      <w:lvlJc w:val="left"/>
      <w:lvlText w:val="ü"/>
      <w:numFmt w:val="bullet"/>
      <w:start w:val="1"/>
    </w:lvl>
  </w:abstractNum>
  <w:abstractNum w:abstractNumId="10">
    <w:nsid w:val="649BB77C"/>
    <w:multiLevelType w:val="hybridMultilevel"/>
    <w:lvl w:ilvl="0">
      <w:lvlJc w:val="left"/>
      <w:lvlText w:val="4"/>
      <w:numFmt w:val="bullet"/>
      <w:start w:val="1"/>
    </w:lvl>
  </w:abstractNum>
  <w:abstractNum w:abstractNumId="11">
    <w:nsid w:val="275AC794"/>
    <w:multiLevelType w:val="hybridMultilevel"/>
    <w:lvl w:ilvl="0">
      <w:lvlJc w:val="left"/>
      <w:lvlText w:val="■"/>
      <w:numFmt w:val="bullet"/>
      <w:start w:val="1"/>
    </w:lvl>
    <w:lvl w:ilvl="1">
      <w:lvlJc w:val="left"/>
      <w:lvlText w:val="\emdash "/>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lvl w:ilvl="1">
      <w:lvlJc w:val="left"/>
      <w:lvlText w:val="\emdash "/>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6"/>
      <w:numFmt w:val="bullet"/>
      <w:start w:val="1"/>
    </w:lvl>
  </w:abstractNum>
  <w:abstractNum w:abstractNumId="16">
    <w:nsid w:val="47398C89"/>
    <w:multiLevelType w:val="hybridMultilevel"/>
    <w:lvl w:ilvl="0">
      <w:lvlJc w:val="left"/>
      <w:lvlText w:val="■"/>
      <w:numFmt w:val="bullet"/>
      <w:start w:val="1"/>
    </w:lvl>
    <w:lvl w:ilvl="1">
      <w:lvlJc w:val="left"/>
      <w:lvlText w:val="\emdash "/>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lvl w:ilvl="1">
      <w:lvlJc w:val="left"/>
      <w:lvlText w:val="\emdash "/>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8"/>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lvl w:ilvl="1">
      <w:lvlJc w:val="left"/>
      <w:lvlText w:val="\emdash "/>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lvl w:ilvl="1">
      <w:lvlJc w:val="left"/>
      <w:lvlText w:val="\emdash "/>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lvl w:ilvl="1">
      <w:lvlJc w:val="left"/>
      <w:lvlText w:val="\emdash "/>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ü"/>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lvl w:ilvl="1">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
      <w:numFmt w:val="bullet"/>
      <w:start w:val="1"/>
    </w:lvl>
    <w:lvl w:ilvl="1">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lvl w:ilvl="1">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
      <w:numFmt w:val="bullet"/>
      <w:start w:val="1"/>
    </w:lvl>
    <w:lvl w:ilvl="1">
      <w:lvlJc w:val="left"/>
      <w:lvlText w:val="◦"/>
      <w:numFmt w:val="bullet"/>
      <w:start w:val="1"/>
    </w:lvl>
  </w:abstractNum>
  <w:abstractNum w:abstractNumId="50">
    <w:nsid w:val="51D9C564"/>
    <w:multiLevelType w:val="hybridMultilevel"/>
    <w:lvl w:ilvl="0">
      <w:lvlJc w:val="left"/>
      <w:lvlText w:val="•"/>
      <w:numFmt w:val="bullet"/>
      <w:start w:val="1"/>
    </w:lvl>
    <w:lvl w:ilvl="1">
      <w:lvlJc w:val="left"/>
      <w:lvlText w:val="◦"/>
      <w:numFmt w:val="bullet"/>
      <w:start w:val="1"/>
    </w:lvl>
  </w:abstractNum>
  <w:abstractNum w:abstractNumId="51">
    <w:nsid w:val="613EFDC5"/>
    <w:multiLevelType w:val="hybridMultilevel"/>
    <w:lvl w:ilvl="0">
      <w:lvlJc w:val="left"/>
      <w:lvlText w:val="ü"/>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emdash "/>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1)"/>
      <w:numFmt w:val="decimal"/>
      <w:start w:val="1"/>
    </w:lvl>
  </w:abstractNum>
  <w:abstractNum w:abstractNumId="73">
    <w:nsid w:val="76272110"/>
    <w:multiLevelType w:val="hybridMultilevel"/>
    <w:lvl w:ilvl="0">
      <w:lvlJc w:val="left"/>
      <w:lvlText w:val="(%1)"/>
      <w:numFmt w:val="decimal"/>
      <w:start w:val="4"/>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decimal"/>
      <w:start w:val="2"/>
    </w:lvl>
  </w:abstractNum>
  <w:abstractNum w:abstractNumId="76">
    <w:nsid w:val="14E17E33"/>
    <w:multiLevelType w:val="hybridMultilevel"/>
    <w:lvl w:ilvl="0">
      <w:lvlJc w:val="left"/>
      <w:lvlText w:val="(%1)"/>
      <w:numFmt w:val="decimal"/>
      <w:start w:val="1"/>
    </w:lvl>
  </w:abstractNum>
  <w:abstractNum w:abstractNumId="77">
    <w:nsid w:val="3222E7CD"/>
    <w:multiLevelType w:val="hybridMultilevel"/>
    <w:lvl w:ilvl="0">
      <w:lvlJc w:val="left"/>
      <w:lvlText w:val="(%1)"/>
      <w:numFmt w:val="decimal"/>
      <w:start w:val="6"/>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decimal"/>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upperLetter"/>
      <w:start w:val="1"/>
    </w:lvl>
  </w:abstractNum>
  <w:abstractNum w:abstractNumId="88">
    <w:nsid w:val="26F324BA"/>
    <w:multiLevelType w:val="hybridMultilevel"/>
    <w:lvl w:ilvl="0">
      <w:lvlJc w:val="left"/>
      <w:lvlText w:val="(%1)"/>
      <w:numFmt w:val="upperLetter"/>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1)"/>
      <w:numFmt w:val="lowerRoman"/>
      <w:start w:val="4"/>
    </w:lvl>
  </w:abstractNum>
  <w:abstractNum w:abstractNumId="91">
    <w:nsid w:val="7055A5F5"/>
    <w:multiLevelType w:val="hybridMultilevel"/>
    <w:lvl w:ilvl="0">
      <w:lvlJc w:val="left"/>
      <w:lvlText w:val="(%1)"/>
      <w:numFmt w:val="decimal"/>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1."/>
      <w:numFmt w:val="decimal"/>
      <w:start w:val="3"/>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2023-04-06T08:08:04Z</dcterms:created>
  <dcterms:modified xsi:type="dcterms:W3CDTF">2023-04-06T08:08:04Z</dcterms:modified>
</cp:coreProperties>
</file>