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106045</wp:posOffset>
            </wp:positionH>
            <wp:positionV relativeFrom="paragraph">
              <wp:posOffset>212090</wp:posOffset>
            </wp:positionV>
            <wp:extent cx="692975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254635</wp:posOffset>
            </wp:positionV>
            <wp:extent cx="69297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00" w:lineRule="exact"/>
        <w:rPr>
          <w:sz w:val="24"/>
          <w:szCs w:val="24"/>
          <w:color w:val="auto"/>
        </w:rPr>
      </w:pPr>
    </w:p>
    <w:p>
      <w:pPr>
        <w:spacing w:after="0" w:line="254"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0"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520"/>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2840990</wp:posOffset>
            </wp:positionH>
            <wp:positionV relativeFrom="paragraph">
              <wp:posOffset>154305</wp:posOffset>
            </wp:positionV>
            <wp:extent cx="14605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29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116"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1"/>
          <w:szCs w:val="21"/>
          <w:b w:val="1"/>
          <w:bCs w:val="1"/>
          <w:color w:val="auto"/>
        </w:rPr>
        <w:t>Proxy Statement Pursuant to Section 14(a) of the</w:t>
      </w:r>
    </w:p>
    <w:p>
      <w:pPr>
        <w:spacing w:after="0" w:line="2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1"/>
          <w:szCs w:val="21"/>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2840990</wp:posOffset>
            </wp:positionH>
            <wp:positionV relativeFrom="paragraph">
              <wp:posOffset>146050</wp:posOffset>
            </wp:positionV>
            <wp:extent cx="14605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283" w:lineRule="exact"/>
        <w:rPr>
          <w:sz w:val="24"/>
          <w:szCs w:val="24"/>
          <w:color w:val="auto"/>
        </w:rPr>
      </w:pPr>
    </w:p>
    <w:p>
      <w:pPr>
        <w:ind w:left="160"/>
        <w:spacing w:after="0" w:line="207" w:lineRule="exact"/>
        <w:tabs>
          <w:tab w:leader="none" w:pos="1920" w:val="left"/>
          <w:tab w:leader="none" w:pos="3360" w:val="left"/>
          <w:tab w:leader="none" w:pos="6420" w:val="left"/>
        </w:tabs>
        <w:rPr>
          <w:sz w:val="20"/>
          <w:szCs w:val="20"/>
          <w:color w:val="auto"/>
        </w:rPr>
      </w:pPr>
      <w:r>
        <w:rPr>
          <w:rFonts w:ascii="Times New Roman" w:cs="Times New Roman" w:eastAsia="Times New Roman" w:hAnsi="Times New Roman"/>
          <w:sz w:val="18"/>
          <w:szCs w:val="18"/>
          <w:color w:val="auto"/>
        </w:rPr>
        <w:t>Filed by the Registrant</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Filed by a party other than the Registrant</w:t>
      </w:r>
      <w:r>
        <w:rPr>
          <w:sz w:val="20"/>
          <w:szCs w:val="20"/>
          <w:color w:val="auto"/>
        </w:rPr>
        <w:tab/>
      </w:r>
      <w:r>
        <w:rPr>
          <w:rFonts w:ascii="MS PGothic" w:cs="MS PGothic" w:eastAsia="MS PGothic" w:hAnsi="MS PGothic"/>
          <w:sz w:val="16"/>
          <w:szCs w:val="16"/>
          <w:color w:val="auto"/>
        </w:rPr>
        <w:t>☐</w:t>
      </w:r>
    </w:p>
    <w:p>
      <w:pPr>
        <w:spacing w:after="0" w:line="143" w:lineRule="exact"/>
        <w:rPr>
          <w:sz w:val="24"/>
          <w:szCs w:val="24"/>
          <w:color w:val="auto"/>
        </w:rPr>
      </w:pPr>
    </w:p>
    <w:p>
      <w:pPr>
        <w:ind w:left="160"/>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127" w:lineRule="exact"/>
        <w:rPr>
          <w:sz w:val="24"/>
          <w:szCs w:val="24"/>
          <w:color w:val="auto"/>
        </w:rPr>
      </w:pPr>
    </w:p>
    <w:p>
      <w:pPr>
        <w:ind w:left="720" w:hanging="553"/>
        <w:spacing w:after="0"/>
        <w:tabs>
          <w:tab w:leader="none" w:pos="7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720" w:hanging="553"/>
        <w:spacing w:after="0"/>
        <w:tabs>
          <w:tab w:leader="none" w:pos="7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Confidential, for Use of the Commission Only (as permitted by Rule 14a-6(e)(2))</w:t>
      </w:r>
    </w:p>
    <w:p>
      <w:pPr>
        <w:spacing w:after="0" w:line="114" w:lineRule="exact"/>
        <w:rPr>
          <w:sz w:val="24"/>
          <w:szCs w:val="24"/>
          <w:color w:val="auto"/>
        </w:rPr>
      </w:pPr>
    </w:p>
    <w:p>
      <w:pPr>
        <w:ind w:left="720" w:hanging="553"/>
        <w:spacing w:after="0"/>
        <w:tabs>
          <w:tab w:leader="none" w:pos="7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114" w:lineRule="exact"/>
        <w:rPr>
          <w:sz w:val="24"/>
          <w:szCs w:val="24"/>
          <w:color w:val="auto"/>
        </w:rPr>
      </w:pPr>
    </w:p>
    <w:p>
      <w:pPr>
        <w:ind w:left="720" w:hanging="553"/>
        <w:spacing w:after="0"/>
        <w:tabs>
          <w:tab w:leader="none" w:pos="72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113" w:lineRule="exact"/>
        <w:rPr>
          <w:rFonts w:ascii="MS PGothic" w:cs="MS PGothic" w:eastAsia="MS PGothic" w:hAnsi="MS PGothic"/>
          <w:sz w:val="18"/>
          <w:szCs w:val="18"/>
          <w:color w:val="auto"/>
        </w:rPr>
      </w:pPr>
    </w:p>
    <w:p>
      <w:pPr>
        <w:ind w:left="720" w:hanging="553"/>
        <w:spacing w:after="0"/>
        <w:tabs>
          <w:tab w:leader="none" w:pos="72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Rule 240.14a-12</w:t>
      </w:r>
    </w:p>
    <w:p>
      <w:pPr>
        <w:spacing w:after="0" w:line="7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9"/>
          <w:szCs w:val="39"/>
          <w:b w:val="1"/>
          <w:bCs w:val="1"/>
          <w:color w:val="auto"/>
        </w:rPr>
        <w:t>ON Semiconductor Corporation</w:t>
      </w:r>
    </w:p>
    <w:p>
      <w:pPr>
        <w:spacing w:after="0" w:line="7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90" w:lineRule="exact"/>
        <w:rPr>
          <w:sz w:val="24"/>
          <w:szCs w:val="24"/>
          <w:color w:val="auto"/>
        </w:rPr>
      </w:pPr>
    </w:p>
    <w:p>
      <w:pPr>
        <w:ind w:left="3440"/>
        <w:spacing w:after="0"/>
        <w:rPr>
          <w:sz w:val="20"/>
          <w:szCs w:val="20"/>
          <w:color w:val="auto"/>
        </w:rPr>
      </w:pPr>
      <w:r>
        <w:rPr>
          <w:rFonts w:ascii="Times New Roman" w:cs="Times New Roman" w:eastAsia="Times New Roman" w:hAnsi="Times New Roman"/>
          <w:sz w:val="14"/>
          <w:szCs w:val="14"/>
          <w:b w:val="1"/>
          <w:bCs w:val="1"/>
          <w:color w:val="auto"/>
        </w:rPr>
        <w:t>(Name of Person(s) Filing Proxy Statement, if other than the Registrant)</w:t>
      </w:r>
    </w:p>
    <w:p>
      <w:pPr>
        <w:spacing w:after="0" w:line="99" w:lineRule="exact"/>
        <w:rPr>
          <w:sz w:val="24"/>
          <w:szCs w:val="24"/>
          <w:color w:val="auto"/>
        </w:rPr>
      </w:pPr>
    </w:p>
    <w:p>
      <w:pPr>
        <w:ind w:left="160"/>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127" w:lineRule="exact"/>
        <w:rPr>
          <w:sz w:val="24"/>
          <w:szCs w:val="24"/>
          <w:color w:val="auto"/>
        </w:rPr>
      </w:pPr>
    </w:p>
    <w:p>
      <w:pPr>
        <w:ind w:left="720" w:hanging="553"/>
        <w:spacing w:after="0"/>
        <w:tabs>
          <w:tab w:leader="none" w:pos="72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60" w:lineRule="exact"/>
        <w:rPr>
          <w:sz w:val="24"/>
          <w:szCs w:val="24"/>
          <w:color w:val="auto"/>
        </w:rPr>
      </w:pPr>
    </w:p>
    <w:p>
      <w:pPr>
        <w:ind w:left="720" w:hanging="553"/>
        <w:spacing w:after="0"/>
        <w:tabs>
          <w:tab w:leader="none" w:pos="72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60" w:lineRule="exact"/>
        <w:rPr>
          <w:rFonts w:ascii="MS PGothic" w:cs="MS PGothic" w:eastAsia="MS PGothic" w:hAnsi="MS PGothic"/>
          <w:sz w:val="18"/>
          <w:szCs w:val="18"/>
          <w:color w:val="auto"/>
        </w:rPr>
      </w:pPr>
    </w:p>
    <w:p>
      <w:pPr>
        <w:ind w:left="720" w:hanging="553"/>
        <w:spacing w:after="0"/>
        <w:tabs>
          <w:tab w:leader="none" w:pos="72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106045</wp:posOffset>
            </wp:positionH>
            <wp:positionV relativeFrom="paragraph">
              <wp:posOffset>100965</wp:posOffset>
            </wp:positionV>
            <wp:extent cx="69297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143510</wp:posOffset>
            </wp:positionV>
            <wp:extent cx="69297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0139"/>
          </w:cols>
          <w:pgMar w:left="320" w:top="227" w:right="1440" w:bottom="1440" w:gutter="0" w:footer="0" w:header="0"/>
        </w:sectPr>
      </w:pPr>
    </w:p>
    <w:bookmarkStart w:id="1" w:name="page2"/>
    <w:bookmarkEnd w:id="1"/>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4">
        <w:r>
          <w:rPr>
            <w:rFonts w:ascii="Times New Roman" w:cs="Times New Roman" w:eastAsia="Times New Roman" w:hAnsi="Times New Roman"/>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210820</wp:posOffset>
            </wp:positionV>
            <wp:extent cx="7094855" cy="9171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94855" cy="9171940"/>
                    </a:xfrm>
                    <a:prstGeom prst="rect">
                      <a:avLst/>
                    </a:prstGeom>
                    <a:noFill/>
                  </pic:spPr>
                </pic:pic>
              </a:graphicData>
            </a:graphic>
          </wp:anchor>
        </w:drawing>
      </w:r>
    </w:p>
    <w:p>
      <w:pPr>
        <w:sectPr>
          <w:pgSz w:w="11900" w:h="16838" w:orient="portrait"/>
          <w:cols w:equalWidth="0" w:num="1">
            <w:col w:w="10139"/>
          </w:cols>
          <w:pgMar w:left="320" w:top="454" w:right="1440" w:bottom="1440" w:gutter="0" w:footer="0" w:header="0"/>
        </w:sectPr>
      </w:pPr>
    </w:p>
    <w:bookmarkStart w:id="2" w:name="page3"/>
    <w:bookmarkEnd w:id="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2806700</wp:posOffset>
            </wp:positionH>
            <wp:positionV relativeFrom="paragraph">
              <wp:posOffset>203835</wp:posOffset>
            </wp:positionV>
            <wp:extent cx="1537335" cy="280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37335" cy="280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2500"/>
        <w:spacing w:after="0"/>
        <w:rPr>
          <w:sz w:val="20"/>
          <w:szCs w:val="20"/>
          <w:color w:val="auto"/>
        </w:rPr>
      </w:pPr>
      <w:r>
        <w:rPr>
          <w:rFonts w:ascii="Arial" w:cs="Arial" w:eastAsia="Arial" w:hAnsi="Arial"/>
          <w:sz w:val="25"/>
          <w:szCs w:val="25"/>
          <w:b w:val="1"/>
          <w:bCs w:val="1"/>
          <w:color w:val="F75E14"/>
        </w:rPr>
        <w:t>NOTICE OF ANNUAL MEETING OF STOCKHOLDERS</w:t>
      </w:r>
    </w:p>
    <w:p>
      <w:pPr>
        <w:spacing w:after="0" w:line="223" w:lineRule="exact"/>
        <w:rPr>
          <w:sz w:val="20"/>
          <w:szCs w:val="20"/>
          <w:color w:val="auto"/>
        </w:rPr>
      </w:pPr>
    </w:p>
    <w:p>
      <w:pPr>
        <w:ind w:left="280"/>
        <w:spacing w:after="0"/>
        <w:rPr>
          <w:sz w:val="20"/>
          <w:szCs w:val="20"/>
          <w:color w:val="auto"/>
        </w:rPr>
      </w:pPr>
      <w:r>
        <w:rPr>
          <w:rFonts w:ascii="Arial" w:cs="Arial" w:eastAsia="Arial" w:hAnsi="Arial"/>
          <w:sz w:val="17"/>
          <w:szCs w:val="17"/>
          <w:color w:val="auto"/>
        </w:rPr>
        <w:t>To the Stockholders:</w:t>
      </w:r>
    </w:p>
    <w:p>
      <w:pPr>
        <w:spacing w:after="0" w:line="99" w:lineRule="exact"/>
        <w:rPr>
          <w:sz w:val="20"/>
          <w:szCs w:val="20"/>
          <w:color w:val="auto"/>
        </w:rPr>
      </w:pPr>
    </w:p>
    <w:p>
      <w:pPr>
        <w:ind w:left="280" w:right="20"/>
        <w:spacing w:after="0" w:line="263" w:lineRule="auto"/>
        <w:rPr>
          <w:sz w:val="20"/>
          <w:szCs w:val="20"/>
          <w:color w:val="auto"/>
        </w:rPr>
      </w:pPr>
      <w:r>
        <w:rPr>
          <w:rFonts w:ascii="Arial" w:cs="Arial" w:eastAsia="Arial" w:hAnsi="Arial"/>
          <w:sz w:val="17"/>
          <w:szCs w:val="17"/>
          <w:color w:val="auto"/>
        </w:rPr>
        <w:t>The 2022 Annual Meeting of Stockholders of ON Semiconductor Corporation will be held at its principal executive office, located at 5005 East McDowell Road, Phoenix, Arizona 85008, on Thursday, May 26, 2022 at 8:00 a.m., local time, for the following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130810</wp:posOffset>
            </wp:positionV>
            <wp:extent cx="6934200" cy="2082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34200" cy="208280"/>
                    </a:xfrm>
                    <a:prstGeom prst="rect">
                      <a:avLst/>
                    </a:prstGeom>
                    <a:noFill/>
                  </pic:spPr>
                </pic:pic>
              </a:graphicData>
            </a:graphic>
          </wp:anchor>
        </w:drawing>
      </w:r>
    </w:p>
    <w:p>
      <w:pPr>
        <w:spacing w:after="0" w:line="224"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FFFFFF"/>
        </w:rPr>
        <w:t>Items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530860</wp:posOffset>
            </wp:positionH>
            <wp:positionV relativeFrom="paragraph">
              <wp:posOffset>203200</wp:posOffset>
            </wp:positionV>
            <wp:extent cx="339725" cy="3314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9725" cy="331470"/>
                    </a:xfrm>
                    <a:prstGeom prst="rect">
                      <a:avLst/>
                    </a:prstGeom>
                    <a:noFill/>
                  </pic:spPr>
                </pic:pic>
              </a:graphicData>
            </a:graphic>
          </wp:anchor>
        </w:drawing>
        <w:drawing>
          <wp:anchor simplePos="0" relativeHeight="251657728" behindDoc="1" locked="0" layoutInCell="0" allowOverlap="1">
            <wp:simplePos x="0" y="0"/>
            <wp:positionH relativeFrom="column">
              <wp:posOffset>3757930</wp:posOffset>
            </wp:positionH>
            <wp:positionV relativeFrom="paragraph">
              <wp:posOffset>203200</wp:posOffset>
            </wp:positionV>
            <wp:extent cx="339725" cy="3314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9725" cy="331470"/>
                    </a:xfrm>
                    <a:prstGeom prst="rect">
                      <a:avLst/>
                    </a:prstGeom>
                    <a:noFill/>
                  </pic:spPr>
                </pic:pic>
              </a:graphicData>
            </a:graphic>
          </wp:anchor>
        </w:drawing>
      </w:r>
    </w:p>
    <w:p>
      <w:pPr>
        <w:sectPr>
          <w:pgSz w:w="11900" w:h="16838" w:orient="portrait"/>
          <w:cols w:equalWidth="0" w:num="1">
            <w:col w:w="10980"/>
          </w:cols>
          <w:pgMar w:left="320" w:top="454" w:right="599" w:bottom="1440" w:gutter="0" w:footer="0" w:header="0"/>
        </w:sectPr>
      </w:pPr>
    </w:p>
    <w:p>
      <w:pPr>
        <w:spacing w:after="0" w:line="200" w:lineRule="exact"/>
        <w:rPr>
          <w:sz w:val="20"/>
          <w:szCs w:val="20"/>
          <w:color w:val="auto"/>
        </w:rPr>
      </w:pPr>
    </w:p>
    <w:p>
      <w:pPr>
        <w:spacing w:after="0" w:line="285" w:lineRule="exact"/>
        <w:rPr>
          <w:sz w:val="20"/>
          <w:szCs w:val="20"/>
          <w:color w:val="auto"/>
        </w:rPr>
      </w:pPr>
    </w:p>
    <w:p>
      <w:pPr>
        <w:jc w:val="both"/>
        <w:ind w:left="1540" w:right="340"/>
        <w:spacing w:after="0" w:line="263" w:lineRule="auto"/>
        <w:rPr>
          <w:sz w:val="20"/>
          <w:szCs w:val="20"/>
          <w:color w:val="auto"/>
        </w:rPr>
      </w:pPr>
      <w:r>
        <w:rPr>
          <w:rFonts w:ascii="Arial" w:cs="Arial" w:eastAsia="Arial" w:hAnsi="Arial"/>
          <w:sz w:val="17"/>
          <w:szCs w:val="17"/>
          <w:color w:val="auto"/>
        </w:rPr>
        <w:t>To elect ten directors nominated by 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530860</wp:posOffset>
            </wp:positionH>
            <wp:positionV relativeFrom="paragraph">
              <wp:posOffset>175260</wp:posOffset>
            </wp:positionV>
            <wp:extent cx="339725" cy="3314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9725" cy="331470"/>
                    </a:xfrm>
                    <a:prstGeom prst="rect">
                      <a:avLst/>
                    </a:prstGeom>
                    <a:noFill/>
                  </pic:spPr>
                </pic:pic>
              </a:graphicData>
            </a:graphic>
          </wp:anchor>
        </w:drawing>
      </w:r>
    </w:p>
    <w:p>
      <w:pPr>
        <w:spacing w:after="0" w:line="327" w:lineRule="exact"/>
        <w:rPr>
          <w:sz w:val="20"/>
          <w:szCs w:val="20"/>
          <w:color w:val="auto"/>
        </w:rPr>
      </w:pPr>
    </w:p>
    <w:p>
      <w:pPr>
        <w:jc w:val="both"/>
        <w:ind w:left="1540" w:right="340"/>
        <w:spacing w:after="0" w:line="246" w:lineRule="auto"/>
        <w:rPr>
          <w:sz w:val="20"/>
          <w:szCs w:val="20"/>
          <w:color w:val="auto"/>
        </w:rPr>
      </w:pPr>
      <w:r>
        <w:rPr>
          <w:rFonts w:ascii="Arial" w:cs="Arial" w:eastAsia="Arial" w:hAnsi="Arial"/>
          <w:sz w:val="17"/>
          <w:szCs w:val="17"/>
          <w:color w:val="auto"/>
        </w:rPr>
        <w:t>To vote on an advisory (non-binding) resolution to approve the compensation of our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284480</wp:posOffset>
            </wp:positionV>
            <wp:extent cx="6934200" cy="2082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34200" cy="2082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2" w:lineRule="exact"/>
        <w:rPr>
          <w:sz w:val="20"/>
          <w:szCs w:val="20"/>
          <w:color w:val="auto"/>
        </w:rPr>
      </w:pPr>
    </w:p>
    <w:p>
      <w:pPr>
        <w:jc w:val="both"/>
        <w:ind w:right="340"/>
        <w:spacing w:after="0" w:line="246" w:lineRule="auto"/>
        <w:rPr>
          <w:sz w:val="20"/>
          <w:szCs w:val="20"/>
          <w:color w:val="auto"/>
        </w:rPr>
      </w:pPr>
      <w:r>
        <w:rPr>
          <w:rFonts w:ascii="Arial" w:cs="Arial" w:eastAsia="Arial" w:hAnsi="Arial"/>
          <w:sz w:val="17"/>
          <w:szCs w:val="17"/>
          <w:color w:val="auto"/>
        </w:rPr>
        <w:t>To ratify the selection of PricewaterhouseCoopers LLP as our independent registered public accounting firm for the year ending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-445135</wp:posOffset>
            </wp:positionH>
            <wp:positionV relativeFrom="paragraph">
              <wp:posOffset>125095</wp:posOffset>
            </wp:positionV>
            <wp:extent cx="339725" cy="3314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9725" cy="331470"/>
                    </a:xfrm>
                    <a:prstGeom prst="rect">
                      <a:avLst/>
                    </a:prstGeom>
                    <a:noFill/>
                  </pic:spPr>
                </pic:pic>
              </a:graphicData>
            </a:graphic>
          </wp:anchor>
        </w:drawing>
      </w:r>
    </w:p>
    <w:p>
      <w:pPr>
        <w:spacing w:after="0" w:line="248" w:lineRule="exact"/>
        <w:rPr>
          <w:sz w:val="20"/>
          <w:szCs w:val="20"/>
          <w:color w:val="auto"/>
        </w:rPr>
      </w:pPr>
    </w:p>
    <w:p>
      <w:pPr>
        <w:jc w:val="both"/>
        <w:ind w:right="340"/>
        <w:spacing w:after="0" w:line="246" w:lineRule="auto"/>
        <w:rPr>
          <w:sz w:val="20"/>
          <w:szCs w:val="20"/>
          <w:color w:val="auto"/>
        </w:rPr>
      </w:pPr>
      <w:r>
        <w:rPr>
          <w:rFonts w:ascii="Arial" w:cs="Arial" w:eastAsia="Arial" w:hAnsi="Arial"/>
          <w:sz w:val="17"/>
          <w:szCs w:val="17"/>
          <w:color w:val="auto"/>
        </w:rPr>
        <w:t>To transact such other business as may properly come before the meeting and any adjournment or postponement of the meeting</w:t>
      </w:r>
    </w:p>
    <w:p>
      <w:pPr>
        <w:spacing w:after="0" w:line="200" w:lineRule="exact"/>
        <w:rPr>
          <w:sz w:val="20"/>
          <w:szCs w:val="20"/>
          <w:color w:val="auto"/>
        </w:rPr>
      </w:pPr>
    </w:p>
    <w:p>
      <w:pPr>
        <w:sectPr>
          <w:pgSz w:w="11900" w:h="16838" w:orient="portrait"/>
          <w:cols w:equalWidth="0" w:num="2">
            <w:col w:w="5900" w:space="720"/>
            <w:col w:w="4360"/>
          </w:cols>
          <w:pgMar w:left="320" w:top="454" w:right="599" w:bottom="1440" w:gutter="0" w:footer="0" w:header="0"/>
          <w:type w:val="continuous"/>
        </w:sectPr>
      </w:pPr>
    </w:p>
    <w:p>
      <w:pPr>
        <w:spacing w:after="0" w:line="28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FFFFFF"/>
        </w:rPr>
        <w:t>Record Date</w:t>
      </w:r>
    </w:p>
    <w:p>
      <w:pPr>
        <w:spacing w:after="0" w:line="164" w:lineRule="exact"/>
        <w:rPr>
          <w:sz w:val="20"/>
          <w:szCs w:val="20"/>
          <w:color w:val="auto"/>
        </w:rPr>
      </w:pPr>
    </w:p>
    <w:p>
      <w:pPr>
        <w:jc w:val="both"/>
        <w:ind w:left="280"/>
        <w:spacing w:after="0" w:line="236" w:lineRule="auto"/>
        <w:rPr>
          <w:sz w:val="20"/>
          <w:szCs w:val="20"/>
          <w:color w:val="auto"/>
        </w:rPr>
      </w:pPr>
      <w:r>
        <w:rPr>
          <w:rFonts w:ascii="Arial" w:cs="Arial" w:eastAsia="Arial" w:hAnsi="Arial"/>
          <w:sz w:val="17"/>
          <w:szCs w:val="17"/>
          <w:color w:val="auto"/>
        </w:rPr>
        <w:t xml:space="preserve">The Board of Directors of ON Semiconductor Corporation has fixed the close of business on March 29, 2022 as the record date for determination of stockholders entitled to notice of, and to vote at, the 2022 Annual Meeting of Stockholders or any adjournment or postponement thereof. For 10 days prior to the 2022 Annual Meeting of Stockholders, a list of stockholders entitled to vote at such meeting will be available for inspection in the office of the Law Department of ON Semiconductor Corporation, located at 5005 East McDowell Road, Phoenix, Arizona 85008, between the hours of 8:30 a.m. and 5:00 p.m., local time, each weekday. Such list will also be available at the 2022 Annual Meeting of Stockholders. Directions to the meeting location and related information may be found on our website at </w:t>
      </w:r>
      <w:r>
        <w:rPr>
          <w:rFonts w:ascii="Arial" w:cs="Arial" w:eastAsia="Arial" w:hAnsi="Arial"/>
          <w:sz w:val="17"/>
          <w:szCs w:val="17"/>
          <w:u w:val="single" w:color="auto"/>
          <w:color w:val="auto"/>
        </w:rPr>
        <w:t>www.onsemi.com/annualmeeting</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142875</wp:posOffset>
            </wp:positionV>
            <wp:extent cx="6934200" cy="1993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34200" cy="199390"/>
                    </a:xfrm>
                    <a:prstGeom prst="rect">
                      <a:avLst/>
                    </a:prstGeom>
                    <a:noFill/>
                  </pic:spPr>
                </pic:pic>
              </a:graphicData>
            </a:graphic>
          </wp:anchor>
        </w:drawing>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FFFFFF"/>
        </w:rPr>
        <w:t>Proxy Voting</w:t>
      </w:r>
    </w:p>
    <w:p>
      <w:pPr>
        <w:spacing w:after="0" w:line="164" w:lineRule="exact"/>
        <w:rPr>
          <w:sz w:val="20"/>
          <w:szCs w:val="20"/>
          <w:color w:val="auto"/>
        </w:rPr>
      </w:pPr>
    </w:p>
    <w:p>
      <w:pPr>
        <w:jc w:val="both"/>
        <w:ind w:left="280"/>
        <w:spacing w:after="0" w:line="236" w:lineRule="auto"/>
        <w:rPr>
          <w:sz w:val="20"/>
          <w:szCs w:val="20"/>
          <w:color w:val="auto"/>
        </w:rPr>
      </w:pPr>
      <w:r>
        <w:rPr>
          <w:rFonts w:ascii="Arial" w:cs="Arial" w:eastAsia="Arial" w:hAnsi="Arial"/>
          <w:sz w:val="17"/>
          <w:szCs w:val="17"/>
          <w:color w:val="auto"/>
        </w:rPr>
        <w:t>Your vote is very important to us. We are providing access to our proxy materials online under the U.S. Securities and Exchange Commission’s “notice and access” rules. As a result, instead of mailing a paper copy of this proxy statement and our 2021 annual report to stockholders, we are mailing a notice to many of our stockholders that contains instructions on how to access documents online and how stockholders can receive a paper copy of our materials, including this proxy statement, our 2021 annual report to stockholders and a proxy card. Those stockholders who do not receive a notice, including stockholders who have previously requested to receive paper copies of our proxy materials, will receive a paper copy of our proxy materials by mail unless they have previously requested delivery of such materials electronically.</w:t>
      </w:r>
    </w:p>
    <w:p>
      <w:pPr>
        <w:spacing w:after="0" w:line="72" w:lineRule="exact"/>
        <w:rPr>
          <w:sz w:val="20"/>
          <w:szCs w:val="20"/>
          <w:color w:val="auto"/>
        </w:rPr>
      </w:pPr>
    </w:p>
    <w:p>
      <w:pPr>
        <w:ind w:left="280"/>
        <w:spacing w:after="0"/>
        <w:rPr>
          <w:sz w:val="20"/>
          <w:szCs w:val="20"/>
          <w:color w:val="auto"/>
        </w:rPr>
      </w:pPr>
      <w:r>
        <w:rPr>
          <w:rFonts w:ascii="Arial" w:cs="Arial" w:eastAsia="Arial" w:hAnsi="Arial"/>
          <w:sz w:val="17"/>
          <w:szCs w:val="17"/>
          <w:color w:val="auto"/>
        </w:rPr>
        <w:t>Sincerely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85090</wp:posOffset>
            </wp:positionV>
            <wp:extent cx="1044575" cy="2889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044575" cy="288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280"/>
        <w:spacing w:after="0"/>
        <w:rPr>
          <w:sz w:val="20"/>
          <w:szCs w:val="20"/>
          <w:color w:val="auto"/>
        </w:rPr>
      </w:pPr>
      <w:r>
        <w:rPr>
          <w:rFonts w:ascii="Arial" w:cs="Arial" w:eastAsia="Arial" w:hAnsi="Arial"/>
          <w:sz w:val="17"/>
          <w:szCs w:val="17"/>
          <w:color w:val="auto"/>
        </w:rPr>
        <w:t>Hassane El-Khoury</w:t>
      </w:r>
    </w:p>
    <w:p>
      <w:pPr>
        <w:spacing w:after="0" w:line="8" w:lineRule="exact"/>
        <w:rPr>
          <w:sz w:val="20"/>
          <w:szCs w:val="20"/>
          <w:color w:val="auto"/>
        </w:rPr>
      </w:pPr>
    </w:p>
    <w:p>
      <w:pPr>
        <w:ind w:left="280"/>
        <w:spacing w:after="0"/>
        <w:rPr>
          <w:sz w:val="20"/>
          <w:szCs w:val="20"/>
          <w:color w:val="auto"/>
        </w:rPr>
      </w:pPr>
      <w:r>
        <w:rPr>
          <w:rFonts w:ascii="Arial" w:cs="Arial" w:eastAsia="Arial" w:hAnsi="Arial"/>
          <w:sz w:val="17"/>
          <w:szCs w:val="17"/>
          <w:color w:val="auto"/>
        </w:rPr>
        <w:t>President and Chief Executive Officer</w:t>
      </w:r>
    </w:p>
    <w:p>
      <w:pPr>
        <w:spacing w:after="0" w:line="83" w:lineRule="exact"/>
        <w:rPr>
          <w:sz w:val="20"/>
          <w:szCs w:val="20"/>
          <w:color w:val="auto"/>
        </w:rPr>
      </w:pPr>
    </w:p>
    <w:p>
      <w:pPr>
        <w:ind w:left="280"/>
        <w:spacing w:after="0"/>
        <w:rPr>
          <w:sz w:val="20"/>
          <w:szCs w:val="20"/>
          <w:color w:val="auto"/>
        </w:rPr>
      </w:pPr>
      <w:r>
        <w:rPr>
          <w:rFonts w:ascii="Arial" w:cs="Arial" w:eastAsia="Arial" w:hAnsi="Arial"/>
          <w:sz w:val="17"/>
          <w:szCs w:val="17"/>
          <w:color w:val="auto"/>
        </w:rPr>
        <w:t>April 6,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159385</wp:posOffset>
            </wp:positionV>
            <wp:extent cx="6934200" cy="7175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34200" cy="717550"/>
                    </a:xfrm>
                    <a:prstGeom prst="rect">
                      <a:avLst/>
                    </a:prstGeom>
                    <a:noFill/>
                  </pic:spPr>
                </pic:pic>
              </a:graphicData>
            </a:graphic>
          </wp:anchor>
        </w:drawing>
      </w:r>
    </w:p>
    <w:p>
      <w:pPr>
        <w:spacing w:after="0" w:line="269"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IMPORTANT NOTICE REGARDING THE AVAILABILITY OF PROXY MATERIALS FOR</w:t>
      </w:r>
    </w:p>
    <w:p>
      <w:pPr>
        <w:spacing w:after="0" w:line="5"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THE ANNUAL STOCKHOLDERS MEETING TO BE HELD ON MAY 26, 2022.</w:t>
      </w:r>
    </w:p>
    <w:p>
      <w:pPr>
        <w:jc w:val="center"/>
        <w:ind w:left="280"/>
        <w:spacing w:after="0" w:line="244" w:lineRule="auto"/>
        <w:rPr>
          <w:sz w:val="20"/>
          <w:szCs w:val="20"/>
          <w:color w:val="auto"/>
        </w:rPr>
      </w:pPr>
      <w:r>
        <w:rPr>
          <w:rFonts w:ascii="Arial" w:cs="Arial" w:eastAsia="Arial" w:hAnsi="Arial"/>
          <w:sz w:val="18"/>
          <w:szCs w:val="18"/>
          <w:b w:val="1"/>
          <w:bCs w:val="1"/>
          <w:color w:val="auto"/>
        </w:rPr>
        <w:t xml:space="preserve">The Company’s proxy statement for the 2022 Annual Meeting of Stockholders, its annual report to stockholders for the fiscal year ended December 31, 2021 and the proxy card are available at </w:t>
      </w:r>
      <w:r>
        <w:rPr>
          <w:rFonts w:ascii="Arial" w:cs="Arial" w:eastAsia="Arial" w:hAnsi="Arial"/>
          <w:sz w:val="18"/>
          <w:szCs w:val="18"/>
          <w:b w:val="1"/>
          <w:bCs w:val="1"/>
          <w:u w:val="single" w:color="auto"/>
          <w:color w:val="auto"/>
        </w:rPr>
        <w:t>www.onsemi.com/annualdocs</w:t>
      </w:r>
      <w:r>
        <w:rPr>
          <w:rFonts w:ascii="Arial" w:cs="Arial" w:eastAsia="Arial" w:hAnsi="Arial"/>
          <w:sz w:val="18"/>
          <w:szCs w:val="18"/>
          <w:b w:val="1"/>
          <w:bCs w:val="1"/>
          <w:color w:val="auto"/>
        </w:rPr>
        <w:t>.</w:t>
      </w:r>
    </w:p>
    <w:p>
      <w:pPr>
        <w:sectPr>
          <w:pgSz w:w="11900" w:h="16838" w:orient="portrait"/>
          <w:cols w:equalWidth="0" w:num="1">
            <w:col w:w="10980"/>
          </w:cols>
          <w:pgMar w:left="320" w:top="454" w:right="599" w:bottom="1440" w:gutter="0" w:footer="0" w:header="0"/>
          <w:type w:val="continuous"/>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6"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F75E14"/>
        </w:rPr>
        <w:t>TABLE OF CONTENTS</w:t>
      </w:r>
    </w:p>
    <w:p>
      <w:pPr>
        <w:spacing w:after="0" w:line="248" w:lineRule="exact"/>
        <w:rPr>
          <w:sz w:val="20"/>
          <w:szCs w:val="20"/>
          <w:color w:val="auto"/>
        </w:rPr>
      </w:pPr>
    </w:p>
    <w:tbl>
      <w:tblPr>
        <w:tblLayout w:type="fixed"/>
        <w:tblInd w:w="160" w:type="dxa"/>
        <w:tblCellMar>
          <w:top w:w="0" w:type="dxa"/>
          <w:left w:w="0" w:type="dxa"/>
          <w:bottom w:w="0" w:type="dxa"/>
          <w:right w:w="0" w:type="dxa"/>
        </w:tblCellMar>
      </w:tblPr>
      <w:tr>
        <w:trPr>
          <w:trHeight w:val="184"/>
        </w:trPr>
        <w:tc>
          <w:tcPr>
            <w:tcW w:w="8840" w:type="dxa"/>
            <w:vAlign w:val="bottom"/>
            <w:gridSpan w:val="52"/>
          </w:tcPr>
          <w:p>
            <w:pPr>
              <w:spacing w:after="0"/>
              <w:rPr>
                <w:rFonts w:ascii="Arial" w:cs="Arial" w:eastAsia="Arial" w:hAnsi="Arial"/>
                <w:sz w:val="16"/>
                <w:szCs w:val="16"/>
                <w:b w:val="1"/>
                <w:bCs w:val="1"/>
                <w:color w:val="0000EE"/>
              </w:rPr>
            </w:pPr>
            <w:hyperlink w:anchor="page5">
              <w:r>
                <w:rPr>
                  <w:rFonts w:ascii="Arial" w:cs="Arial" w:eastAsia="Arial" w:hAnsi="Arial"/>
                  <w:sz w:val="16"/>
                  <w:szCs w:val="16"/>
                  <w:b w:val="1"/>
                  <w:bCs w:val="1"/>
                  <w:color w:val="0000EE"/>
                </w:rPr>
                <w:t>PROXY STATEMENT</w:t>
              </w:r>
            </w:hyperlink>
          </w:p>
        </w:tc>
        <w:tc>
          <w:tcPr>
            <w:tcW w:w="2020" w:type="dxa"/>
            <w:vAlign w:val="bottom"/>
          </w:tcPr>
          <w:p>
            <w:pPr>
              <w:jc w:val="right"/>
              <w:spacing w:after="0"/>
              <w:rPr>
                <w:sz w:val="20"/>
                <w:szCs w:val="20"/>
                <w:color w:val="auto"/>
              </w:rPr>
            </w:pPr>
            <w:r>
              <w:rPr>
                <w:rFonts w:ascii="Arial" w:cs="Arial" w:eastAsia="Arial" w:hAnsi="Arial"/>
                <w:sz w:val="16"/>
                <w:szCs w:val="16"/>
                <w:b w:val="1"/>
                <w:bCs w:val="1"/>
                <w:color w:val="2B4772"/>
              </w:rPr>
              <w:t>1</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80" w:type="dxa"/>
            <w:vAlign w:val="bottom"/>
            <w:tcBorders>
              <w:top w:val="single" w:sz="8" w:color="0000EE"/>
            </w:tcBorders>
          </w:tcPr>
          <w:p>
            <w:pPr>
              <w:spacing w:after="0"/>
              <w:rPr>
                <w:sz w:val="15"/>
                <w:szCs w:val="15"/>
                <w:color w:val="auto"/>
              </w:rPr>
            </w:pPr>
          </w:p>
        </w:tc>
        <w:tc>
          <w:tcPr>
            <w:tcW w:w="1080" w:type="dxa"/>
            <w:vAlign w:val="bottom"/>
            <w:tcBorders>
              <w:top w:val="single" w:sz="8" w:color="0000EE"/>
            </w:tcBorders>
          </w:tcPr>
          <w:p>
            <w:pPr>
              <w:spacing w:after="0" w:line="181" w:lineRule="exact"/>
              <w:rPr>
                <w:rFonts w:ascii="Arial" w:cs="Arial" w:eastAsia="Arial" w:hAnsi="Arial"/>
                <w:sz w:val="18"/>
                <w:szCs w:val="18"/>
                <w:color w:val="0000EE"/>
              </w:rPr>
            </w:pPr>
            <w:hyperlink w:anchor="page5">
              <w:r>
                <w:rPr>
                  <w:rFonts w:ascii="Arial" w:cs="Arial" w:eastAsia="Arial" w:hAnsi="Arial"/>
                  <w:sz w:val="18"/>
                  <w:szCs w:val="18"/>
                  <w:color w:val="0000EE"/>
                </w:rPr>
                <w:t>2022 Annual</w:t>
              </w:r>
            </w:hyperlink>
          </w:p>
        </w:tc>
        <w:tc>
          <w:tcPr>
            <w:tcW w:w="7260" w:type="dxa"/>
            <w:vAlign w:val="bottom"/>
            <w:gridSpan w:val="49"/>
          </w:tcPr>
          <w:p>
            <w:pPr>
              <w:spacing w:after="0" w:line="181" w:lineRule="exact"/>
              <w:rPr>
                <w:rFonts w:ascii="Arial" w:cs="Arial" w:eastAsia="Arial" w:hAnsi="Arial"/>
                <w:sz w:val="18"/>
                <w:szCs w:val="18"/>
                <w:color w:val="0000EE"/>
              </w:rPr>
            </w:pPr>
            <w:hyperlink w:anchor="page5">
              <w:r>
                <w:rPr>
                  <w:rFonts w:ascii="Arial" w:cs="Arial" w:eastAsia="Arial" w:hAnsi="Arial"/>
                  <w:sz w:val="18"/>
                  <w:szCs w:val="18"/>
                  <w:color w:val="0000EE"/>
                </w:rPr>
                <w:t>Meeting of Stockholders</w:t>
              </w:r>
            </w:hyperlink>
          </w:p>
        </w:tc>
        <w:tc>
          <w:tcPr>
            <w:tcW w:w="2020" w:type="dxa"/>
            <w:vAlign w:val="bottom"/>
          </w:tcPr>
          <w:p>
            <w:pPr>
              <w:jc w:val="right"/>
              <w:spacing w:after="0" w:line="181"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960" w:type="dxa"/>
            <w:vAlign w:val="bottom"/>
            <w:tcBorders>
              <w:top w:val="single" w:sz="8" w:color="0000EE"/>
            </w:tcBorders>
            <w:gridSpan w:val="29"/>
          </w:tcPr>
          <w:p>
            <w:pPr>
              <w:spacing w:after="0" w:line="181" w:lineRule="exact"/>
              <w:rPr>
                <w:rFonts w:ascii="Arial" w:cs="Arial" w:eastAsia="Arial" w:hAnsi="Arial"/>
                <w:sz w:val="18"/>
                <w:szCs w:val="18"/>
                <w:color w:val="0000EE"/>
              </w:rPr>
            </w:pPr>
            <w:hyperlink w:anchor="page5">
              <w:r>
                <w:rPr>
                  <w:rFonts w:ascii="Arial" w:cs="Arial" w:eastAsia="Arial" w:hAnsi="Arial"/>
                  <w:sz w:val="18"/>
                  <w:szCs w:val="18"/>
                  <w:color w:val="0000EE"/>
                </w:rPr>
                <w:t>Proxy Materials Are Available on the</w:t>
              </w:r>
            </w:hyperlink>
          </w:p>
        </w:tc>
        <w:tc>
          <w:tcPr>
            <w:tcW w:w="5380" w:type="dxa"/>
            <w:vAlign w:val="bottom"/>
            <w:gridSpan w:val="21"/>
          </w:tcPr>
          <w:p>
            <w:pPr>
              <w:spacing w:after="0" w:line="181" w:lineRule="exact"/>
              <w:rPr>
                <w:rFonts w:ascii="Arial" w:cs="Arial" w:eastAsia="Arial" w:hAnsi="Arial"/>
                <w:sz w:val="18"/>
                <w:szCs w:val="18"/>
                <w:color w:val="0000EE"/>
              </w:rPr>
            </w:pPr>
            <w:hyperlink w:anchor="page5">
              <w:r>
                <w:rPr>
                  <w:rFonts w:ascii="Arial" w:cs="Arial" w:eastAsia="Arial" w:hAnsi="Arial"/>
                  <w:sz w:val="18"/>
                  <w:szCs w:val="18"/>
                  <w:color w:val="0000EE"/>
                </w:rPr>
                <w:t>Internet</w:t>
              </w:r>
            </w:hyperlink>
          </w:p>
        </w:tc>
        <w:tc>
          <w:tcPr>
            <w:tcW w:w="2020" w:type="dxa"/>
            <w:vAlign w:val="bottom"/>
          </w:tcPr>
          <w:p>
            <w:pPr>
              <w:jc w:val="right"/>
              <w:spacing w:after="0" w:line="181"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540" w:type="dxa"/>
            <w:vAlign w:val="bottom"/>
            <w:tcBorders>
              <w:top w:val="single" w:sz="8" w:color="0000EE"/>
            </w:tcBorders>
            <w:gridSpan w:val="37"/>
          </w:tcPr>
          <w:p>
            <w:pPr>
              <w:spacing w:after="0" w:line="181" w:lineRule="exact"/>
              <w:rPr>
                <w:rFonts w:ascii="Arial" w:cs="Arial" w:eastAsia="Arial" w:hAnsi="Arial"/>
                <w:sz w:val="18"/>
                <w:szCs w:val="18"/>
                <w:color w:val="0000EE"/>
              </w:rPr>
            </w:pPr>
            <w:hyperlink w:anchor="page5">
              <w:r>
                <w:rPr>
                  <w:rFonts w:ascii="Arial" w:cs="Arial" w:eastAsia="Arial" w:hAnsi="Arial"/>
                  <w:sz w:val="18"/>
                  <w:szCs w:val="18"/>
                  <w:color w:val="0000EE"/>
                </w:rPr>
                <w:t>Voting Your Shares</w:t>
              </w:r>
            </w:hyperlink>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20" w:type="dxa"/>
            <w:vAlign w:val="bottom"/>
          </w:tcPr>
          <w:p>
            <w:pPr>
              <w:jc w:val="right"/>
              <w:spacing w:after="0" w:line="181"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520" w:type="dxa"/>
            <w:vAlign w:val="bottom"/>
            <w:tcBorders>
              <w:top w:val="single" w:sz="8" w:color="0000EE"/>
            </w:tcBorders>
            <w:gridSpan w:val="8"/>
          </w:tcPr>
          <w:p>
            <w:pPr>
              <w:spacing w:after="0" w:line="181" w:lineRule="exact"/>
              <w:rPr>
                <w:rFonts w:ascii="Arial" w:cs="Arial" w:eastAsia="Arial" w:hAnsi="Arial"/>
                <w:sz w:val="18"/>
                <w:szCs w:val="18"/>
                <w:color w:val="0000EE"/>
                <w:w w:val="97"/>
              </w:rPr>
            </w:pPr>
            <w:hyperlink w:anchor="page6">
              <w:r>
                <w:rPr>
                  <w:rFonts w:ascii="Arial" w:cs="Arial" w:eastAsia="Arial" w:hAnsi="Arial"/>
                  <w:sz w:val="18"/>
                  <w:szCs w:val="18"/>
                  <w:color w:val="0000EE"/>
                  <w:w w:val="97"/>
                </w:rPr>
                <w:t>Proof of Ownership</w:t>
              </w:r>
            </w:hyperlink>
          </w:p>
        </w:tc>
        <w:tc>
          <w:tcPr>
            <w:tcW w:w="6820" w:type="dxa"/>
            <w:vAlign w:val="bottom"/>
            <w:gridSpan w:val="42"/>
          </w:tcPr>
          <w:p>
            <w:pPr>
              <w:ind w:left="60"/>
              <w:spacing w:after="0" w:line="181" w:lineRule="exact"/>
              <w:rPr>
                <w:rFonts w:ascii="Arial" w:cs="Arial" w:eastAsia="Arial" w:hAnsi="Arial"/>
                <w:sz w:val="18"/>
                <w:szCs w:val="18"/>
                <w:color w:val="0000EE"/>
              </w:rPr>
            </w:pPr>
            <w:hyperlink w:anchor="page6">
              <w:r>
                <w:rPr>
                  <w:rFonts w:ascii="Arial" w:cs="Arial" w:eastAsia="Arial" w:hAnsi="Arial"/>
                  <w:sz w:val="18"/>
                  <w:szCs w:val="18"/>
                  <w:color w:val="0000EE"/>
                </w:rPr>
                <w:t>Required for Attending Meeting in Person</w:t>
              </w:r>
            </w:hyperlink>
          </w:p>
        </w:tc>
        <w:tc>
          <w:tcPr>
            <w:tcW w:w="2020" w:type="dxa"/>
            <w:vAlign w:val="bottom"/>
          </w:tcPr>
          <w:p>
            <w:pPr>
              <w:jc w:val="right"/>
              <w:spacing w:after="0" w:line="181"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860" w:type="dxa"/>
            <w:vAlign w:val="bottom"/>
            <w:tcBorders>
              <w:top w:val="single" w:sz="8" w:color="0000EE"/>
            </w:tcBorders>
            <w:gridSpan w:val="44"/>
          </w:tcPr>
          <w:p>
            <w:pPr>
              <w:spacing w:after="0" w:line="181" w:lineRule="exact"/>
              <w:rPr>
                <w:rFonts w:ascii="Arial" w:cs="Arial" w:eastAsia="Arial" w:hAnsi="Arial"/>
                <w:sz w:val="18"/>
                <w:szCs w:val="18"/>
                <w:color w:val="0000EE"/>
              </w:rPr>
            </w:pPr>
            <w:hyperlink w:anchor="page6">
              <w:r>
                <w:rPr>
                  <w:rFonts w:ascii="Arial" w:cs="Arial" w:eastAsia="Arial" w:hAnsi="Arial"/>
                  <w:sz w:val="18"/>
                  <w:szCs w:val="18"/>
                  <w:color w:val="0000EE"/>
                </w:rPr>
                <w:t>Proposals and Board Recommendations</w:t>
              </w:r>
            </w:hyperlink>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20" w:type="dxa"/>
            <w:vAlign w:val="bottom"/>
          </w:tcPr>
          <w:p>
            <w:pPr>
              <w:jc w:val="right"/>
              <w:spacing w:after="0" w:line="181"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0" w:type="dxa"/>
            <w:vAlign w:val="bottom"/>
            <w:tcBorders>
              <w:top w:val="single" w:sz="8" w:color="0000EE"/>
            </w:tcBorders>
            <w:gridSpan w:val="34"/>
          </w:tcPr>
          <w:p>
            <w:pPr>
              <w:spacing w:after="0" w:line="181" w:lineRule="exact"/>
              <w:rPr>
                <w:rFonts w:ascii="Arial" w:cs="Arial" w:eastAsia="Arial" w:hAnsi="Arial"/>
                <w:sz w:val="18"/>
                <w:szCs w:val="18"/>
                <w:color w:val="0000EE"/>
              </w:rPr>
            </w:pPr>
            <w:hyperlink w:anchor="page7">
              <w:r>
                <w:rPr>
                  <w:rFonts w:ascii="Arial" w:cs="Arial" w:eastAsia="Arial" w:hAnsi="Arial"/>
                  <w:sz w:val="18"/>
                  <w:szCs w:val="18"/>
                  <w:color w:val="0000EE"/>
                </w:rPr>
                <w:t>Record Date and Quorum</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gridSpan w:val="2"/>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gridSpan w:val="2"/>
          </w:tcPr>
          <w:p>
            <w:pPr>
              <w:spacing w:after="0"/>
              <w:rPr>
                <w:sz w:val="15"/>
                <w:szCs w:val="15"/>
                <w:color w:val="auto"/>
              </w:rPr>
            </w:pPr>
          </w:p>
        </w:tc>
        <w:tc>
          <w:tcPr>
            <w:tcW w:w="9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20" w:type="dxa"/>
            <w:vAlign w:val="bottom"/>
          </w:tcPr>
          <w:p>
            <w:pPr>
              <w:jc w:val="right"/>
              <w:spacing w:after="0" w:line="181"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60" w:type="dxa"/>
            <w:vAlign w:val="bottom"/>
            <w:tcBorders>
              <w:top w:val="single" w:sz="8" w:color="0000EE"/>
            </w:tcBorders>
            <w:gridSpan w:val="16"/>
          </w:tcPr>
          <w:p>
            <w:pPr>
              <w:spacing w:after="0" w:line="181" w:lineRule="exact"/>
              <w:rPr>
                <w:rFonts w:ascii="Arial" w:cs="Arial" w:eastAsia="Arial" w:hAnsi="Arial"/>
                <w:sz w:val="18"/>
                <w:szCs w:val="18"/>
                <w:color w:val="0000EE"/>
              </w:rPr>
            </w:pPr>
            <w:hyperlink w:anchor="page7">
              <w:r>
                <w:rPr>
                  <w:rFonts w:ascii="Arial" w:cs="Arial" w:eastAsia="Arial" w:hAnsi="Arial"/>
                  <w:sz w:val="18"/>
                  <w:szCs w:val="18"/>
                  <w:color w:val="0000EE"/>
                </w:rPr>
                <w:t>Required Vote</w:t>
              </w:r>
            </w:hyperlink>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2"/>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gridSpan w:val="2"/>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gridSpan w:val="2"/>
          </w:tcPr>
          <w:p>
            <w:pPr>
              <w:spacing w:after="0"/>
              <w:rPr>
                <w:sz w:val="15"/>
                <w:szCs w:val="15"/>
                <w:color w:val="auto"/>
              </w:rPr>
            </w:pPr>
          </w:p>
        </w:tc>
        <w:tc>
          <w:tcPr>
            <w:tcW w:w="9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20" w:type="dxa"/>
            <w:vAlign w:val="bottom"/>
          </w:tcPr>
          <w:p>
            <w:pPr>
              <w:jc w:val="right"/>
              <w:spacing w:after="0" w:line="181"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40" w:type="dxa"/>
            <w:vAlign w:val="bottom"/>
            <w:tcBorders>
              <w:top w:val="single" w:sz="8" w:color="0000EE"/>
              <w:bottom w:val="single" w:sz="8" w:color="0000EE"/>
            </w:tcBorders>
            <w:gridSpan w:val="2"/>
          </w:tcPr>
          <w:p>
            <w:pPr>
              <w:spacing w:after="0" w:line="181" w:lineRule="exact"/>
              <w:rPr>
                <w:rFonts w:ascii="Arial" w:cs="Arial" w:eastAsia="Arial" w:hAnsi="Arial"/>
                <w:sz w:val="18"/>
                <w:szCs w:val="18"/>
                <w:color w:val="0000EE"/>
              </w:rPr>
            </w:pPr>
            <w:hyperlink w:anchor="page7">
              <w:r>
                <w:rPr>
                  <w:rFonts w:ascii="Arial" w:cs="Arial" w:eastAsia="Arial" w:hAnsi="Arial"/>
                  <w:sz w:val="18"/>
                  <w:szCs w:val="18"/>
                  <w:color w:val="0000EE"/>
                </w:rPr>
                <w:t>Revocation of</w:t>
              </w:r>
            </w:hyperlink>
          </w:p>
        </w:tc>
        <w:tc>
          <w:tcPr>
            <w:tcW w:w="620" w:type="dxa"/>
            <w:vAlign w:val="bottom"/>
            <w:tcBorders>
              <w:bottom w:val="single" w:sz="8" w:color="0000EE"/>
            </w:tcBorders>
            <w:gridSpan w:val="10"/>
          </w:tcPr>
          <w:p>
            <w:pPr>
              <w:spacing w:after="0" w:line="181" w:lineRule="exact"/>
              <w:rPr>
                <w:rFonts w:ascii="Arial" w:cs="Arial" w:eastAsia="Arial" w:hAnsi="Arial"/>
                <w:sz w:val="18"/>
                <w:szCs w:val="18"/>
                <w:color w:val="0000EE"/>
                <w:w w:val="99"/>
              </w:rPr>
            </w:pPr>
            <w:hyperlink w:anchor="page7">
              <w:r>
                <w:rPr>
                  <w:rFonts w:ascii="Arial" w:cs="Arial" w:eastAsia="Arial" w:hAnsi="Arial"/>
                  <w:sz w:val="18"/>
                  <w:szCs w:val="18"/>
                  <w:color w:val="0000EE"/>
                  <w:w w:val="99"/>
                </w:rPr>
                <w:t>Proxies</w:t>
              </w:r>
            </w:hyperlink>
          </w:p>
        </w:tc>
        <w:tc>
          <w:tcPr>
            <w:tcW w:w="6580" w:type="dxa"/>
            <w:vAlign w:val="bottom"/>
            <w:gridSpan w:val="38"/>
          </w:tcPr>
          <w:p>
            <w:pPr>
              <w:spacing w:after="0"/>
              <w:rPr>
                <w:sz w:val="15"/>
                <w:szCs w:val="15"/>
                <w:color w:val="auto"/>
              </w:rPr>
            </w:pPr>
          </w:p>
        </w:tc>
        <w:tc>
          <w:tcPr>
            <w:tcW w:w="2020" w:type="dxa"/>
            <w:vAlign w:val="bottom"/>
          </w:tcPr>
          <w:p>
            <w:pPr>
              <w:jc w:val="right"/>
              <w:spacing w:after="0" w:line="181"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67"/>
        </w:trPr>
        <w:tc>
          <w:tcPr>
            <w:tcW w:w="2260" w:type="dxa"/>
            <w:vAlign w:val="bottom"/>
            <w:gridSpan w:val="14"/>
          </w:tcPr>
          <w:p>
            <w:pPr>
              <w:spacing w:after="0" w:line="168" w:lineRule="exact"/>
              <w:rPr>
                <w:rFonts w:ascii="Arial" w:cs="Arial" w:eastAsia="Arial" w:hAnsi="Arial"/>
                <w:sz w:val="16"/>
                <w:szCs w:val="16"/>
                <w:b w:val="1"/>
                <w:bCs w:val="1"/>
                <w:color w:val="0000EE"/>
              </w:rPr>
            </w:pPr>
            <w:hyperlink w:anchor="page8">
              <w:r>
                <w:rPr>
                  <w:rFonts w:ascii="Arial" w:cs="Arial" w:eastAsia="Arial" w:hAnsi="Arial"/>
                  <w:sz w:val="16"/>
                  <w:szCs w:val="16"/>
                  <w:b w:val="1"/>
                  <w:bCs w:val="1"/>
                  <w:color w:val="0000EE"/>
                </w:rPr>
                <w:t>MANAGEMENT PROPOSALS</w:t>
              </w:r>
            </w:hyperlink>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2"/>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gridSpan w:val="2"/>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gridSpan w:val="2"/>
          </w:tcPr>
          <w:p>
            <w:pPr>
              <w:spacing w:after="0"/>
              <w:rPr>
                <w:sz w:val="14"/>
                <w:szCs w:val="14"/>
                <w:color w:val="auto"/>
              </w:rPr>
            </w:pPr>
          </w:p>
        </w:tc>
        <w:tc>
          <w:tcPr>
            <w:tcW w:w="9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20" w:type="dxa"/>
            <w:vAlign w:val="bottom"/>
          </w:tcPr>
          <w:p>
            <w:pPr>
              <w:jc w:val="right"/>
              <w:spacing w:after="0" w:line="168" w:lineRule="exact"/>
              <w:rPr>
                <w:sz w:val="20"/>
                <w:szCs w:val="20"/>
                <w:color w:val="auto"/>
              </w:rPr>
            </w:pPr>
            <w:r>
              <w:rPr>
                <w:rFonts w:ascii="Arial" w:cs="Arial" w:eastAsia="Arial" w:hAnsi="Arial"/>
                <w:sz w:val="16"/>
                <w:szCs w:val="16"/>
                <w:b w:val="1"/>
                <w:bCs w:val="1"/>
                <w:color w:val="2B4772"/>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20" w:type="dxa"/>
            <w:vAlign w:val="bottom"/>
            <w:vMerge w:val="restart"/>
          </w:tcPr>
          <w:p>
            <w:pPr>
              <w:jc w:val="right"/>
              <w:spacing w:after="0" w:line="201" w:lineRule="exact"/>
              <w:rPr>
                <w:sz w:val="20"/>
                <w:szCs w:val="20"/>
                <w:color w:val="auto"/>
              </w:rPr>
            </w:pPr>
            <w:r>
              <w:rPr>
                <w:rFonts w:ascii="Arial" w:cs="Arial" w:eastAsia="Arial" w:hAnsi="Arial"/>
                <w:sz w:val="18"/>
                <w:szCs w:val="18"/>
                <w:color w:val="auto"/>
              </w:rPr>
              <w:t>4</w:t>
            </w:r>
          </w:p>
        </w:tc>
        <w:tc>
          <w:tcPr>
            <w:tcW w:w="0" w:type="dxa"/>
            <w:vAlign w:val="bottom"/>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340" w:type="dxa"/>
            <w:vAlign w:val="bottom"/>
            <w:gridSpan w:val="50"/>
          </w:tcPr>
          <w:p>
            <w:pPr>
              <w:spacing w:after="0" w:line="181" w:lineRule="exact"/>
              <w:rPr>
                <w:rFonts w:ascii="Arial" w:cs="Arial" w:eastAsia="Arial" w:hAnsi="Arial"/>
                <w:sz w:val="18"/>
                <w:szCs w:val="18"/>
                <w:color w:val="0000EE"/>
              </w:rPr>
            </w:pPr>
            <w:hyperlink w:anchor="page8">
              <w:r>
                <w:rPr>
                  <w:rFonts w:ascii="Arial" w:cs="Arial" w:eastAsia="Arial" w:hAnsi="Arial"/>
                  <w:sz w:val="18"/>
                  <w:szCs w:val="18"/>
                  <w:color w:val="0000EE"/>
                </w:rPr>
                <w:t>Proposal No. 1: Election of Directors</w:t>
              </w:r>
            </w:hyperlink>
          </w:p>
        </w:tc>
        <w:tc>
          <w:tcPr>
            <w:tcW w:w="20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880" w:type="dxa"/>
            <w:vAlign w:val="bottom"/>
            <w:tcBorders>
              <w:top w:val="single" w:sz="8" w:color="0000EE"/>
            </w:tcBorders>
            <w:gridSpan w:val="27"/>
          </w:tcPr>
          <w:p>
            <w:pPr>
              <w:spacing w:after="0" w:line="181" w:lineRule="exact"/>
              <w:rPr>
                <w:rFonts w:ascii="Arial" w:cs="Arial" w:eastAsia="Arial" w:hAnsi="Arial"/>
                <w:sz w:val="18"/>
                <w:szCs w:val="18"/>
                <w:color w:val="0000EE"/>
              </w:rPr>
            </w:pPr>
            <w:hyperlink w:anchor="page8">
              <w:r>
                <w:rPr>
                  <w:rFonts w:ascii="Arial" w:cs="Arial" w:eastAsia="Arial" w:hAnsi="Arial"/>
                  <w:sz w:val="18"/>
                  <w:szCs w:val="18"/>
                  <w:color w:val="0000EE"/>
                </w:rPr>
                <w:t>Director Nominees</w:t>
              </w:r>
            </w:hyperlink>
          </w:p>
        </w:tc>
        <w:tc>
          <w:tcPr>
            <w:tcW w:w="20" w:type="dxa"/>
            <w:vAlign w:val="bottom"/>
          </w:tcPr>
          <w:p>
            <w:pPr>
              <w:spacing w:after="0"/>
              <w:rPr>
                <w:sz w:val="15"/>
                <w:szCs w:val="15"/>
                <w:color w:val="auto"/>
              </w:rPr>
            </w:pPr>
          </w:p>
        </w:tc>
        <w:tc>
          <w:tcPr>
            <w:tcW w:w="80" w:type="dxa"/>
            <w:vAlign w:val="bottom"/>
            <w:gridSpan w:val="2"/>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gridSpan w:val="2"/>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gridSpan w:val="2"/>
          </w:tcPr>
          <w:p>
            <w:pPr>
              <w:spacing w:after="0"/>
              <w:rPr>
                <w:sz w:val="15"/>
                <w:szCs w:val="15"/>
                <w:color w:val="auto"/>
              </w:rPr>
            </w:pPr>
          </w:p>
        </w:tc>
        <w:tc>
          <w:tcPr>
            <w:tcW w:w="9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20" w:type="dxa"/>
            <w:vAlign w:val="bottom"/>
          </w:tcPr>
          <w:p>
            <w:pPr>
              <w:jc w:val="right"/>
              <w:spacing w:after="0" w:line="181"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80" w:type="dxa"/>
            <w:vAlign w:val="bottom"/>
            <w:tcBorders>
              <w:top w:val="single" w:sz="8" w:color="0000EE"/>
            </w:tcBorders>
            <w:gridSpan w:val="6"/>
          </w:tcPr>
          <w:p>
            <w:pPr>
              <w:spacing w:after="0" w:line="181" w:lineRule="exact"/>
              <w:rPr>
                <w:rFonts w:ascii="Arial" w:cs="Arial" w:eastAsia="Arial" w:hAnsi="Arial"/>
                <w:sz w:val="18"/>
                <w:szCs w:val="18"/>
                <w:color w:val="0000EE"/>
              </w:rPr>
            </w:pPr>
            <w:hyperlink w:anchor="page14">
              <w:r>
                <w:rPr>
                  <w:rFonts w:ascii="Arial" w:cs="Arial" w:eastAsia="Arial" w:hAnsi="Arial"/>
                  <w:sz w:val="18"/>
                  <w:szCs w:val="18"/>
                  <w:color w:val="0000EE"/>
                </w:rPr>
                <w:t>Proposal No. 2:</w:t>
              </w:r>
            </w:hyperlink>
          </w:p>
        </w:tc>
        <w:tc>
          <w:tcPr>
            <w:tcW w:w="6860" w:type="dxa"/>
            <w:vAlign w:val="bottom"/>
            <w:gridSpan w:val="44"/>
          </w:tcPr>
          <w:p>
            <w:pPr>
              <w:spacing w:after="0" w:line="181" w:lineRule="exact"/>
              <w:rPr>
                <w:rFonts w:ascii="Arial" w:cs="Arial" w:eastAsia="Arial" w:hAnsi="Arial"/>
                <w:sz w:val="18"/>
                <w:szCs w:val="18"/>
                <w:color w:val="0000EE"/>
                <w:w w:val="98"/>
              </w:rPr>
            </w:pPr>
            <w:hyperlink w:anchor="page14">
              <w:r>
                <w:rPr>
                  <w:rFonts w:ascii="Arial" w:cs="Arial" w:eastAsia="Arial" w:hAnsi="Arial"/>
                  <w:sz w:val="18"/>
                  <w:szCs w:val="18"/>
                  <w:color w:val="0000EE"/>
                  <w:w w:val="98"/>
                </w:rPr>
                <w:t>Advisory (Non-Binding) Resolution to Approve Named Executive Officer Compensation</w:t>
              </w:r>
            </w:hyperlink>
          </w:p>
        </w:tc>
        <w:tc>
          <w:tcPr>
            <w:tcW w:w="2020" w:type="dxa"/>
            <w:vAlign w:val="bottom"/>
          </w:tcPr>
          <w:p>
            <w:pPr>
              <w:jc w:val="right"/>
              <w:spacing w:after="0" w:line="181"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180" w:type="dxa"/>
            <w:vAlign w:val="bottom"/>
            <w:tcBorders>
              <w:top w:val="single" w:sz="8" w:color="0000EE"/>
            </w:tcBorders>
            <w:gridSpan w:val="49"/>
          </w:tcPr>
          <w:p>
            <w:pPr>
              <w:spacing w:after="0" w:line="181" w:lineRule="exact"/>
              <w:rPr>
                <w:rFonts w:ascii="Arial" w:cs="Arial" w:eastAsia="Arial" w:hAnsi="Arial"/>
                <w:sz w:val="18"/>
                <w:szCs w:val="18"/>
                <w:color w:val="0000EE"/>
              </w:rPr>
            </w:pPr>
            <w:hyperlink w:anchor="page15">
              <w:r>
                <w:rPr>
                  <w:rFonts w:ascii="Arial" w:cs="Arial" w:eastAsia="Arial" w:hAnsi="Arial"/>
                  <w:sz w:val="18"/>
                  <w:szCs w:val="18"/>
                  <w:color w:val="0000EE"/>
                </w:rPr>
                <w:t>Proposal No. 3: Ratification of Selection of Independent Registered Public Accounting Firm</w:t>
              </w:r>
            </w:hyperlink>
          </w:p>
        </w:tc>
        <w:tc>
          <w:tcPr>
            <w:tcW w:w="160" w:type="dxa"/>
            <w:vAlign w:val="bottom"/>
          </w:tcPr>
          <w:p>
            <w:pPr>
              <w:spacing w:after="0"/>
              <w:rPr>
                <w:sz w:val="15"/>
                <w:szCs w:val="15"/>
                <w:color w:val="auto"/>
              </w:rPr>
            </w:pPr>
          </w:p>
        </w:tc>
        <w:tc>
          <w:tcPr>
            <w:tcW w:w="2020" w:type="dxa"/>
            <w:vAlign w:val="bottom"/>
          </w:tcPr>
          <w:p>
            <w:pPr>
              <w:jc w:val="right"/>
              <w:spacing w:after="0" w:line="181"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67"/>
        </w:trPr>
        <w:tc>
          <w:tcPr>
            <w:tcW w:w="500" w:type="dxa"/>
            <w:vAlign w:val="bottom"/>
            <w:gridSpan w:val="2"/>
          </w:tcPr>
          <w:p>
            <w:pPr>
              <w:spacing w:after="0" w:line="168" w:lineRule="exact"/>
              <w:rPr>
                <w:rFonts w:ascii="Arial" w:cs="Arial" w:eastAsia="Arial" w:hAnsi="Arial"/>
                <w:sz w:val="16"/>
                <w:szCs w:val="16"/>
                <w:b w:val="1"/>
                <w:bCs w:val="1"/>
                <w:color w:val="0000EE"/>
              </w:rPr>
            </w:pPr>
            <w:hyperlink w:anchor="page17">
              <w:r>
                <w:rPr>
                  <w:rFonts w:ascii="Arial" w:cs="Arial" w:eastAsia="Arial" w:hAnsi="Arial"/>
                  <w:sz w:val="16"/>
                  <w:szCs w:val="16"/>
                  <w:b w:val="1"/>
                  <w:bCs w:val="1"/>
                  <w:color w:val="0000EE"/>
                </w:rPr>
                <w:t>THE</w:t>
              </w:r>
            </w:hyperlink>
          </w:p>
        </w:tc>
        <w:tc>
          <w:tcPr>
            <w:tcW w:w="7180" w:type="dxa"/>
            <w:vAlign w:val="bottom"/>
            <w:tcBorders>
              <w:top w:val="single" w:sz="8" w:color="0000EE"/>
            </w:tcBorders>
            <w:gridSpan w:val="48"/>
          </w:tcPr>
          <w:p>
            <w:pPr>
              <w:spacing w:after="0" w:line="168" w:lineRule="exact"/>
              <w:rPr>
                <w:rFonts w:ascii="Arial" w:cs="Arial" w:eastAsia="Arial" w:hAnsi="Arial"/>
                <w:sz w:val="16"/>
                <w:szCs w:val="16"/>
                <w:b w:val="1"/>
                <w:bCs w:val="1"/>
                <w:color w:val="0000EE"/>
              </w:rPr>
            </w:pPr>
            <w:hyperlink w:anchor="page17">
              <w:r>
                <w:rPr>
                  <w:rFonts w:ascii="Arial" w:cs="Arial" w:eastAsia="Arial" w:hAnsi="Arial"/>
                  <w:sz w:val="16"/>
                  <w:szCs w:val="16"/>
                  <w:b w:val="1"/>
                  <w:bCs w:val="1"/>
                  <w:color w:val="0000EE"/>
                </w:rPr>
                <w:t>BOARD OF DIRECTORS AND CORPORATE GOVERNANCE</w:t>
              </w:r>
            </w:hyperlink>
          </w:p>
        </w:tc>
        <w:tc>
          <w:tcPr>
            <w:tcW w:w="1160" w:type="dxa"/>
            <w:vAlign w:val="bottom"/>
            <w:gridSpan w:val="2"/>
          </w:tcPr>
          <w:p>
            <w:pPr>
              <w:spacing w:after="0"/>
              <w:rPr>
                <w:sz w:val="14"/>
                <w:szCs w:val="14"/>
                <w:color w:val="auto"/>
              </w:rPr>
            </w:pPr>
          </w:p>
        </w:tc>
        <w:tc>
          <w:tcPr>
            <w:tcW w:w="2020" w:type="dxa"/>
            <w:vAlign w:val="bottom"/>
          </w:tcPr>
          <w:p>
            <w:pPr>
              <w:jc w:val="right"/>
              <w:spacing w:after="0" w:line="168" w:lineRule="exact"/>
              <w:rPr>
                <w:sz w:val="20"/>
                <w:szCs w:val="20"/>
                <w:color w:val="auto"/>
              </w:rPr>
            </w:pPr>
            <w:r>
              <w:rPr>
                <w:rFonts w:ascii="Arial" w:cs="Arial" w:eastAsia="Arial" w:hAnsi="Arial"/>
                <w:sz w:val="16"/>
                <w:szCs w:val="16"/>
                <w:b w:val="1"/>
                <w:bCs w:val="1"/>
                <w:color w:val="2B4772"/>
              </w:rPr>
              <w:t>13</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80" w:type="dxa"/>
            <w:vAlign w:val="bottom"/>
            <w:tcBorders>
              <w:top w:val="single" w:sz="8" w:color="0000EE"/>
            </w:tcBorders>
          </w:tcPr>
          <w:p>
            <w:pPr>
              <w:spacing w:after="0"/>
              <w:rPr>
                <w:sz w:val="15"/>
                <w:szCs w:val="15"/>
                <w:color w:val="auto"/>
              </w:rPr>
            </w:pPr>
          </w:p>
        </w:tc>
        <w:tc>
          <w:tcPr>
            <w:tcW w:w="4360" w:type="dxa"/>
            <w:vAlign w:val="bottom"/>
            <w:tcBorders>
              <w:top w:val="single" w:sz="8" w:color="0000EE"/>
            </w:tcBorders>
            <w:gridSpan w:val="42"/>
          </w:tcPr>
          <w:p>
            <w:pPr>
              <w:spacing w:after="0" w:line="181" w:lineRule="exact"/>
              <w:rPr>
                <w:rFonts w:ascii="Arial" w:cs="Arial" w:eastAsia="Arial" w:hAnsi="Arial"/>
                <w:sz w:val="18"/>
                <w:szCs w:val="18"/>
                <w:color w:val="0000EE"/>
              </w:rPr>
            </w:pPr>
            <w:hyperlink w:anchor="page17">
              <w:r>
                <w:rPr>
                  <w:rFonts w:ascii="Arial" w:cs="Arial" w:eastAsia="Arial" w:hAnsi="Arial"/>
                  <w:sz w:val="18"/>
                  <w:szCs w:val="18"/>
                  <w:color w:val="0000EE"/>
                </w:rPr>
                <w:t>Board Diversity</w:t>
              </w:r>
            </w:hyperlink>
          </w:p>
        </w:tc>
        <w:tc>
          <w:tcPr>
            <w:tcW w:w="120" w:type="dxa"/>
            <w:vAlign w:val="bottom"/>
          </w:tcPr>
          <w:p>
            <w:pPr>
              <w:spacing w:after="0"/>
              <w:rPr>
                <w:sz w:val="15"/>
                <w:szCs w:val="15"/>
                <w:color w:val="auto"/>
              </w:rPr>
            </w:pPr>
          </w:p>
        </w:tc>
        <w:tc>
          <w:tcPr>
            <w:tcW w:w="480" w:type="dxa"/>
            <w:vAlign w:val="bottom"/>
            <w:gridSpan w:val="2"/>
          </w:tcPr>
          <w:p>
            <w:pPr>
              <w:spacing w:after="0"/>
              <w:rPr>
                <w:sz w:val="15"/>
                <w:szCs w:val="15"/>
                <w:color w:val="auto"/>
              </w:rPr>
            </w:pPr>
          </w:p>
        </w:tc>
        <w:tc>
          <w:tcPr>
            <w:tcW w:w="9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340" w:type="dxa"/>
            <w:vAlign w:val="bottom"/>
            <w:gridSpan w:val="3"/>
          </w:tcPr>
          <w:p>
            <w:pPr>
              <w:spacing w:after="0"/>
              <w:rPr>
                <w:sz w:val="15"/>
                <w:szCs w:val="15"/>
                <w:color w:val="auto"/>
              </w:rPr>
            </w:pPr>
          </w:p>
        </w:tc>
        <w:tc>
          <w:tcPr>
            <w:tcW w:w="2020" w:type="dxa"/>
            <w:vAlign w:val="bottom"/>
          </w:tcPr>
          <w:p>
            <w:pPr>
              <w:jc w:val="right"/>
              <w:spacing w:after="0" w:line="181"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20" w:type="dxa"/>
            <w:vAlign w:val="bottom"/>
            <w:tcBorders>
              <w:top w:val="single" w:sz="8" w:color="0000EE"/>
            </w:tcBorders>
            <w:gridSpan w:val="3"/>
          </w:tcPr>
          <w:p>
            <w:pPr>
              <w:spacing w:after="0" w:line="181" w:lineRule="exact"/>
              <w:rPr>
                <w:rFonts w:ascii="Arial" w:cs="Arial" w:eastAsia="Arial" w:hAnsi="Arial"/>
                <w:sz w:val="18"/>
                <w:szCs w:val="18"/>
                <w:color w:val="0000EE"/>
                <w:w w:val="99"/>
              </w:rPr>
            </w:pPr>
            <w:hyperlink w:anchor="page18">
              <w:r>
                <w:rPr>
                  <w:rFonts w:ascii="Arial" w:cs="Arial" w:eastAsia="Arial" w:hAnsi="Arial"/>
                  <w:sz w:val="18"/>
                  <w:szCs w:val="18"/>
                  <w:color w:val="0000EE"/>
                  <w:w w:val="99"/>
                </w:rPr>
                <w:t>Considerations</w:t>
              </w:r>
            </w:hyperlink>
          </w:p>
        </w:tc>
        <w:tc>
          <w:tcPr>
            <w:tcW w:w="20" w:type="dxa"/>
            <w:vAlign w:val="bottom"/>
          </w:tcPr>
          <w:p>
            <w:pPr>
              <w:spacing w:after="0"/>
              <w:rPr>
                <w:sz w:val="15"/>
                <w:szCs w:val="15"/>
                <w:color w:val="auto"/>
              </w:rPr>
            </w:pPr>
          </w:p>
        </w:tc>
        <w:tc>
          <w:tcPr>
            <w:tcW w:w="7100" w:type="dxa"/>
            <w:vAlign w:val="bottom"/>
            <w:gridSpan w:val="46"/>
          </w:tcPr>
          <w:p>
            <w:pPr>
              <w:spacing w:after="0" w:line="181" w:lineRule="exact"/>
              <w:rPr>
                <w:rFonts w:ascii="Arial" w:cs="Arial" w:eastAsia="Arial" w:hAnsi="Arial"/>
                <w:sz w:val="18"/>
                <w:szCs w:val="18"/>
                <w:color w:val="0000EE"/>
              </w:rPr>
            </w:pPr>
            <w:hyperlink w:anchor="page18">
              <w:r>
                <w:rPr>
                  <w:rFonts w:ascii="Arial" w:cs="Arial" w:eastAsia="Arial" w:hAnsi="Arial"/>
                  <w:sz w:val="18"/>
                  <w:szCs w:val="18"/>
                  <w:color w:val="0000EE"/>
                </w:rPr>
                <w:t>for Independence Determinations</w:t>
              </w:r>
            </w:hyperlink>
          </w:p>
        </w:tc>
        <w:tc>
          <w:tcPr>
            <w:tcW w:w="2020" w:type="dxa"/>
            <w:vAlign w:val="bottom"/>
          </w:tcPr>
          <w:p>
            <w:pPr>
              <w:jc w:val="right"/>
              <w:spacing w:after="0" w:line="181"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880" w:type="dxa"/>
            <w:vAlign w:val="bottom"/>
            <w:tcBorders>
              <w:top w:val="single" w:sz="8" w:color="0000EE"/>
            </w:tcBorders>
            <w:gridSpan w:val="40"/>
          </w:tcPr>
          <w:p>
            <w:pPr>
              <w:spacing w:after="0" w:line="181" w:lineRule="exact"/>
              <w:rPr>
                <w:rFonts w:ascii="Arial" w:cs="Arial" w:eastAsia="Arial" w:hAnsi="Arial"/>
                <w:sz w:val="18"/>
                <w:szCs w:val="18"/>
                <w:color w:val="0000EE"/>
              </w:rPr>
            </w:pPr>
            <w:hyperlink w:anchor="page20">
              <w:r>
                <w:rPr>
                  <w:rFonts w:ascii="Arial" w:cs="Arial" w:eastAsia="Arial" w:hAnsi="Arial"/>
                  <w:sz w:val="18"/>
                  <w:szCs w:val="18"/>
                  <w:color w:val="0000EE"/>
                </w:rPr>
                <w:t>Committees of the Board</w:t>
              </w:r>
            </w:hyperlink>
          </w:p>
        </w:tc>
        <w:tc>
          <w:tcPr>
            <w:tcW w:w="220" w:type="dxa"/>
            <w:vAlign w:val="bottom"/>
          </w:tcPr>
          <w:p>
            <w:pPr>
              <w:spacing w:after="0"/>
              <w:rPr>
                <w:sz w:val="15"/>
                <w:szCs w:val="15"/>
                <w:color w:val="auto"/>
              </w:rPr>
            </w:pPr>
          </w:p>
        </w:tc>
        <w:tc>
          <w:tcPr>
            <w:tcW w:w="380" w:type="dxa"/>
            <w:vAlign w:val="bottom"/>
            <w:gridSpan w:val="2"/>
          </w:tcPr>
          <w:p>
            <w:pPr>
              <w:spacing w:after="0"/>
              <w:rPr>
                <w:sz w:val="15"/>
                <w:szCs w:val="15"/>
                <w:color w:val="auto"/>
              </w:rPr>
            </w:pPr>
          </w:p>
        </w:tc>
        <w:tc>
          <w:tcPr>
            <w:tcW w:w="480" w:type="dxa"/>
            <w:vAlign w:val="bottom"/>
            <w:gridSpan w:val="2"/>
          </w:tcPr>
          <w:p>
            <w:pPr>
              <w:spacing w:after="0"/>
              <w:rPr>
                <w:sz w:val="15"/>
                <w:szCs w:val="15"/>
                <w:color w:val="auto"/>
              </w:rPr>
            </w:pPr>
          </w:p>
        </w:tc>
        <w:tc>
          <w:tcPr>
            <w:tcW w:w="9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340" w:type="dxa"/>
            <w:vAlign w:val="bottom"/>
            <w:gridSpan w:val="3"/>
          </w:tcPr>
          <w:p>
            <w:pPr>
              <w:spacing w:after="0"/>
              <w:rPr>
                <w:sz w:val="15"/>
                <w:szCs w:val="15"/>
                <w:color w:val="auto"/>
              </w:rPr>
            </w:pPr>
          </w:p>
        </w:tc>
        <w:tc>
          <w:tcPr>
            <w:tcW w:w="2020" w:type="dxa"/>
            <w:vAlign w:val="bottom"/>
          </w:tcPr>
          <w:p>
            <w:pPr>
              <w:jc w:val="right"/>
              <w:spacing w:after="0" w:line="181"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980" w:type="dxa"/>
            <w:vAlign w:val="bottom"/>
            <w:tcBorders>
              <w:top w:val="single" w:sz="8" w:color="0000EE"/>
            </w:tcBorders>
            <w:gridSpan w:val="14"/>
          </w:tcPr>
          <w:p>
            <w:pPr>
              <w:spacing w:after="0" w:line="181" w:lineRule="exact"/>
              <w:rPr>
                <w:rFonts w:ascii="Arial" w:cs="Arial" w:eastAsia="Arial" w:hAnsi="Arial"/>
                <w:sz w:val="18"/>
                <w:szCs w:val="18"/>
                <w:color w:val="0000EE"/>
              </w:rPr>
            </w:pPr>
            <w:hyperlink w:anchor="page24">
              <w:r>
                <w:rPr>
                  <w:rFonts w:ascii="Arial" w:cs="Arial" w:eastAsia="Arial" w:hAnsi="Arial"/>
                  <w:sz w:val="18"/>
                  <w:szCs w:val="18"/>
                  <w:color w:val="0000EE"/>
                </w:rPr>
                <w:t>2021 Compensation of</w:t>
              </w:r>
            </w:hyperlink>
          </w:p>
        </w:tc>
        <w:tc>
          <w:tcPr>
            <w:tcW w:w="6360" w:type="dxa"/>
            <w:vAlign w:val="bottom"/>
            <w:gridSpan w:val="36"/>
          </w:tcPr>
          <w:p>
            <w:pPr>
              <w:jc w:val="center"/>
              <w:ind w:right="5780"/>
              <w:spacing w:after="0" w:line="181" w:lineRule="exact"/>
              <w:rPr>
                <w:rFonts w:ascii="Arial" w:cs="Arial" w:eastAsia="Arial" w:hAnsi="Arial"/>
                <w:sz w:val="18"/>
                <w:szCs w:val="18"/>
                <w:color w:val="0000EE"/>
                <w:w w:val="80"/>
              </w:rPr>
            </w:pPr>
            <w:hyperlink w:anchor="page24">
              <w:r>
                <w:rPr>
                  <w:rFonts w:ascii="Arial" w:cs="Arial" w:eastAsia="Arial" w:hAnsi="Arial"/>
                  <w:sz w:val="18"/>
                  <w:szCs w:val="18"/>
                  <w:color w:val="0000EE"/>
                  <w:w w:val="80"/>
                </w:rPr>
                <w:t>Directors</w:t>
              </w:r>
            </w:hyperlink>
          </w:p>
        </w:tc>
        <w:tc>
          <w:tcPr>
            <w:tcW w:w="2020" w:type="dxa"/>
            <w:vAlign w:val="bottom"/>
          </w:tcPr>
          <w:p>
            <w:pPr>
              <w:jc w:val="right"/>
              <w:spacing w:after="0" w:line="181"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580" w:type="dxa"/>
            <w:vAlign w:val="bottom"/>
            <w:tcBorders>
              <w:top w:val="single" w:sz="8" w:color="0000EE"/>
            </w:tcBorders>
            <w:gridSpan w:val="25"/>
          </w:tcPr>
          <w:p>
            <w:pPr>
              <w:spacing w:after="0" w:line="181" w:lineRule="exact"/>
              <w:rPr>
                <w:rFonts w:ascii="Arial" w:cs="Arial" w:eastAsia="Arial" w:hAnsi="Arial"/>
                <w:sz w:val="18"/>
                <w:szCs w:val="18"/>
                <w:color w:val="0000EE"/>
              </w:rPr>
            </w:pPr>
            <w:hyperlink w:anchor="page25">
              <w:r>
                <w:rPr>
                  <w:rFonts w:ascii="Arial" w:cs="Arial" w:eastAsia="Arial" w:hAnsi="Arial"/>
                  <w:sz w:val="18"/>
                  <w:szCs w:val="18"/>
                  <w:color w:val="0000EE"/>
                </w:rPr>
                <w:t>Majority Voting for Directors</w:t>
              </w:r>
            </w:hyperlink>
          </w:p>
        </w:tc>
        <w:tc>
          <w:tcPr>
            <w:tcW w:w="60" w:type="dxa"/>
            <w:vAlign w:val="bottom"/>
          </w:tcPr>
          <w:p>
            <w:pPr>
              <w:spacing w:after="0"/>
              <w:rPr>
                <w:sz w:val="15"/>
                <w:szCs w:val="15"/>
                <w:color w:val="auto"/>
              </w:rPr>
            </w:pPr>
          </w:p>
        </w:tc>
        <w:tc>
          <w:tcPr>
            <w:tcW w:w="260" w:type="dxa"/>
            <w:vAlign w:val="bottom"/>
            <w:gridSpan w:val="2"/>
          </w:tcPr>
          <w:p>
            <w:pPr>
              <w:spacing w:after="0"/>
              <w:rPr>
                <w:sz w:val="15"/>
                <w:szCs w:val="15"/>
                <w:color w:val="auto"/>
              </w:rPr>
            </w:pPr>
          </w:p>
        </w:tc>
        <w:tc>
          <w:tcPr>
            <w:tcW w:w="80" w:type="dxa"/>
            <w:vAlign w:val="bottom"/>
            <w:gridSpan w:val="2"/>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gridSpan w:val="2"/>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gridSpan w:val="2"/>
          </w:tcPr>
          <w:p>
            <w:pPr>
              <w:spacing w:after="0"/>
              <w:rPr>
                <w:sz w:val="15"/>
                <w:szCs w:val="15"/>
                <w:color w:val="auto"/>
              </w:rPr>
            </w:pPr>
          </w:p>
        </w:tc>
        <w:tc>
          <w:tcPr>
            <w:tcW w:w="380" w:type="dxa"/>
            <w:vAlign w:val="bottom"/>
            <w:gridSpan w:val="2"/>
          </w:tcPr>
          <w:p>
            <w:pPr>
              <w:spacing w:after="0"/>
              <w:rPr>
                <w:sz w:val="15"/>
                <w:szCs w:val="15"/>
                <w:color w:val="auto"/>
              </w:rPr>
            </w:pPr>
          </w:p>
        </w:tc>
        <w:tc>
          <w:tcPr>
            <w:tcW w:w="480" w:type="dxa"/>
            <w:vAlign w:val="bottom"/>
            <w:gridSpan w:val="2"/>
          </w:tcPr>
          <w:p>
            <w:pPr>
              <w:spacing w:after="0"/>
              <w:rPr>
                <w:sz w:val="15"/>
                <w:szCs w:val="15"/>
                <w:color w:val="auto"/>
              </w:rPr>
            </w:pPr>
          </w:p>
        </w:tc>
        <w:tc>
          <w:tcPr>
            <w:tcW w:w="9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340" w:type="dxa"/>
            <w:vAlign w:val="bottom"/>
            <w:gridSpan w:val="3"/>
          </w:tcPr>
          <w:p>
            <w:pPr>
              <w:spacing w:after="0"/>
              <w:rPr>
                <w:sz w:val="15"/>
                <w:szCs w:val="15"/>
                <w:color w:val="auto"/>
              </w:rPr>
            </w:pPr>
          </w:p>
        </w:tc>
        <w:tc>
          <w:tcPr>
            <w:tcW w:w="2020" w:type="dxa"/>
            <w:vAlign w:val="bottom"/>
          </w:tcPr>
          <w:p>
            <w:pPr>
              <w:jc w:val="right"/>
              <w:spacing w:after="0" w:line="181"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0" w:type="dxa"/>
            <w:vAlign w:val="bottom"/>
            <w:tcBorders>
              <w:top w:val="single" w:sz="8" w:color="0000EE"/>
            </w:tcBorders>
            <w:gridSpan w:val="20"/>
          </w:tcPr>
          <w:p>
            <w:pPr>
              <w:spacing w:after="0" w:line="181" w:lineRule="exact"/>
              <w:rPr>
                <w:rFonts w:ascii="Arial" w:cs="Arial" w:eastAsia="Arial" w:hAnsi="Arial"/>
                <w:sz w:val="18"/>
                <w:szCs w:val="18"/>
                <w:color w:val="0000EE"/>
              </w:rPr>
            </w:pPr>
            <w:hyperlink w:anchor="page26">
              <w:r>
                <w:rPr>
                  <w:rFonts w:ascii="Arial" w:cs="Arial" w:eastAsia="Arial" w:hAnsi="Arial"/>
                  <w:sz w:val="18"/>
                  <w:szCs w:val="18"/>
                  <w:color w:val="0000EE"/>
                </w:rPr>
                <w:t>Other Board Matters</w:t>
              </w:r>
            </w:hyperlink>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2"/>
          </w:tcPr>
          <w:p>
            <w:pPr>
              <w:spacing w:after="0"/>
              <w:rPr>
                <w:sz w:val="15"/>
                <w:szCs w:val="15"/>
                <w:color w:val="auto"/>
              </w:rPr>
            </w:pPr>
          </w:p>
        </w:tc>
        <w:tc>
          <w:tcPr>
            <w:tcW w:w="260" w:type="dxa"/>
            <w:vAlign w:val="bottom"/>
            <w:gridSpan w:val="2"/>
          </w:tcPr>
          <w:p>
            <w:pPr>
              <w:spacing w:after="0"/>
              <w:rPr>
                <w:sz w:val="15"/>
                <w:szCs w:val="15"/>
                <w:color w:val="auto"/>
              </w:rPr>
            </w:pPr>
          </w:p>
        </w:tc>
        <w:tc>
          <w:tcPr>
            <w:tcW w:w="80" w:type="dxa"/>
            <w:vAlign w:val="bottom"/>
            <w:gridSpan w:val="2"/>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gridSpan w:val="2"/>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gridSpan w:val="2"/>
          </w:tcPr>
          <w:p>
            <w:pPr>
              <w:spacing w:after="0"/>
              <w:rPr>
                <w:sz w:val="15"/>
                <w:szCs w:val="15"/>
                <w:color w:val="auto"/>
              </w:rPr>
            </w:pPr>
          </w:p>
        </w:tc>
        <w:tc>
          <w:tcPr>
            <w:tcW w:w="380" w:type="dxa"/>
            <w:vAlign w:val="bottom"/>
            <w:gridSpan w:val="2"/>
          </w:tcPr>
          <w:p>
            <w:pPr>
              <w:spacing w:after="0"/>
              <w:rPr>
                <w:sz w:val="15"/>
                <w:szCs w:val="15"/>
                <w:color w:val="auto"/>
              </w:rPr>
            </w:pPr>
          </w:p>
        </w:tc>
        <w:tc>
          <w:tcPr>
            <w:tcW w:w="480" w:type="dxa"/>
            <w:vAlign w:val="bottom"/>
            <w:gridSpan w:val="2"/>
          </w:tcPr>
          <w:p>
            <w:pPr>
              <w:spacing w:after="0"/>
              <w:rPr>
                <w:sz w:val="15"/>
                <w:szCs w:val="15"/>
                <w:color w:val="auto"/>
              </w:rPr>
            </w:pPr>
          </w:p>
        </w:tc>
        <w:tc>
          <w:tcPr>
            <w:tcW w:w="9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340" w:type="dxa"/>
            <w:vAlign w:val="bottom"/>
            <w:gridSpan w:val="3"/>
          </w:tcPr>
          <w:p>
            <w:pPr>
              <w:spacing w:after="0"/>
              <w:rPr>
                <w:sz w:val="15"/>
                <w:szCs w:val="15"/>
                <w:color w:val="auto"/>
              </w:rPr>
            </w:pPr>
          </w:p>
        </w:tc>
        <w:tc>
          <w:tcPr>
            <w:tcW w:w="2020" w:type="dxa"/>
            <w:vAlign w:val="bottom"/>
          </w:tcPr>
          <w:p>
            <w:pPr>
              <w:jc w:val="right"/>
              <w:spacing w:after="0" w:line="181"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20" w:type="dxa"/>
            <w:vAlign w:val="bottom"/>
            <w:tcBorders>
              <w:top w:val="single" w:sz="8" w:color="0000EE"/>
            </w:tcBorders>
            <w:gridSpan w:val="9"/>
          </w:tcPr>
          <w:p>
            <w:pPr>
              <w:spacing w:after="0" w:line="181" w:lineRule="exact"/>
              <w:rPr>
                <w:rFonts w:ascii="Arial" w:cs="Arial" w:eastAsia="Arial" w:hAnsi="Arial"/>
                <w:sz w:val="18"/>
                <w:szCs w:val="18"/>
                <w:color w:val="0000EE"/>
                <w:w w:val="87"/>
              </w:rPr>
            </w:pPr>
            <w:hyperlink w:anchor="page28">
              <w:r>
                <w:rPr>
                  <w:rFonts w:ascii="Arial" w:cs="Arial" w:eastAsia="Arial" w:hAnsi="Arial"/>
                  <w:sz w:val="18"/>
                  <w:szCs w:val="18"/>
                  <w:color w:val="0000EE"/>
                  <w:w w:val="87"/>
                </w:rPr>
                <w:t>Corporate Governance</w:t>
              </w:r>
            </w:hyperlink>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6560" w:type="dxa"/>
            <w:vAlign w:val="bottom"/>
            <w:gridSpan w:val="37"/>
          </w:tcPr>
          <w:p>
            <w:pPr>
              <w:jc w:val="center"/>
              <w:ind w:right="5620"/>
              <w:spacing w:after="0" w:line="181" w:lineRule="exact"/>
              <w:rPr>
                <w:rFonts w:ascii="Arial" w:cs="Arial" w:eastAsia="Arial" w:hAnsi="Arial"/>
                <w:sz w:val="18"/>
                <w:szCs w:val="18"/>
                <w:color w:val="0000EE"/>
                <w:w w:val="99"/>
              </w:rPr>
            </w:pPr>
            <w:hyperlink w:anchor="page28">
              <w:r>
                <w:rPr>
                  <w:rFonts w:ascii="Arial" w:cs="Arial" w:eastAsia="Arial" w:hAnsi="Arial"/>
                  <w:sz w:val="18"/>
                  <w:szCs w:val="18"/>
                  <w:color w:val="0000EE"/>
                  <w:w w:val="99"/>
                </w:rPr>
                <w:t>Principles</w:t>
              </w:r>
            </w:hyperlink>
          </w:p>
        </w:tc>
        <w:tc>
          <w:tcPr>
            <w:tcW w:w="2020" w:type="dxa"/>
            <w:vAlign w:val="bottom"/>
          </w:tcPr>
          <w:p>
            <w:pPr>
              <w:jc w:val="right"/>
              <w:spacing w:after="0" w:line="181"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40" w:type="dxa"/>
            <w:vAlign w:val="bottom"/>
            <w:tcBorders>
              <w:top w:val="single" w:sz="8" w:color="0000EE"/>
            </w:tcBorders>
            <w:gridSpan w:val="26"/>
          </w:tcPr>
          <w:p>
            <w:pPr>
              <w:spacing w:after="0" w:line="181" w:lineRule="exact"/>
              <w:rPr>
                <w:rFonts w:ascii="Arial" w:cs="Arial" w:eastAsia="Arial" w:hAnsi="Arial"/>
                <w:sz w:val="18"/>
                <w:szCs w:val="18"/>
                <w:color w:val="0000EE"/>
              </w:rPr>
            </w:pPr>
            <w:hyperlink w:anchor="page30">
              <w:r>
                <w:rPr>
                  <w:rFonts w:ascii="Arial" w:cs="Arial" w:eastAsia="Arial" w:hAnsi="Arial"/>
                  <w:sz w:val="18"/>
                  <w:szCs w:val="18"/>
                  <w:color w:val="0000EE"/>
                </w:rPr>
                <w:t>Ethics and Compliance Program</w:t>
              </w:r>
            </w:hyperlink>
          </w:p>
        </w:tc>
        <w:tc>
          <w:tcPr>
            <w:tcW w:w="260" w:type="dxa"/>
            <w:vAlign w:val="bottom"/>
            <w:gridSpan w:val="2"/>
          </w:tcPr>
          <w:p>
            <w:pPr>
              <w:spacing w:after="0"/>
              <w:rPr>
                <w:sz w:val="15"/>
                <w:szCs w:val="15"/>
                <w:color w:val="auto"/>
              </w:rPr>
            </w:pPr>
          </w:p>
        </w:tc>
        <w:tc>
          <w:tcPr>
            <w:tcW w:w="80" w:type="dxa"/>
            <w:vAlign w:val="bottom"/>
            <w:gridSpan w:val="2"/>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gridSpan w:val="2"/>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gridSpan w:val="2"/>
          </w:tcPr>
          <w:p>
            <w:pPr>
              <w:spacing w:after="0"/>
              <w:rPr>
                <w:sz w:val="15"/>
                <w:szCs w:val="15"/>
                <w:color w:val="auto"/>
              </w:rPr>
            </w:pPr>
          </w:p>
        </w:tc>
        <w:tc>
          <w:tcPr>
            <w:tcW w:w="380" w:type="dxa"/>
            <w:vAlign w:val="bottom"/>
            <w:gridSpan w:val="2"/>
          </w:tcPr>
          <w:p>
            <w:pPr>
              <w:spacing w:after="0"/>
              <w:rPr>
                <w:sz w:val="15"/>
                <w:szCs w:val="15"/>
                <w:color w:val="auto"/>
              </w:rPr>
            </w:pPr>
          </w:p>
        </w:tc>
        <w:tc>
          <w:tcPr>
            <w:tcW w:w="480" w:type="dxa"/>
            <w:vAlign w:val="bottom"/>
            <w:gridSpan w:val="2"/>
          </w:tcPr>
          <w:p>
            <w:pPr>
              <w:spacing w:after="0"/>
              <w:rPr>
                <w:sz w:val="15"/>
                <w:szCs w:val="15"/>
                <w:color w:val="auto"/>
              </w:rPr>
            </w:pPr>
          </w:p>
        </w:tc>
        <w:tc>
          <w:tcPr>
            <w:tcW w:w="9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340" w:type="dxa"/>
            <w:vAlign w:val="bottom"/>
            <w:gridSpan w:val="3"/>
          </w:tcPr>
          <w:p>
            <w:pPr>
              <w:spacing w:after="0"/>
              <w:rPr>
                <w:sz w:val="15"/>
                <w:szCs w:val="15"/>
                <w:color w:val="auto"/>
              </w:rPr>
            </w:pPr>
          </w:p>
        </w:tc>
        <w:tc>
          <w:tcPr>
            <w:tcW w:w="2020" w:type="dxa"/>
            <w:vAlign w:val="bottom"/>
          </w:tcPr>
          <w:p>
            <w:pPr>
              <w:jc w:val="right"/>
              <w:spacing w:after="0" w:line="181"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560" w:type="dxa"/>
            <w:vAlign w:val="bottom"/>
            <w:tcBorders>
              <w:top w:val="single" w:sz="8" w:color="0000EE"/>
            </w:tcBorders>
            <w:gridSpan w:val="24"/>
          </w:tcPr>
          <w:p>
            <w:pPr>
              <w:spacing w:after="0" w:line="181" w:lineRule="exact"/>
              <w:rPr>
                <w:rFonts w:ascii="Arial" w:cs="Arial" w:eastAsia="Arial" w:hAnsi="Arial"/>
                <w:sz w:val="18"/>
                <w:szCs w:val="18"/>
                <w:color w:val="0000EE"/>
              </w:rPr>
            </w:pPr>
            <w:hyperlink w:anchor="page32">
              <w:r>
                <w:rPr>
                  <w:rFonts w:ascii="Arial" w:cs="Arial" w:eastAsia="Arial" w:hAnsi="Arial"/>
                  <w:sz w:val="18"/>
                  <w:szCs w:val="18"/>
                  <w:color w:val="0000EE"/>
                </w:rPr>
                <w:t>Code of Business Conduct</w:t>
              </w:r>
            </w:hyperlink>
          </w:p>
        </w:tc>
        <w:tc>
          <w:tcPr>
            <w:tcW w:w="340" w:type="dxa"/>
            <w:vAlign w:val="bottom"/>
            <w:gridSpan w:val="4"/>
          </w:tcPr>
          <w:p>
            <w:pPr>
              <w:spacing w:after="0"/>
              <w:rPr>
                <w:sz w:val="15"/>
                <w:szCs w:val="15"/>
                <w:color w:val="auto"/>
              </w:rPr>
            </w:pPr>
          </w:p>
        </w:tc>
        <w:tc>
          <w:tcPr>
            <w:tcW w:w="80" w:type="dxa"/>
            <w:vAlign w:val="bottom"/>
            <w:gridSpan w:val="2"/>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gridSpan w:val="2"/>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gridSpan w:val="2"/>
          </w:tcPr>
          <w:p>
            <w:pPr>
              <w:spacing w:after="0"/>
              <w:rPr>
                <w:sz w:val="15"/>
                <w:szCs w:val="15"/>
                <w:color w:val="auto"/>
              </w:rPr>
            </w:pPr>
          </w:p>
        </w:tc>
        <w:tc>
          <w:tcPr>
            <w:tcW w:w="380" w:type="dxa"/>
            <w:vAlign w:val="bottom"/>
            <w:gridSpan w:val="2"/>
          </w:tcPr>
          <w:p>
            <w:pPr>
              <w:spacing w:after="0"/>
              <w:rPr>
                <w:sz w:val="15"/>
                <w:szCs w:val="15"/>
                <w:color w:val="auto"/>
              </w:rPr>
            </w:pPr>
          </w:p>
        </w:tc>
        <w:tc>
          <w:tcPr>
            <w:tcW w:w="480" w:type="dxa"/>
            <w:vAlign w:val="bottom"/>
            <w:gridSpan w:val="2"/>
          </w:tcPr>
          <w:p>
            <w:pPr>
              <w:spacing w:after="0"/>
              <w:rPr>
                <w:sz w:val="15"/>
                <w:szCs w:val="15"/>
                <w:color w:val="auto"/>
              </w:rPr>
            </w:pPr>
          </w:p>
        </w:tc>
        <w:tc>
          <w:tcPr>
            <w:tcW w:w="9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340" w:type="dxa"/>
            <w:vAlign w:val="bottom"/>
            <w:gridSpan w:val="3"/>
          </w:tcPr>
          <w:p>
            <w:pPr>
              <w:spacing w:after="0"/>
              <w:rPr>
                <w:sz w:val="15"/>
                <w:szCs w:val="15"/>
                <w:color w:val="auto"/>
              </w:rPr>
            </w:pPr>
          </w:p>
        </w:tc>
        <w:tc>
          <w:tcPr>
            <w:tcW w:w="2020" w:type="dxa"/>
            <w:vAlign w:val="bottom"/>
          </w:tcPr>
          <w:p>
            <w:pPr>
              <w:jc w:val="right"/>
              <w:spacing w:after="0" w:line="181"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40" w:type="dxa"/>
            <w:vAlign w:val="bottom"/>
            <w:tcBorders>
              <w:top w:val="single" w:sz="8" w:color="0000EE"/>
              <w:bottom w:val="single" w:sz="8" w:color="0000EE"/>
            </w:tcBorders>
            <w:gridSpan w:val="5"/>
          </w:tcPr>
          <w:p>
            <w:pPr>
              <w:spacing w:after="0" w:line="181" w:lineRule="exact"/>
              <w:rPr>
                <w:rFonts w:ascii="Arial" w:cs="Arial" w:eastAsia="Arial" w:hAnsi="Arial"/>
                <w:sz w:val="18"/>
                <w:szCs w:val="18"/>
                <w:color w:val="0000EE"/>
                <w:w w:val="98"/>
              </w:rPr>
            </w:pPr>
            <w:hyperlink w:anchor="page33">
              <w:r>
                <w:rPr>
                  <w:rFonts w:ascii="Arial" w:cs="Arial" w:eastAsia="Arial" w:hAnsi="Arial"/>
                  <w:sz w:val="18"/>
                  <w:szCs w:val="18"/>
                  <w:color w:val="0000EE"/>
                  <w:w w:val="98"/>
                </w:rPr>
                <w:t>Legal Compliance</w:t>
              </w:r>
            </w:hyperlink>
          </w:p>
        </w:tc>
        <w:tc>
          <w:tcPr>
            <w:tcW w:w="680" w:type="dxa"/>
            <w:vAlign w:val="bottom"/>
            <w:tcBorders>
              <w:top w:val="single" w:sz="8" w:color="0000EE"/>
            </w:tcBorders>
            <w:gridSpan w:val="13"/>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gridSpan w:val="2"/>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gridSpan w:val="5"/>
          </w:tcPr>
          <w:p>
            <w:pPr>
              <w:spacing w:after="0"/>
              <w:rPr>
                <w:sz w:val="15"/>
                <w:szCs w:val="15"/>
                <w:color w:val="auto"/>
              </w:rPr>
            </w:pPr>
          </w:p>
        </w:tc>
        <w:tc>
          <w:tcPr>
            <w:tcW w:w="80" w:type="dxa"/>
            <w:vAlign w:val="bottom"/>
            <w:gridSpan w:val="2"/>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gridSpan w:val="2"/>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gridSpan w:val="2"/>
          </w:tcPr>
          <w:p>
            <w:pPr>
              <w:spacing w:after="0"/>
              <w:rPr>
                <w:sz w:val="15"/>
                <w:szCs w:val="15"/>
                <w:color w:val="auto"/>
              </w:rPr>
            </w:pPr>
          </w:p>
        </w:tc>
        <w:tc>
          <w:tcPr>
            <w:tcW w:w="380" w:type="dxa"/>
            <w:vAlign w:val="bottom"/>
            <w:gridSpan w:val="2"/>
          </w:tcPr>
          <w:p>
            <w:pPr>
              <w:spacing w:after="0"/>
              <w:rPr>
                <w:sz w:val="15"/>
                <w:szCs w:val="15"/>
                <w:color w:val="auto"/>
              </w:rPr>
            </w:pPr>
          </w:p>
        </w:tc>
        <w:tc>
          <w:tcPr>
            <w:tcW w:w="480" w:type="dxa"/>
            <w:vAlign w:val="bottom"/>
            <w:gridSpan w:val="2"/>
          </w:tcPr>
          <w:p>
            <w:pPr>
              <w:spacing w:after="0"/>
              <w:rPr>
                <w:sz w:val="15"/>
                <w:szCs w:val="15"/>
                <w:color w:val="auto"/>
              </w:rPr>
            </w:pPr>
          </w:p>
        </w:tc>
        <w:tc>
          <w:tcPr>
            <w:tcW w:w="9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340" w:type="dxa"/>
            <w:vAlign w:val="bottom"/>
            <w:gridSpan w:val="3"/>
          </w:tcPr>
          <w:p>
            <w:pPr>
              <w:spacing w:after="0"/>
              <w:rPr>
                <w:sz w:val="15"/>
                <w:szCs w:val="15"/>
                <w:color w:val="auto"/>
              </w:rPr>
            </w:pPr>
          </w:p>
        </w:tc>
        <w:tc>
          <w:tcPr>
            <w:tcW w:w="2020" w:type="dxa"/>
            <w:vAlign w:val="bottom"/>
          </w:tcPr>
          <w:p>
            <w:pPr>
              <w:jc w:val="right"/>
              <w:spacing w:after="0" w:line="181"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67"/>
        </w:trPr>
        <w:tc>
          <w:tcPr>
            <w:tcW w:w="8840" w:type="dxa"/>
            <w:vAlign w:val="bottom"/>
            <w:gridSpan w:val="52"/>
          </w:tcPr>
          <w:p>
            <w:pPr>
              <w:spacing w:after="0" w:line="168" w:lineRule="exact"/>
              <w:rPr>
                <w:rFonts w:ascii="Arial" w:cs="Arial" w:eastAsia="Arial" w:hAnsi="Arial"/>
                <w:sz w:val="16"/>
                <w:szCs w:val="16"/>
                <w:b w:val="1"/>
                <w:bCs w:val="1"/>
                <w:color w:val="0000EE"/>
              </w:rPr>
            </w:pPr>
            <w:hyperlink w:anchor="page34">
              <w:r>
                <w:rPr>
                  <w:rFonts w:ascii="Arial" w:cs="Arial" w:eastAsia="Arial" w:hAnsi="Arial"/>
                  <w:sz w:val="16"/>
                  <w:szCs w:val="16"/>
                  <w:b w:val="1"/>
                  <w:bCs w:val="1"/>
                  <w:color w:val="0000EE"/>
                </w:rPr>
                <w:t>COMPENSATION DISCUSSION AND ANALYSIS</w:t>
              </w:r>
            </w:hyperlink>
          </w:p>
        </w:tc>
        <w:tc>
          <w:tcPr>
            <w:tcW w:w="2020" w:type="dxa"/>
            <w:vAlign w:val="bottom"/>
          </w:tcPr>
          <w:p>
            <w:pPr>
              <w:jc w:val="right"/>
              <w:spacing w:after="0" w:line="168" w:lineRule="exact"/>
              <w:rPr>
                <w:sz w:val="20"/>
                <w:szCs w:val="20"/>
                <w:color w:val="auto"/>
              </w:rPr>
            </w:pPr>
            <w:r>
              <w:rPr>
                <w:rFonts w:ascii="Arial" w:cs="Arial" w:eastAsia="Arial" w:hAnsi="Arial"/>
                <w:sz w:val="16"/>
                <w:szCs w:val="16"/>
                <w:b w:val="1"/>
                <w:bCs w:val="1"/>
                <w:color w:val="2B4772"/>
              </w:rPr>
              <w:t>30</w:t>
            </w:r>
          </w:p>
        </w:tc>
        <w:tc>
          <w:tcPr>
            <w:tcW w:w="0" w:type="dxa"/>
            <w:vAlign w:val="bottom"/>
          </w:tcPr>
          <w:p>
            <w:pPr>
              <w:spacing w:after="0"/>
              <w:rPr>
                <w:sz w:val="1"/>
                <w:szCs w:val="1"/>
                <w:color w:val="auto"/>
              </w:rPr>
            </w:pPr>
          </w:p>
        </w:tc>
      </w:tr>
      <w:tr>
        <w:trPr>
          <w:trHeight w:val="167"/>
        </w:trPr>
        <w:tc>
          <w:tcPr>
            <w:tcW w:w="3040" w:type="dxa"/>
            <w:vAlign w:val="bottom"/>
            <w:tcBorders>
              <w:top w:val="single" w:sz="8" w:color="0000EE"/>
              <w:bottom w:val="single" w:sz="8" w:color="0000EE"/>
            </w:tcBorders>
            <w:gridSpan w:val="25"/>
          </w:tcPr>
          <w:p>
            <w:pPr>
              <w:spacing w:after="0" w:line="168" w:lineRule="exact"/>
              <w:rPr>
                <w:rFonts w:ascii="Arial" w:cs="Arial" w:eastAsia="Arial" w:hAnsi="Arial"/>
                <w:sz w:val="16"/>
                <w:szCs w:val="16"/>
                <w:b w:val="1"/>
                <w:bCs w:val="1"/>
                <w:color w:val="0000EE"/>
                <w:w w:val="99"/>
              </w:rPr>
            </w:pPr>
            <w:hyperlink w:anchor="page52">
              <w:r>
                <w:rPr>
                  <w:rFonts w:ascii="Arial" w:cs="Arial" w:eastAsia="Arial" w:hAnsi="Arial"/>
                  <w:sz w:val="16"/>
                  <w:szCs w:val="16"/>
                  <w:b w:val="1"/>
                  <w:bCs w:val="1"/>
                  <w:color w:val="0000EE"/>
                  <w:w w:val="99"/>
                </w:rPr>
                <w:t>COMPENSATION COMMITTEE REPORT</w:t>
              </w:r>
            </w:hyperlink>
          </w:p>
        </w:tc>
        <w:tc>
          <w:tcPr>
            <w:tcW w:w="560" w:type="dxa"/>
            <w:vAlign w:val="bottom"/>
            <w:tcBorders>
              <w:top w:val="single" w:sz="8" w:color="0000EE"/>
            </w:tcBorders>
            <w:gridSpan w:val="9"/>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gridSpan w:val="2"/>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gridSpan w:val="2"/>
          </w:tcPr>
          <w:p>
            <w:pPr>
              <w:spacing w:after="0"/>
              <w:rPr>
                <w:sz w:val="14"/>
                <w:szCs w:val="14"/>
                <w:color w:val="auto"/>
              </w:rPr>
            </w:pPr>
          </w:p>
        </w:tc>
        <w:tc>
          <w:tcPr>
            <w:tcW w:w="380" w:type="dxa"/>
            <w:vAlign w:val="bottom"/>
            <w:gridSpan w:val="2"/>
          </w:tcPr>
          <w:p>
            <w:pPr>
              <w:spacing w:after="0"/>
              <w:rPr>
                <w:sz w:val="14"/>
                <w:szCs w:val="14"/>
                <w:color w:val="auto"/>
              </w:rPr>
            </w:pPr>
          </w:p>
        </w:tc>
        <w:tc>
          <w:tcPr>
            <w:tcW w:w="480" w:type="dxa"/>
            <w:vAlign w:val="bottom"/>
            <w:gridSpan w:val="2"/>
          </w:tcPr>
          <w:p>
            <w:pPr>
              <w:spacing w:after="0"/>
              <w:rPr>
                <w:sz w:val="14"/>
                <w:szCs w:val="14"/>
                <w:color w:val="auto"/>
              </w:rPr>
            </w:pPr>
          </w:p>
        </w:tc>
        <w:tc>
          <w:tcPr>
            <w:tcW w:w="9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340" w:type="dxa"/>
            <w:vAlign w:val="bottom"/>
            <w:gridSpan w:val="3"/>
          </w:tcPr>
          <w:p>
            <w:pPr>
              <w:spacing w:after="0"/>
              <w:rPr>
                <w:sz w:val="14"/>
                <w:szCs w:val="14"/>
                <w:color w:val="auto"/>
              </w:rPr>
            </w:pPr>
          </w:p>
        </w:tc>
        <w:tc>
          <w:tcPr>
            <w:tcW w:w="2020" w:type="dxa"/>
            <w:vAlign w:val="bottom"/>
          </w:tcPr>
          <w:p>
            <w:pPr>
              <w:jc w:val="right"/>
              <w:spacing w:after="0" w:line="168" w:lineRule="exact"/>
              <w:rPr>
                <w:sz w:val="20"/>
                <w:szCs w:val="20"/>
                <w:color w:val="auto"/>
              </w:rPr>
            </w:pPr>
            <w:r>
              <w:rPr>
                <w:rFonts w:ascii="Arial" w:cs="Arial" w:eastAsia="Arial" w:hAnsi="Arial"/>
                <w:sz w:val="16"/>
                <w:szCs w:val="16"/>
                <w:b w:val="1"/>
                <w:bCs w:val="1"/>
                <w:color w:val="2B4772"/>
              </w:rPr>
              <w:t>48</w:t>
            </w:r>
          </w:p>
        </w:tc>
        <w:tc>
          <w:tcPr>
            <w:tcW w:w="0" w:type="dxa"/>
            <w:vAlign w:val="bottom"/>
          </w:tcPr>
          <w:p>
            <w:pPr>
              <w:spacing w:after="0"/>
              <w:rPr>
                <w:sz w:val="1"/>
                <w:szCs w:val="1"/>
                <w:color w:val="auto"/>
              </w:rPr>
            </w:pPr>
          </w:p>
        </w:tc>
      </w:tr>
      <w:tr>
        <w:trPr>
          <w:trHeight w:val="167"/>
        </w:trPr>
        <w:tc>
          <w:tcPr>
            <w:tcW w:w="8840" w:type="dxa"/>
            <w:vAlign w:val="bottom"/>
            <w:gridSpan w:val="52"/>
          </w:tcPr>
          <w:p>
            <w:pPr>
              <w:spacing w:after="0" w:line="168" w:lineRule="exact"/>
              <w:rPr>
                <w:rFonts w:ascii="Arial" w:cs="Arial" w:eastAsia="Arial" w:hAnsi="Arial"/>
                <w:sz w:val="16"/>
                <w:szCs w:val="16"/>
                <w:b w:val="1"/>
                <w:bCs w:val="1"/>
                <w:color w:val="0000EE"/>
              </w:rPr>
            </w:pPr>
            <w:hyperlink w:anchor="page53">
              <w:r>
                <w:rPr>
                  <w:rFonts w:ascii="Arial" w:cs="Arial" w:eastAsia="Arial" w:hAnsi="Arial"/>
                  <w:sz w:val="16"/>
                  <w:szCs w:val="16"/>
                  <w:b w:val="1"/>
                  <w:bCs w:val="1"/>
                  <w:color w:val="0000EE"/>
                </w:rPr>
                <w:t>COMPENSATION OF EXECUTIVE OFFICERS</w:t>
              </w:r>
            </w:hyperlink>
          </w:p>
        </w:tc>
        <w:tc>
          <w:tcPr>
            <w:tcW w:w="2020" w:type="dxa"/>
            <w:vAlign w:val="bottom"/>
          </w:tcPr>
          <w:p>
            <w:pPr>
              <w:jc w:val="right"/>
              <w:spacing w:after="0" w:line="168" w:lineRule="exact"/>
              <w:rPr>
                <w:sz w:val="20"/>
                <w:szCs w:val="20"/>
                <w:color w:val="auto"/>
              </w:rPr>
            </w:pPr>
            <w:r>
              <w:rPr>
                <w:rFonts w:ascii="Arial" w:cs="Arial" w:eastAsia="Arial" w:hAnsi="Arial"/>
                <w:sz w:val="16"/>
                <w:szCs w:val="16"/>
                <w:b w:val="1"/>
                <w:bCs w:val="1"/>
                <w:color w:val="2B4772"/>
              </w:rPr>
              <w:t>49</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80" w:type="dxa"/>
            <w:vAlign w:val="bottom"/>
            <w:tcBorders>
              <w:top w:val="single" w:sz="8" w:color="0000EE"/>
            </w:tcBorders>
          </w:tcPr>
          <w:p>
            <w:pPr>
              <w:spacing w:after="0"/>
              <w:rPr>
                <w:sz w:val="15"/>
                <w:szCs w:val="15"/>
                <w:color w:val="auto"/>
              </w:rPr>
            </w:pPr>
          </w:p>
        </w:tc>
        <w:tc>
          <w:tcPr>
            <w:tcW w:w="2900" w:type="dxa"/>
            <w:vAlign w:val="bottom"/>
            <w:tcBorders>
              <w:top w:val="single" w:sz="8" w:color="0000EE"/>
            </w:tcBorders>
            <w:gridSpan w:val="28"/>
          </w:tcPr>
          <w:p>
            <w:pPr>
              <w:spacing w:after="0" w:line="181" w:lineRule="exact"/>
              <w:rPr>
                <w:rFonts w:ascii="Arial" w:cs="Arial" w:eastAsia="Arial" w:hAnsi="Arial"/>
                <w:sz w:val="18"/>
                <w:szCs w:val="18"/>
                <w:color w:val="0000EE"/>
              </w:rPr>
            </w:pPr>
            <w:hyperlink w:anchor="page53">
              <w:r>
                <w:rPr>
                  <w:rFonts w:ascii="Arial" w:cs="Arial" w:eastAsia="Arial" w:hAnsi="Arial"/>
                  <w:sz w:val="18"/>
                  <w:szCs w:val="18"/>
                  <w:color w:val="0000EE"/>
                </w:rPr>
                <w:t>Summary Compensation Table</w:t>
              </w:r>
            </w:hyperlink>
          </w:p>
        </w:tc>
        <w:tc>
          <w:tcPr>
            <w:tcW w:w="80" w:type="dxa"/>
            <w:vAlign w:val="bottom"/>
            <w:gridSpan w:val="2"/>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gridSpan w:val="2"/>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gridSpan w:val="2"/>
          </w:tcPr>
          <w:p>
            <w:pPr>
              <w:spacing w:after="0"/>
              <w:rPr>
                <w:sz w:val="15"/>
                <w:szCs w:val="15"/>
                <w:color w:val="auto"/>
              </w:rPr>
            </w:pPr>
          </w:p>
        </w:tc>
        <w:tc>
          <w:tcPr>
            <w:tcW w:w="380" w:type="dxa"/>
            <w:vAlign w:val="bottom"/>
            <w:gridSpan w:val="2"/>
          </w:tcPr>
          <w:p>
            <w:pPr>
              <w:spacing w:after="0"/>
              <w:rPr>
                <w:sz w:val="15"/>
                <w:szCs w:val="15"/>
                <w:color w:val="auto"/>
              </w:rPr>
            </w:pPr>
          </w:p>
        </w:tc>
        <w:tc>
          <w:tcPr>
            <w:tcW w:w="480" w:type="dxa"/>
            <w:vAlign w:val="bottom"/>
            <w:gridSpan w:val="2"/>
          </w:tcPr>
          <w:p>
            <w:pPr>
              <w:spacing w:after="0"/>
              <w:rPr>
                <w:sz w:val="15"/>
                <w:szCs w:val="15"/>
                <w:color w:val="auto"/>
              </w:rPr>
            </w:pPr>
          </w:p>
        </w:tc>
        <w:tc>
          <w:tcPr>
            <w:tcW w:w="9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340" w:type="dxa"/>
            <w:vAlign w:val="bottom"/>
            <w:gridSpan w:val="3"/>
          </w:tcPr>
          <w:p>
            <w:pPr>
              <w:spacing w:after="0"/>
              <w:rPr>
                <w:sz w:val="15"/>
                <w:szCs w:val="15"/>
                <w:color w:val="auto"/>
              </w:rPr>
            </w:pPr>
          </w:p>
        </w:tc>
        <w:tc>
          <w:tcPr>
            <w:tcW w:w="2020" w:type="dxa"/>
            <w:vAlign w:val="bottom"/>
          </w:tcPr>
          <w:p>
            <w:pPr>
              <w:jc w:val="right"/>
              <w:spacing w:after="0" w:line="181" w:lineRule="exact"/>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40" w:type="dxa"/>
            <w:vAlign w:val="bottom"/>
            <w:gridSpan w:val="4"/>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2020" w:type="dxa"/>
            <w:vAlign w:val="bottom"/>
            <w:vMerge w:val="restart"/>
          </w:tcPr>
          <w:p>
            <w:pPr>
              <w:jc w:val="right"/>
              <w:spacing w:after="0" w:line="201" w:lineRule="exact"/>
              <w:rPr>
                <w:sz w:val="20"/>
                <w:szCs w:val="20"/>
                <w:color w:val="auto"/>
              </w:rPr>
            </w:pPr>
            <w:r>
              <w:rPr>
                <w:rFonts w:ascii="Arial" w:cs="Arial" w:eastAsia="Arial" w:hAnsi="Arial"/>
                <w:sz w:val="18"/>
                <w:szCs w:val="18"/>
                <w:color w:val="auto"/>
              </w:rPr>
              <w:t>51</w:t>
            </w:r>
          </w:p>
        </w:tc>
        <w:tc>
          <w:tcPr>
            <w:tcW w:w="0" w:type="dxa"/>
            <w:vAlign w:val="bottom"/>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340" w:type="dxa"/>
            <w:vAlign w:val="bottom"/>
            <w:gridSpan w:val="50"/>
          </w:tcPr>
          <w:p>
            <w:pPr>
              <w:spacing w:after="0" w:line="181" w:lineRule="exact"/>
              <w:rPr>
                <w:rFonts w:ascii="Arial" w:cs="Arial" w:eastAsia="Arial" w:hAnsi="Arial"/>
                <w:sz w:val="18"/>
                <w:szCs w:val="18"/>
                <w:color w:val="0000EE"/>
              </w:rPr>
            </w:pPr>
            <w:hyperlink w:anchor="page55">
              <w:r>
                <w:rPr>
                  <w:rFonts w:ascii="Arial" w:cs="Arial" w:eastAsia="Arial" w:hAnsi="Arial"/>
                  <w:sz w:val="18"/>
                  <w:szCs w:val="18"/>
                  <w:color w:val="0000EE"/>
                </w:rPr>
                <w:t>Grants of Plan-Based Awards in 2021</w:t>
              </w:r>
            </w:hyperlink>
          </w:p>
        </w:tc>
        <w:tc>
          <w:tcPr>
            <w:tcW w:w="20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980" w:type="dxa"/>
            <w:vAlign w:val="bottom"/>
            <w:tcBorders>
              <w:top w:val="single" w:sz="8" w:color="0000EE"/>
              <w:bottom w:val="single" w:sz="8" w:color="0000EE"/>
            </w:tcBorders>
            <w:gridSpan w:val="30"/>
          </w:tcPr>
          <w:p>
            <w:pPr>
              <w:spacing w:after="0" w:line="181" w:lineRule="exact"/>
              <w:rPr>
                <w:rFonts w:ascii="Arial" w:cs="Arial" w:eastAsia="Arial" w:hAnsi="Arial"/>
                <w:sz w:val="18"/>
                <w:szCs w:val="18"/>
                <w:color w:val="0000EE"/>
                <w:w w:val="95"/>
              </w:rPr>
            </w:pPr>
            <w:hyperlink w:anchor="page56">
              <w:r>
                <w:rPr>
                  <w:rFonts w:ascii="Arial" w:cs="Arial" w:eastAsia="Arial" w:hAnsi="Arial"/>
                  <w:sz w:val="18"/>
                  <w:szCs w:val="18"/>
                  <w:color w:val="0000EE"/>
                  <w:w w:val="95"/>
                </w:rPr>
                <w:t>2021, 2020 and 2019 Awards of Equity</w:t>
              </w:r>
            </w:hyperlink>
          </w:p>
        </w:tc>
        <w:tc>
          <w:tcPr>
            <w:tcW w:w="100" w:type="dxa"/>
            <w:vAlign w:val="bottom"/>
            <w:tcBorders>
              <w:bottom w:val="single" w:sz="8" w:color="0000EE"/>
            </w:tcBorders>
          </w:tcPr>
          <w:p>
            <w:pPr>
              <w:spacing w:after="0"/>
              <w:rPr>
                <w:sz w:val="15"/>
                <w:szCs w:val="15"/>
                <w:color w:val="auto"/>
              </w:rPr>
            </w:pPr>
          </w:p>
        </w:tc>
        <w:tc>
          <w:tcPr>
            <w:tcW w:w="10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gridSpan w:val="2"/>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gridSpan w:val="2"/>
          </w:tcPr>
          <w:p>
            <w:pPr>
              <w:spacing w:after="0"/>
              <w:rPr>
                <w:sz w:val="15"/>
                <w:szCs w:val="15"/>
                <w:color w:val="auto"/>
              </w:rPr>
            </w:pPr>
          </w:p>
        </w:tc>
        <w:tc>
          <w:tcPr>
            <w:tcW w:w="380" w:type="dxa"/>
            <w:vAlign w:val="bottom"/>
            <w:gridSpan w:val="2"/>
          </w:tcPr>
          <w:p>
            <w:pPr>
              <w:spacing w:after="0"/>
              <w:rPr>
                <w:sz w:val="15"/>
                <w:szCs w:val="15"/>
                <w:color w:val="auto"/>
              </w:rPr>
            </w:pPr>
          </w:p>
        </w:tc>
        <w:tc>
          <w:tcPr>
            <w:tcW w:w="480" w:type="dxa"/>
            <w:vAlign w:val="bottom"/>
            <w:gridSpan w:val="2"/>
          </w:tcPr>
          <w:p>
            <w:pPr>
              <w:spacing w:after="0"/>
              <w:rPr>
                <w:sz w:val="15"/>
                <w:szCs w:val="15"/>
                <w:color w:val="auto"/>
              </w:rPr>
            </w:pPr>
          </w:p>
        </w:tc>
        <w:tc>
          <w:tcPr>
            <w:tcW w:w="9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340" w:type="dxa"/>
            <w:vAlign w:val="bottom"/>
            <w:gridSpan w:val="3"/>
          </w:tcPr>
          <w:p>
            <w:pPr>
              <w:spacing w:after="0"/>
              <w:rPr>
                <w:sz w:val="15"/>
                <w:szCs w:val="15"/>
                <w:color w:val="auto"/>
              </w:rPr>
            </w:pPr>
          </w:p>
        </w:tc>
        <w:tc>
          <w:tcPr>
            <w:tcW w:w="2020" w:type="dxa"/>
            <w:vAlign w:val="bottom"/>
          </w:tcPr>
          <w:p>
            <w:pPr>
              <w:jc w:val="right"/>
              <w:spacing w:after="0" w:line="181" w:lineRule="exact"/>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080" w:type="dxa"/>
            <w:vAlign w:val="bottom"/>
            <w:tcBorders>
              <w:bottom w:val="single" w:sz="8" w:color="0000EE"/>
            </w:tcBorders>
            <w:gridSpan w:val="31"/>
          </w:tcPr>
          <w:p>
            <w:pPr>
              <w:spacing w:after="0" w:line="181" w:lineRule="exact"/>
              <w:rPr>
                <w:rFonts w:ascii="Arial" w:cs="Arial" w:eastAsia="Arial" w:hAnsi="Arial"/>
                <w:sz w:val="18"/>
                <w:szCs w:val="18"/>
                <w:color w:val="0000EE"/>
              </w:rPr>
            </w:pPr>
            <w:hyperlink w:anchor="page60">
              <w:r>
                <w:rPr>
                  <w:rFonts w:ascii="Arial" w:cs="Arial" w:eastAsia="Arial" w:hAnsi="Arial"/>
                  <w:sz w:val="18"/>
                  <w:szCs w:val="18"/>
                  <w:color w:val="0000EE"/>
                </w:rPr>
                <w:t>Other Material Factors — Summary</w:t>
              </w:r>
            </w:hyperlink>
          </w:p>
        </w:tc>
        <w:tc>
          <w:tcPr>
            <w:tcW w:w="5260" w:type="dxa"/>
            <w:vAlign w:val="bottom"/>
            <w:tcBorders>
              <w:bottom w:val="single" w:sz="8" w:color="0000EE"/>
            </w:tcBorders>
            <w:gridSpan w:val="19"/>
          </w:tcPr>
          <w:p>
            <w:pPr>
              <w:spacing w:after="0" w:line="181" w:lineRule="exact"/>
              <w:rPr>
                <w:rFonts w:ascii="Arial" w:cs="Arial" w:eastAsia="Arial" w:hAnsi="Arial"/>
                <w:sz w:val="18"/>
                <w:szCs w:val="18"/>
                <w:color w:val="0000EE"/>
                <w:w w:val="94"/>
              </w:rPr>
            </w:pPr>
            <w:hyperlink w:anchor="page60">
              <w:r>
                <w:rPr>
                  <w:rFonts w:ascii="Arial" w:cs="Arial" w:eastAsia="Arial" w:hAnsi="Arial"/>
                  <w:sz w:val="18"/>
                  <w:szCs w:val="18"/>
                  <w:color w:val="0000EE"/>
                  <w:w w:val="94"/>
                </w:rPr>
                <w:t>Compensation Table and Grants of Plan-Based Awards in 2021 Table</w:t>
              </w:r>
            </w:hyperlink>
          </w:p>
        </w:tc>
        <w:tc>
          <w:tcPr>
            <w:tcW w:w="2020" w:type="dxa"/>
            <w:vAlign w:val="bottom"/>
          </w:tcPr>
          <w:p>
            <w:pPr>
              <w:jc w:val="right"/>
              <w:spacing w:after="0" w:line="181" w:lineRule="exact"/>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340" w:type="dxa"/>
            <w:vAlign w:val="bottom"/>
            <w:gridSpan w:val="50"/>
          </w:tcPr>
          <w:p>
            <w:pPr>
              <w:spacing w:after="0" w:line="181" w:lineRule="exact"/>
              <w:rPr>
                <w:rFonts w:ascii="Arial" w:cs="Arial" w:eastAsia="Arial" w:hAnsi="Arial"/>
                <w:sz w:val="18"/>
                <w:szCs w:val="18"/>
                <w:color w:val="0000EE"/>
              </w:rPr>
            </w:pPr>
            <w:hyperlink w:anchor="page60">
              <w:r>
                <w:rPr>
                  <w:rFonts w:ascii="Arial" w:cs="Arial" w:eastAsia="Arial" w:hAnsi="Arial"/>
                  <w:sz w:val="18"/>
                  <w:szCs w:val="18"/>
                  <w:color w:val="0000EE"/>
                </w:rPr>
                <w:t>Outstanding Equity Awards at Fiscal Year-End 2021</w:t>
              </w:r>
            </w:hyperlink>
          </w:p>
        </w:tc>
        <w:tc>
          <w:tcPr>
            <w:tcW w:w="2020" w:type="dxa"/>
            <w:vAlign w:val="bottom"/>
          </w:tcPr>
          <w:p>
            <w:pPr>
              <w:jc w:val="right"/>
              <w:spacing w:after="0" w:line="181" w:lineRule="exact"/>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100" w:type="dxa"/>
            <w:vAlign w:val="bottom"/>
            <w:tcBorders>
              <w:top w:val="single" w:sz="8" w:color="0000EE"/>
            </w:tcBorders>
            <w:gridSpan w:val="41"/>
          </w:tcPr>
          <w:p>
            <w:pPr>
              <w:spacing w:after="0" w:line="181" w:lineRule="exact"/>
              <w:rPr>
                <w:rFonts w:ascii="Arial" w:cs="Arial" w:eastAsia="Arial" w:hAnsi="Arial"/>
                <w:sz w:val="18"/>
                <w:szCs w:val="18"/>
                <w:color w:val="0000EE"/>
              </w:rPr>
            </w:pPr>
            <w:hyperlink w:anchor="page61">
              <w:r>
                <w:rPr>
                  <w:rFonts w:ascii="Arial" w:cs="Arial" w:eastAsia="Arial" w:hAnsi="Arial"/>
                  <w:sz w:val="18"/>
                  <w:szCs w:val="18"/>
                  <w:color w:val="0000EE"/>
                </w:rPr>
                <w:t>2021 Option Exercises and Stock Vested</w:t>
              </w:r>
            </w:hyperlink>
          </w:p>
        </w:tc>
        <w:tc>
          <w:tcPr>
            <w:tcW w:w="380" w:type="dxa"/>
            <w:vAlign w:val="bottom"/>
            <w:gridSpan w:val="2"/>
          </w:tcPr>
          <w:p>
            <w:pPr>
              <w:spacing w:after="0"/>
              <w:rPr>
                <w:sz w:val="15"/>
                <w:szCs w:val="15"/>
                <w:color w:val="auto"/>
              </w:rPr>
            </w:pPr>
          </w:p>
        </w:tc>
        <w:tc>
          <w:tcPr>
            <w:tcW w:w="480" w:type="dxa"/>
            <w:vAlign w:val="bottom"/>
            <w:gridSpan w:val="2"/>
          </w:tcPr>
          <w:p>
            <w:pPr>
              <w:spacing w:after="0"/>
              <w:rPr>
                <w:sz w:val="15"/>
                <w:szCs w:val="15"/>
                <w:color w:val="auto"/>
              </w:rPr>
            </w:pPr>
          </w:p>
        </w:tc>
        <w:tc>
          <w:tcPr>
            <w:tcW w:w="9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340" w:type="dxa"/>
            <w:vAlign w:val="bottom"/>
            <w:gridSpan w:val="3"/>
          </w:tcPr>
          <w:p>
            <w:pPr>
              <w:spacing w:after="0"/>
              <w:rPr>
                <w:sz w:val="15"/>
                <w:szCs w:val="15"/>
                <w:color w:val="auto"/>
              </w:rPr>
            </w:pPr>
          </w:p>
        </w:tc>
        <w:tc>
          <w:tcPr>
            <w:tcW w:w="2020" w:type="dxa"/>
            <w:vAlign w:val="bottom"/>
          </w:tcPr>
          <w:p>
            <w:pPr>
              <w:jc w:val="right"/>
              <w:spacing w:after="0" w:line="181"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40" w:type="dxa"/>
            <w:vAlign w:val="bottom"/>
            <w:tcBorders>
              <w:top w:val="single" w:sz="8" w:color="0000EE"/>
              <w:bottom w:val="single" w:sz="8" w:color="0000EE"/>
            </w:tcBorders>
            <w:gridSpan w:val="36"/>
          </w:tcPr>
          <w:p>
            <w:pPr>
              <w:spacing w:after="0" w:line="181" w:lineRule="exact"/>
              <w:rPr>
                <w:rFonts w:ascii="Arial" w:cs="Arial" w:eastAsia="Arial" w:hAnsi="Arial"/>
                <w:sz w:val="18"/>
                <w:szCs w:val="18"/>
                <w:color w:val="0000EE"/>
              </w:rPr>
            </w:pPr>
            <w:hyperlink w:anchor="page61">
              <w:r>
                <w:rPr>
                  <w:rFonts w:ascii="Arial" w:cs="Arial" w:eastAsia="Arial" w:hAnsi="Arial"/>
                  <w:sz w:val="18"/>
                  <w:szCs w:val="18"/>
                  <w:color w:val="0000EE"/>
                </w:rPr>
                <w:t>Employment, Severance and Change in</w:t>
              </w:r>
            </w:hyperlink>
          </w:p>
        </w:tc>
        <w:tc>
          <w:tcPr>
            <w:tcW w:w="1720" w:type="dxa"/>
            <w:vAlign w:val="bottom"/>
            <w:tcBorders>
              <w:bottom w:val="single" w:sz="8" w:color="0000EE"/>
            </w:tcBorders>
            <w:gridSpan w:val="9"/>
          </w:tcPr>
          <w:p>
            <w:pPr>
              <w:spacing w:after="0" w:line="181" w:lineRule="exact"/>
              <w:rPr>
                <w:rFonts w:ascii="Arial" w:cs="Arial" w:eastAsia="Arial" w:hAnsi="Arial"/>
                <w:sz w:val="18"/>
                <w:szCs w:val="18"/>
                <w:color w:val="0000EE"/>
                <w:w w:val="96"/>
              </w:rPr>
            </w:pPr>
            <w:hyperlink w:anchor="page61">
              <w:r>
                <w:rPr>
                  <w:rFonts w:ascii="Arial" w:cs="Arial" w:eastAsia="Arial" w:hAnsi="Arial"/>
                  <w:sz w:val="18"/>
                  <w:szCs w:val="18"/>
                  <w:color w:val="0000EE"/>
                  <w:w w:val="96"/>
                </w:rPr>
                <w:t>Control Arrangements</w:t>
              </w:r>
            </w:hyperlink>
          </w:p>
        </w:tc>
        <w:tc>
          <w:tcPr>
            <w:tcW w:w="3380" w:type="dxa"/>
            <w:vAlign w:val="bottom"/>
            <w:gridSpan w:val="5"/>
          </w:tcPr>
          <w:p>
            <w:pPr>
              <w:spacing w:after="0"/>
              <w:rPr>
                <w:sz w:val="15"/>
                <w:szCs w:val="15"/>
                <w:color w:val="auto"/>
              </w:rPr>
            </w:pPr>
          </w:p>
        </w:tc>
        <w:tc>
          <w:tcPr>
            <w:tcW w:w="2020" w:type="dxa"/>
            <w:vAlign w:val="bottom"/>
          </w:tcPr>
          <w:p>
            <w:pPr>
              <w:jc w:val="right"/>
              <w:spacing w:after="0" w:line="181"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340" w:type="dxa"/>
            <w:vAlign w:val="bottom"/>
            <w:gridSpan w:val="50"/>
          </w:tcPr>
          <w:p>
            <w:pPr>
              <w:spacing w:after="0" w:line="181" w:lineRule="exact"/>
              <w:rPr>
                <w:rFonts w:ascii="Arial" w:cs="Arial" w:eastAsia="Arial" w:hAnsi="Arial"/>
                <w:sz w:val="18"/>
                <w:szCs w:val="18"/>
                <w:color w:val="0000EE"/>
              </w:rPr>
            </w:pPr>
            <w:hyperlink w:anchor="page64">
              <w:r>
                <w:rPr>
                  <w:rFonts w:ascii="Arial" w:cs="Arial" w:eastAsia="Arial" w:hAnsi="Arial"/>
                  <w:sz w:val="18"/>
                  <w:szCs w:val="18"/>
                  <w:color w:val="0000EE"/>
                </w:rPr>
                <w:t>Potential Payments Upon Termination of Employment or Change in Control</w:t>
              </w:r>
            </w:hyperlink>
          </w:p>
        </w:tc>
        <w:tc>
          <w:tcPr>
            <w:tcW w:w="2020" w:type="dxa"/>
            <w:vAlign w:val="bottom"/>
          </w:tcPr>
          <w:p>
            <w:pPr>
              <w:jc w:val="right"/>
              <w:spacing w:after="0" w:line="181" w:lineRule="exact"/>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167"/>
        </w:trPr>
        <w:tc>
          <w:tcPr>
            <w:tcW w:w="500" w:type="dxa"/>
            <w:vAlign w:val="bottom"/>
            <w:gridSpan w:val="2"/>
          </w:tcPr>
          <w:p>
            <w:pPr>
              <w:spacing w:after="0" w:line="168" w:lineRule="exact"/>
              <w:rPr>
                <w:rFonts w:ascii="Arial" w:cs="Arial" w:eastAsia="Arial" w:hAnsi="Arial"/>
                <w:sz w:val="16"/>
                <w:szCs w:val="16"/>
                <w:b w:val="1"/>
                <w:bCs w:val="1"/>
                <w:color w:val="0000EE"/>
                <w:w w:val="75"/>
              </w:rPr>
            </w:pPr>
            <w:hyperlink w:anchor="page71">
              <w:r>
                <w:rPr>
                  <w:rFonts w:ascii="Arial" w:cs="Arial" w:eastAsia="Arial" w:hAnsi="Arial"/>
                  <w:sz w:val="16"/>
                  <w:szCs w:val="16"/>
                  <w:b w:val="1"/>
                  <w:bCs w:val="1"/>
                  <w:color w:val="0000EE"/>
                  <w:w w:val="75"/>
                </w:rPr>
                <w:t>ONSEMI</w:t>
              </w:r>
            </w:hyperlink>
          </w:p>
        </w:tc>
        <w:tc>
          <w:tcPr>
            <w:tcW w:w="5920" w:type="dxa"/>
            <w:vAlign w:val="bottom"/>
            <w:tcBorders>
              <w:top w:val="single" w:sz="8" w:color="0000EE"/>
            </w:tcBorders>
            <w:gridSpan w:val="46"/>
          </w:tcPr>
          <w:p>
            <w:pPr>
              <w:ind w:left="180"/>
              <w:spacing w:after="0" w:line="168" w:lineRule="exact"/>
              <w:rPr>
                <w:rFonts w:ascii="Arial" w:cs="Arial" w:eastAsia="Arial" w:hAnsi="Arial"/>
                <w:sz w:val="16"/>
                <w:szCs w:val="16"/>
                <w:b w:val="1"/>
                <w:bCs w:val="1"/>
                <w:color w:val="0000EE"/>
              </w:rPr>
            </w:pPr>
            <w:hyperlink w:anchor="page71">
              <w:r>
                <w:rPr>
                  <w:rFonts w:ascii="Arial" w:cs="Arial" w:eastAsia="Arial" w:hAnsi="Arial"/>
                  <w:sz w:val="16"/>
                  <w:szCs w:val="16"/>
                  <w:b w:val="1"/>
                  <w:bCs w:val="1"/>
                  <w:color w:val="0000EE"/>
                </w:rPr>
                <w:t>2021 PAY RATIO DISCLOSURE</w:t>
              </w:r>
            </w:hyperlink>
          </w:p>
        </w:tc>
        <w:tc>
          <w:tcPr>
            <w:tcW w:w="1080" w:type="dxa"/>
            <w:vAlign w:val="bottom"/>
          </w:tcPr>
          <w:p>
            <w:pPr>
              <w:spacing w:after="0"/>
              <w:rPr>
                <w:sz w:val="14"/>
                <w:szCs w:val="14"/>
                <w:color w:val="auto"/>
              </w:rPr>
            </w:pPr>
          </w:p>
        </w:tc>
        <w:tc>
          <w:tcPr>
            <w:tcW w:w="1340" w:type="dxa"/>
            <w:vAlign w:val="bottom"/>
            <w:gridSpan w:val="3"/>
          </w:tcPr>
          <w:p>
            <w:pPr>
              <w:spacing w:after="0"/>
              <w:rPr>
                <w:sz w:val="14"/>
                <w:szCs w:val="14"/>
                <w:color w:val="auto"/>
              </w:rPr>
            </w:pPr>
          </w:p>
        </w:tc>
        <w:tc>
          <w:tcPr>
            <w:tcW w:w="2020" w:type="dxa"/>
            <w:vAlign w:val="bottom"/>
          </w:tcPr>
          <w:p>
            <w:pPr>
              <w:jc w:val="right"/>
              <w:spacing w:after="0" w:line="168" w:lineRule="exact"/>
              <w:rPr>
                <w:sz w:val="20"/>
                <w:szCs w:val="20"/>
                <w:color w:val="auto"/>
              </w:rPr>
            </w:pPr>
            <w:r>
              <w:rPr>
                <w:rFonts w:ascii="Arial" w:cs="Arial" w:eastAsia="Arial" w:hAnsi="Arial"/>
                <w:sz w:val="16"/>
                <w:szCs w:val="16"/>
                <w:b w:val="1"/>
                <w:bCs w:val="1"/>
                <w:color w:val="2B4772"/>
              </w:rPr>
              <w:t>67</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000" w:type="dxa"/>
            <w:vAlign w:val="bottom"/>
            <w:tcBorders>
              <w:top w:val="single" w:sz="8" w:color="0000EE"/>
            </w:tcBorders>
            <w:gridSpan w:val="23"/>
          </w:tcPr>
          <w:p>
            <w:pPr>
              <w:spacing w:after="0" w:line="168" w:lineRule="exact"/>
              <w:rPr>
                <w:rFonts w:ascii="Arial" w:cs="Arial" w:eastAsia="Arial" w:hAnsi="Arial"/>
                <w:sz w:val="16"/>
                <w:szCs w:val="16"/>
                <w:b w:val="1"/>
                <w:bCs w:val="1"/>
                <w:color w:val="0000EE"/>
              </w:rPr>
            </w:pPr>
            <w:hyperlink w:anchor="page72">
              <w:r>
                <w:rPr>
                  <w:rFonts w:ascii="Arial" w:cs="Arial" w:eastAsia="Arial" w:hAnsi="Arial"/>
                  <w:sz w:val="16"/>
                  <w:szCs w:val="16"/>
                  <w:b w:val="1"/>
                  <w:bCs w:val="1"/>
                  <w:color w:val="0000EE"/>
                </w:rPr>
                <w:t>HEDGING RESTRICTIONS</w:t>
              </w:r>
            </w:hyperlink>
          </w:p>
        </w:tc>
        <w:tc>
          <w:tcPr>
            <w:tcW w:w="660" w:type="dxa"/>
            <w:vAlign w:val="bottom"/>
            <w:gridSpan w:val="11"/>
          </w:tcPr>
          <w:p>
            <w:pPr>
              <w:spacing w:after="0"/>
              <w:rPr>
                <w:sz w:val="14"/>
                <w:szCs w:val="14"/>
                <w:color w:val="auto"/>
              </w:rPr>
            </w:pPr>
          </w:p>
        </w:tc>
        <w:tc>
          <w:tcPr>
            <w:tcW w:w="40" w:type="dxa"/>
            <w:vAlign w:val="bottom"/>
            <w:gridSpan w:val="2"/>
          </w:tcPr>
          <w:p>
            <w:pPr>
              <w:spacing w:after="0"/>
              <w:rPr>
                <w:sz w:val="14"/>
                <w:szCs w:val="14"/>
                <w:color w:val="auto"/>
              </w:rPr>
            </w:pPr>
          </w:p>
        </w:tc>
        <w:tc>
          <w:tcPr>
            <w:tcW w:w="380" w:type="dxa"/>
            <w:vAlign w:val="bottom"/>
            <w:gridSpan w:val="3"/>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4"/>
          </w:tcPr>
          <w:p>
            <w:pPr>
              <w:spacing w:after="0"/>
              <w:rPr>
                <w:sz w:val="14"/>
                <w:szCs w:val="14"/>
                <w:color w:val="auto"/>
              </w:rPr>
            </w:pPr>
          </w:p>
        </w:tc>
        <w:tc>
          <w:tcPr>
            <w:tcW w:w="2520" w:type="dxa"/>
            <w:vAlign w:val="bottom"/>
            <w:gridSpan w:val="4"/>
          </w:tcPr>
          <w:p>
            <w:pPr>
              <w:spacing w:after="0"/>
              <w:rPr>
                <w:sz w:val="14"/>
                <w:szCs w:val="14"/>
                <w:color w:val="auto"/>
              </w:rPr>
            </w:pPr>
          </w:p>
        </w:tc>
        <w:tc>
          <w:tcPr>
            <w:tcW w:w="1340" w:type="dxa"/>
            <w:vAlign w:val="bottom"/>
            <w:gridSpan w:val="3"/>
          </w:tcPr>
          <w:p>
            <w:pPr>
              <w:spacing w:after="0"/>
              <w:rPr>
                <w:sz w:val="14"/>
                <w:szCs w:val="14"/>
                <w:color w:val="auto"/>
              </w:rPr>
            </w:pPr>
          </w:p>
        </w:tc>
        <w:tc>
          <w:tcPr>
            <w:tcW w:w="2020" w:type="dxa"/>
            <w:vAlign w:val="bottom"/>
          </w:tcPr>
          <w:p>
            <w:pPr>
              <w:jc w:val="right"/>
              <w:spacing w:after="0" w:line="168" w:lineRule="exact"/>
              <w:rPr>
                <w:sz w:val="20"/>
                <w:szCs w:val="20"/>
                <w:color w:val="auto"/>
              </w:rPr>
            </w:pPr>
            <w:r>
              <w:rPr>
                <w:rFonts w:ascii="Arial" w:cs="Arial" w:eastAsia="Arial" w:hAnsi="Arial"/>
                <w:sz w:val="16"/>
                <w:szCs w:val="16"/>
                <w:b w:val="1"/>
                <w:bCs w:val="1"/>
                <w:color w:val="2B4772"/>
              </w:rPr>
              <w:t>68</w:t>
            </w:r>
          </w:p>
        </w:tc>
        <w:tc>
          <w:tcPr>
            <w:tcW w:w="0" w:type="dxa"/>
            <w:vAlign w:val="bottom"/>
          </w:tcPr>
          <w:p>
            <w:pPr>
              <w:spacing w:after="0"/>
              <w:rPr>
                <w:sz w:val="1"/>
                <w:szCs w:val="1"/>
                <w:color w:val="auto"/>
              </w:rPr>
            </w:pPr>
          </w:p>
        </w:tc>
      </w:tr>
      <w:tr>
        <w:trPr>
          <w:trHeight w:val="167"/>
        </w:trPr>
        <w:tc>
          <w:tcPr>
            <w:tcW w:w="2000" w:type="dxa"/>
            <w:vAlign w:val="bottom"/>
            <w:tcBorders>
              <w:top w:val="single" w:sz="8" w:color="0000EE"/>
            </w:tcBorders>
            <w:gridSpan w:val="9"/>
          </w:tcPr>
          <w:p>
            <w:pPr>
              <w:spacing w:after="0" w:line="168" w:lineRule="exact"/>
              <w:rPr>
                <w:rFonts w:ascii="Arial" w:cs="Arial" w:eastAsia="Arial" w:hAnsi="Arial"/>
                <w:sz w:val="16"/>
                <w:szCs w:val="16"/>
                <w:b w:val="1"/>
                <w:bCs w:val="1"/>
                <w:color w:val="0000EE"/>
              </w:rPr>
            </w:pPr>
            <w:hyperlink w:anchor="page72">
              <w:r>
                <w:rPr>
                  <w:rFonts w:ascii="Arial" w:cs="Arial" w:eastAsia="Arial" w:hAnsi="Arial"/>
                  <w:sz w:val="16"/>
                  <w:szCs w:val="16"/>
                  <w:b w:val="1"/>
                  <w:bCs w:val="1"/>
                  <w:color w:val="0000EE"/>
                </w:rPr>
                <w:t>HUMAN CAPITAL AND</w:t>
              </w:r>
            </w:hyperlink>
          </w:p>
        </w:tc>
        <w:tc>
          <w:tcPr>
            <w:tcW w:w="6840" w:type="dxa"/>
            <w:vAlign w:val="bottom"/>
            <w:gridSpan w:val="43"/>
          </w:tcPr>
          <w:p>
            <w:pPr>
              <w:spacing w:after="0" w:line="168" w:lineRule="exact"/>
              <w:rPr>
                <w:rFonts w:ascii="Arial" w:cs="Arial" w:eastAsia="Arial" w:hAnsi="Arial"/>
                <w:sz w:val="16"/>
                <w:szCs w:val="16"/>
                <w:b w:val="1"/>
                <w:bCs w:val="1"/>
                <w:color w:val="0000EE"/>
              </w:rPr>
            </w:pPr>
            <w:hyperlink w:anchor="page72">
              <w:r>
                <w:rPr>
                  <w:rFonts w:ascii="Arial" w:cs="Arial" w:eastAsia="Arial" w:hAnsi="Arial"/>
                  <w:sz w:val="16"/>
                  <w:szCs w:val="16"/>
                  <w:b w:val="1"/>
                  <w:bCs w:val="1"/>
                  <w:color w:val="0000EE"/>
                </w:rPr>
                <w:t>COMPENSATION COMMITTEE INTERLOCKS AND INSIDER PARTICIPATION</w:t>
              </w:r>
            </w:hyperlink>
          </w:p>
        </w:tc>
        <w:tc>
          <w:tcPr>
            <w:tcW w:w="2020" w:type="dxa"/>
            <w:vAlign w:val="bottom"/>
          </w:tcPr>
          <w:p>
            <w:pPr>
              <w:jc w:val="right"/>
              <w:spacing w:after="0" w:line="168" w:lineRule="exact"/>
              <w:rPr>
                <w:sz w:val="20"/>
                <w:szCs w:val="20"/>
                <w:color w:val="auto"/>
              </w:rPr>
            </w:pPr>
            <w:r>
              <w:rPr>
                <w:rFonts w:ascii="Arial" w:cs="Arial" w:eastAsia="Arial" w:hAnsi="Arial"/>
                <w:sz w:val="16"/>
                <w:szCs w:val="16"/>
                <w:b w:val="1"/>
                <w:bCs w:val="1"/>
                <w:color w:val="2B4772"/>
              </w:rPr>
              <w:t>68</w:t>
            </w:r>
          </w:p>
        </w:tc>
        <w:tc>
          <w:tcPr>
            <w:tcW w:w="0" w:type="dxa"/>
            <w:vAlign w:val="bottom"/>
          </w:tcPr>
          <w:p>
            <w:pPr>
              <w:spacing w:after="0"/>
              <w:rPr>
                <w:sz w:val="1"/>
                <w:szCs w:val="1"/>
                <w:color w:val="auto"/>
              </w:rPr>
            </w:pPr>
          </w:p>
        </w:tc>
      </w:tr>
      <w:tr>
        <w:trPr>
          <w:trHeight w:val="167"/>
        </w:trPr>
        <w:tc>
          <w:tcPr>
            <w:tcW w:w="7500" w:type="dxa"/>
            <w:vAlign w:val="bottom"/>
            <w:tcBorders>
              <w:top w:val="single" w:sz="8" w:color="0000EE"/>
            </w:tcBorders>
            <w:gridSpan w:val="49"/>
          </w:tcPr>
          <w:p>
            <w:pPr>
              <w:spacing w:after="0" w:line="168" w:lineRule="exact"/>
              <w:rPr>
                <w:rFonts w:ascii="Arial" w:cs="Arial" w:eastAsia="Arial" w:hAnsi="Arial"/>
                <w:sz w:val="16"/>
                <w:szCs w:val="16"/>
                <w:b w:val="1"/>
                <w:bCs w:val="1"/>
                <w:color w:val="0000EE"/>
              </w:rPr>
            </w:pPr>
            <w:hyperlink w:anchor="page73">
              <w:r>
                <w:rPr>
                  <w:rFonts w:ascii="Arial" w:cs="Arial" w:eastAsia="Arial" w:hAnsi="Arial"/>
                  <w:sz w:val="16"/>
                  <w:szCs w:val="16"/>
                  <w:b w:val="1"/>
                  <w:bCs w:val="1"/>
                  <w:color w:val="0000EE"/>
                </w:rPr>
                <w:t>AUDIT COMMITTEE REPORT</w:t>
              </w:r>
            </w:hyperlink>
          </w:p>
        </w:tc>
        <w:tc>
          <w:tcPr>
            <w:tcW w:w="1340" w:type="dxa"/>
            <w:vAlign w:val="bottom"/>
            <w:gridSpan w:val="3"/>
          </w:tcPr>
          <w:p>
            <w:pPr>
              <w:spacing w:after="0"/>
              <w:rPr>
                <w:sz w:val="14"/>
                <w:szCs w:val="14"/>
                <w:color w:val="auto"/>
              </w:rPr>
            </w:pPr>
          </w:p>
        </w:tc>
        <w:tc>
          <w:tcPr>
            <w:tcW w:w="2020" w:type="dxa"/>
            <w:vAlign w:val="bottom"/>
          </w:tcPr>
          <w:p>
            <w:pPr>
              <w:jc w:val="right"/>
              <w:spacing w:after="0" w:line="168" w:lineRule="exact"/>
              <w:rPr>
                <w:sz w:val="20"/>
                <w:szCs w:val="20"/>
                <w:color w:val="auto"/>
              </w:rPr>
            </w:pPr>
            <w:r>
              <w:rPr>
                <w:rFonts w:ascii="Arial" w:cs="Arial" w:eastAsia="Arial" w:hAnsi="Arial"/>
                <w:sz w:val="16"/>
                <w:szCs w:val="16"/>
                <w:b w:val="1"/>
                <w:bCs w:val="1"/>
                <w:color w:val="2B4772"/>
              </w:rPr>
              <w:t>69</w:t>
            </w:r>
          </w:p>
        </w:tc>
        <w:tc>
          <w:tcPr>
            <w:tcW w:w="0" w:type="dxa"/>
            <w:vAlign w:val="bottom"/>
          </w:tcPr>
          <w:p>
            <w:pPr>
              <w:spacing w:after="0"/>
              <w:rPr>
                <w:sz w:val="1"/>
                <w:szCs w:val="1"/>
                <w:color w:val="auto"/>
              </w:rPr>
            </w:pPr>
          </w:p>
        </w:tc>
      </w:tr>
      <w:tr>
        <w:trPr>
          <w:trHeight w:val="167"/>
        </w:trPr>
        <w:tc>
          <w:tcPr>
            <w:tcW w:w="2240" w:type="dxa"/>
            <w:vAlign w:val="bottom"/>
            <w:tcBorders>
              <w:top w:val="single" w:sz="8" w:color="0000EE"/>
              <w:bottom w:val="single" w:sz="8" w:color="0000EE"/>
            </w:tcBorders>
            <w:gridSpan w:val="13"/>
          </w:tcPr>
          <w:p>
            <w:pPr>
              <w:spacing w:after="0" w:line="168" w:lineRule="exact"/>
              <w:rPr>
                <w:rFonts w:ascii="Arial" w:cs="Arial" w:eastAsia="Arial" w:hAnsi="Arial"/>
                <w:sz w:val="16"/>
                <w:szCs w:val="16"/>
                <w:b w:val="1"/>
                <w:bCs w:val="1"/>
                <w:color w:val="0000EE"/>
                <w:w w:val="98"/>
              </w:rPr>
            </w:pPr>
            <w:hyperlink w:anchor="page74">
              <w:r>
                <w:rPr>
                  <w:rFonts w:ascii="Arial" w:cs="Arial" w:eastAsia="Arial" w:hAnsi="Arial"/>
                  <w:sz w:val="16"/>
                  <w:szCs w:val="16"/>
                  <w:b w:val="1"/>
                  <w:bCs w:val="1"/>
                  <w:color w:val="0000EE"/>
                  <w:w w:val="98"/>
                </w:rPr>
                <w:t>PRINCIPAL STOCKHOLDERS</w:t>
              </w:r>
            </w:hyperlink>
          </w:p>
        </w:tc>
        <w:tc>
          <w:tcPr>
            <w:tcW w:w="40" w:type="dxa"/>
            <w:vAlign w:val="bottom"/>
            <w:tcBorders>
              <w:bottom w:val="single" w:sz="8" w:color="0000EE"/>
            </w:tcBorders>
            <w:gridSpan w:val="2"/>
          </w:tcPr>
          <w:p>
            <w:pPr>
              <w:spacing w:after="0"/>
              <w:rPr>
                <w:sz w:val="14"/>
                <w:szCs w:val="14"/>
                <w:color w:val="auto"/>
              </w:rPr>
            </w:pPr>
          </w:p>
        </w:tc>
        <w:tc>
          <w:tcPr>
            <w:tcW w:w="26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2"/>
          </w:tcPr>
          <w:p>
            <w:pPr>
              <w:spacing w:after="0"/>
              <w:rPr>
                <w:sz w:val="14"/>
                <w:szCs w:val="14"/>
                <w:color w:val="auto"/>
              </w:rPr>
            </w:pPr>
          </w:p>
        </w:tc>
        <w:tc>
          <w:tcPr>
            <w:tcW w:w="1040" w:type="dxa"/>
            <w:vAlign w:val="bottom"/>
            <w:gridSpan w:val="14"/>
          </w:tcPr>
          <w:p>
            <w:pPr>
              <w:spacing w:after="0"/>
              <w:rPr>
                <w:sz w:val="14"/>
                <w:szCs w:val="14"/>
                <w:color w:val="auto"/>
              </w:rPr>
            </w:pPr>
          </w:p>
        </w:tc>
        <w:tc>
          <w:tcPr>
            <w:tcW w:w="40" w:type="dxa"/>
            <w:vAlign w:val="bottom"/>
            <w:gridSpan w:val="2"/>
          </w:tcPr>
          <w:p>
            <w:pPr>
              <w:spacing w:after="0"/>
              <w:rPr>
                <w:sz w:val="14"/>
                <w:szCs w:val="14"/>
                <w:color w:val="auto"/>
              </w:rPr>
            </w:pPr>
          </w:p>
        </w:tc>
        <w:tc>
          <w:tcPr>
            <w:tcW w:w="380" w:type="dxa"/>
            <w:vAlign w:val="bottom"/>
            <w:gridSpan w:val="3"/>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4"/>
          </w:tcPr>
          <w:p>
            <w:pPr>
              <w:spacing w:after="0"/>
              <w:rPr>
                <w:sz w:val="14"/>
                <w:szCs w:val="14"/>
                <w:color w:val="auto"/>
              </w:rPr>
            </w:pPr>
          </w:p>
        </w:tc>
        <w:tc>
          <w:tcPr>
            <w:tcW w:w="3860" w:type="dxa"/>
            <w:vAlign w:val="bottom"/>
            <w:gridSpan w:val="7"/>
          </w:tcPr>
          <w:p>
            <w:pPr>
              <w:spacing w:after="0"/>
              <w:rPr>
                <w:sz w:val="14"/>
                <w:szCs w:val="14"/>
                <w:color w:val="auto"/>
              </w:rPr>
            </w:pPr>
          </w:p>
        </w:tc>
        <w:tc>
          <w:tcPr>
            <w:tcW w:w="2020" w:type="dxa"/>
            <w:vAlign w:val="bottom"/>
          </w:tcPr>
          <w:p>
            <w:pPr>
              <w:jc w:val="right"/>
              <w:spacing w:after="0" w:line="168" w:lineRule="exact"/>
              <w:rPr>
                <w:sz w:val="20"/>
                <w:szCs w:val="20"/>
                <w:color w:val="auto"/>
              </w:rPr>
            </w:pPr>
            <w:r>
              <w:rPr>
                <w:rFonts w:ascii="Arial" w:cs="Arial" w:eastAsia="Arial" w:hAnsi="Arial"/>
                <w:sz w:val="16"/>
                <w:szCs w:val="16"/>
                <w:b w:val="1"/>
                <w:bCs w:val="1"/>
                <w:color w:val="2B4772"/>
              </w:rPr>
              <w:t>70</w:t>
            </w:r>
          </w:p>
        </w:tc>
        <w:tc>
          <w:tcPr>
            <w:tcW w:w="0" w:type="dxa"/>
            <w:vAlign w:val="bottom"/>
          </w:tcPr>
          <w:p>
            <w:pPr>
              <w:spacing w:after="0"/>
              <w:rPr>
                <w:sz w:val="1"/>
                <w:szCs w:val="1"/>
                <w:color w:val="auto"/>
              </w:rPr>
            </w:pPr>
          </w:p>
        </w:tc>
      </w:tr>
      <w:tr>
        <w:trPr>
          <w:trHeight w:val="167"/>
        </w:trPr>
        <w:tc>
          <w:tcPr>
            <w:tcW w:w="8840" w:type="dxa"/>
            <w:vAlign w:val="bottom"/>
            <w:gridSpan w:val="52"/>
          </w:tcPr>
          <w:p>
            <w:pPr>
              <w:spacing w:after="0" w:line="168" w:lineRule="exact"/>
              <w:rPr>
                <w:rFonts w:ascii="Arial" w:cs="Arial" w:eastAsia="Arial" w:hAnsi="Arial"/>
                <w:sz w:val="16"/>
                <w:szCs w:val="16"/>
                <w:b w:val="1"/>
                <w:bCs w:val="1"/>
                <w:color w:val="0000EE"/>
              </w:rPr>
            </w:pPr>
            <w:hyperlink w:anchor="page75">
              <w:r>
                <w:rPr>
                  <w:rFonts w:ascii="Arial" w:cs="Arial" w:eastAsia="Arial" w:hAnsi="Arial"/>
                  <w:sz w:val="16"/>
                  <w:szCs w:val="16"/>
                  <w:b w:val="1"/>
                  <w:bCs w:val="1"/>
                  <w:color w:val="0000EE"/>
                </w:rPr>
                <w:t>SHARE OWNERSHIP OF DIRECTORS AND OFFICERS</w:t>
              </w:r>
            </w:hyperlink>
          </w:p>
        </w:tc>
        <w:tc>
          <w:tcPr>
            <w:tcW w:w="2020" w:type="dxa"/>
            <w:vAlign w:val="bottom"/>
          </w:tcPr>
          <w:p>
            <w:pPr>
              <w:jc w:val="right"/>
              <w:spacing w:after="0" w:line="168" w:lineRule="exact"/>
              <w:rPr>
                <w:sz w:val="20"/>
                <w:szCs w:val="20"/>
                <w:color w:val="auto"/>
              </w:rPr>
            </w:pPr>
            <w:r>
              <w:rPr>
                <w:rFonts w:ascii="Arial" w:cs="Arial" w:eastAsia="Arial" w:hAnsi="Arial"/>
                <w:sz w:val="16"/>
                <w:szCs w:val="16"/>
                <w:b w:val="1"/>
                <w:bCs w:val="1"/>
                <w:color w:val="2B4772"/>
              </w:rPr>
              <w:t>71</w:t>
            </w:r>
          </w:p>
        </w:tc>
        <w:tc>
          <w:tcPr>
            <w:tcW w:w="0" w:type="dxa"/>
            <w:vAlign w:val="bottom"/>
          </w:tcPr>
          <w:p>
            <w:pPr>
              <w:spacing w:after="0"/>
              <w:rPr>
                <w:sz w:val="1"/>
                <w:szCs w:val="1"/>
                <w:color w:val="auto"/>
              </w:rPr>
            </w:pPr>
          </w:p>
        </w:tc>
      </w:tr>
      <w:tr>
        <w:trPr>
          <w:trHeight w:val="167"/>
        </w:trPr>
        <w:tc>
          <w:tcPr>
            <w:tcW w:w="4100" w:type="dxa"/>
            <w:vAlign w:val="bottom"/>
            <w:tcBorders>
              <w:top w:val="single" w:sz="8" w:color="0000EE"/>
              <w:bottom w:val="single" w:sz="8" w:color="0000EE"/>
            </w:tcBorders>
            <w:gridSpan w:val="40"/>
          </w:tcPr>
          <w:p>
            <w:pPr>
              <w:spacing w:after="0" w:line="168" w:lineRule="exact"/>
              <w:rPr>
                <w:rFonts w:ascii="Arial" w:cs="Arial" w:eastAsia="Arial" w:hAnsi="Arial"/>
                <w:sz w:val="16"/>
                <w:szCs w:val="16"/>
                <w:b w:val="1"/>
                <w:bCs w:val="1"/>
                <w:color w:val="0000EE"/>
                <w:w w:val="97"/>
              </w:rPr>
            </w:pPr>
            <w:hyperlink w:anchor="page76">
              <w:r>
                <w:rPr>
                  <w:rFonts w:ascii="Arial" w:cs="Arial" w:eastAsia="Arial" w:hAnsi="Arial"/>
                  <w:sz w:val="16"/>
                  <w:szCs w:val="16"/>
                  <w:b w:val="1"/>
                  <w:bCs w:val="1"/>
                  <w:color w:val="0000EE"/>
                  <w:w w:val="97"/>
                </w:rPr>
                <w:t>SHARE-BASED COMPENSATION PLAN INFORMATION</w:t>
              </w:r>
            </w:hyperlink>
          </w:p>
        </w:tc>
        <w:tc>
          <w:tcPr>
            <w:tcW w:w="80" w:type="dxa"/>
            <w:vAlign w:val="bottom"/>
            <w:tcBorders>
              <w:bottom w:val="single" w:sz="8" w:color="0000EE"/>
            </w:tcBorders>
          </w:tcPr>
          <w:p>
            <w:pPr>
              <w:spacing w:after="0"/>
              <w:rPr>
                <w:sz w:val="14"/>
                <w:szCs w:val="14"/>
                <w:color w:val="auto"/>
              </w:rPr>
            </w:pPr>
          </w:p>
        </w:tc>
        <w:tc>
          <w:tcPr>
            <w:tcW w:w="800" w:type="dxa"/>
            <w:vAlign w:val="bottom"/>
            <w:gridSpan w:val="4"/>
          </w:tcPr>
          <w:p>
            <w:pPr>
              <w:spacing w:after="0"/>
              <w:rPr>
                <w:sz w:val="14"/>
                <w:szCs w:val="14"/>
                <w:color w:val="auto"/>
              </w:rPr>
            </w:pPr>
          </w:p>
        </w:tc>
        <w:tc>
          <w:tcPr>
            <w:tcW w:w="3860" w:type="dxa"/>
            <w:vAlign w:val="bottom"/>
            <w:gridSpan w:val="7"/>
          </w:tcPr>
          <w:p>
            <w:pPr>
              <w:spacing w:after="0"/>
              <w:rPr>
                <w:sz w:val="14"/>
                <w:szCs w:val="14"/>
                <w:color w:val="auto"/>
              </w:rPr>
            </w:pPr>
          </w:p>
        </w:tc>
        <w:tc>
          <w:tcPr>
            <w:tcW w:w="2020" w:type="dxa"/>
            <w:vAlign w:val="bottom"/>
          </w:tcPr>
          <w:p>
            <w:pPr>
              <w:jc w:val="right"/>
              <w:spacing w:after="0" w:line="168" w:lineRule="exact"/>
              <w:rPr>
                <w:sz w:val="20"/>
                <w:szCs w:val="20"/>
                <w:color w:val="auto"/>
              </w:rPr>
            </w:pPr>
            <w:r>
              <w:rPr>
                <w:rFonts w:ascii="Arial" w:cs="Arial" w:eastAsia="Arial" w:hAnsi="Arial"/>
                <w:sz w:val="16"/>
                <w:szCs w:val="16"/>
                <w:b w:val="1"/>
                <w:bCs w:val="1"/>
                <w:color w:val="2B4772"/>
              </w:rPr>
              <w:t>72</w:t>
            </w:r>
          </w:p>
        </w:tc>
        <w:tc>
          <w:tcPr>
            <w:tcW w:w="0" w:type="dxa"/>
            <w:vAlign w:val="bottom"/>
          </w:tcPr>
          <w:p>
            <w:pPr>
              <w:spacing w:after="0"/>
              <w:rPr>
                <w:sz w:val="1"/>
                <w:szCs w:val="1"/>
                <w:color w:val="auto"/>
              </w:rPr>
            </w:pPr>
          </w:p>
        </w:tc>
      </w:tr>
      <w:tr>
        <w:trPr>
          <w:trHeight w:val="167"/>
        </w:trPr>
        <w:tc>
          <w:tcPr>
            <w:tcW w:w="4180" w:type="dxa"/>
            <w:vAlign w:val="bottom"/>
            <w:gridSpan w:val="41"/>
          </w:tcPr>
          <w:p>
            <w:pPr>
              <w:spacing w:after="0" w:line="168" w:lineRule="exact"/>
              <w:rPr>
                <w:rFonts w:ascii="Arial" w:cs="Arial" w:eastAsia="Arial" w:hAnsi="Arial"/>
                <w:sz w:val="16"/>
                <w:szCs w:val="16"/>
                <w:b w:val="1"/>
                <w:bCs w:val="1"/>
                <w:color w:val="0000EE"/>
              </w:rPr>
            </w:pPr>
            <w:hyperlink w:anchor="page76">
              <w:r>
                <w:rPr>
                  <w:rFonts w:ascii="Arial" w:cs="Arial" w:eastAsia="Arial" w:hAnsi="Arial"/>
                  <w:sz w:val="16"/>
                  <w:szCs w:val="16"/>
                  <w:b w:val="1"/>
                  <w:bCs w:val="1"/>
                  <w:color w:val="0000EE"/>
                </w:rPr>
                <w:t>RELATED PARTY TRANSACTIONS</w:t>
              </w:r>
            </w:hyperlink>
          </w:p>
        </w:tc>
        <w:tc>
          <w:tcPr>
            <w:tcW w:w="800" w:type="dxa"/>
            <w:vAlign w:val="bottom"/>
            <w:gridSpan w:val="4"/>
          </w:tcPr>
          <w:p>
            <w:pPr>
              <w:spacing w:after="0"/>
              <w:rPr>
                <w:sz w:val="14"/>
                <w:szCs w:val="14"/>
                <w:color w:val="auto"/>
              </w:rPr>
            </w:pPr>
          </w:p>
        </w:tc>
        <w:tc>
          <w:tcPr>
            <w:tcW w:w="3860" w:type="dxa"/>
            <w:vAlign w:val="bottom"/>
            <w:gridSpan w:val="7"/>
          </w:tcPr>
          <w:p>
            <w:pPr>
              <w:spacing w:after="0"/>
              <w:rPr>
                <w:sz w:val="14"/>
                <w:szCs w:val="14"/>
                <w:color w:val="auto"/>
              </w:rPr>
            </w:pPr>
          </w:p>
        </w:tc>
        <w:tc>
          <w:tcPr>
            <w:tcW w:w="2020" w:type="dxa"/>
            <w:vAlign w:val="bottom"/>
          </w:tcPr>
          <w:p>
            <w:pPr>
              <w:jc w:val="right"/>
              <w:spacing w:after="0" w:line="168" w:lineRule="exact"/>
              <w:rPr>
                <w:sz w:val="20"/>
                <w:szCs w:val="20"/>
                <w:color w:val="auto"/>
              </w:rPr>
            </w:pPr>
            <w:r>
              <w:rPr>
                <w:rFonts w:ascii="Arial" w:cs="Arial" w:eastAsia="Arial" w:hAnsi="Arial"/>
                <w:sz w:val="16"/>
                <w:szCs w:val="16"/>
                <w:b w:val="1"/>
                <w:bCs w:val="1"/>
                <w:color w:val="2B4772"/>
              </w:rPr>
              <w:t>72</w:t>
            </w:r>
          </w:p>
        </w:tc>
        <w:tc>
          <w:tcPr>
            <w:tcW w:w="0" w:type="dxa"/>
            <w:vAlign w:val="bottom"/>
          </w:tcPr>
          <w:p>
            <w:pPr>
              <w:spacing w:after="0"/>
              <w:rPr>
                <w:sz w:val="1"/>
                <w:szCs w:val="1"/>
                <w:color w:val="auto"/>
              </w:rPr>
            </w:pPr>
          </w:p>
        </w:tc>
      </w:tr>
      <w:tr>
        <w:trPr>
          <w:trHeight w:val="167"/>
        </w:trPr>
        <w:tc>
          <w:tcPr>
            <w:tcW w:w="2640" w:type="dxa"/>
            <w:vAlign w:val="bottom"/>
            <w:tcBorders>
              <w:top w:val="single" w:sz="8" w:color="0000EE"/>
            </w:tcBorders>
            <w:gridSpan w:val="21"/>
          </w:tcPr>
          <w:p>
            <w:pPr>
              <w:spacing w:after="0" w:line="168" w:lineRule="exact"/>
              <w:rPr>
                <w:rFonts w:ascii="Arial" w:cs="Arial" w:eastAsia="Arial" w:hAnsi="Arial"/>
                <w:sz w:val="16"/>
                <w:szCs w:val="16"/>
                <w:b w:val="1"/>
                <w:bCs w:val="1"/>
                <w:color w:val="0000EE"/>
              </w:rPr>
            </w:pPr>
            <w:hyperlink w:anchor="page76">
              <w:r>
                <w:rPr>
                  <w:rFonts w:ascii="Arial" w:cs="Arial" w:eastAsia="Arial" w:hAnsi="Arial"/>
                  <w:sz w:val="16"/>
                  <w:szCs w:val="16"/>
                  <w:b w:val="1"/>
                  <w:bCs w:val="1"/>
                  <w:color w:val="0000EE"/>
                </w:rPr>
                <w:t>MISCELLANEOUS INFORMATION</w:t>
              </w:r>
            </w:hyperlink>
          </w:p>
        </w:tc>
        <w:tc>
          <w:tcPr>
            <w:tcW w:w="1040" w:type="dxa"/>
            <w:vAlign w:val="bottom"/>
            <w:gridSpan w:val="14"/>
          </w:tcPr>
          <w:p>
            <w:pPr>
              <w:spacing w:after="0"/>
              <w:rPr>
                <w:sz w:val="14"/>
                <w:szCs w:val="14"/>
                <w:color w:val="auto"/>
              </w:rPr>
            </w:pPr>
          </w:p>
        </w:tc>
        <w:tc>
          <w:tcPr>
            <w:tcW w:w="40" w:type="dxa"/>
            <w:vAlign w:val="bottom"/>
            <w:gridSpan w:val="2"/>
          </w:tcPr>
          <w:p>
            <w:pPr>
              <w:spacing w:after="0"/>
              <w:rPr>
                <w:sz w:val="14"/>
                <w:szCs w:val="14"/>
                <w:color w:val="auto"/>
              </w:rPr>
            </w:pPr>
          </w:p>
        </w:tc>
        <w:tc>
          <w:tcPr>
            <w:tcW w:w="1260" w:type="dxa"/>
            <w:vAlign w:val="bottom"/>
            <w:gridSpan w:val="8"/>
          </w:tcPr>
          <w:p>
            <w:pPr>
              <w:spacing w:after="0"/>
              <w:rPr>
                <w:sz w:val="14"/>
                <w:szCs w:val="14"/>
                <w:color w:val="auto"/>
              </w:rPr>
            </w:pPr>
          </w:p>
        </w:tc>
        <w:tc>
          <w:tcPr>
            <w:tcW w:w="3860" w:type="dxa"/>
            <w:vAlign w:val="bottom"/>
            <w:gridSpan w:val="7"/>
          </w:tcPr>
          <w:p>
            <w:pPr>
              <w:spacing w:after="0"/>
              <w:rPr>
                <w:sz w:val="14"/>
                <w:szCs w:val="14"/>
                <w:color w:val="auto"/>
              </w:rPr>
            </w:pPr>
          </w:p>
        </w:tc>
        <w:tc>
          <w:tcPr>
            <w:tcW w:w="2020" w:type="dxa"/>
            <w:vAlign w:val="bottom"/>
          </w:tcPr>
          <w:p>
            <w:pPr>
              <w:jc w:val="right"/>
              <w:spacing w:after="0" w:line="168" w:lineRule="exact"/>
              <w:rPr>
                <w:sz w:val="20"/>
                <w:szCs w:val="20"/>
                <w:color w:val="auto"/>
              </w:rPr>
            </w:pPr>
            <w:r>
              <w:rPr>
                <w:rFonts w:ascii="Arial" w:cs="Arial" w:eastAsia="Arial" w:hAnsi="Arial"/>
                <w:sz w:val="16"/>
                <w:szCs w:val="16"/>
                <w:b w:val="1"/>
                <w:bCs w:val="1"/>
                <w:color w:val="2B4772"/>
              </w:rPr>
              <w:t>72</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80" w:type="dxa"/>
            <w:vAlign w:val="bottom"/>
            <w:tcBorders>
              <w:top w:val="single" w:sz="8" w:color="0000EE"/>
            </w:tcBorders>
          </w:tcPr>
          <w:p>
            <w:pPr>
              <w:spacing w:after="0"/>
              <w:rPr>
                <w:sz w:val="15"/>
                <w:szCs w:val="15"/>
                <w:color w:val="auto"/>
              </w:rPr>
            </w:pPr>
          </w:p>
        </w:tc>
        <w:tc>
          <w:tcPr>
            <w:tcW w:w="1720" w:type="dxa"/>
            <w:vAlign w:val="bottom"/>
            <w:tcBorders>
              <w:top w:val="single" w:sz="8" w:color="0000EE"/>
              <w:bottom w:val="single" w:sz="8" w:color="0000EE"/>
            </w:tcBorders>
            <w:gridSpan w:val="10"/>
          </w:tcPr>
          <w:p>
            <w:pPr>
              <w:spacing w:after="0" w:line="181" w:lineRule="exact"/>
              <w:rPr>
                <w:rFonts w:ascii="Arial" w:cs="Arial" w:eastAsia="Arial" w:hAnsi="Arial"/>
                <w:sz w:val="18"/>
                <w:szCs w:val="18"/>
                <w:color w:val="0000EE"/>
                <w:w w:val="98"/>
              </w:rPr>
            </w:pPr>
            <w:hyperlink w:anchor="page76">
              <w:r>
                <w:rPr>
                  <w:rFonts w:ascii="Arial" w:cs="Arial" w:eastAsia="Arial" w:hAnsi="Arial"/>
                  <w:sz w:val="18"/>
                  <w:szCs w:val="18"/>
                  <w:color w:val="0000EE"/>
                  <w:w w:val="98"/>
                </w:rPr>
                <w:t>Solicitation of Proxies</w:t>
              </w:r>
            </w:hyperlink>
          </w:p>
        </w:tc>
        <w:tc>
          <w:tcPr>
            <w:tcW w:w="360" w:type="dxa"/>
            <w:vAlign w:val="bottom"/>
            <w:tcBorders>
              <w:top w:val="single" w:sz="8" w:color="0000EE"/>
            </w:tcBorders>
            <w:gridSpan w:val="7"/>
          </w:tcPr>
          <w:p>
            <w:pPr>
              <w:spacing w:after="0"/>
              <w:rPr>
                <w:sz w:val="15"/>
                <w:szCs w:val="15"/>
                <w:color w:val="auto"/>
              </w:rPr>
            </w:pPr>
          </w:p>
        </w:tc>
        <w:tc>
          <w:tcPr>
            <w:tcW w:w="1100" w:type="dxa"/>
            <w:vAlign w:val="bottom"/>
            <w:gridSpan w:val="16"/>
          </w:tcPr>
          <w:p>
            <w:pPr>
              <w:spacing w:after="0"/>
              <w:rPr>
                <w:sz w:val="15"/>
                <w:szCs w:val="15"/>
                <w:color w:val="auto"/>
              </w:rPr>
            </w:pPr>
          </w:p>
        </w:tc>
        <w:tc>
          <w:tcPr>
            <w:tcW w:w="40" w:type="dxa"/>
            <w:vAlign w:val="bottom"/>
            <w:gridSpan w:val="2"/>
          </w:tcPr>
          <w:p>
            <w:pPr>
              <w:spacing w:after="0"/>
              <w:rPr>
                <w:sz w:val="15"/>
                <w:szCs w:val="15"/>
                <w:color w:val="auto"/>
              </w:rPr>
            </w:pPr>
          </w:p>
        </w:tc>
        <w:tc>
          <w:tcPr>
            <w:tcW w:w="1260" w:type="dxa"/>
            <w:vAlign w:val="bottom"/>
            <w:gridSpan w:val="8"/>
          </w:tcPr>
          <w:p>
            <w:pPr>
              <w:spacing w:after="0"/>
              <w:rPr>
                <w:sz w:val="15"/>
                <w:szCs w:val="15"/>
                <w:color w:val="auto"/>
              </w:rPr>
            </w:pPr>
          </w:p>
        </w:tc>
        <w:tc>
          <w:tcPr>
            <w:tcW w:w="3860" w:type="dxa"/>
            <w:vAlign w:val="bottom"/>
            <w:gridSpan w:val="7"/>
          </w:tcPr>
          <w:p>
            <w:pPr>
              <w:spacing w:after="0"/>
              <w:rPr>
                <w:sz w:val="15"/>
                <w:szCs w:val="15"/>
                <w:color w:val="auto"/>
              </w:rPr>
            </w:pPr>
          </w:p>
        </w:tc>
        <w:tc>
          <w:tcPr>
            <w:tcW w:w="2020" w:type="dxa"/>
            <w:vAlign w:val="bottom"/>
          </w:tcPr>
          <w:p>
            <w:pPr>
              <w:jc w:val="right"/>
              <w:spacing w:after="0" w:line="181" w:lineRule="exact"/>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340" w:type="dxa"/>
            <w:vAlign w:val="bottom"/>
            <w:gridSpan w:val="50"/>
          </w:tcPr>
          <w:p>
            <w:pPr>
              <w:spacing w:after="0" w:line="181" w:lineRule="exact"/>
              <w:rPr>
                <w:rFonts w:ascii="Arial" w:cs="Arial" w:eastAsia="Arial" w:hAnsi="Arial"/>
                <w:sz w:val="18"/>
                <w:szCs w:val="18"/>
                <w:color w:val="0000EE"/>
              </w:rPr>
            </w:pPr>
            <w:hyperlink w:anchor="page77">
              <w:r>
                <w:rPr>
                  <w:rFonts w:ascii="Arial" w:cs="Arial" w:eastAsia="Arial" w:hAnsi="Arial"/>
                  <w:sz w:val="18"/>
                  <w:szCs w:val="18"/>
                  <w:color w:val="0000EE"/>
                </w:rPr>
                <w:t>Annual Report/Form 10-K</w:t>
              </w:r>
            </w:hyperlink>
          </w:p>
        </w:tc>
        <w:tc>
          <w:tcPr>
            <w:tcW w:w="2020" w:type="dxa"/>
            <w:vAlign w:val="bottom"/>
          </w:tcPr>
          <w:p>
            <w:pPr>
              <w:jc w:val="right"/>
              <w:spacing w:after="0" w:line="181" w:lineRule="exact"/>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40" w:type="dxa"/>
            <w:vAlign w:val="bottom"/>
            <w:tcBorders>
              <w:top w:val="single" w:sz="8" w:color="0000EE"/>
            </w:tcBorders>
            <w:gridSpan w:val="15"/>
          </w:tcPr>
          <w:p>
            <w:pPr>
              <w:spacing w:after="0" w:line="181" w:lineRule="exact"/>
              <w:rPr>
                <w:rFonts w:ascii="Arial" w:cs="Arial" w:eastAsia="Arial" w:hAnsi="Arial"/>
                <w:sz w:val="18"/>
                <w:szCs w:val="18"/>
                <w:color w:val="0000EE"/>
              </w:rPr>
            </w:pPr>
            <w:hyperlink w:anchor="page77">
              <w:r>
                <w:rPr>
                  <w:rFonts w:ascii="Arial" w:cs="Arial" w:eastAsia="Arial" w:hAnsi="Arial"/>
                  <w:sz w:val="18"/>
                  <w:szCs w:val="18"/>
                  <w:color w:val="0000EE"/>
                </w:rPr>
                <w:t>Stockholders Sharing the</w:t>
              </w:r>
            </w:hyperlink>
          </w:p>
        </w:tc>
        <w:tc>
          <w:tcPr>
            <w:tcW w:w="6300" w:type="dxa"/>
            <w:vAlign w:val="bottom"/>
            <w:gridSpan w:val="35"/>
          </w:tcPr>
          <w:p>
            <w:pPr>
              <w:spacing w:after="0" w:line="181" w:lineRule="exact"/>
              <w:rPr>
                <w:rFonts w:ascii="Arial" w:cs="Arial" w:eastAsia="Arial" w:hAnsi="Arial"/>
                <w:sz w:val="18"/>
                <w:szCs w:val="18"/>
                <w:color w:val="0000EE"/>
              </w:rPr>
            </w:pPr>
            <w:hyperlink w:anchor="page77">
              <w:r>
                <w:rPr>
                  <w:rFonts w:ascii="Arial" w:cs="Arial" w:eastAsia="Arial" w:hAnsi="Arial"/>
                  <w:sz w:val="18"/>
                  <w:szCs w:val="18"/>
                  <w:color w:val="0000EE"/>
                </w:rPr>
                <w:t>Same Address</w:t>
              </w:r>
            </w:hyperlink>
          </w:p>
        </w:tc>
        <w:tc>
          <w:tcPr>
            <w:tcW w:w="2020" w:type="dxa"/>
            <w:vAlign w:val="bottom"/>
          </w:tcPr>
          <w:p>
            <w:pPr>
              <w:jc w:val="right"/>
              <w:spacing w:after="0" w:line="181" w:lineRule="exact"/>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20" w:type="dxa"/>
            <w:vAlign w:val="bottom"/>
            <w:tcBorders>
              <w:top w:val="single" w:sz="8" w:color="0000EE"/>
            </w:tcBorders>
            <w:gridSpan w:val="35"/>
          </w:tcPr>
          <w:p>
            <w:pPr>
              <w:spacing w:after="0" w:line="181" w:lineRule="exact"/>
              <w:rPr>
                <w:rFonts w:ascii="Arial" w:cs="Arial" w:eastAsia="Arial" w:hAnsi="Arial"/>
                <w:sz w:val="18"/>
                <w:szCs w:val="18"/>
                <w:color w:val="0000EE"/>
              </w:rPr>
            </w:pPr>
            <w:hyperlink w:anchor="page77">
              <w:r>
                <w:rPr>
                  <w:rFonts w:ascii="Arial" w:cs="Arial" w:eastAsia="Arial" w:hAnsi="Arial"/>
                  <w:sz w:val="18"/>
                  <w:szCs w:val="18"/>
                  <w:color w:val="0000EE"/>
                </w:rPr>
                <w:t>Other Business</w:t>
              </w:r>
            </w:hyperlink>
          </w:p>
        </w:tc>
        <w:tc>
          <w:tcPr>
            <w:tcW w:w="1260" w:type="dxa"/>
            <w:vAlign w:val="bottom"/>
            <w:gridSpan w:val="8"/>
          </w:tcPr>
          <w:p>
            <w:pPr>
              <w:spacing w:after="0"/>
              <w:rPr>
                <w:sz w:val="15"/>
                <w:szCs w:val="15"/>
                <w:color w:val="auto"/>
              </w:rPr>
            </w:pPr>
          </w:p>
        </w:tc>
        <w:tc>
          <w:tcPr>
            <w:tcW w:w="3860" w:type="dxa"/>
            <w:vAlign w:val="bottom"/>
            <w:gridSpan w:val="7"/>
          </w:tcPr>
          <w:p>
            <w:pPr>
              <w:spacing w:after="0"/>
              <w:rPr>
                <w:sz w:val="15"/>
                <w:szCs w:val="15"/>
                <w:color w:val="auto"/>
              </w:rPr>
            </w:pPr>
          </w:p>
        </w:tc>
        <w:tc>
          <w:tcPr>
            <w:tcW w:w="2020" w:type="dxa"/>
            <w:vAlign w:val="bottom"/>
          </w:tcPr>
          <w:p>
            <w:pPr>
              <w:jc w:val="right"/>
              <w:spacing w:after="0" w:line="181" w:lineRule="exact"/>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40" w:type="dxa"/>
            <w:vAlign w:val="bottom"/>
            <w:tcBorders>
              <w:top w:val="single" w:sz="8" w:color="0000EE"/>
            </w:tcBorders>
            <w:gridSpan w:val="4"/>
          </w:tcPr>
          <w:p>
            <w:pPr>
              <w:spacing w:after="0" w:line="181" w:lineRule="exact"/>
              <w:rPr>
                <w:rFonts w:ascii="Arial" w:cs="Arial" w:eastAsia="Arial" w:hAnsi="Arial"/>
                <w:sz w:val="18"/>
                <w:szCs w:val="18"/>
                <w:color w:val="0000EE"/>
              </w:rPr>
            </w:pPr>
            <w:hyperlink w:anchor="page77">
              <w:r>
                <w:rPr>
                  <w:rFonts w:ascii="Arial" w:cs="Arial" w:eastAsia="Arial" w:hAnsi="Arial"/>
                  <w:sz w:val="18"/>
                  <w:szCs w:val="18"/>
                  <w:color w:val="0000EE"/>
                </w:rPr>
                <w:t>Stockholder</w:t>
              </w:r>
            </w:hyperlink>
          </w:p>
        </w:tc>
        <w:tc>
          <w:tcPr>
            <w:tcW w:w="7100" w:type="dxa"/>
            <w:vAlign w:val="bottom"/>
            <w:gridSpan w:val="46"/>
          </w:tcPr>
          <w:p>
            <w:pPr>
              <w:spacing w:after="0" w:line="181" w:lineRule="exact"/>
              <w:rPr>
                <w:rFonts w:ascii="Arial" w:cs="Arial" w:eastAsia="Arial" w:hAnsi="Arial"/>
                <w:sz w:val="18"/>
                <w:szCs w:val="18"/>
                <w:color w:val="0000EE"/>
              </w:rPr>
            </w:pPr>
            <w:hyperlink w:anchor="page77">
              <w:r>
                <w:rPr>
                  <w:rFonts w:ascii="Arial" w:cs="Arial" w:eastAsia="Arial" w:hAnsi="Arial"/>
                  <w:sz w:val="18"/>
                  <w:szCs w:val="18"/>
                  <w:color w:val="0000EE"/>
                </w:rPr>
                <w:t>Communications with the Board of Directors</w:t>
              </w:r>
            </w:hyperlink>
          </w:p>
        </w:tc>
        <w:tc>
          <w:tcPr>
            <w:tcW w:w="2020" w:type="dxa"/>
            <w:vAlign w:val="bottom"/>
          </w:tcPr>
          <w:p>
            <w:pPr>
              <w:jc w:val="right"/>
              <w:spacing w:after="0" w:line="181" w:lineRule="exact"/>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180" w:type="dxa"/>
            <w:vAlign w:val="bottom"/>
            <w:tcBorders>
              <w:top w:val="single" w:sz="8" w:color="0000EE"/>
              <w:bottom w:val="single" w:sz="8" w:color="0000EE"/>
            </w:tcBorders>
            <w:gridSpan w:val="33"/>
          </w:tcPr>
          <w:p>
            <w:pPr>
              <w:spacing w:after="0" w:line="181" w:lineRule="exact"/>
              <w:rPr>
                <w:rFonts w:ascii="Arial" w:cs="Arial" w:eastAsia="Arial" w:hAnsi="Arial"/>
                <w:sz w:val="18"/>
                <w:szCs w:val="18"/>
                <w:color w:val="0000EE"/>
                <w:w w:val="98"/>
              </w:rPr>
            </w:pPr>
            <w:hyperlink w:anchor="page77">
              <w:r>
                <w:rPr>
                  <w:rFonts w:ascii="Arial" w:cs="Arial" w:eastAsia="Arial" w:hAnsi="Arial"/>
                  <w:sz w:val="18"/>
                  <w:szCs w:val="18"/>
                  <w:color w:val="0000EE"/>
                  <w:w w:val="98"/>
                </w:rPr>
                <w:t>Stockholder Nominations and Proposals</w:t>
              </w:r>
            </w:hyperlink>
          </w:p>
        </w:tc>
        <w:tc>
          <w:tcPr>
            <w:tcW w:w="1300" w:type="dxa"/>
            <w:vAlign w:val="bottom"/>
            <w:tcBorders>
              <w:top w:val="single" w:sz="8" w:color="0000EE"/>
            </w:tcBorders>
            <w:gridSpan w:val="10"/>
          </w:tcPr>
          <w:p>
            <w:pPr>
              <w:spacing w:after="0"/>
              <w:rPr>
                <w:sz w:val="15"/>
                <w:szCs w:val="15"/>
                <w:color w:val="auto"/>
              </w:rPr>
            </w:pPr>
          </w:p>
        </w:tc>
        <w:tc>
          <w:tcPr>
            <w:tcW w:w="3860" w:type="dxa"/>
            <w:vAlign w:val="bottom"/>
            <w:gridSpan w:val="7"/>
          </w:tcPr>
          <w:p>
            <w:pPr>
              <w:spacing w:after="0"/>
              <w:rPr>
                <w:sz w:val="15"/>
                <w:szCs w:val="15"/>
                <w:color w:val="auto"/>
              </w:rPr>
            </w:pPr>
          </w:p>
        </w:tc>
        <w:tc>
          <w:tcPr>
            <w:tcW w:w="2020" w:type="dxa"/>
            <w:vAlign w:val="bottom"/>
          </w:tcPr>
          <w:p>
            <w:pPr>
              <w:jc w:val="right"/>
              <w:spacing w:after="0" w:line="181" w:lineRule="exact"/>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2" w:lineRule="exact"/>
        <w:rPr>
          <w:sz w:val="20"/>
          <w:szCs w:val="20"/>
          <w:color w:val="auto"/>
        </w:rPr>
      </w:pPr>
    </w:p>
    <w:p>
      <w:pPr>
        <w:jc w:val="right"/>
        <w:spacing w:after="0"/>
        <w:tabs>
          <w:tab w:leader="none" w:pos="20" w:val="left"/>
        </w:tabs>
        <w:rPr>
          <w:sz w:val="20"/>
          <w:szCs w:val="20"/>
          <w:color w:val="auto"/>
        </w:rPr>
      </w:pPr>
      <w:r>
        <w:rPr>
          <w:rFonts w:ascii="Arial" w:cs="Arial" w:eastAsia="Arial" w:hAnsi="Arial"/>
          <w:sz w:val="14"/>
          <w:szCs w:val="14"/>
          <w:color w:val="F75E14"/>
        </w:rPr>
        <w:t>onsemi 2022 Proxy Statement</w:t>
        <w:tab/>
        <w:t>i</w:t>
      </w:r>
    </w:p>
    <w:p>
      <w:pPr>
        <w:sectPr>
          <w:pgSz w:w="11900" w:h="16838" w:orient="portrait"/>
          <w:cols w:equalWidth="0" w:num="1">
            <w:col w:w="11080"/>
          </w:cols>
          <w:pgMar w:left="320" w:top="454" w:right="49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2806700</wp:posOffset>
            </wp:positionH>
            <wp:positionV relativeFrom="paragraph">
              <wp:posOffset>203835</wp:posOffset>
            </wp:positionV>
            <wp:extent cx="1537335" cy="280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537335" cy="280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5005 East McDowell Road</w:t>
      </w:r>
    </w:p>
    <w:p>
      <w:pPr>
        <w:spacing w:after="0" w:line="12"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Phoenix, Arizona 85008</w:t>
      </w:r>
    </w:p>
    <w:p>
      <w:pPr>
        <w:spacing w:after="0" w:line="184"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F75E14"/>
        </w:rPr>
        <w:t>PROXY STATEMENT</w:t>
      </w:r>
    </w:p>
    <w:p>
      <w:pPr>
        <w:spacing w:after="0" w:line="30" w:lineRule="exact"/>
        <w:rPr>
          <w:sz w:val="20"/>
          <w:szCs w:val="20"/>
          <w:color w:val="auto"/>
        </w:rPr>
      </w:pPr>
    </w:p>
    <w:p>
      <w:pPr>
        <w:jc w:val="both"/>
        <w:ind w:left="160"/>
        <w:spacing w:after="0" w:line="239" w:lineRule="auto"/>
        <w:rPr>
          <w:sz w:val="20"/>
          <w:szCs w:val="20"/>
          <w:color w:val="auto"/>
        </w:rPr>
      </w:pPr>
      <w:r>
        <w:rPr>
          <w:rFonts w:ascii="Arial" w:cs="Arial" w:eastAsia="Arial" w:hAnsi="Arial"/>
          <w:sz w:val="18"/>
          <w:szCs w:val="18"/>
          <w:color w:val="auto"/>
        </w:rPr>
        <w:t>This proxy statement and the accompanying notice and proxy card are furnished in connection with the solicitation by the Board of Directors (the “Board” or “Board of Directors”) of ON Semiconductor Corporation (“we,” “</w:t>
      </w:r>
      <w:r>
        <w:rPr>
          <w:rFonts w:ascii="Arial" w:cs="Arial" w:eastAsia="Arial" w:hAnsi="Arial"/>
          <w:sz w:val="18"/>
          <w:szCs w:val="18"/>
          <w:b w:val="1"/>
          <w:bCs w:val="1"/>
          <w:color w:val="auto"/>
        </w:rPr>
        <w:t>onsemi</w:t>
      </w:r>
      <w:r>
        <w:rPr>
          <w:rFonts w:ascii="Arial" w:cs="Arial" w:eastAsia="Arial" w:hAnsi="Arial"/>
          <w:sz w:val="18"/>
          <w:szCs w:val="18"/>
          <w:color w:val="auto"/>
        </w:rPr>
        <w:t>” or the “Company”) of proxies to be used at our 2022 Annual Meeting of Stockholders and at any adjournment or postponement thereof (the “Annual Meeting”).</w:t>
      </w:r>
    </w:p>
    <w:p>
      <w:pPr>
        <w:spacing w:after="0" w:line="174"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2B4772"/>
        </w:rPr>
        <w:t>2022 Annual Meeting of Stockholders</w:t>
      </w:r>
    </w:p>
    <w:p>
      <w:pPr>
        <w:spacing w:after="0" w:line="11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 xml:space="preserve">Date and Time: </w:t>
      </w:r>
      <w:r>
        <w:rPr>
          <w:rFonts w:ascii="Arial" w:cs="Arial" w:eastAsia="Arial" w:hAnsi="Arial"/>
          <w:sz w:val="18"/>
          <w:szCs w:val="18"/>
          <w:color w:val="auto"/>
        </w:rPr>
        <w:t>Thursday, May 26, 2022, at 8:00 a.m., local time</w:t>
      </w:r>
    </w:p>
    <w:p>
      <w:pPr>
        <w:spacing w:after="0" w:line="10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 xml:space="preserve">Location: </w:t>
      </w:r>
      <w:r>
        <w:rPr>
          <w:rFonts w:ascii="Arial" w:cs="Arial" w:eastAsia="Arial" w:hAnsi="Arial"/>
          <w:sz w:val="18"/>
          <w:szCs w:val="18"/>
          <w:color w:val="auto"/>
        </w:rPr>
        <w:t>5005 East McDowell Road, Phoenix, Arizona 85008</w:t>
      </w:r>
    </w:p>
    <w:p>
      <w:pPr>
        <w:spacing w:after="0" w:line="101" w:lineRule="exact"/>
        <w:rPr>
          <w:sz w:val="20"/>
          <w:szCs w:val="20"/>
          <w:color w:val="auto"/>
        </w:rPr>
      </w:pPr>
    </w:p>
    <w:p>
      <w:pPr>
        <w:jc w:val="both"/>
        <w:ind w:left="160"/>
        <w:spacing w:after="0" w:line="265" w:lineRule="auto"/>
        <w:rPr>
          <w:sz w:val="20"/>
          <w:szCs w:val="20"/>
          <w:color w:val="auto"/>
        </w:rPr>
      </w:pPr>
      <w:r>
        <w:rPr>
          <w:rFonts w:ascii="Arial" w:cs="Arial" w:eastAsia="Arial" w:hAnsi="Arial"/>
          <w:sz w:val="18"/>
          <w:szCs w:val="18"/>
          <w:b w:val="1"/>
          <w:bCs w:val="1"/>
          <w:color w:val="auto"/>
        </w:rPr>
        <w:t xml:space="preserve">Record Date: </w:t>
      </w:r>
      <w:r>
        <w:rPr>
          <w:rFonts w:ascii="Arial" w:cs="Arial" w:eastAsia="Arial" w:hAnsi="Arial"/>
          <w:sz w:val="18"/>
          <w:szCs w:val="18"/>
          <w:color w:val="auto"/>
        </w:rPr>
        <w:t>The Board of Directors has fixed the close of business on March 29, 2022 as the record date for determination of</w:t>
      </w:r>
      <w:r>
        <w:rPr>
          <w:rFonts w:ascii="Arial" w:cs="Arial" w:eastAsia="Arial" w:hAnsi="Arial"/>
          <w:sz w:val="18"/>
          <w:szCs w:val="18"/>
          <w:b w:val="1"/>
          <w:bCs w:val="1"/>
          <w:color w:val="auto"/>
        </w:rPr>
        <w:t xml:space="preserve"> </w:t>
      </w:r>
      <w:r>
        <w:rPr>
          <w:rFonts w:ascii="Arial" w:cs="Arial" w:eastAsia="Arial" w:hAnsi="Arial"/>
          <w:sz w:val="18"/>
          <w:szCs w:val="18"/>
          <w:color w:val="auto"/>
        </w:rPr>
        <w:t>stockholders entitled to notice of, and to vote at, the Annual Meeting (the “Record Date”).</w:t>
      </w:r>
    </w:p>
    <w:p>
      <w:pPr>
        <w:spacing w:after="0" w:line="152"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2B4772"/>
        </w:rPr>
        <w:t>Proxy Materials Are Available on the Internet</w:t>
      </w:r>
    </w:p>
    <w:p>
      <w:pPr>
        <w:spacing w:after="0" w:line="119" w:lineRule="exact"/>
        <w:rPr>
          <w:sz w:val="20"/>
          <w:szCs w:val="20"/>
          <w:color w:val="auto"/>
        </w:rPr>
      </w:pPr>
    </w:p>
    <w:p>
      <w:pPr>
        <w:jc w:val="both"/>
        <w:ind w:left="160"/>
        <w:spacing w:after="0" w:line="237" w:lineRule="auto"/>
        <w:rPr>
          <w:sz w:val="20"/>
          <w:szCs w:val="20"/>
          <w:color w:val="auto"/>
        </w:rPr>
      </w:pPr>
      <w:r>
        <w:rPr>
          <w:rFonts w:ascii="Arial" w:cs="Arial" w:eastAsia="Arial" w:hAnsi="Arial"/>
          <w:sz w:val="18"/>
          <w:szCs w:val="18"/>
          <w:color w:val="auto"/>
        </w:rPr>
        <w:t>In accordance with the rules of the U.S. Securities and Exchange Commission (the “SEC”), we are furnishing proxy materials to our stockholders primarily via the internet instead of mailing printed copies of those materials to each stockholder. Unless you elected to receive printed copies of our proxy materials in prior years, you will receive a Notice of Internet Availability of Proxy Materials (the “Internet Notice”) by mail, or if you so elected, by electronic mail. The Internet Notice will tell you how to access and review our proxy materials and how to vote your shares after you have reviewed our proxy materials. If you received the Internet Notice by mail and would like to receive a printed copy of our proxy materials, you should follow the instructions included in the Internet Notice. The Internet Notice is first being sent, and the proxy statement and form of proxy card relating to the Annual Meeting are first being made available, to stockholders on or about April 6, 2022.</w:t>
      </w:r>
    </w:p>
    <w:p>
      <w:pPr>
        <w:spacing w:after="0" w:line="77" w:lineRule="exact"/>
        <w:rPr>
          <w:sz w:val="20"/>
          <w:szCs w:val="20"/>
          <w:color w:val="auto"/>
        </w:rPr>
      </w:pPr>
    </w:p>
    <w:p>
      <w:pPr>
        <w:jc w:val="both"/>
        <w:ind w:left="160"/>
        <w:spacing w:after="0"/>
        <w:rPr>
          <w:sz w:val="20"/>
          <w:szCs w:val="20"/>
          <w:color w:val="auto"/>
        </w:rPr>
      </w:pPr>
      <w:r>
        <w:rPr>
          <w:rFonts w:ascii="Arial" w:cs="Arial" w:eastAsia="Arial" w:hAnsi="Arial"/>
          <w:sz w:val="18"/>
          <w:szCs w:val="18"/>
          <w:color w:val="auto"/>
        </w:rPr>
        <w:t xml:space="preserve">As </w:t>
      </w:r>
      <w:r>
        <w:rPr>
          <w:rFonts w:ascii="Arial" w:cs="Arial" w:eastAsia="Arial" w:hAnsi="Arial"/>
          <w:sz w:val="18"/>
          <w:szCs w:val="18"/>
          <w:b w:val="1"/>
          <w:bCs w:val="1"/>
          <w:color w:val="auto"/>
        </w:rPr>
        <w:t>onsemi</w:t>
      </w:r>
      <w:r>
        <w:rPr>
          <w:rFonts w:ascii="Arial" w:cs="Arial" w:eastAsia="Arial" w:hAnsi="Arial"/>
          <w:sz w:val="18"/>
          <w:szCs w:val="18"/>
          <w:color w:val="auto"/>
        </w:rPr>
        <w:t xml:space="preserve"> is committed to creating a cleaner, smarter world, we would like to emphasize that stockholders may elect to receive proxy materials, annual reports and other stockholder communications via electronic mail (“e-Delivery”). Not only is this a way to mitigate the natural resource consumption, paper waste and cost associated with the printing and mailing of such materials and the Internet Notice, but it also will allow stockholders to receive such items sooner than via regular mail. If you are interested in signing up for e-Delivery, please follow the instructions contained in the Internet Notice.</w:t>
      </w:r>
    </w:p>
    <w:p>
      <w:pPr>
        <w:spacing w:after="0" w:line="176"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2B4772"/>
        </w:rPr>
        <w:t>Voting Your Shares</w:t>
      </w:r>
    </w:p>
    <w:p>
      <w:pPr>
        <w:spacing w:after="0" w:line="119" w:lineRule="exact"/>
        <w:rPr>
          <w:sz w:val="20"/>
          <w:szCs w:val="20"/>
          <w:color w:val="auto"/>
        </w:rPr>
      </w:pPr>
    </w:p>
    <w:p>
      <w:pPr>
        <w:jc w:val="both"/>
        <w:ind w:left="160"/>
        <w:spacing w:after="0" w:line="265" w:lineRule="auto"/>
        <w:rPr>
          <w:sz w:val="20"/>
          <w:szCs w:val="20"/>
          <w:color w:val="auto"/>
        </w:rPr>
      </w:pPr>
      <w:r>
        <w:rPr>
          <w:rFonts w:ascii="Arial" w:cs="Arial" w:eastAsia="Arial" w:hAnsi="Arial"/>
          <w:sz w:val="18"/>
          <w:szCs w:val="18"/>
          <w:color w:val="auto"/>
        </w:rPr>
        <w:t>Whether or not you plan to attend the Annual Meeting, the Board encourages you to vote your shares as more fully described below and in the proxy card.</w:t>
      </w:r>
    </w:p>
    <w:p>
      <w:pPr>
        <w:spacing w:after="0" w:line="101" w:lineRule="exact"/>
        <w:rPr>
          <w:sz w:val="20"/>
          <w:szCs w:val="20"/>
          <w:color w:val="auto"/>
        </w:rPr>
      </w:pPr>
    </w:p>
    <w:p>
      <w:pPr>
        <w:jc w:val="right"/>
        <w:spacing w:after="0"/>
        <w:tabs>
          <w:tab w:leader="none" w:pos="60" w:val="left"/>
        </w:tabs>
        <w:rPr>
          <w:sz w:val="20"/>
          <w:szCs w:val="20"/>
          <w:color w:val="auto"/>
        </w:rPr>
      </w:pPr>
      <w:r>
        <w:rPr>
          <w:rFonts w:ascii="Arial" w:cs="Arial" w:eastAsia="Arial" w:hAnsi="Arial"/>
          <w:sz w:val="14"/>
          <w:szCs w:val="14"/>
          <w:color w:val="F75E14"/>
        </w:rPr>
        <w:t>onsemi 2022 Proxy Statement</w:t>
        <w:tab/>
        <w:t>1</w:t>
      </w:r>
    </w:p>
    <w:p>
      <w:pPr>
        <w:sectPr>
          <w:pgSz w:w="11900" w:h="16838" w:orient="portrait"/>
          <w:cols w:equalWidth="0" w:num="1">
            <w:col w:w="11080"/>
          </w:cols>
          <w:pgMar w:left="320" w:top="454" w:right="49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2" w:lineRule="exact"/>
        <w:rPr>
          <w:sz w:val="20"/>
          <w:szCs w:val="20"/>
          <w:color w:val="auto"/>
        </w:rPr>
      </w:pPr>
    </w:p>
    <w:p>
      <w:pPr>
        <w:ind w:left="160"/>
        <w:spacing w:after="0"/>
        <w:rPr>
          <w:sz w:val="20"/>
          <w:szCs w:val="20"/>
          <w:color w:val="auto"/>
        </w:rPr>
      </w:pPr>
      <w:r>
        <w:rPr>
          <w:rFonts w:ascii="Arial" w:cs="Arial" w:eastAsia="Arial" w:hAnsi="Arial"/>
          <w:sz w:val="18"/>
          <w:szCs w:val="18"/>
          <w:color w:val="F75E14"/>
        </w:rPr>
        <w:t>Proxy Statement</w:t>
      </w:r>
    </w:p>
    <w:p>
      <w:pPr>
        <w:spacing w:after="0" w:line="141" w:lineRule="exact"/>
        <w:rPr>
          <w:sz w:val="20"/>
          <w:szCs w:val="20"/>
          <w:color w:val="auto"/>
        </w:rPr>
      </w:pPr>
    </w:p>
    <w:p>
      <w:pPr>
        <w:ind w:left="160"/>
        <w:spacing w:after="0" w:line="265" w:lineRule="auto"/>
        <w:rPr>
          <w:sz w:val="20"/>
          <w:szCs w:val="20"/>
          <w:color w:val="auto"/>
        </w:rPr>
      </w:pPr>
      <w:r>
        <w:rPr>
          <w:rFonts w:ascii="Arial" w:cs="Arial" w:eastAsia="Arial" w:hAnsi="Arial"/>
          <w:sz w:val="18"/>
          <w:szCs w:val="18"/>
          <w:color w:val="auto"/>
        </w:rPr>
        <w:t>If you are the “record holder” of your shares, meaning that you hold the shares in your own name and not through a bank or brokerage firm (each, a “Broker”), you may vote in one of the following four ways: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5303520</wp:posOffset>
            </wp:positionH>
            <wp:positionV relativeFrom="paragraph">
              <wp:posOffset>129540</wp:posOffset>
            </wp:positionV>
            <wp:extent cx="8255" cy="18599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255" cy="1859915"/>
                    </a:xfrm>
                    <a:prstGeom prst="rect">
                      <a:avLst/>
                    </a:prstGeom>
                    <a:noFill/>
                  </pic:spPr>
                </pic:pic>
              </a:graphicData>
            </a:graphic>
          </wp:anchor>
        </w:drawing>
        <w:drawing>
          <wp:anchor simplePos="0" relativeHeight="251657728" behindDoc="1" locked="0" layoutInCell="0" allowOverlap="1">
            <wp:simplePos x="0" y="0"/>
            <wp:positionH relativeFrom="column">
              <wp:posOffset>3503295</wp:posOffset>
            </wp:positionH>
            <wp:positionV relativeFrom="paragraph">
              <wp:posOffset>129540</wp:posOffset>
            </wp:positionV>
            <wp:extent cx="8255" cy="18599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255" cy="1859915"/>
                    </a:xfrm>
                    <a:prstGeom prst="rect">
                      <a:avLst/>
                    </a:prstGeom>
                    <a:noFill/>
                  </pic:spPr>
                </pic:pic>
              </a:graphicData>
            </a:graphic>
          </wp:anchor>
        </w:drawing>
        <w:drawing>
          <wp:anchor simplePos="0" relativeHeight="251657728" behindDoc="1" locked="0" layoutInCell="0" allowOverlap="1">
            <wp:simplePos x="0" y="0"/>
            <wp:positionH relativeFrom="column">
              <wp:posOffset>1677670</wp:posOffset>
            </wp:positionH>
            <wp:positionV relativeFrom="paragraph">
              <wp:posOffset>129540</wp:posOffset>
            </wp:positionV>
            <wp:extent cx="8255" cy="18599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255" cy="1859915"/>
                    </a:xfrm>
                    <a:prstGeom prst="rect">
                      <a:avLst/>
                    </a:prstGeom>
                    <a:noFill/>
                  </pic:spPr>
                </pic:pic>
              </a:graphicData>
            </a:graphic>
          </wp:anchor>
        </w:drawing>
        <w:drawing>
          <wp:anchor simplePos="0" relativeHeight="251657728" behindDoc="1" locked="0" layoutInCell="0" allowOverlap="1">
            <wp:simplePos x="0" y="0"/>
            <wp:positionH relativeFrom="column">
              <wp:posOffset>683895</wp:posOffset>
            </wp:positionH>
            <wp:positionV relativeFrom="paragraph">
              <wp:posOffset>299085</wp:posOffset>
            </wp:positionV>
            <wp:extent cx="347980" cy="3479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7980" cy="347980"/>
                    </a:xfrm>
                    <a:prstGeom prst="rect">
                      <a:avLst/>
                    </a:prstGeom>
                    <a:noFill/>
                  </pic:spPr>
                </pic:pic>
              </a:graphicData>
            </a:graphic>
          </wp:anchor>
        </w:drawing>
        <w:drawing>
          <wp:anchor simplePos="0" relativeHeight="251657728" behindDoc="1" locked="0" layoutInCell="0" allowOverlap="1">
            <wp:simplePos x="0" y="0"/>
            <wp:positionH relativeFrom="column">
              <wp:posOffset>2441575</wp:posOffset>
            </wp:positionH>
            <wp:positionV relativeFrom="paragraph">
              <wp:posOffset>299085</wp:posOffset>
            </wp:positionV>
            <wp:extent cx="356870" cy="3479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56870" cy="347980"/>
                    </a:xfrm>
                    <a:prstGeom prst="rect">
                      <a:avLst/>
                    </a:prstGeom>
                    <a:noFill/>
                  </pic:spPr>
                </pic:pic>
              </a:graphicData>
            </a:graphic>
          </wp:anchor>
        </w:drawing>
        <w:drawing>
          <wp:anchor simplePos="0" relativeHeight="251657728" behindDoc="1" locked="0" layoutInCell="0" allowOverlap="1">
            <wp:simplePos x="0" y="0"/>
            <wp:positionH relativeFrom="column">
              <wp:posOffset>4258945</wp:posOffset>
            </wp:positionH>
            <wp:positionV relativeFrom="paragraph">
              <wp:posOffset>281940</wp:posOffset>
            </wp:positionV>
            <wp:extent cx="365125" cy="3651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65125" cy="365125"/>
                    </a:xfrm>
                    <a:prstGeom prst="rect">
                      <a:avLst/>
                    </a:prstGeom>
                    <a:noFill/>
                  </pic:spPr>
                </pic:pic>
              </a:graphicData>
            </a:graphic>
          </wp:anchor>
        </w:drawing>
        <w:drawing>
          <wp:anchor simplePos="0" relativeHeight="251657728" behindDoc="1" locked="0" layoutInCell="0" allowOverlap="1">
            <wp:simplePos x="0" y="0"/>
            <wp:positionH relativeFrom="column">
              <wp:posOffset>6059805</wp:posOffset>
            </wp:positionH>
            <wp:positionV relativeFrom="paragraph">
              <wp:posOffset>281940</wp:posOffset>
            </wp:positionV>
            <wp:extent cx="365125" cy="3651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65125" cy="365125"/>
                    </a:xfrm>
                    <a:prstGeom prst="rect">
                      <a:avLst/>
                    </a:prstGeom>
                    <a:noFill/>
                  </pic:spPr>
                </pic:pic>
              </a:graphicData>
            </a:graphic>
          </wp:anchor>
        </w:drawing>
      </w:r>
    </w:p>
    <w:p>
      <w:pPr>
        <w:sectPr>
          <w:pgSz w:w="11900" w:h="16838" w:orient="portrait"/>
          <w:cols w:equalWidth="0" w:num="1">
            <w:col w:w="11080"/>
          </w:cols>
          <w:pgMar w:left="320" w:top="454"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Vote by internet.</w:t>
      </w:r>
    </w:p>
    <w:p>
      <w:pPr>
        <w:spacing w:after="0" w:line="127" w:lineRule="exact"/>
        <w:rPr>
          <w:sz w:val="20"/>
          <w:szCs w:val="20"/>
          <w:color w:val="auto"/>
        </w:rPr>
      </w:pPr>
    </w:p>
    <w:p>
      <w:pPr>
        <w:ind w:left="160"/>
        <w:spacing w:after="0" w:line="258" w:lineRule="auto"/>
        <w:rPr>
          <w:sz w:val="20"/>
          <w:szCs w:val="20"/>
          <w:color w:val="auto"/>
        </w:rPr>
      </w:pPr>
      <w:r>
        <w:rPr>
          <w:rFonts w:ascii="Arial" w:cs="Arial" w:eastAsia="Arial" w:hAnsi="Arial"/>
          <w:sz w:val="17"/>
          <w:szCs w:val="17"/>
          <w:color w:val="auto"/>
        </w:rPr>
        <w:t>The website address for internet voting is on your proxy card and in the Internet Notice. Internet voting is available 24 hours a day.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480"/>
        <w:spacing w:after="0"/>
        <w:rPr>
          <w:sz w:val="20"/>
          <w:szCs w:val="20"/>
          <w:color w:val="auto"/>
        </w:rPr>
      </w:pPr>
      <w:r>
        <w:rPr>
          <w:rFonts w:ascii="Arial" w:cs="Arial" w:eastAsia="Arial" w:hAnsi="Arial"/>
          <w:sz w:val="18"/>
          <w:szCs w:val="18"/>
          <w:b w:val="1"/>
          <w:bCs w:val="1"/>
          <w:color w:val="auto"/>
        </w:rPr>
        <w:t>Vote by telephone.</w:t>
      </w:r>
    </w:p>
    <w:p>
      <w:pPr>
        <w:spacing w:after="0" w:line="127" w:lineRule="exact"/>
        <w:rPr>
          <w:sz w:val="20"/>
          <w:szCs w:val="20"/>
          <w:color w:val="auto"/>
        </w:rPr>
      </w:pPr>
    </w:p>
    <w:p>
      <w:pPr>
        <w:spacing w:after="0" w:line="258" w:lineRule="auto"/>
        <w:rPr>
          <w:sz w:val="20"/>
          <w:szCs w:val="20"/>
          <w:color w:val="auto"/>
        </w:rPr>
      </w:pPr>
      <w:r>
        <w:rPr>
          <w:rFonts w:ascii="Arial" w:cs="Arial" w:eastAsia="Arial" w:hAnsi="Arial"/>
          <w:sz w:val="17"/>
          <w:szCs w:val="17"/>
          <w:color w:val="auto"/>
        </w:rPr>
        <w:t>The toll-free number for telephone voting is on your proxy card and in the Internet Notice. Telephone voting is available 24 hours a day.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720"/>
        <w:spacing w:after="0"/>
        <w:rPr>
          <w:sz w:val="20"/>
          <w:szCs w:val="20"/>
          <w:color w:val="auto"/>
        </w:rPr>
      </w:pPr>
      <w:r>
        <w:rPr>
          <w:rFonts w:ascii="Arial" w:cs="Arial" w:eastAsia="Arial" w:hAnsi="Arial"/>
          <w:sz w:val="18"/>
          <w:szCs w:val="18"/>
          <w:b w:val="1"/>
          <w:bCs w:val="1"/>
          <w:color w:val="auto"/>
        </w:rPr>
        <w:t>Vote by mail.</w:t>
      </w:r>
    </w:p>
    <w:p>
      <w:pPr>
        <w:spacing w:after="0" w:line="127"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Mark, date, sign and promptly mail the proxy card. If you are receiving our proxy materials and proxy card by mail, you will also receive a postage-paid envelope for mailing in the United States.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20"/>
        <w:spacing w:after="0"/>
        <w:rPr>
          <w:sz w:val="20"/>
          <w:szCs w:val="20"/>
          <w:color w:val="auto"/>
        </w:rPr>
      </w:pPr>
      <w:r>
        <w:rPr>
          <w:rFonts w:ascii="Arial" w:cs="Arial" w:eastAsia="Arial" w:hAnsi="Arial"/>
          <w:sz w:val="18"/>
          <w:szCs w:val="18"/>
          <w:b w:val="1"/>
          <w:bCs w:val="1"/>
          <w:color w:val="auto"/>
        </w:rPr>
        <w:t>Vote in person.</w:t>
      </w:r>
    </w:p>
    <w:p>
      <w:pPr>
        <w:spacing w:after="0" w:line="127" w:lineRule="exact"/>
        <w:rPr>
          <w:sz w:val="20"/>
          <w:szCs w:val="20"/>
          <w:color w:val="auto"/>
        </w:rPr>
      </w:pPr>
    </w:p>
    <w:p>
      <w:pPr>
        <w:ind w:right="160"/>
        <w:spacing w:after="0" w:line="243" w:lineRule="auto"/>
        <w:rPr>
          <w:sz w:val="20"/>
          <w:szCs w:val="20"/>
          <w:color w:val="auto"/>
        </w:rPr>
      </w:pPr>
      <w:r>
        <w:rPr>
          <w:rFonts w:ascii="Arial" w:cs="Arial" w:eastAsia="Arial" w:hAnsi="Arial"/>
          <w:sz w:val="18"/>
          <w:szCs w:val="18"/>
          <w:color w:val="auto"/>
        </w:rPr>
        <w:t>You may vote in person if you or your validly designated proxy attend the Annual Meeting.</w:t>
      </w:r>
    </w:p>
    <w:p>
      <w:pPr>
        <w:spacing w:after="0" w:line="798" w:lineRule="exact"/>
        <w:rPr>
          <w:sz w:val="20"/>
          <w:szCs w:val="20"/>
          <w:color w:val="auto"/>
        </w:rPr>
      </w:pPr>
    </w:p>
    <w:p>
      <w:pPr>
        <w:sectPr>
          <w:pgSz w:w="11900" w:h="16838" w:orient="portrait"/>
          <w:cols w:equalWidth="0" w:num="4">
            <w:col w:w="2480" w:space="380"/>
            <w:col w:w="2320" w:space="560"/>
            <w:col w:w="2480" w:space="360"/>
            <w:col w:w="2500"/>
          </w:cols>
          <w:pgMar w:left="320" w:top="454" w:right="499" w:bottom="1440" w:gutter="0" w:footer="0" w:header="0"/>
          <w:type w:val="continuous"/>
        </w:sectPr>
      </w:pPr>
    </w:p>
    <w:p>
      <w:pPr>
        <w:spacing w:after="0" w:line="236" w:lineRule="exact"/>
        <w:rPr>
          <w:sz w:val="20"/>
          <w:szCs w:val="20"/>
          <w:color w:val="auto"/>
        </w:rPr>
      </w:pPr>
    </w:p>
    <w:p>
      <w:pPr>
        <w:jc w:val="both"/>
        <w:ind w:left="160"/>
        <w:spacing w:after="0" w:line="265" w:lineRule="auto"/>
        <w:rPr>
          <w:sz w:val="20"/>
          <w:szCs w:val="20"/>
          <w:color w:val="auto"/>
        </w:rPr>
      </w:pPr>
      <w:r>
        <w:rPr>
          <w:rFonts w:ascii="Arial" w:cs="Arial" w:eastAsia="Arial" w:hAnsi="Arial"/>
          <w:sz w:val="18"/>
          <w:szCs w:val="18"/>
          <w:color w:val="auto"/>
        </w:rPr>
        <w:t>If the shares you own are held in “street name” by a Broker, then your Broker, as the record owner, will vote your shares according to your instructions. You will need to follow the directions your Broker provides you. Each share held by you is entitled to one vote.</w:t>
      </w:r>
    </w:p>
    <w:p>
      <w:pPr>
        <w:spacing w:after="0" w:line="152"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2B4772"/>
        </w:rPr>
        <w:t>Proof of Ownership Required for Attending Meeting in Person</w:t>
      </w:r>
    </w:p>
    <w:p>
      <w:pPr>
        <w:spacing w:after="0" w:line="119" w:lineRule="exact"/>
        <w:rPr>
          <w:sz w:val="20"/>
          <w:szCs w:val="20"/>
          <w:color w:val="auto"/>
        </w:rPr>
      </w:pPr>
    </w:p>
    <w:p>
      <w:pPr>
        <w:jc w:val="both"/>
        <w:ind w:left="160"/>
        <w:spacing w:after="0" w:line="254" w:lineRule="auto"/>
        <w:rPr>
          <w:sz w:val="20"/>
          <w:szCs w:val="20"/>
          <w:color w:val="auto"/>
        </w:rPr>
      </w:pPr>
      <w:r>
        <w:rPr>
          <w:rFonts w:ascii="Arial" w:cs="Arial" w:eastAsia="Arial" w:hAnsi="Arial"/>
          <w:sz w:val="18"/>
          <w:szCs w:val="18"/>
          <w:color w:val="auto"/>
        </w:rPr>
        <w:t xml:space="preserve">You are entitled to attend the Annual Meeting only if you were a stockholder as of the close of business on the Record Date or hold a valid proxy for the Annual Meeting. To be admitted to the Annual Meeting, we may, in our sole discretion, require you to present any one or more of the following documents as proof of ownership of </w:t>
      </w:r>
      <w:r>
        <w:rPr>
          <w:rFonts w:ascii="Arial" w:cs="Arial" w:eastAsia="Arial" w:hAnsi="Arial"/>
          <w:sz w:val="18"/>
          <w:szCs w:val="18"/>
          <w:b w:val="1"/>
          <w:bCs w:val="1"/>
          <w:color w:val="auto"/>
        </w:rPr>
        <w:t>onsemi</w:t>
      </w:r>
      <w:r>
        <w:rPr>
          <w:rFonts w:ascii="Arial" w:cs="Arial" w:eastAsia="Arial" w:hAnsi="Arial"/>
          <w:sz w:val="18"/>
          <w:szCs w:val="18"/>
          <w:color w:val="auto"/>
        </w:rPr>
        <w:t xml:space="preserve"> stock on the Record Date and authority to vote the shares:</w:t>
      </w:r>
    </w:p>
    <w:p>
      <w:pPr>
        <w:spacing w:after="0" w:line="185" w:lineRule="exact"/>
        <w:rPr>
          <w:sz w:val="20"/>
          <w:szCs w:val="20"/>
          <w:color w:val="auto"/>
        </w:rPr>
      </w:pPr>
    </w:p>
    <w:p>
      <w:pPr>
        <w:ind w:left="1020" w:hanging="425"/>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brokerage statement or letter from a Broker indicating ownership on the Record Date;</w:t>
      </w:r>
    </w:p>
    <w:p>
      <w:pPr>
        <w:spacing w:after="0" w:line="11" w:lineRule="exact"/>
        <w:rPr>
          <w:rFonts w:ascii="Arial" w:cs="Arial" w:eastAsia="Arial" w:hAnsi="Arial"/>
          <w:sz w:val="18"/>
          <w:szCs w:val="18"/>
          <w:color w:val="auto"/>
        </w:rPr>
      </w:pPr>
    </w:p>
    <w:p>
      <w:pPr>
        <w:ind w:left="1020" w:hanging="425"/>
        <w:spacing w:after="0" w:line="232"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Internet Notice;</w:t>
      </w:r>
    </w:p>
    <w:p>
      <w:pPr>
        <w:ind w:left="1020" w:hanging="425"/>
        <w:spacing w:after="0" w:line="232"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printout of the proxy distribution email (if you received your materials electronically);</w:t>
      </w:r>
    </w:p>
    <w:p>
      <w:pPr>
        <w:ind w:left="1020" w:hanging="425"/>
        <w:spacing w:after="0" w:line="232"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proxy card;</w:t>
      </w:r>
    </w:p>
    <w:p>
      <w:pPr>
        <w:ind w:left="1020" w:hanging="425"/>
        <w:spacing w:after="0" w:line="232"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legal proxy provided by your Broker or nominee; and/or</w:t>
      </w:r>
    </w:p>
    <w:p>
      <w:pPr>
        <w:ind w:left="1020" w:hanging="425"/>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form of photo identification, such as a driver’s license.</w:t>
      </w:r>
    </w:p>
    <w:p>
      <w:pPr>
        <w:spacing w:after="0" w:line="190" w:lineRule="exact"/>
        <w:rPr>
          <w:sz w:val="20"/>
          <w:szCs w:val="20"/>
          <w:color w:val="auto"/>
        </w:rPr>
      </w:pPr>
    </w:p>
    <w:p>
      <w:pPr>
        <w:ind w:left="160"/>
        <w:spacing w:after="0"/>
        <w:rPr>
          <w:sz w:val="20"/>
          <w:szCs w:val="20"/>
          <w:color w:val="auto"/>
        </w:rPr>
      </w:pPr>
      <w:r>
        <w:rPr>
          <w:rFonts w:ascii="Arial" w:cs="Arial" w:eastAsia="Arial" w:hAnsi="Arial"/>
          <w:sz w:val="18"/>
          <w:szCs w:val="18"/>
          <w:color w:val="auto"/>
        </w:rPr>
        <w:t>We reserve the right not to admit anyone who refuses to provide the applicable documents set forth above.</w:t>
      </w:r>
    </w:p>
    <w:p>
      <w:pPr>
        <w:spacing w:after="0" w:line="202"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2B4772"/>
        </w:rPr>
        <w:t>Proposals and Board Recommendations</w:t>
      </w:r>
    </w:p>
    <w:p>
      <w:pPr>
        <w:spacing w:after="0" w:line="11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All shares represented by valid proxies will be voted as specified. If no specification is made, the proxies will be voted according to the</w:t>
      </w:r>
    </w:p>
    <w:p>
      <w:pPr>
        <w:spacing w:after="0" w:line="12" w:lineRule="exact"/>
        <w:rPr>
          <w:sz w:val="20"/>
          <w:szCs w:val="20"/>
          <w:color w:val="auto"/>
        </w:rPr>
      </w:pPr>
    </w:p>
    <w:p>
      <w:pPr>
        <w:ind w:left="160"/>
        <w:spacing w:after="0"/>
        <w:rPr>
          <w:sz w:val="20"/>
          <w:szCs w:val="20"/>
          <w:color w:val="auto"/>
        </w:rPr>
      </w:pPr>
      <w:r>
        <w:rPr>
          <w:rFonts w:ascii="Arial" w:cs="Arial" w:eastAsia="Arial" w:hAnsi="Arial"/>
          <w:sz w:val="18"/>
          <w:szCs w:val="18"/>
          <w:color w:val="auto"/>
        </w:rPr>
        <w:t>Board’s recommendations below:</w:t>
      </w:r>
    </w:p>
    <w:p>
      <w:pPr>
        <w:spacing w:after="0" w:line="235" w:lineRule="exact"/>
        <w:rPr>
          <w:sz w:val="20"/>
          <w:szCs w:val="20"/>
          <w:color w:val="auto"/>
        </w:rPr>
      </w:pPr>
    </w:p>
    <w:tbl>
      <w:tblPr>
        <w:tblLayout w:type="fixed"/>
        <w:tblInd w:w="160" w:type="dxa"/>
        <w:tblCellMar>
          <w:top w:w="0" w:type="dxa"/>
          <w:left w:w="0" w:type="dxa"/>
          <w:bottom w:w="0" w:type="dxa"/>
          <w:right w:w="0" w:type="dxa"/>
        </w:tblCellMar>
      </w:tblPr>
      <w:tr>
        <w:trPr>
          <w:trHeight w:val="218"/>
        </w:trPr>
        <w:tc>
          <w:tcPr>
            <w:tcW w:w="560" w:type="dxa"/>
            <w:vAlign w:val="bottom"/>
            <w:shd w:val="clear" w:color="auto" w:fill="F75E14"/>
          </w:tcPr>
          <w:p>
            <w:pPr>
              <w:spacing w:after="0"/>
              <w:rPr>
                <w:sz w:val="18"/>
                <w:szCs w:val="18"/>
                <w:color w:val="auto"/>
              </w:rPr>
            </w:pPr>
          </w:p>
        </w:tc>
        <w:tc>
          <w:tcPr>
            <w:tcW w:w="8840" w:type="dxa"/>
            <w:vAlign w:val="bottom"/>
            <w:shd w:val="clear" w:color="auto" w:fill="F75E14"/>
          </w:tcPr>
          <w:p>
            <w:pPr>
              <w:spacing w:after="0"/>
              <w:rPr>
                <w:sz w:val="18"/>
                <w:szCs w:val="18"/>
                <w:color w:val="auto"/>
              </w:rPr>
            </w:pPr>
          </w:p>
        </w:tc>
        <w:tc>
          <w:tcPr>
            <w:tcW w:w="1520" w:type="dxa"/>
            <w:vAlign w:val="bottom"/>
            <w:shd w:val="clear" w:color="auto" w:fill="F75E14"/>
          </w:tcPr>
          <w:p>
            <w:pPr>
              <w:jc w:val="center"/>
              <w:spacing w:after="0"/>
              <w:rPr>
                <w:sz w:val="20"/>
                <w:szCs w:val="20"/>
                <w:color w:val="auto"/>
              </w:rPr>
            </w:pPr>
            <w:r>
              <w:rPr>
                <w:rFonts w:ascii="Arial" w:cs="Arial" w:eastAsia="Arial" w:hAnsi="Arial"/>
                <w:sz w:val="14"/>
                <w:szCs w:val="14"/>
                <w:b w:val="1"/>
                <w:bCs w:val="1"/>
                <w:color w:val="FFFFFF"/>
                <w:w w:val="98"/>
              </w:rPr>
              <w:t>Board</w:t>
            </w:r>
          </w:p>
        </w:tc>
      </w:tr>
      <w:tr>
        <w:trPr>
          <w:trHeight w:val="230"/>
        </w:trPr>
        <w:tc>
          <w:tcPr>
            <w:tcW w:w="560" w:type="dxa"/>
            <w:vAlign w:val="bottom"/>
            <w:tcBorders>
              <w:bottom w:val="single" w:sz="8" w:color="F75E14"/>
            </w:tcBorders>
            <w:shd w:val="clear" w:color="auto" w:fill="F75E14"/>
          </w:tcPr>
          <w:p>
            <w:pPr>
              <w:spacing w:after="0"/>
              <w:rPr>
                <w:sz w:val="20"/>
                <w:szCs w:val="20"/>
                <w:color w:val="auto"/>
              </w:rPr>
            </w:pPr>
          </w:p>
        </w:tc>
        <w:tc>
          <w:tcPr>
            <w:tcW w:w="8840" w:type="dxa"/>
            <w:vAlign w:val="bottom"/>
            <w:tcBorders>
              <w:bottom w:val="single" w:sz="8" w:color="F75E14"/>
            </w:tcBorders>
            <w:shd w:val="clear" w:color="auto" w:fill="F75E14"/>
          </w:tcPr>
          <w:p>
            <w:pPr>
              <w:ind w:left="4140"/>
              <w:spacing w:after="0"/>
              <w:rPr>
                <w:sz w:val="20"/>
                <w:szCs w:val="20"/>
                <w:color w:val="auto"/>
              </w:rPr>
            </w:pPr>
            <w:r>
              <w:rPr>
                <w:rFonts w:ascii="Arial" w:cs="Arial" w:eastAsia="Arial" w:hAnsi="Arial"/>
                <w:sz w:val="14"/>
                <w:szCs w:val="14"/>
                <w:b w:val="1"/>
                <w:bCs w:val="1"/>
                <w:color w:val="FFFFFF"/>
              </w:rPr>
              <w:t>Proposal</w:t>
            </w:r>
          </w:p>
        </w:tc>
        <w:tc>
          <w:tcPr>
            <w:tcW w:w="1520" w:type="dxa"/>
            <w:vAlign w:val="bottom"/>
            <w:tcBorders>
              <w:bottom w:val="single" w:sz="8" w:color="F75E14"/>
            </w:tcBorders>
            <w:shd w:val="clear" w:color="auto" w:fill="F75E14"/>
          </w:tcPr>
          <w:p>
            <w:pPr>
              <w:jc w:val="center"/>
              <w:spacing w:after="0"/>
              <w:rPr>
                <w:sz w:val="20"/>
                <w:szCs w:val="20"/>
                <w:color w:val="auto"/>
              </w:rPr>
            </w:pPr>
            <w:r>
              <w:rPr>
                <w:rFonts w:ascii="Arial" w:cs="Arial" w:eastAsia="Arial" w:hAnsi="Arial"/>
                <w:sz w:val="14"/>
                <w:szCs w:val="14"/>
                <w:b w:val="1"/>
                <w:bCs w:val="1"/>
                <w:color w:val="FFFFFF"/>
              </w:rPr>
              <w:t>Recommendation</w:t>
            </w:r>
          </w:p>
        </w:tc>
      </w:tr>
      <w:tr>
        <w:trPr>
          <w:trHeight w:val="240"/>
        </w:trPr>
        <w:tc>
          <w:tcPr>
            <w:tcW w:w="560" w:type="dxa"/>
            <w:vAlign w:val="bottom"/>
            <w:shd w:val="clear" w:color="auto" w:fill="D8E8EF"/>
          </w:tcPr>
          <w:p>
            <w:pPr>
              <w:jc w:val="right"/>
              <w:ind w:right="240"/>
              <w:spacing w:after="0"/>
              <w:rPr>
                <w:sz w:val="20"/>
                <w:szCs w:val="20"/>
                <w:color w:val="auto"/>
              </w:rPr>
            </w:pPr>
            <w:r>
              <w:rPr>
                <w:rFonts w:ascii="Arial" w:cs="Arial" w:eastAsia="Arial" w:hAnsi="Arial"/>
                <w:sz w:val="16"/>
                <w:szCs w:val="16"/>
                <w:color w:val="auto"/>
              </w:rPr>
              <w:t>1.</w:t>
            </w:r>
          </w:p>
        </w:tc>
        <w:tc>
          <w:tcPr>
            <w:tcW w:w="8840" w:type="dxa"/>
            <w:vAlign w:val="bottom"/>
            <w:shd w:val="clear" w:color="auto" w:fill="D8E8EF"/>
          </w:tcPr>
          <w:p>
            <w:pPr>
              <w:ind w:left="120"/>
              <w:spacing w:after="0"/>
              <w:rPr>
                <w:sz w:val="20"/>
                <w:szCs w:val="20"/>
                <w:color w:val="auto"/>
              </w:rPr>
            </w:pPr>
            <w:r>
              <w:rPr>
                <w:rFonts w:ascii="Arial" w:cs="Arial" w:eastAsia="Arial" w:hAnsi="Arial"/>
                <w:sz w:val="16"/>
                <w:szCs w:val="16"/>
                <w:color w:val="auto"/>
              </w:rPr>
              <w:t>Election of ten directors of the Company, each for a one-year term expiring at the 2023 Annual Meeting of Stockholders</w:t>
            </w:r>
          </w:p>
        </w:tc>
        <w:tc>
          <w:tcPr>
            <w:tcW w:w="1520" w:type="dxa"/>
            <w:vAlign w:val="bottom"/>
            <w:shd w:val="clear" w:color="auto" w:fill="D8E8EF"/>
          </w:tcPr>
          <w:p>
            <w:pPr>
              <w:jc w:val="center"/>
              <w:spacing w:after="0"/>
              <w:rPr>
                <w:sz w:val="20"/>
                <w:szCs w:val="20"/>
                <w:color w:val="auto"/>
              </w:rPr>
            </w:pPr>
            <w:r>
              <w:rPr>
                <w:rFonts w:ascii="Arial" w:cs="Arial" w:eastAsia="Arial" w:hAnsi="Arial"/>
                <w:sz w:val="16"/>
                <w:szCs w:val="16"/>
                <w:color w:val="auto"/>
              </w:rPr>
              <w:t>FOR</w:t>
            </w:r>
          </w:p>
        </w:tc>
      </w:tr>
      <w:tr>
        <w:trPr>
          <w:trHeight w:val="248"/>
        </w:trPr>
        <w:tc>
          <w:tcPr>
            <w:tcW w:w="560" w:type="dxa"/>
            <w:vAlign w:val="bottom"/>
            <w:tcBorders>
              <w:bottom w:val="single" w:sz="8" w:color="D8E8EF"/>
            </w:tcBorders>
            <w:shd w:val="clear" w:color="auto" w:fill="D8E8EF"/>
          </w:tcPr>
          <w:p>
            <w:pPr>
              <w:spacing w:after="0"/>
              <w:rPr>
                <w:sz w:val="21"/>
                <w:szCs w:val="21"/>
                <w:color w:val="auto"/>
              </w:rPr>
            </w:pPr>
          </w:p>
        </w:tc>
        <w:tc>
          <w:tcPr>
            <w:tcW w:w="8840" w:type="dxa"/>
            <w:vAlign w:val="bottom"/>
            <w:tcBorders>
              <w:bottom w:val="single" w:sz="8" w:color="D8E8EF"/>
            </w:tcBorders>
            <w:shd w:val="clear" w:color="auto" w:fill="D8E8EF"/>
          </w:tcPr>
          <w:p>
            <w:pPr>
              <w:ind w:left="120"/>
              <w:spacing w:after="0"/>
              <w:rPr>
                <w:sz w:val="20"/>
                <w:szCs w:val="20"/>
                <w:color w:val="auto"/>
              </w:rPr>
            </w:pPr>
            <w:r>
              <w:rPr>
                <w:rFonts w:ascii="Arial" w:cs="Arial" w:eastAsia="Arial" w:hAnsi="Arial"/>
                <w:sz w:val="16"/>
                <w:szCs w:val="16"/>
                <w:color w:val="auto"/>
              </w:rPr>
              <w:t>and until their successors are duly elected and qualified, or until the earlier time of their death, resignation or removal</w:t>
            </w:r>
          </w:p>
        </w:tc>
        <w:tc>
          <w:tcPr>
            <w:tcW w:w="1520" w:type="dxa"/>
            <w:vAlign w:val="bottom"/>
            <w:tcBorders>
              <w:bottom w:val="single" w:sz="8" w:color="D8E8EF"/>
            </w:tcBorders>
            <w:shd w:val="clear" w:color="auto" w:fill="D8E8EF"/>
          </w:tcPr>
          <w:p>
            <w:pPr>
              <w:spacing w:after="0"/>
              <w:rPr>
                <w:sz w:val="21"/>
                <w:szCs w:val="21"/>
                <w:color w:val="auto"/>
              </w:rPr>
            </w:pPr>
          </w:p>
        </w:tc>
      </w:tr>
      <w:tr>
        <w:trPr>
          <w:trHeight w:val="264"/>
        </w:trPr>
        <w:tc>
          <w:tcPr>
            <w:tcW w:w="560" w:type="dxa"/>
            <w:vAlign w:val="bottom"/>
          </w:tcPr>
          <w:p>
            <w:pPr>
              <w:jc w:val="right"/>
              <w:ind w:right="240"/>
              <w:spacing w:after="0"/>
              <w:rPr>
                <w:sz w:val="20"/>
                <w:szCs w:val="20"/>
                <w:color w:val="auto"/>
              </w:rPr>
            </w:pPr>
            <w:r>
              <w:rPr>
                <w:rFonts w:ascii="Arial" w:cs="Arial" w:eastAsia="Arial" w:hAnsi="Arial"/>
                <w:sz w:val="16"/>
                <w:szCs w:val="16"/>
                <w:color w:val="auto"/>
              </w:rPr>
              <w:t>2.</w:t>
            </w:r>
          </w:p>
        </w:tc>
        <w:tc>
          <w:tcPr>
            <w:tcW w:w="8840" w:type="dxa"/>
            <w:vAlign w:val="bottom"/>
          </w:tcPr>
          <w:p>
            <w:pPr>
              <w:ind w:left="120"/>
              <w:spacing w:after="0"/>
              <w:rPr>
                <w:sz w:val="20"/>
                <w:szCs w:val="20"/>
                <w:color w:val="auto"/>
              </w:rPr>
            </w:pPr>
            <w:r>
              <w:rPr>
                <w:rFonts w:ascii="Arial" w:cs="Arial" w:eastAsia="Arial" w:hAnsi="Arial"/>
                <w:sz w:val="16"/>
                <w:szCs w:val="16"/>
                <w:color w:val="auto"/>
              </w:rPr>
              <w:t>Advisory (non-binding) resolution to approve the compensation of our named executive officers</w:t>
            </w:r>
          </w:p>
        </w:tc>
        <w:tc>
          <w:tcPr>
            <w:tcW w:w="1520" w:type="dxa"/>
            <w:vAlign w:val="bottom"/>
          </w:tcPr>
          <w:p>
            <w:pPr>
              <w:jc w:val="center"/>
              <w:spacing w:after="0"/>
              <w:rPr>
                <w:sz w:val="20"/>
                <w:szCs w:val="20"/>
                <w:color w:val="auto"/>
              </w:rPr>
            </w:pPr>
            <w:r>
              <w:rPr>
                <w:rFonts w:ascii="Arial" w:cs="Arial" w:eastAsia="Arial" w:hAnsi="Arial"/>
                <w:sz w:val="16"/>
                <w:szCs w:val="16"/>
                <w:color w:val="auto"/>
              </w:rPr>
              <w:t>FOR</w:t>
            </w:r>
          </w:p>
        </w:tc>
      </w:tr>
      <w:tr>
        <w:trPr>
          <w:trHeight w:val="57"/>
        </w:trPr>
        <w:tc>
          <w:tcPr>
            <w:tcW w:w="560" w:type="dxa"/>
            <w:vAlign w:val="bottom"/>
          </w:tcPr>
          <w:p>
            <w:pPr>
              <w:spacing w:after="0"/>
              <w:rPr>
                <w:sz w:val="4"/>
                <w:szCs w:val="4"/>
                <w:color w:val="auto"/>
              </w:rPr>
            </w:pPr>
          </w:p>
        </w:tc>
        <w:tc>
          <w:tcPr>
            <w:tcW w:w="8840" w:type="dxa"/>
            <w:vAlign w:val="bottom"/>
          </w:tcPr>
          <w:p>
            <w:pPr>
              <w:spacing w:after="0"/>
              <w:rPr>
                <w:sz w:val="4"/>
                <w:szCs w:val="4"/>
                <w:color w:val="auto"/>
              </w:rPr>
            </w:pPr>
          </w:p>
        </w:tc>
        <w:tc>
          <w:tcPr>
            <w:tcW w:w="1520" w:type="dxa"/>
            <w:vAlign w:val="bottom"/>
          </w:tcPr>
          <w:p>
            <w:pPr>
              <w:spacing w:after="0"/>
              <w:rPr>
                <w:sz w:val="4"/>
                <w:szCs w:val="4"/>
                <w:color w:val="auto"/>
              </w:rPr>
            </w:pPr>
          </w:p>
        </w:tc>
      </w:tr>
      <w:tr>
        <w:trPr>
          <w:trHeight w:val="240"/>
        </w:trPr>
        <w:tc>
          <w:tcPr>
            <w:tcW w:w="560" w:type="dxa"/>
            <w:vAlign w:val="bottom"/>
            <w:shd w:val="clear" w:color="auto" w:fill="D8E8EF"/>
          </w:tcPr>
          <w:p>
            <w:pPr>
              <w:jc w:val="right"/>
              <w:ind w:right="240"/>
              <w:spacing w:after="0"/>
              <w:rPr>
                <w:sz w:val="20"/>
                <w:szCs w:val="20"/>
                <w:color w:val="auto"/>
              </w:rPr>
            </w:pPr>
            <w:r>
              <w:rPr>
                <w:rFonts w:ascii="Arial" w:cs="Arial" w:eastAsia="Arial" w:hAnsi="Arial"/>
                <w:sz w:val="16"/>
                <w:szCs w:val="16"/>
                <w:color w:val="auto"/>
              </w:rPr>
              <w:t>3.</w:t>
            </w:r>
          </w:p>
        </w:tc>
        <w:tc>
          <w:tcPr>
            <w:tcW w:w="8840" w:type="dxa"/>
            <w:vAlign w:val="bottom"/>
            <w:shd w:val="clear" w:color="auto" w:fill="D8E8EF"/>
          </w:tcPr>
          <w:p>
            <w:pPr>
              <w:ind w:left="120"/>
              <w:spacing w:after="0"/>
              <w:rPr>
                <w:sz w:val="20"/>
                <w:szCs w:val="20"/>
                <w:color w:val="auto"/>
              </w:rPr>
            </w:pPr>
            <w:r>
              <w:rPr>
                <w:rFonts w:ascii="Arial" w:cs="Arial" w:eastAsia="Arial" w:hAnsi="Arial"/>
                <w:sz w:val="16"/>
                <w:szCs w:val="16"/>
                <w:color w:val="auto"/>
              </w:rPr>
              <w:t>Ratification of the selection of PricewaterhouseCoopers LLP as our independent registered public accounting firm for the</w:t>
            </w:r>
          </w:p>
        </w:tc>
        <w:tc>
          <w:tcPr>
            <w:tcW w:w="1520" w:type="dxa"/>
            <w:vAlign w:val="bottom"/>
            <w:shd w:val="clear" w:color="auto" w:fill="D8E8EF"/>
          </w:tcPr>
          <w:p>
            <w:pPr>
              <w:jc w:val="center"/>
              <w:spacing w:after="0"/>
              <w:rPr>
                <w:sz w:val="20"/>
                <w:szCs w:val="20"/>
                <w:color w:val="auto"/>
              </w:rPr>
            </w:pPr>
            <w:r>
              <w:rPr>
                <w:rFonts w:ascii="Arial" w:cs="Arial" w:eastAsia="Arial" w:hAnsi="Arial"/>
                <w:sz w:val="16"/>
                <w:szCs w:val="16"/>
                <w:color w:val="auto"/>
              </w:rPr>
              <w:t>FOR</w:t>
            </w:r>
          </w:p>
        </w:tc>
      </w:tr>
      <w:tr>
        <w:trPr>
          <w:trHeight w:val="211"/>
        </w:trPr>
        <w:tc>
          <w:tcPr>
            <w:tcW w:w="560" w:type="dxa"/>
            <w:vAlign w:val="bottom"/>
            <w:shd w:val="clear" w:color="auto" w:fill="D8E8EF"/>
          </w:tcPr>
          <w:p>
            <w:pPr>
              <w:spacing w:after="0"/>
              <w:rPr>
                <w:sz w:val="18"/>
                <w:szCs w:val="18"/>
                <w:color w:val="auto"/>
              </w:rPr>
            </w:pPr>
          </w:p>
        </w:tc>
        <w:tc>
          <w:tcPr>
            <w:tcW w:w="8840" w:type="dxa"/>
            <w:vAlign w:val="bottom"/>
            <w:shd w:val="clear" w:color="auto" w:fill="D8E8EF"/>
          </w:tcPr>
          <w:p>
            <w:pPr>
              <w:ind w:left="120"/>
              <w:spacing w:after="0"/>
              <w:rPr>
                <w:sz w:val="20"/>
                <w:szCs w:val="20"/>
                <w:color w:val="auto"/>
              </w:rPr>
            </w:pPr>
            <w:r>
              <w:rPr>
                <w:rFonts w:ascii="Arial" w:cs="Arial" w:eastAsia="Arial" w:hAnsi="Arial"/>
                <w:sz w:val="16"/>
                <w:szCs w:val="16"/>
                <w:color w:val="auto"/>
              </w:rPr>
              <w:t>year ending December 31, 2022</w:t>
            </w:r>
          </w:p>
        </w:tc>
        <w:tc>
          <w:tcPr>
            <w:tcW w:w="1520" w:type="dxa"/>
            <w:vAlign w:val="bottom"/>
            <w:shd w:val="clear" w:color="auto" w:fill="D8E8EF"/>
          </w:tcPr>
          <w:p>
            <w:pPr>
              <w:spacing w:after="0"/>
              <w:rPr>
                <w:sz w:val="18"/>
                <w:szCs w:val="18"/>
                <w:color w:val="auto"/>
              </w:rPr>
            </w:pPr>
          </w:p>
        </w:tc>
      </w:tr>
      <w:tr>
        <w:trPr>
          <w:trHeight w:val="57"/>
        </w:trPr>
        <w:tc>
          <w:tcPr>
            <w:tcW w:w="560" w:type="dxa"/>
            <w:vAlign w:val="bottom"/>
            <w:shd w:val="clear" w:color="auto" w:fill="D8E8EF"/>
          </w:tcPr>
          <w:p>
            <w:pPr>
              <w:spacing w:after="0"/>
              <w:rPr>
                <w:sz w:val="4"/>
                <w:szCs w:val="4"/>
                <w:color w:val="auto"/>
              </w:rPr>
            </w:pPr>
          </w:p>
        </w:tc>
        <w:tc>
          <w:tcPr>
            <w:tcW w:w="8840" w:type="dxa"/>
            <w:vAlign w:val="bottom"/>
            <w:shd w:val="clear" w:color="auto" w:fill="D8E8EF"/>
          </w:tcPr>
          <w:p>
            <w:pPr>
              <w:spacing w:after="0"/>
              <w:rPr>
                <w:sz w:val="4"/>
                <w:szCs w:val="4"/>
                <w:color w:val="auto"/>
              </w:rPr>
            </w:pPr>
          </w:p>
        </w:tc>
        <w:tc>
          <w:tcPr>
            <w:tcW w:w="1520" w:type="dxa"/>
            <w:vAlign w:val="bottom"/>
            <w:shd w:val="clear" w:color="auto" w:fill="D8E8EF"/>
          </w:tcPr>
          <w:p>
            <w:pPr>
              <w:spacing w:after="0"/>
              <w:rPr>
                <w:sz w:val="4"/>
                <w:szCs w:val="4"/>
                <w:color w:val="auto"/>
              </w:rPr>
            </w:pPr>
          </w:p>
        </w:tc>
      </w:tr>
    </w:tbl>
    <w:p>
      <w:pPr>
        <w:spacing w:after="0" w:line="195" w:lineRule="exact"/>
        <w:rPr>
          <w:sz w:val="20"/>
          <w:szCs w:val="20"/>
          <w:color w:val="auto"/>
        </w:rPr>
      </w:pPr>
    </w:p>
    <w:p>
      <w:pPr>
        <w:jc w:val="both"/>
        <w:ind w:left="160"/>
        <w:spacing w:after="0" w:line="249" w:lineRule="auto"/>
        <w:rPr>
          <w:sz w:val="20"/>
          <w:szCs w:val="20"/>
          <w:color w:val="auto"/>
        </w:rPr>
      </w:pPr>
      <w:r>
        <w:rPr>
          <w:rFonts w:ascii="Arial" w:cs="Arial" w:eastAsia="Arial" w:hAnsi="Arial"/>
          <w:sz w:val="18"/>
          <w:szCs w:val="18"/>
          <w:color w:val="auto"/>
        </w:rPr>
        <w:t>We are not aware of any other matters that will be brought before the stockholders for a vote at the Annual Meeting. If other matters properly come before the Annual Meeting, all shares validly represented by proxies will be voted in accordance with the discretion of the appointed proxies.</w:t>
      </w:r>
    </w:p>
    <w:p>
      <w:pPr>
        <w:spacing w:after="0" w:line="114" w:lineRule="exact"/>
        <w:rPr>
          <w:sz w:val="20"/>
          <w:szCs w:val="20"/>
          <w:color w:val="auto"/>
        </w:rPr>
      </w:pPr>
    </w:p>
    <w:p>
      <w:pPr>
        <w:ind w:left="440" w:hanging="273"/>
        <w:spacing w:after="0"/>
        <w:tabs>
          <w:tab w:leader="none" w:pos="440" w:val="left"/>
        </w:tabs>
        <w:numPr>
          <w:ilvl w:val="0"/>
          <w:numId w:val="7"/>
        </w:numPr>
        <w:rPr>
          <w:rFonts w:ascii="Arial" w:cs="Arial" w:eastAsia="Arial" w:hAnsi="Arial"/>
          <w:sz w:val="14"/>
          <w:szCs w:val="14"/>
          <w:color w:val="F75E14"/>
        </w:rPr>
      </w:pPr>
      <w:r>
        <w:rPr>
          <w:rFonts w:ascii="Arial" w:cs="Arial" w:eastAsia="Arial" w:hAnsi="Arial"/>
          <w:sz w:val="14"/>
          <w:szCs w:val="14"/>
          <w:color w:val="F75E14"/>
        </w:rPr>
        <w:t>onsemi 2022 Proxy Statement</w:t>
      </w:r>
    </w:p>
    <w:p>
      <w:pPr>
        <w:sectPr>
          <w:pgSz w:w="11900" w:h="16838" w:orient="portrait"/>
          <w:cols w:equalWidth="0" w:num="1">
            <w:col w:w="11080"/>
          </w:cols>
          <w:pgMar w:left="320" w:top="454" w:right="499" w:bottom="1440" w:gutter="0" w:footer="0" w:header="0"/>
          <w:type w:val="continuous"/>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2" w:lineRule="exact"/>
        <w:rPr>
          <w:sz w:val="20"/>
          <w:szCs w:val="20"/>
          <w:color w:val="auto"/>
        </w:rPr>
      </w:pPr>
    </w:p>
    <w:p>
      <w:pPr>
        <w:jc w:val="right"/>
        <w:spacing w:after="0"/>
        <w:rPr>
          <w:sz w:val="20"/>
          <w:szCs w:val="20"/>
          <w:color w:val="auto"/>
        </w:rPr>
      </w:pPr>
      <w:r>
        <w:rPr>
          <w:rFonts w:ascii="Arial" w:cs="Arial" w:eastAsia="Arial" w:hAnsi="Arial"/>
          <w:sz w:val="18"/>
          <w:szCs w:val="18"/>
          <w:color w:val="F75E14"/>
        </w:rPr>
        <w:t>Proxy Statement</w:t>
      </w:r>
    </w:p>
    <w:p>
      <w:pPr>
        <w:spacing w:after="0" w:line="135"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2B4772"/>
        </w:rPr>
        <w:t>Record Date and Quorum</w:t>
      </w:r>
    </w:p>
    <w:p>
      <w:pPr>
        <w:spacing w:after="0" w:line="119" w:lineRule="exact"/>
        <w:rPr>
          <w:sz w:val="20"/>
          <w:szCs w:val="20"/>
          <w:color w:val="auto"/>
        </w:rPr>
      </w:pPr>
    </w:p>
    <w:p>
      <w:pPr>
        <w:jc w:val="both"/>
        <w:ind w:left="160"/>
        <w:spacing w:after="0"/>
        <w:rPr>
          <w:sz w:val="20"/>
          <w:szCs w:val="20"/>
          <w:color w:val="auto"/>
        </w:rPr>
      </w:pPr>
      <w:r>
        <w:rPr>
          <w:rFonts w:ascii="Arial" w:cs="Arial" w:eastAsia="Arial" w:hAnsi="Arial"/>
          <w:sz w:val="18"/>
          <w:szCs w:val="18"/>
          <w:color w:val="auto"/>
        </w:rPr>
        <w:t>As of the Record Date, there were 434,356,597 shares of our common stock outstanding and entitled to vote at the Annual Meeting. The presence, in person or by proxy, of holders of a majority of the shares entitled to vote at the Annual Meeting will constitute a quorum. Abstentions, withheld votes and Broker non-votes are included in determining whether a quorum has been met for the Annual Meeting. Abstentions include shares present in person but not voting and shares represented by proxy but with respect to which the holder has abstained.</w:t>
      </w:r>
    </w:p>
    <w:p>
      <w:pPr>
        <w:spacing w:after="0" w:line="176"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2B4772"/>
        </w:rPr>
        <w:t>Required Vote</w:t>
      </w:r>
    </w:p>
    <w:p>
      <w:pPr>
        <w:spacing w:after="0" w:line="119" w:lineRule="exact"/>
        <w:rPr>
          <w:sz w:val="20"/>
          <w:szCs w:val="20"/>
          <w:color w:val="auto"/>
        </w:rPr>
      </w:pPr>
    </w:p>
    <w:p>
      <w:pPr>
        <w:jc w:val="both"/>
        <w:ind w:left="160"/>
        <w:spacing w:after="0" w:line="243" w:lineRule="auto"/>
        <w:rPr>
          <w:sz w:val="20"/>
          <w:szCs w:val="20"/>
          <w:color w:val="auto"/>
        </w:rPr>
      </w:pPr>
      <w:r>
        <w:rPr>
          <w:rFonts w:ascii="Arial" w:cs="Arial" w:eastAsia="Arial" w:hAnsi="Arial"/>
          <w:sz w:val="18"/>
          <w:szCs w:val="18"/>
          <w:color w:val="auto"/>
        </w:rPr>
        <w:t>With respect to Proposal No. 1 (Election of Directors), each of the members of the Board (collectively, the “Directors,” and individually, a “Director”) standing for election at the Annual Meeting must be elected by a majority of the votes cast by holders of shares entitled to vote at the Annual Meeting with respect to such Director’s election, meaning that the number of votes cast “FOR” such Director must exceed the number of votes cast “AGAINST” that Director.</w:t>
      </w:r>
    </w:p>
    <w:p>
      <w:pPr>
        <w:spacing w:after="0" w:line="178" w:lineRule="exact"/>
        <w:rPr>
          <w:sz w:val="20"/>
          <w:szCs w:val="20"/>
          <w:color w:val="auto"/>
        </w:rPr>
      </w:pPr>
    </w:p>
    <w:p>
      <w:pPr>
        <w:jc w:val="both"/>
        <w:ind w:left="160"/>
        <w:spacing w:after="0" w:line="249" w:lineRule="auto"/>
        <w:rPr>
          <w:sz w:val="20"/>
          <w:szCs w:val="20"/>
          <w:color w:val="auto"/>
        </w:rPr>
      </w:pPr>
      <w:r>
        <w:rPr>
          <w:rFonts w:ascii="Arial" w:cs="Arial" w:eastAsia="Arial" w:hAnsi="Arial"/>
          <w:sz w:val="18"/>
          <w:szCs w:val="18"/>
          <w:color w:val="auto"/>
        </w:rPr>
        <w:t>With respect to Proposal No. 2 (Advisory (Non-Binding) Resolution to Approve Named Executive Officer Compensation) and Proposal No. 3 (Ratification of Selection of Independent Registered Public Accounting Firm), in order for each proposal to be approved, it must receive a “FOR” vote from a majority of the votes cast by the holders of shares entitled to vote at the Annual Meeting.</w:t>
      </w:r>
    </w:p>
    <w:p>
      <w:pPr>
        <w:spacing w:after="0" w:line="172" w:lineRule="exact"/>
        <w:rPr>
          <w:sz w:val="20"/>
          <w:szCs w:val="20"/>
          <w:color w:val="auto"/>
        </w:rPr>
      </w:pPr>
    </w:p>
    <w:p>
      <w:pPr>
        <w:jc w:val="both"/>
        <w:ind w:left="160"/>
        <w:spacing w:after="0"/>
        <w:rPr>
          <w:sz w:val="20"/>
          <w:szCs w:val="20"/>
          <w:color w:val="auto"/>
        </w:rPr>
      </w:pPr>
      <w:r>
        <w:rPr>
          <w:rFonts w:ascii="Arial" w:cs="Arial" w:eastAsia="Arial" w:hAnsi="Arial"/>
          <w:sz w:val="18"/>
          <w:szCs w:val="18"/>
          <w:color w:val="auto"/>
        </w:rPr>
        <w:t>Abstentions and Broker non-votes are not treated as votes cast and, therefore, will have no effect on the outcomes of any of the proposals. Broker non-votes occur when a nominee holding shares for a beneficial owner does not vote on a particular proposal because the nominee does not have discretionary voting power on that item and has not received instructions from the beneficial owner. Under applicable SEC and stock exchange rules, Brokers have discretionary power to vote your shares with respect to “routine” matters but they do not have discretionary power to vote your shares on “non-routine” matters.</w:t>
      </w:r>
    </w:p>
    <w:p>
      <w:pPr>
        <w:spacing w:after="0" w:line="182" w:lineRule="exact"/>
        <w:rPr>
          <w:sz w:val="20"/>
          <w:szCs w:val="20"/>
          <w:color w:val="auto"/>
        </w:rPr>
      </w:pPr>
    </w:p>
    <w:p>
      <w:pPr>
        <w:jc w:val="both"/>
        <w:ind w:left="160"/>
        <w:spacing w:after="0" w:line="247" w:lineRule="auto"/>
        <w:rPr>
          <w:sz w:val="20"/>
          <w:szCs w:val="20"/>
          <w:color w:val="auto"/>
        </w:rPr>
      </w:pPr>
      <w:r>
        <w:rPr>
          <w:rFonts w:ascii="Arial" w:cs="Arial" w:eastAsia="Arial" w:hAnsi="Arial"/>
          <w:sz w:val="18"/>
          <w:szCs w:val="18"/>
          <w:color w:val="auto"/>
        </w:rPr>
        <w:t xml:space="preserve">Notably, Proposals No. 1 and 2 are considered “non-routine” matters and, as a result, your Broker is NOT able to vote on your behalf with respect to Proposals No. 1 or 2 without specific voting instructions from you. </w:t>
      </w:r>
      <w:r>
        <w:rPr>
          <w:rFonts w:ascii="Arial" w:cs="Arial" w:eastAsia="Arial" w:hAnsi="Arial"/>
          <w:sz w:val="18"/>
          <w:szCs w:val="18"/>
          <w:b w:val="1"/>
          <w:bCs w:val="1"/>
          <w:color w:val="auto"/>
        </w:rPr>
        <w:t>Accordingly, if your shares are held in “street name” and</w:t>
      </w:r>
      <w:r>
        <w:rPr>
          <w:rFonts w:ascii="Arial" w:cs="Arial" w:eastAsia="Arial" w:hAnsi="Arial"/>
          <w:sz w:val="18"/>
          <w:szCs w:val="18"/>
          <w:color w:val="auto"/>
        </w:rPr>
        <w:t xml:space="preserve"> </w:t>
      </w:r>
      <w:r>
        <w:rPr>
          <w:rFonts w:ascii="Arial" w:cs="Arial" w:eastAsia="Arial" w:hAnsi="Arial"/>
          <w:sz w:val="18"/>
          <w:szCs w:val="18"/>
          <w:b w:val="1"/>
          <w:bCs w:val="1"/>
          <w:color w:val="auto"/>
        </w:rPr>
        <w:t>you cannot attend the Annual Meeting in person, we encourage you to vote your shares on all proposals by promptly instructing your Broker as to how to vote on these matters so that your shares will be voted at the Annual Meeting.</w:t>
      </w:r>
    </w:p>
    <w:p>
      <w:pPr>
        <w:spacing w:after="0" w:line="164" w:lineRule="exact"/>
        <w:rPr>
          <w:sz w:val="20"/>
          <w:szCs w:val="20"/>
          <w:color w:val="auto"/>
        </w:rPr>
      </w:pPr>
    </w:p>
    <w:p>
      <w:pPr>
        <w:jc w:val="both"/>
        <w:ind w:left="160" w:right="20"/>
        <w:spacing w:after="0" w:line="265" w:lineRule="auto"/>
        <w:rPr>
          <w:sz w:val="20"/>
          <w:szCs w:val="20"/>
          <w:color w:val="auto"/>
        </w:rPr>
      </w:pPr>
      <w:r>
        <w:rPr>
          <w:rFonts w:ascii="Arial" w:cs="Arial" w:eastAsia="Arial" w:hAnsi="Arial"/>
          <w:sz w:val="18"/>
          <w:szCs w:val="18"/>
          <w:color w:val="auto"/>
        </w:rPr>
        <w:t>No dissenters’ rights are provided under the Delaware General Corporation Law, our charter or our bylaws with respect to any of the proposals described in this proxy statement.</w:t>
      </w:r>
    </w:p>
    <w:p>
      <w:pPr>
        <w:spacing w:after="0" w:line="152"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2B4772"/>
        </w:rPr>
        <w:t>Revocation of Proxies</w:t>
      </w:r>
    </w:p>
    <w:p>
      <w:pPr>
        <w:spacing w:after="0" w:line="119" w:lineRule="exact"/>
        <w:rPr>
          <w:sz w:val="20"/>
          <w:szCs w:val="20"/>
          <w:color w:val="auto"/>
        </w:rPr>
      </w:pPr>
    </w:p>
    <w:p>
      <w:pPr>
        <w:jc w:val="both"/>
        <w:ind w:left="160"/>
        <w:spacing w:after="0" w:line="249" w:lineRule="auto"/>
        <w:rPr>
          <w:sz w:val="20"/>
          <w:szCs w:val="20"/>
          <w:color w:val="auto"/>
        </w:rPr>
      </w:pPr>
      <w:r>
        <w:rPr>
          <w:rFonts w:ascii="Arial" w:cs="Arial" w:eastAsia="Arial" w:hAnsi="Arial"/>
          <w:sz w:val="18"/>
          <w:szCs w:val="18"/>
          <w:color w:val="auto"/>
        </w:rPr>
        <w:t>You may revoke your proxy at any time before it is voted by attending the Annual Meeting and voting in person or by submitting a written notice of revocation or a properly executed proxy bearing a later date to our Secretary at our principal executive office, located at 5005 East McDowell Road, Phoenix, Arizona 85008.</w:t>
      </w:r>
    </w:p>
    <w:p>
      <w:pPr>
        <w:spacing w:after="0" w:line="114" w:lineRule="exact"/>
        <w:rPr>
          <w:sz w:val="20"/>
          <w:szCs w:val="20"/>
          <w:color w:val="auto"/>
        </w:rPr>
      </w:pPr>
    </w:p>
    <w:p>
      <w:pPr>
        <w:jc w:val="right"/>
        <w:spacing w:after="0"/>
        <w:tabs>
          <w:tab w:leader="none" w:pos="60" w:val="left"/>
        </w:tabs>
        <w:rPr>
          <w:sz w:val="20"/>
          <w:szCs w:val="20"/>
          <w:color w:val="auto"/>
        </w:rPr>
      </w:pPr>
      <w:r>
        <w:rPr>
          <w:rFonts w:ascii="Arial" w:cs="Arial" w:eastAsia="Arial" w:hAnsi="Arial"/>
          <w:sz w:val="14"/>
          <w:szCs w:val="14"/>
          <w:color w:val="F75E14"/>
        </w:rPr>
        <w:t>onsemi 2022 Proxy Statement</w:t>
        <w:tab/>
        <w:t>3</w:t>
      </w:r>
    </w:p>
    <w:p>
      <w:pPr>
        <w:sectPr>
          <w:pgSz w:w="11900" w:h="16838" w:orient="portrait"/>
          <w:cols w:equalWidth="0" w:num="1">
            <w:col w:w="11080"/>
          </w:cols>
          <w:pgMar w:left="320" w:top="454" w:right="49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6"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F75E14"/>
        </w:rPr>
        <w:t>MANAGEMENT PROPOSALS</w:t>
      </w:r>
    </w:p>
    <w:p>
      <w:pPr>
        <w:spacing w:after="0" w:line="221"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2B4772"/>
        </w:rPr>
        <w:t>Proposal No. 1: Election of Directors</w:t>
      </w:r>
    </w:p>
    <w:p>
      <w:pPr>
        <w:spacing w:after="0" w:line="119" w:lineRule="exact"/>
        <w:rPr>
          <w:sz w:val="20"/>
          <w:szCs w:val="20"/>
          <w:color w:val="auto"/>
        </w:rPr>
      </w:pPr>
    </w:p>
    <w:p>
      <w:pPr>
        <w:jc w:val="both"/>
        <w:ind w:left="160"/>
        <w:spacing w:after="0" w:line="238" w:lineRule="auto"/>
        <w:rPr>
          <w:sz w:val="20"/>
          <w:szCs w:val="20"/>
          <w:color w:val="auto"/>
        </w:rPr>
      </w:pPr>
      <w:r>
        <w:rPr>
          <w:rFonts w:ascii="Arial" w:cs="Arial" w:eastAsia="Arial" w:hAnsi="Arial"/>
          <w:sz w:val="18"/>
          <w:szCs w:val="18"/>
          <w:color w:val="auto"/>
        </w:rPr>
        <w:t>The Board routinely assesses its size and composition and the skillsets of each Director to ensure an appropriate diversity of perspectives, viewpoints, backgrounds and skills in light of the Company’s current and future business objectives and the evolving nature of the Company’s product offerings and technology in the highly competitive semiconductor industry. Each Director stands for election annually. Once elected, Directors hold office until their terms expire at the next annual meeting of stockholders and until their successors are duly elected and qualified, or until the earlier of their death, resignation or removal. Each nominee for Director will be nominated at the Annual Meeting to serve for a term expiring at the 2023 Annual Meeting of Stockholders (the “2023 Annual Meeting”), and each of the nominees has agreed to serve as a Director if elected by the stockholders.</w:t>
      </w:r>
    </w:p>
    <w:p>
      <w:pPr>
        <w:spacing w:after="0" w:line="176"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2B4772"/>
        </w:rPr>
        <w:t>Director Nominees</w:t>
      </w:r>
    </w:p>
    <w:p>
      <w:pPr>
        <w:spacing w:after="0" w:line="119" w:lineRule="exact"/>
        <w:rPr>
          <w:sz w:val="20"/>
          <w:szCs w:val="20"/>
          <w:color w:val="auto"/>
        </w:rPr>
      </w:pPr>
    </w:p>
    <w:p>
      <w:pPr>
        <w:jc w:val="both"/>
        <w:ind w:left="160"/>
        <w:spacing w:after="0" w:line="243" w:lineRule="auto"/>
        <w:rPr>
          <w:sz w:val="20"/>
          <w:szCs w:val="20"/>
          <w:color w:val="auto"/>
        </w:rPr>
      </w:pPr>
      <w:r>
        <w:rPr>
          <w:rFonts w:ascii="Arial" w:cs="Arial" w:eastAsia="Arial" w:hAnsi="Arial"/>
          <w:sz w:val="18"/>
          <w:szCs w:val="18"/>
          <w:color w:val="auto"/>
        </w:rPr>
        <w:t>Each nominee for Director, other than Mr. El-Khoury, has been determined to be “independent,” as that term is defined under applicable rules and regulations of the SEC and The Nasdaq Global Select Market LLC (“Nasdaq”). For an overview of committee membership, please see the “The Board of Directors and Corporate Governance – Committees of the Board” section of this proxy statement. The following is a summary of certain aggregated characteristics and qualities of our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5287010</wp:posOffset>
            </wp:positionH>
            <wp:positionV relativeFrom="paragraph">
              <wp:posOffset>142240</wp:posOffset>
            </wp:positionV>
            <wp:extent cx="101600" cy="19532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01600" cy="1953260"/>
                    </a:xfrm>
                    <a:prstGeom prst="rect">
                      <a:avLst/>
                    </a:prstGeom>
                    <a:noFill/>
                  </pic:spPr>
                </pic:pic>
              </a:graphicData>
            </a:graphic>
          </wp:anchor>
        </w:drawing>
        <w:drawing>
          <wp:anchor simplePos="0" relativeHeight="251657728" behindDoc="1" locked="0" layoutInCell="0" allowOverlap="1">
            <wp:simplePos x="0" y="0"/>
            <wp:positionH relativeFrom="column">
              <wp:posOffset>3554095</wp:posOffset>
            </wp:positionH>
            <wp:positionV relativeFrom="paragraph">
              <wp:posOffset>142240</wp:posOffset>
            </wp:positionV>
            <wp:extent cx="85090" cy="19532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5090" cy="1953260"/>
                    </a:xfrm>
                    <a:prstGeom prst="rect">
                      <a:avLst/>
                    </a:prstGeom>
                    <a:noFill/>
                  </pic:spPr>
                </pic:pic>
              </a:graphicData>
            </a:graphic>
          </wp:anchor>
        </w:drawing>
        <w:drawing>
          <wp:anchor simplePos="0" relativeHeight="251657728" behindDoc="1" locked="0" layoutInCell="0" allowOverlap="1">
            <wp:simplePos x="0" y="0"/>
            <wp:positionH relativeFrom="column">
              <wp:posOffset>1762125</wp:posOffset>
            </wp:positionH>
            <wp:positionV relativeFrom="paragraph">
              <wp:posOffset>142240</wp:posOffset>
            </wp:positionV>
            <wp:extent cx="76200" cy="19532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6200" cy="1953260"/>
                    </a:xfrm>
                    <a:prstGeom prst="rect">
                      <a:avLst/>
                    </a:prstGeom>
                    <a:noFill/>
                  </pic:spPr>
                </pic:pic>
              </a:graphicData>
            </a:graphic>
          </wp:anchor>
        </w:drawing>
      </w:r>
    </w:p>
    <w:p>
      <w:pPr>
        <w:spacing w:after="0" w:line="204" w:lineRule="exact"/>
        <w:rPr>
          <w:sz w:val="20"/>
          <w:szCs w:val="20"/>
          <w:color w:val="auto"/>
        </w:rPr>
      </w:pPr>
    </w:p>
    <w:tbl>
      <w:tblPr>
        <w:tblLayout w:type="fixed"/>
        <w:tblInd w:w="840" w:type="dxa"/>
        <w:tblCellMar>
          <w:top w:w="0" w:type="dxa"/>
          <w:left w:w="0" w:type="dxa"/>
          <w:bottom w:w="0" w:type="dxa"/>
          <w:right w:w="0" w:type="dxa"/>
        </w:tblCellMar>
      </w:tblPr>
      <w:tr>
        <w:trPr>
          <w:trHeight w:val="257"/>
        </w:trPr>
        <w:tc>
          <w:tcPr>
            <w:tcW w:w="1940" w:type="dxa"/>
            <w:vAlign w:val="bottom"/>
          </w:tcPr>
          <w:p>
            <w:pPr>
              <w:spacing w:after="0"/>
              <w:rPr>
                <w:sz w:val="20"/>
                <w:szCs w:val="20"/>
                <w:color w:val="auto"/>
              </w:rPr>
            </w:pPr>
            <w:r>
              <w:rPr>
                <w:rFonts w:ascii="Arial" w:cs="Arial" w:eastAsia="Arial" w:hAnsi="Arial"/>
                <w:sz w:val="18"/>
                <w:szCs w:val="18"/>
                <w:color w:val="333F42"/>
              </w:rPr>
              <w:t>Age Distribution</w:t>
            </w:r>
          </w:p>
        </w:tc>
        <w:tc>
          <w:tcPr>
            <w:tcW w:w="100" w:type="dxa"/>
            <w:vAlign w:val="bottom"/>
            <w:shd w:val="clear" w:color="auto" w:fill="000000"/>
          </w:tcPr>
          <w:p>
            <w:pPr>
              <w:spacing w:after="0"/>
              <w:rPr>
                <w:sz w:val="22"/>
                <w:szCs w:val="22"/>
                <w:color w:val="auto"/>
              </w:rPr>
            </w:pPr>
          </w:p>
        </w:tc>
        <w:tc>
          <w:tcPr>
            <w:tcW w:w="2720" w:type="dxa"/>
            <w:vAlign w:val="bottom"/>
          </w:tcPr>
          <w:p>
            <w:pPr>
              <w:ind w:left="1120"/>
              <w:spacing w:after="0"/>
              <w:rPr>
                <w:sz w:val="20"/>
                <w:szCs w:val="20"/>
                <w:color w:val="auto"/>
              </w:rPr>
            </w:pPr>
            <w:r>
              <w:rPr>
                <w:rFonts w:ascii="Arial" w:cs="Arial" w:eastAsia="Arial" w:hAnsi="Arial"/>
                <w:sz w:val="18"/>
                <w:szCs w:val="18"/>
                <w:color w:val="333F42"/>
              </w:rPr>
              <w:t>Gender</w:t>
            </w:r>
          </w:p>
        </w:tc>
        <w:tc>
          <w:tcPr>
            <w:tcW w:w="120" w:type="dxa"/>
            <w:vAlign w:val="bottom"/>
            <w:shd w:val="clear" w:color="auto" w:fill="000000"/>
          </w:tcPr>
          <w:p>
            <w:pPr>
              <w:spacing w:after="0"/>
              <w:rPr>
                <w:sz w:val="22"/>
                <w:szCs w:val="22"/>
                <w:color w:val="auto"/>
              </w:rPr>
            </w:pPr>
          </w:p>
        </w:tc>
        <w:tc>
          <w:tcPr>
            <w:tcW w:w="2600" w:type="dxa"/>
            <w:vAlign w:val="bottom"/>
          </w:tcPr>
          <w:p>
            <w:pPr>
              <w:ind w:left="1080"/>
              <w:spacing w:after="0"/>
              <w:rPr>
                <w:sz w:val="20"/>
                <w:szCs w:val="20"/>
                <w:color w:val="auto"/>
              </w:rPr>
            </w:pPr>
            <w:r>
              <w:rPr>
                <w:rFonts w:ascii="Arial" w:cs="Arial" w:eastAsia="Arial" w:hAnsi="Arial"/>
                <w:sz w:val="18"/>
                <w:szCs w:val="18"/>
                <w:color w:val="333F42"/>
              </w:rPr>
              <w:t>Tenure</w:t>
            </w:r>
          </w:p>
        </w:tc>
        <w:tc>
          <w:tcPr>
            <w:tcW w:w="160" w:type="dxa"/>
            <w:vAlign w:val="bottom"/>
            <w:shd w:val="clear" w:color="auto" w:fill="000000"/>
          </w:tcPr>
          <w:p>
            <w:pPr>
              <w:spacing w:after="0"/>
              <w:rPr>
                <w:sz w:val="22"/>
                <w:szCs w:val="22"/>
                <w:color w:val="auto"/>
              </w:rPr>
            </w:pPr>
          </w:p>
        </w:tc>
        <w:tc>
          <w:tcPr>
            <w:tcW w:w="2300" w:type="dxa"/>
            <w:vAlign w:val="bottom"/>
          </w:tcPr>
          <w:p>
            <w:pPr>
              <w:ind w:left="400"/>
              <w:spacing w:after="0"/>
              <w:rPr>
                <w:sz w:val="20"/>
                <w:szCs w:val="20"/>
                <w:color w:val="auto"/>
              </w:rPr>
            </w:pPr>
            <w:r>
              <w:rPr>
                <w:rFonts w:ascii="Arial" w:cs="Arial" w:eastAsia="Arial" w:hAnsi="Arial"/>
                <w:sz w:val="18"/>
                <w:szCs w:val="18"/>
                <w:color w:val="333F42"/>
                <w:w w:val="97"/>
              </w:rPr>
              <w:t>Geography/International</w:t>
            </w:r>
          </w:p>
        </w:tc>
      </w:tr>
      <w:tr>
        <w:trPr>
          <w:trHeight w:val="118"/>
        </w:trPr>
        <w:tc>
          <w:tcPr>
            <w:tcW w:w="1940" w:type="dxa"/>
            <w:vAlign w:val="bottom"/>
          </w:tcPr>
          <w:p>
            <w:pPr>
              <w:spacing w:after="0"/>
              <w:rPr>
                <w:sz w:val="10"/>
                <w:szCs w:val="10"/>
                <w:color w:val="auto"/>
              </w:rPr>
            </w:pPr>
          </w:p>
        </w:tc>
        <w:tc>
          <w:tcPr>
            <w:tcW w:w="100" w:type="dxa"/>
            <w:vAlign w:val="bottom"/>
            <w:shd w:val="clear" w:color="auto" w:fill="000000"/>
          </w:tcPr>
          <w:p>
            <w:pPr>
              <w:spacing w:after="0"/>
              <w:rPr>
                <w:sz w:val="10"/>
                <w:szCs w:val="10"/>
                <w:color w:val="auto"/>
              </w:rPr>
            </w:pPr>
          </w:p>
        </w:tc>
        <w:tc>
          <w:tcPr>
            <w:tcW w:w="2720" w:type="dxa"/>
            <w:vAlign w:val="bottom"/>
          </w:tcPr>
          <w:p>
            <w:pPr>
              <w:spacing w:after="0"/>
              <w:rPr>
                <w:sz w:val="10"/>
                <w:szCs w:val="10"/>
                <w:color w:val="auto"/>
              </w:rPr>
            </w:pPr>
          </w:p>
        </w:tc>
        <w:tc>
          <w:tcPr>
            <w:tcW w:w="120" w:type="dxa"/>
            <w:vAlign w:val="bottom"/>
            <w:shd w:val="clear" w:color="auto" w:fill="000000"/>
          </w:tcPr>
          <w:p>
            <w:pPr>
              <w:spacing w:after="0"/>
              <w:rPr>
                <w:sz w:val="10"/>
                <w:szCs w:val="10"/>
                <w:color w:val="auto"/>
              </w:rPr>
            </w:pPr>
          </w:p>
        </w:tc>
        <w:tc>
          <w:tcPr>
            <w:tcW w:w="2600" w:type="dxa"/>
            <w:vAlign w:val="bottom"/>
          </w:tcPr>
          <w:p>
            <w:pPr>
              <w:spacing w:after="0"/>
              <w:rPr>
                <w:sz w:val="10"/>
                <w:szCs w:val="10"/>
                <w:color w:val="auto"/>
              </w:rPr>
            </w:pPr>
          </w:p>
        </w:tc>
        <w:tc>
          <w:tcPr>
            <w:tcW w:w="160" w:type="dxa"/>
            <w:vAlign w:val="bottom"/>
            <w:shd w:val="clear" w:color="auto" w:fill="000000"/>
          </w:tcPr>
          <w:p>
            <w:pPr>
              <w:spacing w:after="0"/>
              <w:rPr>
                <w:sz w:val="10"/>
                <w:szCs w:val="10"/>
                <w:color w:val="auto"/>
              </w:rPr>
            </w:pPr>
          </w:p>
        </w:tc>
        <w:tc>
          <w:tcPr>
            <w:tcW w:w="230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488315</wp:posOffset>
            </wp:positionH>
            <wp:positionV relativeFrom="paragraph">
              <wp:posOffset>0</wp:posOffset>
            </wp:positionV>
            <wp:extent cx="891540" cy="10782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91540" cy="1078230"/>
                    </a:xfrm>
                    <a:prstGeom prst="rect">
                      <a:avLst/>
                    </a:prstGeom>
                    <a:noFill/>
                  </pic:spPr>
                </pic:pic>
              </a:graphicData>
            </a:graphic>
          </wp:anchor>
        </w:drawing>
        <w:drawing>
          <wp:anchor simplePos="0" relativeHeight="251657728" behindDoc="1" locked="0" layoutInCell="0" allowOverlap="1">
            <wp:simplePos x="0" y="0"/>
            <wp:positionH relativeFrom="column">
              <wp:posOffset>2289175</wp:posOffset>
            </wp:positionH>
            <wp:positionV relativeFrom="paragraph">
              <wp:posOffset>0</wp:posOffset>
            </wp:positionV>
            <wp:extent cx="883285" cy="10699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83285" cy="1069975"/>
                    </a:xfrm>
                    <a:prstGeom prst="rect">
                      <a:avLst/>
                    </a:prstGeom>
                    <a:noFill/>
                  </pic:spPr>
                </pic:pic>
              </a:graphicData>
            </a:graphic>
          </wp:anchor>
        </w:drawing>
        <w:drawing>
          <wp:anchor simplePos="0" relativeHeight="251657728" behindDoc="1" locked="0" layoutInCell="0" allowOverlap="1">
            <wp:simplePos x="0" y="0"/>
            <wp:positionH relativeFrom="column">
              <wp:posOffset>4021455</wp:posOffset>
            </wp:positionH>
            <wp:positionV relativeFrom="paragraph">
              <wp:posOffset>0</wp:posOffset>
            </wp:positionV>
            <wp:extent cx="942340" cy="10699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942340" cy="1069975"/>
                    </a:xfrm>
                    <a:prstGeom prst="rect">
                      <a:avLst/>
                    </a:prstGeom>
                    <a:noFill/>
                  </pic:spPr>
                </pic:pic>
              </a:graphicData>
            </a:graphic>
          </wp:anchor>
        </w:drawing>
        <w:drawing>
          <wp:anchor simplePos="0" relativeHeight="251657728" behindDoc="1" locked="0" layoutInCell="0" allowOverlap="1">
            <wp:simplePos x="0" y="0"/>
            <wp:positionH relativeFrom="column">
              <wp:posOffset>5753735</wp:posOffset>
            </wp:positionH>
            <wp:positionV relativeFrom="paragraph">
              <wp:posOffset>0</wp:posOffset>
            </wp:positionV>
            <wp:extent cx="984885" cy="10782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984885" cy="1078230"/>
                    </a:xfrm>
                    <a:prstGeom prst="rect">
                      <a:avLst/>
                    </a:prstGeom>
                    <a:noFill/>
                  </pic:spPr>
                </pic:pic>
              </a:graphicData>
            </a:graphic>
          </wp:anchor>
        </w:drawing>
      </w:r>
    </w:p>
    <w:p>
      <w:pPr>
        <w:sectPr>
          <w:pgSz w:w="11900" w:h="16838" w:orient="portrait"/>
          <w:cols w:equalWidth="0" w:num="1">
            <w:col w:w="11080"/>
          </w:cols>
          <w:pgMar w:left="320" w:top="454"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160"/>
        <w:spacing w:after="0" w:line="253" w:lineRule="auto"/>
        <w:rPr>
          <w:sz w:val="20"/>
          <w:szCs w:val="20"/>
          <w:color w:val="auto"/>
        </w:rPr>
      </w:pPr>
      <w:r>
        <w:rPr>
          <w:rFonts w:ascii="Arial" w:cs="Arial" w:eastAsia="Arial" w:hAnsi="Arial"/>
          <w:sz w:val="14"/>
          <w:szCs w:val="14"/>
          <w:color w:val="auto"/>
        </w:rPr>
        <w:t>The Board is committed to balancing the age and experience of its members. All Directors are below the mandatory retirement age of 75.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line="281" w:lineRule="auto"/>
        <w:rPr>
          <w:sz w:val="20"/>
          <w:szCs w:val="20"/>
          <w:color w:val="auto"/>
        </w:rPr>
      </w:pPr>
      <w:r>
        <w:rPr>
          <w:rFonts w:ascii="Arial" w:cs="Arial" w:eastAsia="Arial" w:hAnsi="Arial"/>
          <w:sz w:val="14"/>
          <w:szCs w:val="14"/>
          <w:color w:val="auto"/>
        </w:rPr>
        <w:t>There are eight men and two women on the Board.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The tenure of the Board demonstrates the Board’s commitment to balancing experience and refreshment.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right="160"/>
        <w:spacing w:after="0" w:line="260" w:lineRule="auto"/>
        <w:rPr>
          <w:sz w:val="20"/>
          <w:szCs w:val="20"/>
          <w:color w:val="auto"/>
        </w:rPr>
      </w:pPr>
      <w:r>
        <w:rPr>
          <w:rFonts w:ascii="Arial" w:cs="Arial" w:eastAsia="Arial" w:hAnsi="Arial"/>
          <w:sz w:val="14"/>
          <w:szCs w:val="14"/>
          <w:color w:val="auto"/>
        </w:rPr>
        <w:t>All nominees for Director have international experience, and two are based outside of the United States.</w:t>
      </w:r>
    </w:p>
    <w:p>
      <w:pPr>
        <w:spacing w:after="0" w:line="355" w:lineRule="exact"/>
        <w:rPr>
          <w:sz w:val="20"/>
          <w:szCs w:val="20"/>
          <w:color w:val="auto"/>
        </w:rPr>
      </w:pPr>
    </w:p>
    <w:p>
      <w:pPr>
        <w:sectPr>
          <w:pgSz w:w="11900" w:h="16838" w:orient="portrait"/>
          <w:cols w:equalWidth="0" w:num="4">
            <w:col w:w="2720" w:space="260"/>
            <w:col w:w="2520" w:space="320"/>
            <w:col w:w="2420" w:space="340"/>
            <w:col w:w="2500"/>
          </w:cols>
          <w:pgMar w:left="320" w:top="454" w:right="499" w:bottom="1440" w:gutter="0" w:footer="0" w:header="0"/>
          <w:type w:val="continuous"/>
        </w:sectPr>
      </w:pPr>
    </w:p>
    <w:p>
      <w:pPr>
        <w:spacing w:after="0" w:line="74" w:lineRule="exact"/>
        <w:rPr>
          <w:sz w:val="20"/>
          <w:szCs w:val="20"/>
          <w:color w:val="auto"/>
        </w:rPr>
      </w:pPr>
    </w:p>
    <w:p>
      <w:pPr>
        <w:jc w:val="both"/>
        <w:ind w:left="160"/>
        <w:spacing w:after="0"/>
        <w:rPr>
          <w:sz w:val="20"/>
          <w:szCs w:val="20"/>
          <w:color w:val="auto"/>
        </w:rPr>
      </w:pPr>
      <w:r>
        <w:rPr>
          <w:rFonts w:ascii="Arial" w:cs="Arial" w:eastAsia="Arial" w:hAnsi="Arial"/>
          <w:sz w:val="18"/>
          <w:szCs w:val="18"/>
          <w:color w:val="auto"/>
        </w:rPr>
        <w:t>Set forth below is additional information concerning the nominees for Director. In addition to the specific qualifications described below, we believe that each Director has the business acumen and sound judgment required for the proper functioning of our Board and the integrity, honesty and adherence to high ethical standards necessary to set the “tone at the top” for our Company. Most of our Directors also have significant experience on other public company boards of directors that broadens their knowledge of board processes, issues and solutions.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2849245</wp:posOffset>
            </wp:positionH>
            <wp:positionV relativeFrom="paragraph">
              <wp:posOffset>229235</wp:posOffset>
            </wp:positionV>
            <wp:extent cx="254635" cy="2038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54635" cy="203835"/>
                    </a:xfrm>
                    <a:prstGeom prst="rect">
                      <a:avLst/>
                    </a:prstGeom>
                    <a:noFill/>
                  </pic:spPr>
                </pic:pic>
              </a:graphicData>
            </a:graphic>
          </wp:anchor>
        </w:drawing>
        <w:drawing>
          <wp:anchor simplePos="0" relativeHeight="251657728" behindDoc="1" locked="0" layoutInCell="0" allowOverlap="1">
            <wp:simplePos x="0" y="0"/>
            <wp:positionH relativeFrom="column">
              <wp:posOffset>5320665</wp:posOffset>
            </wp:positionH>
            <wp:positionV relativeFrom="paragraph">
              <wp:posOffset>238125</wp:posOffset>
            </wp:positionV>
            <wp:extent cx="212090" cy="1866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12090" cy="186690"/>
                    </a:xfrm>
                    <a:prstGeom prst="rect">
                      <a:avLst/>
                    </a:prstGeom>
                    <a:noFill/>
                  </pic:spPr>
                </pic:pic>
              </a:graphicData>
            </a:graphic>
          </wp:anchor>
        </w:drawing>
        <w:drawing>
          <wp:anchor simplePos="0" relativeHeight="251657728" behindDoc="1" locked="0" layoutInCell="0" allowOverlap="1">
            <wp:simplePos x="0" y="0"/>
            <wp:positionH relativeFrom="column">
              <wp:posOffset>6764655</wp:posOffset>
            </wp:positionH>
            <wp:positionV relativeFrom="paragraph">
              <wp:posOffset>144780</wp:posOffset>
            </wp:positionV>
            <wp:extent cx="212090" cy="2463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12090" cy="24638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tbl>
      <w:tblPr>
        <w:tblLayout w:type="fixed"/>
        <w:tblInd w:w="380" w:type="dxa"/>
        <w:tblCellMar>
          <w:top w:w="0" w:type="dxa"/>
          <w:left w:w="0" w:type="dxa"/>
          <w:bottom w:w="0" w:type="dxa"/>
          <w:right w:w="0" w:type="dxa"/>
        </w:tblCellMar>
      </w:tblPr>
      <w:tr>
        <w:trPr>
          <w:trHeight w:val="235"/>
        </w:trPr>
        <w:tc>
          <w:tcPr>
            <w:tcW w:w="1720" w:type="dxa"/>
            <w:vAlign w:val="bottom"/>
          </w:tcPr>
          <w:p>
            <w:pPr>
              <w:spacing w:after="0"/>
              <w:rPr>
                <w:sz w:val="20"/>
                <w:szCs w:val="20"/>
                <w:color w:val="auto"/>
              </w:rPr>
            </w:pPr>
          </w:p>
        </w:tc>
        <w:tc>
          <w:tcPr>
            <w:tcW w:w="2640" w:type="dxa"/>
            <w:vAlign w:val="bottom"/>
          </w:tcPr>
          <w:p>
            <w:pPr>
              <w:jc w:val="center"/>
              <w:ind w:right="431"/>
              <w:spacing w:after="0"/>
              <w:rPr>
                <w:sz w:val="20"/>
                <w:szCs w:val="20"/>
                <w:color w:val="auto"/>
              </w:rPr>
            </w:pPr>
            <w:r>
              <w:rPr>
                <w:rFonts w:ascii="Arial" w:cs="Arial" w:eastAsia="Arial" w:hAnsi="Arial"/>
                <w:sz w:val="18"/>
                <w:szCs w:val="18"/>
                <w:color w:val="auto"/>
                <w:w w:val="99"/>
              </w:rPr>
              <w:t>Semiconductor</w:t>
            </w:r>
          </w:p>
        </w:tc>
        <w:tc>
          <w:tcPr>
            <w:tcW w:w="3780" w:type="dxa"/>
            <w:vAlign w:val="bottom"/>
          </w:tcPr>
          <w:p>
            <w:pPr>
              <w:jc w:val="center"/>
              <w:spacing w:after="0"/>
              <w:rPr>
                <w:sz w:val="20"/>
                <w:szCs w:val="20"/>
                <w:color w:val="auto"/>
              </w:rPr>
            </w:pPr>
            <w:r>
              <w:rPr>
                <w:rFonts w:ascii="Arial" w:cs="Arial" w:eastAsia="Arial" w:hAnsi="Arial"/>
                <w:sz w:val="18"/>
                <w:szCs w:val="18"/>
                <w:color w:val="auto"/>
                <w:w w:val="98"/>
              </w:rPr>
              <w:t>Public Company Management</w:t>
            </w:r>
          </w:p>
        </w:tc>
        <w:tc>
          <w:tcPr>
            <w:tcW w:w="1640" w:type="dxa"/>
            <w:vAlign w:val="bottom"/>
          </w:tcPr>
          <w:p>
            <w:pPr>
              <w:jc w:val="center"/>
              <w:ind w:left="571"/>
              <w:spacing w:after="0"/>
              <w:rPr>
                <w:sz w:val="20"/>
                <w:szCs w:val="20"/>
                <w:color w:val="auto"/>
              </w:rPr>
            </w:pPr>
            <w:r>
              <w:rPr>
                <w:rFonts w:ascii="Arial" w:cs="Arial" w:eastAsia="Arial" w:hAnsi="Arial"/>
                <w:sz w:val="18"/>
                <w:szCs w:val="18"/>
                <w:color w:val="auto"/>
                <w:w w:val="98"/>
              </w:rPr>
              <w:t>International</w:t>
            </w:r>
          </w:p>
        </w:tc>
        <w:tc>
          <w:tcPr>
            <w:tcW w:w="0" w:type="dxa"/>
            <w:vAlign w:val="bottom"/>
          </w:tcPr>
          <w:p>
            <w:pPr>
              <w:spacing w:after="0"/>
              <w:rPr>
                <w:sz w:val="1"/>
                <w:szCs w:val="1"/>
                <w:color w:val="auto"/>
              </w:rPr>
            </w:pPr>
          </w:p>
        </w:tc>
      </w:tr>
      <w:tr>
        <w:trPr>
          <w:trHeight w:val="655"/>
        </w:trPr>
        <w:tc>
          <w:tcPr>
            <w:tcW w:w="1720" w:type="dxa"/>
            <w:vAlign w:val="bottom"/>
          </w:tcPr>
          <w:p>
            <w:pPr>
              <w:spacing w:after="0"/>
              <w:rPr>
                <w:sz w:val="24"/>
                <w:szCs w:val="24"/>
                <w:color w:val="auto"/>
              </w:rPr>
            </w:pPr>
          </w:p>
        </w:tc>
        <w:tc>
          <w:tcPr>
            <w:tcW w:w="2640" w:type="dxa"/>
            <w:vAlign w:val="bottom"/>
          </w:tcPr>
          <w:p>
            <w:pPr>
              <w:jc w:val="center"/>
              <w:ind w:right="431"/>
              <w:spacing w:after="0"/>
              <w:rPr>
                <w:sz w:val="20"/>
                <w:szCs w:val="20"/>
                <w:color w:val="auto"/>
              </w:rPr>
            </w:pPr>
            <w:r>
              <w:rPr>
                <w:rFonts w:ascii="Arial" w:cs="Arial" w:eastAsia="Arial" w:hAnsi="Arial"/>
                <w:sz w:val="18"/>
                <w:szCs w:val="18"/>
                <w:color w:val="auto"/>
                <w:w w:val="98"/>
              </w:rPr>
              <w:t>Manufacturing</w:t>
            </w:r>
          </w:p>
        </w:tc>
        <w:tc>
          <w:tcPr>
            <w:tcW w:w="3780" w:type="dxa"/>
            <w:vAlign w:val="bottom"/>
          </w:tcPr>
          <w:p>
            <w:pPr>
              <w:jc w:val="center"/>
              <w:spacing w:after="0"/>
              <w:rPr>
                <w:sz w:val="20"/>
                <w:szCs w:val="20"/>
                <w:color w:val="auto"/>
              </w:rPr>
            </w:pPr>
            <w:r>
              <w:rPr>
                <w:rFonts w:ascii="Arial" w:cs="Arial" w:eastAsia="Arial" w:hAnsi="Arial"/>
                <w:sz w:val="18"/>
                <w:szCs w:val="18"/>
                <w:color w:val="auto"/>
                <w:w w:val="99"/>
              </w:rPr>
              <w:t>Finance</w:t>
            </w:r>
          </w:p>
        </w:tc>
        <w:tc>
          <w:tcPr>
            <w:tcW w:w="1640" w:type="dxa"/>
            <w:vAlign w:val="bottom"/>
          </w:tcPr>
          <w:p>
            <w:pPr>
              <w:jc w:val="center"/>
              <w:ind w:left="571"/>
              <w:spacing w:after="0"/>
              <w:rPr>
                <w:sz w:val="20"/>
                <w:szCs w:val="20"/>
                <w:color w:val="auto"/>
              </w:rPr>
            </w:pPr>
            <w:r>
              <w:rPr>
                <w:rFonts w:ascii="Arial" w:cs="Arial" w:eastAsia="Arial" w:hAnsi="Arial"/>
                <w:sz w:val="18"/>
                <w:szCs w:val="18"/>
                <w:color w:val="auto"/>
                <w:w w:val="98"/>
              </w:rPr>
              <w:t>Compliance</w:t>
            </w:r>
          </w:p>
        </w:tc>
        <w:tc>
          <w:tcPr>
            <w:tcW w:w="0" w:type="dxa"/>
            <w:vAlign w:val="bottom"/>
          </w:tcPr>
          <w:p>
            <w:pPr>
              <w:spacing w:after="0"/>
              <w:rPr>
                <w:sz w:val="1"/>
                <w:szCs w:val="1"/>
                <w:color w:val="auto"/>
              </w:rPr>
            </w:pPr>
          </w:p>
        </w:tc>
      </w:tr>
      <w:tr>
        <w:trPr>
          <w:trHeight w:val="473"/>
        </w:trPr>
        <w:tc>
          <w:tcPr>
            <w:tcW w:w="1720" w:type="dxa"/>
            <w:vAlign w:val="bottom"/>
          </w:tcPr>
          <w:p>
            <w:pPr>
              <w:jc w:val="center"/>
              <w:ind w:right="91"/>
              <w:spacing w:after="0"/>
              <w:rPr>
                <w:sz w:val="20"/>
                <w:szCs w:val="20"/>
                <w:color w:val="auto"/>
              </w:rPr>
            </w:pPr>
            <w:r>
              <w:rPr>
                <w:rFonts w:ascii="Arial" w:cs="Arial" w:eastAsia="Arial" w:hAnsi="Arial"/>
                <w:sz w:val="18"/>
                <w:szCs w:val="18"/>
                <w:b w:val="1"/>
                <w:bCs w:val="1"/>
                <w:color w:val="F75E14"/>
                <w:w w:val="99"/>
              </w:rPr>
              <w:t>Relevant Skills</w:t>
            </w:r>
          </w:p>
        </w:tc>
        <w:tc>
          <w:tcPr>
            <w:tcW w:w="2640" w:type="dxa"/>
            <w:vAlign w:val="bottom"/>
            <w:vMerge w:val="restart"/>
          </w:tcPr>
          <w:p>
            <w:pPr>
              <w:jc w:val="center"/>
              <w:ind w:right="411"/>
              <w:spacing w:after="0"/>
              <w:rPr>
                <w:sz w:val="20"/>
                <w:szCs w:val="20"/>
                <w:color w:val="auto"/>
              </w:rPr>
            </w:pPr>
            <w:r>
              <w:rPr>
                <w:rFonts w:ascii="Arial" w:cs="Arial" w:eastAsia="Arial" w:hAnsi="Arial"/>
                <w:sz w:val="18"/>
                <w:szCs w:val="18"/>
                <w:color w:val="auto"/>
                <w:w w:val="98"/>
              </w:rPr>
              <w:t>Marketing</w:t>
            </w:r>
          </w:p>
        </w:tc>
        <w:tc>
          <w:tcPr>
            <w:tcW w:w="3780" w:type="dxa"/>
            <w:vAlign w:val="bottom"/>
            <w:vMerge w:val="restart"/>
          </w:tcPr>
          <w:p>
            <w:pPr>
              <w:jc w:val="center"/>
              <w:spacing w:after="0"/>
              <w:rPr>
                <w:sz w:val="20"/>
                <w:szCs w:val="20"/>
                <w:color w:val="auto"/>
              </w:rPr>
            </w:pPr>
            <w:r>
              <w:rPr>
                <w:rFonts w:ascii="Arial" w:cs="Arial" w:eastAsia="Arial" w:hAnsi="Arial"/>
                <w:sz w:val="18"/>
                <w:szCs w:val="18"/>
                <w:color w:val="auto"/>
                <w:w w:val="98"/>
              </w:rPr>
              <w:t>Mergers and Acquisitions</w:t>
            </w:r>
          </w:p>
        </w:tc>
        <w:tc>
          <w:tcPr>
            <w:tcW w:w="1640" w:type="dxa"/>
            <w:vAlign w:val="bottom"/>
          </w:tcPr>
          <w:p>
            <w:pPr>
              <w:jc w:val="center"/>
              <w:ind w:left="571"/>
              <w:spacing w:after="0"/>
              <w:rPr>
                <w:sz w:val="20"/>
                <w:szCs w:val="20"/>
                <w:color w:val="auto"/>
              </w:rPr>
            </w:pPr>
            <w:r>
              <w:rPr>
                <w:rFonts w:ascii="Arial" w:cs="Arial" w:eastAsia="Arial" w:hAnsi="Arial"/>
                <w:sz w:val="18"/>
                <w:szCs w:val="18"/>
                <w:color w:val="auto"/>
                <w:w w:val="98"/>
              </w:rPr>
              <w:t>Government</w:t>
            </w:r>
          </w:p>
        </w:tc>
        <w:tc>
          <w:tcPr>
            <w:tcW w:w="0" w:type="dxa"/>
            <w:vAlign w:val="bottom"/>
          </w:tcPr>
          <w:p>
            <w:pPr>
              <w:spacing w:after="0"/>
              <w:rPr>
                <w:sz w:val="1"/>
                <w:szCs w:val="1"/>
                <w:color w:val="auto"/>
              </w:rPr>
            </w:pPr>
          </w:p>
        </w:tc>
      </w:tr>
      <w:tr>
        <w:trPr>
          <w:trHeight w:val="142"/>
        </w:trPr>
        <w:tc>
          <w:tcPr>
            <w:tcW w:w="1720" w:type="dxa"/>
            <w:vAlign w:val="bottom"/>
            <w:vMerge w:val="restart"/>
          </w:tcPr>
          <w:p>
            <w:pPr>
              <w:jc w:val="center"/>
              <w:ind w:right="91"/>
              <w:spacing w:after="0"/>
              <w:rPr>
                <w:sz w:val="20"/>
                <w:szCs w:val="20"/>
                <w:color w:val="auto"/>
              </w:rPr>
            </w:pPr>
            <w:r>
              <w:rPr>
                <w:rFonts w:ascii="Arial" w:cs="Arial" w:eastAsia="Arial" w:hAnsi="Arial"/>
                <w:sz w:val="18"/>
                <w:szCs w:val="18"/>
                <w:b w:val="1"/>
                <w:bCs w:val="1"/>
                <w:color w:val="F75E14"/>
                <w:w w:val="98"/>
              </w:rPr>
              <w:t>and Qualifications</w:t>
            </w:r>
          </w:p>
        </w:tc>
        <w:tc>
          <w:tcPr>
            <w:tcW w:w="2640" w:type="dxa"/>
            <w:vAlign w:val="bottom"/>
            <w:vMerge w:val="continue"/>
          </w:tcPr>
          <w:p>
            <w:pPr>
              <w:spacing w:after="0"/>
              <w:rPr>
                <w:sz w:val="12"/>
                <w:szCs w:val="12"/>
                <w:color w:val="auto"/>
              </w:rPr>
            </w:pPr>
          </w:p>
        </w:tc>
        <w:tc>
          <w:tcPr>
            <w:tcW w:w="3780" w:type="dxa"/>
            <w:vAlign w:val="bottom"/>
            <w:vMerge w:val="continue"/>
          </w:tcPr>
          <w:p>
            <w:pPr>
              <w:spacing w:after="0"/>
              <w:rPr>
                <w:sz w:val="12"/>
                <w:szCs w:val="12"/>
                <w:color w:val="auto"/>
              </w:rPr>
            </w:pPr>
          </w:p>
        </w:tc>
        <w:tc>
          <w:tcPr>
            <w:tcW w:w="1640" w:type="dxa"/>
            <w:vAlign w:val="bottom"/>
            <w:vMerge w:val="restart"/>
          </w:tcPr>
          <w:p>
            <w:pPr>
              <w:jc w:val="center"/>
              <w:ind w:left="571"/>
              <w:spacing w:after="0"/>
              <w:rPr>
                <w:sz w:val="20"/>
                <w:szCs w:val="20"/>
                <w:color w:val="auto"/>
              </w:rPr>
            </w:pPr>
            <w:r>
              <w:rPr>
                <w:rFonts w:ascii="Arial" w:cs="Arial" w:eastAsia="Arial" w:hAnsi="Arial"/>
                <w:sz w:val="18"/>
                <w:szCs w:val="18"/>
                <w:color w:val="auto"/>
                <w:w w:val="98"/>
              </w:rPr>
              <w:t>Relations</w:t>
            </w:r>
          </w:p>
        </w:tc>
        <w:tc>
          <w:tcPr>
            <w:tcW w:w="0" w:type="dxa"/>
            <w:vAlign w:val="bottom"/>
          </w:tcPr>
          <w:p>
            <w:pPr>
              <w:spacing w:after="0"/>
              <w:rPr>
                <w:sz w:val="1"/>
                <w:szCs w:val="1"/>
                <w:color w:val="auto"/>
              </w:rPr>
            </w:pPr>
          </w:p>
        </w:tc>
      </w:tr>
      <w:tr>
        <w:trPr>
          <w:trHeight w:val="107"/>
        </w:trPr>
        <w:tc>
          <w:tcPr>
            <w:tcW w:w="1720" w:type="dxa"/>
            <w:vAlign w:val="bottom"/>
            <w:vMerge w:val="continue"/>
          </w:tcPr>
          <w:p>
            <w:pPr>
              <w:spacing w:after="0"/>
              <w:rPr>
                <w:sz w:val="9"/>
                <w:szCs w:val="9"/>
                <w:color w:val="auto"/>
              </w:rPr>
            </w:pPr>
          </w:p>
        </w:tc>
        <w:tc>
          <w:tcPr>
            <w:tcW w:w="2640" w:type="dxa"/>
            <w:vAlign w:val="bottom"/>
          </w:tcPr>
          <w:p>
            <w:pPr>
              <w:spacing w:after="0"/>
              <w:rPr>
                <w:sz w:val="9"/>
                <w:szCs w:val="9"/>
                <w:color w:val="auto"/>
              </w:rPr>
            </w:pPr>
          </w:p>
        </w:tc>
        <w:tc>
          <w:tcPr>
            <w:tcW w:w="3780" w:type="dxa"/>
            <w:vAlign w:val="bottom"/>
          </w:tcPr>
          <w:p>
            <w:pPr>
              <w:spacing w:after="0"/>
              <w:rPr>
                <w:sz w:val="9"/>
                <w:szCs w:val="9"/>
                <w:color w:val="auto"/>
              </w:rPr>
            </w:pPr>
          </w:p>
        </w:tc>
        <w:tc>
          <w:tcPr>
            <w:tcW w:w="16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1720" w:type="dxa"/>
            <w:vAlign w:val="bottom"/>
          </w:tcPr>
          <w:p>
            <w:pPr>
              <w:spacing w:after="0"/>
              <w:rPr>
                <w:sz w:val="24"/>
                <w:szCs w:val="24"/>
                <w:color w:val="auto"/>
              </w:rPr>
            </w:pPr>
          </w:p>
        </w:tc>
        <w:tc>
          <w:tcPr>
            <w:tcW w:w="2640" w:type="dxa"/>
            <w:vAlign w:val="bottom"/>
          </w:tcPr>
          <w:p>
            <w:pPr>
              <w:jc w:val="center"/>
              <w:ind w:right="431"/>
              <w:spacing w:after="0"/>
              <w:rPr>
                <w:sz w:val="20"/>
                <w:szCs w:val="20"/>
                <w:color w:val="auto"/>
              </w:rPr>
            </w:pPr>
            <w:r>
              <w:rPr>
                <w:rFonts w:ascii="Arial" w:cs="Arial" w:eastAsia="Arial" w:hAnsi="Arial"/>
                <w:sz w:val="18"/>
                <w:szCs w:val="18"/>
                <w:color w:val="auto"/>
                <w:w w:val="98"/>
              </w:rPr>
              <w:t>Environmental, Social</w:t>
            </w:r>
          </w:p>
        </w:tc>
        <w:tc>
          <w:tcPr>
            <w:tcW w:w="3780" w:type="dxa"/>
            <w:vAlign w:val="bottom"/>
          </w:tcPr>
          <w:p>
            <w:pPr>
              <w:spacing w:after="0"/>
              <w:rPr>
                <w:sz w:val="24"/>
                <w:szCs w:val="24"/>
                <w:color w:val="auto"/>
              </w:rPr>
            </w:pPr>
          </w:p>
        </w:tc>
        <w:tc>
          <w:tcPr>
            <w:tcW w:w="1640" w:type="dxa"/>
            <w:vAlign w:val="bottom"/>
            <w:vMerge w:val="restart"/>
          </w:tcPr>
          <w:p>
            <w:pPr>
              <w:jc w:val="center"/>
              <w:ind w:left="571"/>
              <w:spacing w:after="0"/>
              <w:rPr>
                <w:sz w:val="20"/>
                <w:szCs w:val="20"/>
                <w:color w:val="auto"/>
              </w:rPr>
            </w:pPr>
            <w:r>
              <w:rPr>
                <w:rFonts w:ascii="Arial" w:cs="Arial" w:eastAsia="Arial" w:hAnsi="Arial"/>
                <w:sz w:val="18"/>
                <w:szCs w:val="18"/>
                <w:color w:val="auto"/>
                <w:w w:val="99"/>
              </w:rPr>
              <w:t>Information</w:t>
            </w:r>
          </w:p>
        </w:tc>
        <w:tc>
          <w:tcPr>
            <w:tcW w:w="0" w:type="dxa"/>
            <w:vAlign w:val="bottom"/>
          </w:tcPr>
          <w:p>
            <w:pPr>
              <w:spacing w:after="0"/>
              <w:rPr>
                <w:sz w:val="1"/>
                <w:szCs w:val="1"/>
                <w:color w:val="auto"/>
              </w:rPr>
            </w:pPr>
          </w:p>
        </w:tc>
      </w:tr>
      <w:tr>
        <w:trPr>
          <w:trHeight w:val="94"/>
        </w:trPr>
        <w:tc>
          <w:tcPr>
            <w:tcW w:w="1720" w:type="dxa"/>
            <w:vAlign w:val="bottom"/>
          </w:tcPr>
          <w:p>
            <w:pPr>
              <w:spacing w:after="0"/>
              <w:rPr>
                <w:sz w:val="8"/>
                <w:szCs w:val="8"/>
                <w:color w:val="auto"/>
              </w:rPr>
            </w:pPr>
          </w:p>
        </w:tc>
        <w:tc>
          <w:tcPr>
            <w:tcW w:w="2640" w:type="dxa"/>
            <w:vAlign w:val="bottom"/>
            <w:vMerge w:val="restart"/>
          </w:tcPr>
          <w:p>
            <w:pPr>
              <w:jc w:val="center"/>
              <w:ind w:right="431"/>
              <w:spacing w:after="0" w:line="201" w:lineRule="exact"/>
              <w:rPr>
                <w:sz w:val="20"/>
                <w:szCs w:val="20"/>
                <w:color w:val="auto"/>
              </w:rPr>
            </w:pPr>
            <w:r>
              <w:rPr>
                <w:rFonts w:ascii="Arial" w:cs="Arial" w:eastAsia="Arial" w:hAnsi="Arial"/>
                <w:sz w:val="18"/>
                <w:szCs w:val="18"/>
                <w:color w:val="auto"/>
                <w:w w:val="99"/>
              </w:rPr>
              <w:t>and Governance</w:t>
            </w:r>
          </w:p>
        </w:tc>
        <w:tc>
          <w:tcPr>
            <w:tcW w:w="3780" w:type="dxa"/>
            <w:vAlign w:val="bottom"/>
            <w:vMerge w:val="restart"/>
          </w:tcPr>
          <w:p>
            <w:pPr>
              <w:jc w:val="center"/>
              <w:spacing w:after="0" w:line="201" w:lineRule="exact"/>
              <w:rPr>
                <w:sz w:val="20"/>
                <w:szCs w:val="20"/>
                <w:color w:val="auto"/>
              </w:rPr>
            </w:pPr>
            <w:r>
              <w:rPr>
                <w:rFonts w:ascii="Arial" w:cs="Arial" w:eastAsia="Arial" w:hAnsi="Arial"/>
                <w:sz w:val="18"/>
                <w:szCs w:val="18"/>
                <w:color w:val="auto"/>
                <w:w w:val="98"/>
              </w:rPr>
              <w:t>Sustainability/Climate</w:t>
            </w:r>
          </w:p>
        </w:tc>
        <w:tc>
          <w:tcPr>
            <w:tcW w:w="16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7"/>
        </w:trPr>
        <w:tc>
          <w:tcPr>
            <w:tcW w:w="1720" w:type="dxa"/>
            <w:vAlign w:val="bottom"/>
          </w:tcPr>
          <w:p>
            <w:pPr>
              <w:spacing w:after="0"/>
              <w:rPr>
                <w:sz w:val="9"/>
                <w:szCs w:val="9"/>
                <w:color w:val="auto"/>
              </w:rPr>
            </w:pPr>
          </w:p>
        </w:tc>
        <w:tc>
          <w:tcPr>
            <w:tcW w:w="2640" w:type="dxa"/>
            <w:vAlign w:val="bottom"/>
            <w:vMerge w:val="continue"/>
          </w:tcPr>
          <w:p>
            <w:pPr>
              <w:spacing w:after="0"/>
              <w:rPr>
                <w:sz w:val="9"/>
                <w:szCs w:val="9"/>
                <w:color w:val="auto"/>
              </w:rPr>
            </w:pPr>
          </w:p>
        </w:tc>
        <w:tc>
          <w:tcPr>
            <w:tcW w:w="3780" w:type="dxa"/>
            <w:vAlign w:val="bottom"/>
            <w:vMerge w:val="continue"/>
          </w:tcPr>
          <w:p>
            <w:pPr>
              <w:spacing w:after="0"/>
              <w:rPr>
                <w:sz w:val="9"/>
                <w:szCs w:val="9"/>
                <w:color w:val="auto"/>
              </w:rPr>
            </w:pPr>
          </w:p>
        </w:tc>
        <w:tc>
          <w:tcPr>
            <w:tcW w:w="1640" w:type="dxa"/>
            <w:vAlign w:val="bottom"/>
            <w:vMerge w:val="restart"/>
          </w:tcPr>
          <w:p>
            <w:pPr>
              <w:jc w:val="center"/>
              <w:ind w:left="571"/>
              <w:spacing w:after="0"/>
              <w:rPr>
                <w:sz w:val="20"/>
                <w:szCs w:val="20"/>
                <w:color w:val="auto"/>
              </w:rPr>
            </w:pPr>
            <w:r>
              <w:rPr>
                <w:rFonts w:ascii="Arial" w:cs="Arial" w:eastAsia="Arial" w:hAnsi="Arial"/>
                <w:sz w:val="18"/>
                <w:szCs w:val="18"/>
                <w:color w:val="auto"/>
              </w:rPr>
              <w:t>Security</w:t>
            </w:r>
          </w:p>
        </w:tc>
        <w:tc>
          <w:tcPr>
            <w:tcW w:w="0" w:type="dxa"/>
            <w:vAlign w:val="bottom"/>
          </w:tcPr>
          <w:p>
            <w:pPr>
              <w:spacing w:after="0"/>
              <w:rPr>
                <w:sz w:val="1"/>
                <w:szCs w:val="1"/>
                <w:color w:val="auto"/>
              </w:rPr>
            </w:pPr>
          </w:p>
        </w:tc>
      </w:tr>
      <w:tr>
        <w:trPr>
          <w:trHeight w:val="128"/>
        </w:trPr>
        <w:tc>
          <w:tcPr>
            <w:tcW w:w="1720" w:type="dxa"/>
            <w:vAlign w:val="bottom"/>
          </w:tcPr>
          <w:p>
            <w:pPr>
              <w:spacing w:after="0"/>
              <w:rPr>
                <w:sz w:val="11"/>
                <w:szCs w:val="11"/>
                <w:color w:val="auto"/>
              </w:rPr>
            </w:pPr>
          </w:p>
        </w:tc>
        <w:tc>
          <w:tcPr>
            <w:tcW w:w="2640" w:type="dxa"/>
            <w:vAlign w:val="bottom"/>
            <w:vMerge w:val="restart"/>
          </w:tcPr>
          <w:p>
            <w:pPr>
              <w:jc w:val="center"/>
              <w:ind w:right="411"/>
              <w:spacing w:after="0"/>
              <w:rPr>
                <w:sz w:val="20"/>
                <w:szCs w:val="20"/>
                <w:color w:val="auto"/>
              </w:rPr>
            </w:pPr>
            <w:r>
              <w:rPr>
                <w:rFonts w:ascii="Arial" w:cs="Arial" w:eastAsia="Arial" w:hAnsi="Arial"/>
                <w:sz w:val="18"/>
                <w:szCs w:val="18"/>
                <w:color w:val="auto"/>
                <w:w w:val="99"/>
              </w:rPr>
              <w:t>(“ESG”)</w:t>
            </w:r>
          </w:p>
        </w:tc>
        <w:tc>
          <w:tcPr>
            <w:tcW w:w="3780" w:type="dxa"/>
            <w:vAlign w:val="bottom"/>
          </w:tcPr>
          <w:p>
            <w:pPr>
              <w:spacing w:after="0"/>
              <w:rPr>
                <w:sz w:val="11"/>
                <w:szCs w:val="11"/>
                <w:color w:val="auto"/>
              </w:rPr>
            </w:pPr>
          </w:p>
        </w:tc>
        <w:tc>
          <w:tcPr>
            <w:tcW w:w="16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720" w:type="dxa"/>
            <w:vAlign w:val="bottom"/>
          </w:tcPr>
          <w:p>
            <w:pPr>
              <w:spacing w:after="0"/>
              <w:rPr>
                <w:sz w:val="9"/>
                <w:szCs w:val="9"/>
                <w:color w:val="auto"/>
              </w:rPr>
            </w:pPr>
          </w:p>
        </w:tc>
        <w:tc>
          <w:tcPr>
            <w:tcW w:w="2640" w:type="dxa"/>
            <w:vAlign w:val="bottom"/>
            <w:vMerge w:val="continue"/>
          </w:tcPr>
          <w:p>
            <w:pPr>
              <w:spacing w:after="0"/>
              <w:rPr>
                <w:sz w:val="9"/>
                <w:szCs w:val="9"/>
                <w:color w:val="auto"/>
              </w:rPr>
            </w:pPr>
          </w:p>
        </w:tc>
        <w:tc>
          <w:tcPr>
            <w:tcW w:w="3780" w:type="dxa"/>
            <w:vAlign w:val="bottom"/>
          </w:tcPr>
          <w:p>
            <w:pPr>
              <w:spacing w:after="0"/>
              <w:rPr>
                <w:sz w:val="9"/>
                <w:szCs w:val="9"/>
                <w:color w:val="auto"/>
              </w:rPr>
            </w:pPr>
          </w:p>
        </w:tc>
        <w:tc>
          <w:tcPr>
            <w:tcW w:w="16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2866390</wp:posOffset>
            </wp:positionH>
            <wp:positionV relativeFrom="paragraph">
              <wp:posOffset>-1113155</wp:posOffset>
            </wp:positionV>
            <wp:extent cx="212090" cy="2120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12090" cy="212090"/>
                    </a:xfrm>
                    <a:prstGeom prst="rect">
                      <a:avLst/>
                    </a:prstGeom>
                    <a:noFill/>
                  </pic:spPr>
                </pic:pic>
              </a:graphicData>
            </a:graphic>
          </wp:anchor>
        </w:drawing>
        <w:drawing>
          <wp:anchor simplePos="0" relativeHeight="251657728" behindDoc="1" locked="0" layoutInCell="0" allowOverlap="1">
            <wp:simplePos x="0" y="0"/>
            <wp:positionH relativeFrom="column">
              <wp:posOffset>5278120</wp:posOffset>
            </wp:positionH>
            <wp:positionV relativeFrom="paragraph">
              <wp:posOffset>-1113155</wp:posOffset>
            </wp:positionV>
            <wp:extent cx="271780" cy="2038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71780" cy="203835"/>
                    </a:xfrm>
                    <a:prstGeom prst="rect">
                      <a:avLst/>
                    </a:prstGeom>
                    <a:noFill/>
                  </pic:spPr>
                </pic:pic>
              </a:graphicData>
            </a:graphic>
          </wp:anchor>
        </w:drawing>
        <w:drawing>
          <wp:anchor simplePos="0" relativeHeight="251657728" behindDoc="1" locked="0" layoutInCell="0" allowOverlap="1">
            <wp:simplePos x="0" y="0"/>
            <wp:positionH relativeFrom="column">
              <wp:posOffset>6772910</wp:posOffset>
            </wp:positionH>
            <wp:positionV relativeFrom="paragraph">
              <wp:posOffset>-1172845</wp:posOffset>
            </wp:positionV>
            <wp:extent cx="203835" cy="2038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03835" cy="203835"/>
                    </a:xfrm>
                    <a:prstGeom prst="rect">
                      <a:avLst/>
                    </a:prstGeom>
                    <a:noFill/>
                  </pic:spPr>
                </pic:pic>
              </a:graphicData>
            </a:graphic>
          </wp:anchor>
        </w:drawing>
        <w:drawing>
          <wp:anchor simplePos="0" relativeHeight="251657728" behindDoc="1" locked="0" layoutInCell="0" allowOverlap="1">
            <wp:simplePos x="0" y="0"/>
            <wp:positionH relativeFrom="column">
              <wp:posOffset>5287010</wp:posOffset>
            </wp:positionH>
            <wp:positionV relativeFrom="paragraph">
              <wp:posOffset>-706120</wp:posOffset>
            </wp:positionV>
            <wp:extent cx="263525" cy="1784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63525" cy="178435"/>
                    </a:xfrm>
                    <a:prstGeom prst="rect">
                      <a:avLst/>
                    </a:prstGeom>
                    <a:noFill/>
                  </pic:spPr>
                </pic:pic>
              </a:graphicData>
            </a:graphic>
          </wp:anchor>
        </w:drawing>
        <w:drawing>
          <wp:anchor simplePos="0" relativeHeight="251657728" behindDoc="1" locked="0" layoutInCell="0" allowOverlap="1">
            <wp:simplePos x="0" y="0"/>
            <wp:positionH relativeFrom="column">
              <wp:posOffset>6772910</wp:posOffset>
            </wp:positionH>
            <wp:positionV relativeFrom="paragraph">
              <wp:posOffset>-774065</wp:posOffset>
            </wp:positionV>
            <wp:extent cx="195580" cy="1866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95580" cy="186690"/>
                    </a:xfrm>
                    <a:prstGeom prst="rect">
                      <a:avLst/>
                    </a:prstGeom>
                    <a:noFill/>
                  </pic:spPr>
                </pic:pic>
              </a:graphicData>
            </a:graphic>
          </wp:anchor>
        </w:drawing>
        <w:drawing>
          <wp:anchor simplePos="0" relativeHeight="251657728" behindDoc="1" locked="0" layoutInCell="0" allowOverlap="1">
            <wp:simplePos x="0" y="0"/>
            <wp:positionH relativeFrom="column">
              <wp:posOffset>2840990</wp:posOffset>
            </wp:positionH>
            <wp:positionV relativeFrom="paragraph">
              <wp:posOffset>-323850</wp:posOffset>
            </wp:positionV>
            <wp:extent cx="263525" cy="2120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63525" cy="212090"/>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-340360</wp:posOffset>
            </wp:positionV>
            <wp:extent cx="220980" cy="2463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20980" cy="246380"/>
                    </a:xfrm>
                    <a:prstGeom prst="rect">
                      <a:avLst/>
                    </a:prstGeom>
                    <a:noFill/>
                  </pic:spPr>
                </pic:pic>
              </a:graphicData>
            </a:graphic>
          </wp:anchor>
        </w:drawing>
        <w:drawing>
          <wp:anchor simplePos="0" relativeHeight="251657728" behindDoc="1" locked="0" layoutInCell="0" allowOverlap="1">
            <wp:simplePos x="0" y="0"/>
            <wp:positionH relativeFrom="column">
              <wp:posOffset>6790055</wp:posOffset>
            </wp:positionH>
            <wp:positionV relativeFrom="paragraph">
              <wp:posOffset>-332105</wp:posOffset>
            </wp:positionV>
            <wp:extent cx="169545" cy="2374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69545" cy="237490"/>
                    </a:xfrm>
                    <a:prstGeom prst="rect">
                      <a:avLst/>
                    </a:prstGeom>
                    <a:noFill/>
                  </pic:spPr>
                </pic:pic>
              </a:graphicData>
            </a:graphic>
          </wp:anchor>
        </w:drawing>
      </w:r>
    </w:p>
    <w:p>
      <w:pPr>
        <w:spacing w:after="0" w:line="102" w:lineRule="exact"/>
        <w:rPr>
          <w:sz w:val="20"/>
          <w:szCs w:val="20"/>
          <w:color w:val="auto"/>
        </w:rPr>
      </w:pPr>
    </w:p>
    <w:p>
      <w:pPr>
        <w:ind w:left="440" w:hanging="273"/>
        <w:spacing w:after="0"/>
        <w:tabs>
          <w:tab w:leader="none" w:pos="440" w:val="left"/>
        </w:tabs>
        <w:numPr>
          <w:ilvl w:val="0"/>
          <w:numId w:val="8"/>
        </w:numPr>
        <w:rPr>
          <w:rFonts w:ascii="Arial" w:cs="Arial" w:eastAsia="Arial" w:hAnsi="Arial"/>
          <w:sz w:val="14"/>
          <w:szCs w:val="14"/>
          <w:color w:val="F75E14"/>
        </w:rPr>
      </w:pPr>
      <w:r>
        <w:rPr>
          <w:rFonts w:ascii="Arial" w:cs="Arial" w:eastAsia="Arial" w:hAnsi="Arial"/>
          <w:sz w:val="14"/>
          <w:szCs w:val="14"/>
          <w:color w:val="F75E14"/>
        </w:rPr>
        <w:t>onsemi 2022 Proxy Statement</w:t>
      </w:r>
    </w:p>
    <w:p>
      <w:pPr>
        <w:sectPr>
          <w:pgSz w:w="11900" w:h="16838" w:orient="portrait"/>
          <w:cols w:equalWidth="0" w:num="1">
            <w:col w:w="11080"/>
          </w:cols>
          <w:pgMar w:left="320" w:top="454" w:right="499" w:bottom="1440" w:gutter="0" w:footer="0" w:header="0"/>
          <w:type w:val="continuous"/>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2" w:lineRule="exact"/>
        <w:rPr>
          <w:sz w:val="20"/>
          <w:szCs w:val="20"/>
          <w:color w:val="auto"/>
        </w:rPr>
      </w:pPr>
    </w:p>
    <w:p>
      <w:pPr>
        <w:jc w:val="right"/>
        <w:spacing w:after="0"/>
        <w:rPr>
          <w:sz w:val="20"/>
          <w:szCs w:val="20"/>
          <w:color w:val="auto"/>
        </w:rPr>
      </w:pPr>
      <w:r>
        <w:rPr>
          <w:rFonts w:ascii="Arial" w:cs="Arial" w:eastAsia="Arial" w:hAnsi="Arial"/>
          <w:sz w:val="18"/>
          <w:szCs w:val="18"/>
          <w:color w:val="F75E14"/>
        </w:rPr>
        <w:t>Management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101600</wp:posOffset>
            </wp:positionV>
            <wp:extent cx="6861810" cy="762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61810" cy="76200"/>
                    </a:xfrm>
                    <a:prstGeom prst="rect">
                      <a:avLst/>
                    </a:prstGeom>
                    <a:noFill/>
                  </pic:spPr>
                </pic:pic>
              </a:graphicData>
            </a:graphic>
          </wp:anchor>
        </w:drawing>
      </w:r>
    </w:p>
    <w:p>
      <w:pPr>
        <w:spacing w:after="0" w:line="344" w:lineRule="exact"/>
        <w:rPr>
          <w:sz w:val="20"/>
          <w:szCs w:val="20"/>
          <w:color w:val="auto"/>
        </w:rPr>
      </w:pPr>
    </w:p>
    <w:tbl>
      <w:tblPr>
        <w:tblLayout w:type="fixed"/>
        <w:tblInd w:w="250" w:type="dxa"/>
        <w:tblCellMar>
          <w:top w:w="0" w:type="dxa"/>
          <w:left w:w="0" w:type="dxa"/>
          <w:bottom w:w="0" w:type="dxa"/>
          <w:right w:w="0" w:type="dxa"/>
        </w:tblCellMar>
      </w:tblPr>
      <w:tr>
        <w:trPr>
          <w:trHeight w:val="184"/>
        </w:trPr>
        <w:tc>
          <w:tcPr>
            <w:tcW w:w="3220" w:type="dxa"/>
            <w:vAlign w:val="bottom"/>
          </w:tcPr>
          <w:p>
            <w:pPr>
              <w:ind w:left="300"/>
              <w:spacing w:after="0"/>
              <w:rPr>
                <w:sz w:val="20"/>
                <w:szCs w:val="20"/>
                <w:color w:val="auto"/>
              </w:rPr>
            </w:pPr>
            <w:r>
              <w:rPr>
                <w:rFonts w:ascii="Arial" w:cs="Arial" w:eastAsia="Arial" w:hAnsi="Arial"/>
                <w:sz w:val="16"/>
                <w:szCs w:val="16"/>
                <w:b w:val="1"/>
                <w:bCs w:val="1"/>
                <w:color w:val="2B4772"/>
              </w:rPr>
              <w:t>ATSUSHI ABE</w:t>
            </w:r>
          </w:p>
        </w:tc>
        <w:tc>
          <w:tcPr>
            <w:tcW w:w="7580" w:type="dxa"/>
            <w:vAlign w:val="bottom"/>
          </w:tcPr>
          <w:p>
            <w:pPr>
              <w:ind w:left="300"/>
              <w:spacing w:after="0"/>
              <w:rPr>
                <w:sz w:val="20"/>
                <w:szCs w:val="20"/>
                <w:color w:val="auto"/>
              </w:rPr>
            </w:pPr>
            <w:r>
              <w:rPr>
                <w:rFonts w:ascii="Arial" w:cs="Arial" w:eastAsia="Arial" w:hAnsi="Arial"/>
                <w:sz w:val="16"/>
                <w:szCs w:val="16"/>
                <w:b w:val="1"/>
                <w:bCs w:val="1"/>
                <w:color w:val="2B4772"/>
              </w:rPr>
              <w:t>Career Highlights</w:t>
            </w:r>
          </w:p>
        </w:tc>
        <w:tc>
          <w:tcPr>
            <w:tcW w:w="0" w:type="dxa"/>
            <w:vAlign w:val="bottom"/>
          </w:tcPr>
          <w:p>
            <w:pPr>
              <w:spacing w:after="0"/>
              <w:rPr>
                <w:sz w:val="1"/>
                <w:szCs w:val="1"/>
                <w:color w:val="auto"/>
              </w:rPr>
            </w:pPr>
          </w:p>
        </w:tc>
      </w:tr>
      <w:tr>
        <w:trPr>
          <w:trHeight w:val="226"/>
        </w:trPr>
        <w:tc>
          <w:tcPr>
            <w:tcW w:w="3220" w:type="dxa"/>
            <w:vAlign w:val="bottom"/>
          </w:tcPr>
          <w:p>
            <w:pPr>
              <w:spacing w:after="0"/>
              <w:rPr>
                <w:sz w:val="19"/>
                <w:szCs w:val="19"/>
                <w:color w:val="auto"/>
              </w:rPr>
            </w:pPr>
          </w:p>
        </w:tc>
        <w:tc>
          <w:tcPr>
            <w:tcW w:w="7580" w:type="dxa"/>
            <w:vAlign w:val="bottom"/>
          </w:tcPr>
          <w:p>
            <w:pPr>
              <w:ind w:left="300"/>
              <w:spacing w:after="0" w:line="184" w:lineRule="exact"/>
              <w:rPr>
                <w:sz w:val="20"/>
                <w:szCs w:val="20"/>
                <w:color w:val="auto"/>
              </w:rPr>
            </w:pPr>
            <w:r>
              <w:rPr>
                <w:rFonts w:ascii="MS PGothic" w:cs="MS PGothic" w:eastAsia="MS PGothic" w:hAnsi="MS PGothic"/>
                <w:sz w:val="16"/>
                <w:szCs w:val="16"/>
                <w:color w:val="2A5597"/>
              </w:rPr>
              <w:t>∎</w:t>
            </w:r>
            <w:r>
              <w:rPr>
                <w:rFonts w:ascii="Arial" w:cs="Arial" w:eastAsia="Arial" w:hAnsi="Arial"/>
                <w:sz w:val="16"/>
                <w:szCs w:val="16"/>
                <w:b w:val="1"/>
                <w:bCs w:val="1"/>
                <w:color w:val="auto"/>
              </w:rPr>
              <w:t xml:space="preserve"> Sangyo Sosei Advisory Inc. </w:t>
            </w:r>
            <w:r>
              <w:rPr>
                <w:rFonts w:ascii="Arial" w:cs="Arial" w:eastAsia="Arial" w:hAnsi="Arial"/>
                <w:sz w:val="16"/>
                <w:szCs w:val="16"/>
                <w:color w:val="auto"/>
              </w:rPr>
              <w:t>(a technology, media and telecommunication industry-focused</w:t>
            </w:r>
          </w:p>
        </w:tc>
        <w:tc>
          <w:tcPr>
            <w:tcW w:w="0" w:type="dxa"/>
            <w:vAlign w:val="bottom"/>
          </w:tcPr>
          <w:p>
            <w:pPr>
              <w:spacing w:after="0"/>
              <w:rPr>
                <w:sz w:val="1"/>
                <w:szCs w:val="1"/>
                <w:color w:val="auto"/>
              </w:rPr>
            </w:pPr>
          </w:p>
        </w:tc>
      </w:tr>
      <w:tr>
        <w:trPr>
          <w:trHeight w:val="187"/>
        </w:trPr>
        <w:tc>
          <w:tcPr>
            <w:tcW w:w="3220" w:type="dxa"/>
            <w:vAlign w:val="bottom"/>
          </w:tcPr>
          <w:p>
            <w:pPr>
              <w:spacing w:after="0"/>
              <w:rPr>
                <w:sz w:val="16"/>
                <w:szCs w:val="16"/>
                <w:color w:val="auto"/>
              </w:rPr>
            </w:pPr>
          </w:p>
        </w:tc>
        <w:tc>
          <w:tcPr>
            <w:tcW w:w="7580" w:type="dxa"/>
            <w:vAlign w:val="bottom"/>
          </w:tcPr>
          <w:p>
            <w:pPr>
              <w:ind w:left="540"/>
              <w:spacing w:after="0"/>
              <w:rPr>
                <w:sz w:val="20"/>
                <w:szCs w:val="20"/>
                <w:color w:val="auto"/>
              </w:rPr>
            </w:pPr>
            <w:r>
              <w:rPr>
                <w:rFonts w:ascii="Arial" w:cs="Arial" w:eastAsia="Arial" w:hAnsi="Arial"/>
                <w:sz w:val="16"/>
                <w:szCs w:val="16"/>
                <w:color w:val="auto"/>
              </w:rPr>
              <w:t>mergers and acquisitions advisory firm)</w:t>
            </w:r>
            <w:r>
              <w:rPr>
                <w:rFonts w:ascii="Arial" w:cs="Arial" w:eastAsia="Arial" w:hAnsi="Arial"/>
                <w:sz w:val="16"/>
                <w:szCs w:val="16"/>
                <w:b w:val="1"/>
                <w:bCs w:val="1"/>
                <w:color w:val="auto"/>
              </w:rPr>
              <w:t>, 2009 – Present</w:t>
            </w:r>
          </w:p>
        </w:tc>
        <w:tc>
          <w:tcPr>
            <w:tcW w:w="0" w:type="dxa"/>
            <w:vAlign w:val="bottom"/>
          </w:tcPr>
          <w:p>
            <w:pPr>
              <w:spacing w:after="0"/>
              <w:rPr>
                <w:sz w:val="1"/>
                <w:szCs w:val="1"/>
                <w:color w:val="auto"/>
              </w:rPr>
            </w:pPr>
          </w:p>
        </w:tc>
      </w:tr>
      <w:tr>
        <w:trPr>
          <w:trHeight w:val="187"/>
        </w:trPr>
        <w:tc>
          <w:tcPr>
            <w:tcW w:w="3220" w:type="dxa"/>
            <w:vAlign w:val="bottom"/>
          </w:tcPr>
          <w:p>
            <w:pPr>
              <w:spacing w:after="0"/>
              <w:rPr>
                <w:sz w:val="16"/>
                <w:szCs w:val="16"/>
                <w:color w:val="auto"/>
              </w:rPr>
            </w:pPr>
          </w:p>
        </w:tc>
        <w:tc>
          <w:tcPr>
            <w:tcW w:w="7580" w:type="dxa"/>
            <w:vAlign w:val="bottom"/>
          </w:tcPr>
          <w:p>
            <w:pPr>
              <w:ind w:left="560"/>
              <w:spacing w:after="0"/>
              <w:rPr>
                <w:sz w:val="20"/>
                <w:szCs w:val="20"/>
                <w:color w:val="auto"/>
              </w:rPr>
            </w:pPr>
            <w:r>
              <w:rPr>
                <w:rFonts w:ascii="Arial" w:cs="Arial" w:eastAsia="Arial" w:hAnsi="Arial"/>
                <w:sz w:val="16"/>
                <w:szCs w:val="16"/>
                <w:color w:val="auto"/>
              </w:rPr>
              <w:t>— Senior Advisor</w:t>
            </w:r>
          </w:p>
        </w:tc>
        <w:tc>
          <w:tcPr>
            <w:tcW w:w="0" w:type="dxa"/>
            <w:vAlign w:val="bottom"/>
          </w:tcPr>
          <w:p>
            <w:pPr>
              <w:spacing w:after="0"/>
              <w:rPr>
                <w:sz w:val="1"/>
                <w:szCs w:val="1"/>
                <w:color w:val="auto"/>
              </w:rPr>
            </w:pPr>
          </w:p>
        </w:tc>
      </w:tr>
      <w:tr>
        <w:trPr>
          <w:trHeight w:val="211"/>
        </w:trPr>
        <w:tc>
          <w:tcPr>
            <w:tcW w:w="3220" w:type="dxa"/>
            <w:vAlign w:val="bottom"/>
          </w:tcPr>
          <w:p>
            <w:pPr>
              <w:spacing w:after="0"/>
              <w:rPr>
                <w:sz w:val="18"/>
                <w:szCs w:val="18"/>
                <w:color w:val="auto"/>
              </w:rPr>
            </w:pPr>
          </w:p>
        </w:tc>
        <w:tc>
          <w:tcPr>
            <w:tcW w:w="7580" w:type="dxa"/>
            <w:vAlign w:val="bottom"/>
          </w:tcPr>
          <w:p>
            <w:pPr>
              <w:ind w:left="560"/>
              <w:spacing w:after="0"/>
              <w:rPr>
                <w:sz w:val="20"/>
                <w:szCs w:val="20"/>
                <w:color w:val="auto"/>
              </w:rPr>
            </w:pPr>
            <w:r>
              <w:rPr>
                <w:rFonts w:ascii="Arial" w:cs="Arial" w:eastAsia="Arial" w:hAnsi="Arial"/>
                <w:sz w:val="16"/>
                <w:szCs w:val="16"/>
                <w:color w:val="auto"/>
              </w:rPr>
              <w:t>— Managing Partner</w:t>
            </w:r>
          </w:p>
        </w:tc>
        <w:tc>
          <w:tcPr>
            <w:tcW w:w="0" w:type="dxa"/>
            <w:vAlign w:val="bottom"/>
          </w:tcPr>
          <w:p>
            <w:pPr>
              <w:spacing w:after="0"/>
              <w:rPr>
                <w:sz w:val="1"/>
                <w:szCs w:val="1"/>
                <w:color w:val="auto"/>
              </w:rPr>
            </w:pPr>
          </w:p>
        </w:tc>
      </w:tr>
      <w:tr>
        <w:trPr>
          <w:trHeight w:val="297"/>
        </w:trPr>
        <w:tc>
          <w:tcPr>
            <w:tcW w:w="3220" w:type="dxa"/>
            <w:vAlign w:val="bottom"/>
          </w:tcPr>
          <w:p>
            <w:pPr>
              <w:spacing w:after="0"/>
              <w:rPr>
                <w:sz w:val="24"/>
                <w:szCs w:val="24"/>
                <w:color w:val="auto"/>
              </w:rPr>
            </w:pPr>
          </w:p>
        </w:tc>
        <w:tc>
          <w:tcPr>
            <w:tcW w:w="7580" w:type="dxa"/>
            <w:vAlign w:val="bottom"/>
          </w:tcPr>
          <w:p>
            <w:pPr>
              <w:ind w:left="300"/>
              <w:spacing w:after="0" w:line="184" w:lineRule="exact"/>
              <w:rPr>
                <w:sz w:val="20"/>
                <w:szCs w:val="20"/>
                <w:color w:val="auto"/>
              </w:rPr>
            </w:pPr>
            <w:r>
              <w:rPr>
                <w:rFonts w:ascii="MS PGothic" w:cs="MS PGothic" w:eastAsia="MS PGothic" w:hAnsi="MS PGothic"/>
                <w:sz w:val="16"/>
                <w:szCs w:val="16"/>
                <w:color w:val="2A5597"/>
              </w:rPr>
              <w:t>∎</w:t>
            </w:r>
            <w:r>
              <w:rPr>
                <w:rFonts w:ascii="Arial" w:cs="Arial" w:eastAsia="Arial" w:hAnsi="Arial"/>
                <w:sz w:val="16"/>
                <w:szCs w:val="16"/>
                <w:b w:val="1"/>
                <w:bCs w:val="1"/>
                <w:color w:val="auto"/>
              </w:rPr>
              <w:t xml:space="preserve"> Unitas Capital, 2004 – 2009</w:t>
            </w:r>
          </w:p>
        </w:tc>
        <w:tc>
          <w:tcPr>
            <w:tcW w:w="0" w:type="dxa"/>
            <w:vAlign w:val="bottom"/>
          </w:tcPr>
          <w:p>
            <w:pPr>
              <w:spacing w:after="0"/>
              <w:rPr>
                <w:sz w:val="1"/>
                <w:szCs w:val="1"/>
                <w:color w:val="auto"/>
              </w:rPr>
            </w:pPr>
          </w:p>
        </w:tc>
      </w:tr>
      <w:tr>
        <w:trPr>
          <w:trHeight w:val="211"/>
        </w:trPr>
        <w:tc>
          <w:tcPr>
            <w:tcW w:w="3220" w:type="dxa"/>
            <w:vAlign w:val="bottom"/>
          </w:tcPr>
          <w:p>
            <w:pPr>
              <w:spacing w:after="0"/>
              <w:rPr>
                <w:sz w:val="18"/>
                <w:szCs w:val="18"/>
                <w:color w:val="auto"/>
              </w:rPr>
            </w:pPr>
          </w:p>
        </w:tc>
        <w:tc>
          <w:tcPr>
            <w:tcW w:w="7580" w:type="dxa"/>
            <w:vAlign w:val="bottom"/>
          </w:tcPr>
          <w:p>
            <w:pPr>
              <w:ind w:left="560"/>
              <w:spacing w:after="0"/>
              <w:rPr>
                <w:sz w:val="20"/>
                <w:szCs w:val="20"/>
                <w:color w:val="auto"/>
              </w:rPr>
            </w:pPr>
            <w:r>
              <w:rPr>
                <w:rFonts w:ascii="Arial" w:cs="Arial" w:eastAsia="Arial" w:hAnsi="Arial"/>
                <w:sz w:val="16"/>
                <w:szCs w:val="16"/>
                <w:color w:val="auto"/>
              </w:rPr>
              <w:t>— Partner</w:t>
            </w:r>
          </w:p>
        </w:tc>
        <w:tc>
          <w:tcPr>
            <w:tcW w:w="0" w:type="dxa"/>
            <w:vAlign w:val="bottom"/>
          </w:tcPr>
          <w:p>
            <w:pPr>
              <w:spacing w:after="0"/>
              <w:rPr>
                <w:sz w:val="1"/>
                <w:szCs w:val="1"/>
                <w:color w:val="auto"/>
              </w:rPr>
            </w:pPr>
          </w:p>
        </w:tc>
      </w:tr>
      <w:tr>
        <w:trPr>
          <w:trHeight w:val="318"/>
        </w:trPr>
        <w:tc>
          <w:tcPr>
            <w:tcW w:w="3220" w:type="dxa"/>
            <w:vAlign w:val="bottom"/>
          </w:tcPr>
          <w:p>
            <w:pPr>
              <w:spacing w:after="0"/>
              <w:rPr>
                <w:sz w:val="24"/>
                <w:szCs w:val="24"/>
                <w:color w:val="auto"/>
              </w:rPr>
            </w:pPr>
          </w:p>
        </w:tc>
        <w:tc>
          <w:tcPr>
            <w:tcW w:w="7580" w:type="dxa"/>
            <w:vAlign w:val="bottom"/>
          </w:tcPr>
          <w:p>
            <w:pPr>
              <w:ind w:left="300"/>
              <w:spacing w:after="0"/>
              <w:rPr>
                <w:sz w:val="20"/>
                <w:szCs w:val="20"/>
                <w:color w:val="auto"/>
              </w:rPr>
            </w:pPr>
            <w:r>
              <w:rPr>
                <w:rFonts w:ascii="Arial" w:cs="Arial" w:eastAsia="Arial" w:hAnsi="Arial"/>
                <w:sz w:val="16"/>
                <w:szCs w:val="16"/>
                <w:b w:val="1"/>
                <w:bCs w:val="1"/>
                <w:color w:val="2B4772"/>
              </w:rPr>
              <w:t>Relevant Skills and Qualifications</w:t>
            </w:r>
          </w:p>
        </w:tc>
        <w:tc>
          <w:tcPr>
            <w:tcW w:w="0" w:type="dxa"/>
            <w:vAlign w:val="bottom"/>
          </w:tcPr>
          <w:p>
            <w:pPr>
              <w:spacing w:after="0"/>
              <w:rPr>
                <w:sz w:val="1"/>
                <w:szCs w:val="1"/>
                <w:color w:val="auto"/>
              </w:rPr>
            </w:pPr>
          </w:p>
        </w:tc>
      </w:tr>
      <w:tr>
        <w:trPr>
          <w:trHeight w:val="822"/>
        </w:trPr>
        <w:tc>
          <w:tcPr>
            <w:tcW w:w="3220" w:type="dxa"/>
            <w:vAlign w:val="bottom"/>
            <w:vMerge w:val="restart"/>
          </w:tcPr>
          <w:p>
            <w:pPr>
              <w:ind w:left="300"/>
              <w:spacing w:after="0"/>
              <w:rPr>
                <w:sz w:val="20"/>
                <w:szCs w:val="20"/>
                <w:color w:val="auto"/>
              </w:rPr>
            </w:pPr>
            <w:r>
              <w:rPr>
                <w:rFonts w:ascii="Arial" w:cs="Arial" w:eastAsia="Arial" w:hAnsi="Arial"/>
                <w:sz w:val="16"/>
                <w:szCs w:val="16"/>
                <w:b w:val="1"/>
                <w:bCs w:val="1"/>
                <w:color w:val="2B4772"/>
              </w:rPr>
              <w:t>Age 68</w:t>
            </w:r>
          </w:p>
        </w:tc>
        <w:tc>
          <w:tcPr>
            <w:tcW w:w="7580" w:type="dxa"/>
            <w:vAlign w:val="bottom"/>
          </w:tcPr>
          <w:p>
            <w:pPr>
              <w:ind w:left="300"/>
              <w:spacing w:after="0" w:line="184" w:lineRule="exact"/>
              <w:rPr>
                <w:sz w:val="20"/>
                <w:szCs w:val="20"/>
                <w:color w:val="auto"/>
              </w:rPr>
            </w:pPr>
            <w:r>
              <w:rPr>
                <w:rFonts w:ascii="MS PGothic" w:cs="MS PGothic" w:eastAsia="MS PGothic" w:hAnsi="MS PGothic"/>
                <w:sz w:val="16"/>
                <w:szCs w:val="16"/>
                <w:color w:val="2A5597"/>
              </w:rPr>
              <w:t>∎</w:t>
            </w:r>
            <w:r>
              <w:rPr>
                <w:rFonts w:ascii="Arial" w:cs="Arial" w:eastAsia="Arial" w:hAnsi="Arial"/>
                <w:sz w:val="16"/>
                <w:szCs w:val="16"/>
                <w:color w:val="auto"/>
              </w:rPr>
              <w:t xml:space="preserve"> Extensive experience in the investment banking and private equity industry, particularly in the area</w:t>
            </w:r>
          </w:p>
        </w:tc>
        <w:tc>
          <w:tcPr>
            <w:tcW w:w="0" w:type="dxa"/>
            <w:vAlign w:val="bottom"/>
          </w:tcPr>
          <w:p>
            <w:pPr>
              <w:spacing w:after="0"/>
              <w:rPr>
                <w:sz w:val="1"/>
                <w:szCs w:val="1"/>
                <w:color w:val="auto"/>
              </w:rPr>
            </w:pPr>
          </w:p>
        </w:tc>
      </w:tr>
      <w:tr>
        <w:trPr>
          <w:trHeight w:val="53"/>
        </w:trPr>
        <w:tc>
          <w:tcPr>
            <w:tcW w:w="3220" w:type="dxa"/>
            <w:vAlign w:val="bottom"/>
            <w:vMerge w:val="continue"/>
          </w:tcPr>
          <w:p>
            <w:pPr>
              <w:spacing w:after="0"/>
              <w:rPr>
                <w:sz w:val="4"/>
                <w:szCs w:val="4"/>
                <w:color w:val="auto"/>
              </w:rPr>
            </w:pPr>
          </w:p>
        </w:tc>
        <w:tc>
          <w:tcPr>
            <w:tcW w:w="7580" w:type="dxa"/>
            <w:vAlign w:val="bottom"/>
            <w:vMerge w:val="restart"/>
          </w:tcPr>
          <w:p>
            <w:pPr>
              <w:ind w:left="540"/>
              <w:spacing w:after="0" w:line="161" w:lineRule="exact"/>
              <w:rPr>
                <w:sz w:val="20"/>
                <w:szCs w:val="20"/>
                <w:color w:val="auto"/>
              </w:rPr>
            </w:pPr>
            <w:r>
              <w:rPr>
                <w:rFonts w:ascii="Arial" w:cs="Arial" w:eastAsia="Arial" w:hAnsi="Arial"/>
                <w:sz w:val="16"/>
                <w:szCs w:val="16"/>
                <w:color w:val="auto"/>
              </w:rPr>
              <w:t>of technology, and familiarity with businesses throughout Asia, including Japan</w:t>
            </w:r>
          </w:p>
        </w:tc>
        <w:tc>
          <w:tcPr>
            <w:tcW w:w="0" w:type="dxa"/>
            <w:vAlign w:val="bottom"/>
          </w:tcPr>
          <w:p>
            <w:pPr>
              <w:spacing w:after="0"/>
              <w:rPr>
                <w:sz w:val="1"/>
                <w:szCs w:val="1"/>
                <w:color w:val="auto"/>
              </w:rPr>
            </w:pPr>
          </w:p>
        </w:tc>
      </w:tr>
      <w:tr>
        <w:trPr>
          <w:trHeight w:val="108"/>
        </w:trPr>
        <w:tc>
          <w:tcPr>
            <w:tcW w:w="3220" w:type="dxa"/>
            <w:vAlign w:val="bottom"/>
            <w:vMerge w:val="restart"/>
          </w:tcPr>
          <w:p>
            <w:pPr>
              <w:ind w:left="300"/>
              <w:spacing w:after="0"/>
              <w:rPr>
                <w:sz w:val="20"/>
                <w:szCs w:val="20"/>
                <w:color w:val="auto"/>
              </w:rPr>
            </w:pPr>
            <w:r>
              <w:rPr>
                <w:rFonts w:ascii="Arial" w:cs="Arial" w:eastAsia="Arial" w:hAnsi="Arial"/>
                <w:sz w:val="16"/>
                <w:szCs w:val="16"/>
                <w:b w:val="1"/>
                <w:bCs w:val="1"/>
                <w:color w:val="2B4772"/>
              </w:rPr>
              <w:t>Director since 2011</w:t>
            </w:r>
          </w:p>
        </w:tc>
        <w:tc>
          <w:tcPr>
            <w:tcW w:w="7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9"/>
        </w:trPr>
        <w:tc>
          <w:tcPr>
            <w:tcW w:w="3220" w:type="dxa"/>
            <w:vAlign w:val="bottom"/>
            <w:vMerge w:val="continue"/>
          </w:tcPr>
          <w:p>
            <w:pPr>
              <w:spacing w:after="0"/>
              <w:rPr>
                <w:sz w:val="6"/>
                <w:szCs w:val="6"/>
                <w:color w:val="auto"/>
              </w:rPr>
            </w:pPr>
          </w:p>
        </w:tc>
        <w:tc>
          <w:tcPr>
            <w:tcW w:w="7580" w:type="dxa"/>
            <w:vAlign w:val="bottom"/>
            <w:vMerge w:val="restart"/>
          </w:tcPr>
          <w:p>
            <w:pPr>
              <w:ind w:left="300"/>
              <w:spacing w:after="0" w:line="184" w:lineRule="exact"/>
              <w:rPr>
                <w:sz w:val="20"/>
                <w:szCs w:val="20"/>
                <w:color w:val="auto"/>
              </w:rPr>
            </w:pPr>
            <w:r>
              <w:rPr>
                <w:rFonts w:ascii="MS PGothic" w:cs="MS PGothic" w:eastAsia="MS PGothic" w:hAnsi="MS PGothic"/>
                <w:sz w:val="16"/>
                <w:szCs w:val="16"/>
                <w:color w:val="2A5597"/>
              </w:rPr>
              <w:t>∎</w:t>
            </w:r>
            <w:r>
              <w:rPr>
                <w:rFonts w:ascii="Arial" w:cs="Arial" w:eastAsia="Arial" w:hAnsi="Arial"/>
                <w:sz w:val="16"/>
                <w:szCs w:val="16"/>
                <w:color w:val="auto"/>
              </w:rPr>
              <w:t xml:space="preserve"> Experience in mergers and acquisitions as well as in capital markets transactions, financial</w:t>
            </w:r>
          </w:p>
        </w:tc>
        <w:tc>
          <w:tcPr>
            <w:tcW w:w="0" w:type="dxa"/>
            <w:vAlign w:val="bottom"/>
          </w:tcPr>
          <w:p>
            <w:pPr>
              <w:spacing w:after="0"/>
              <w:rPr>
                <w:sz w:val="1"/>
                <w:szCs w:val="1"/>
                <w:color w:val="auto"/>
              </w:rPr>
            </w:pPr>
          </w:p>
        </w:tc>
      </w:tr>
      <w:tr>
        <w:trPr>
          <w:trHeight w:val="161"/>
        </w:trPr>
        <w:tc>
          <w:tcPr>
            <w:tcW w:w="3220" w:type="dxa"/>
            <w:vAlign w:val="bottom"/>
          </w:tcPr>
          <w:p>
            <w:pPr>
              <w:ind w:left="300"/>
              <w:spacing w:after="0" w:line="161" w:lineRule="exact"/>
              <w:rPr>
                <w:sz w:val="20"/>
                <w:szCs w:val="20"/>
                <w:color w:val="auto"/>
              </w:rPr>
            </w:pPr>
            <w:r>
              <w:rPr>
                <w:rFonts w:ascii="Arial" w:cs="Arial" w:eastAsia="Arial" w:hAnsi="Arial"/>
                <w:sz w:val="16"/>
                <w:szCs w:val="16"/>
                <w:b w:val="1"/>
                <w:bCs w:val="1"/>
                <w:color w:val="2B4772"/>
              </w:rPr>
              <w:t>Other Current and Former Boards:</w:t>
            </w:r>
          </w:p>
        </w:tc>
        <w:tc>
          <w:tcPr>
            <w:tcW w:w="75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7"/>
        </w:trPr>
        <w:tc>
          <w:tcPr>
            <w:tcW w:w="3220" w:type="dxa"/>
            <w:vAlign w:val="bottom"/>
          </w:tcPr>
          <w:p>
            <w:pPr>
              <w:ind w:left="300"/>
              <w:spacing w:after="0"/>
              <w:rPr>
                <w:sz w:val="20"/>
                <w:szCs w:val="20"/>
                <w:color w:val="auto"/>
              </w:rPr>
            </w:pPr>
            <w:r>
              <w:rPr>
                <w:rFonts w:ascii="Arial" w:cs="Arial" w:eastAsia="Arial" w:hAnsi="Arial"/>
                <w:sz w:val="16"/>
                <w:szCs w:val="16"/>
                <w:color w:val="auto"/>
              </w:rPr>
              <w:t>Fujitsu Ltd.</w:t>
            </w:r>
          </w:p>
        </w:tc>
        <w:tc>
          <w:tcPr>
            <w:tcW w:w="7580" w:type="dxa"/>
            <w:vAlign w:val="bottom"/>
          </w:tcPr>
          <w:p>
            <w:pPr>
              <w:ind w:left="540"/>
              <w:spacing w:after="0"/>
              <w:rPr>
                <w:sz w:val="20"/>
                <w:szCs w:val="20"/>
                <w:color w:val="auto"/>
              </w:rPr>
            </w:pPr>
            <w:r>
              <w:rPr>
                <w:rFonts w:ascii="Arial" w:cs="Arial" w:eastAsia="Arial" w:hAnsi="Arial"/>
                <w:sz w:val="16"/>
                <w:szCs w:val="16"/>
                <w:color w:val="auto"/>
              </w:rPr>
              <w:t>transactions and negotiations</w:t>
            </w:r>
          </w:p>
        </w:tc>
        <w:tc>
          <w:tcPr>
            <w:tcW w:w="0" w:type="dxa"/>
            <w:vAlign w:val="bottom"/>
          </w:tcPr>
          <w:p>
            <w:pPr>
              <w:spacing w:after="0"/>
              <w:rPr>
                <w:sz w:val="1"/>
                <w:szCs w:val="1"/>
                <w:color w:val="auto"/>
              </w:rPr>
            </w:pPr>
          </w:p>
        </w:tc>
      </w:tr>
      <w:tr>
        <w:trPr>
          <w:trHeight w:val="211"/>
        </w:trPr>
        <w:tc>
          <w:tcPr>
            <w:tcW w:w="3220" w:type="dxa"/>
            <w:vAlign w:val="bottom"/>
          </w:tcPr>
          <w:p>
            <w:pPr>
              <w:ind w:left="300"/>
              <w:spacing w:after="0"/>
              <w:rPr>
                <w:sz w:val="20"/>
                <w:szCs w:val="20"/>
                <w:color w:val="auto"/>
              </w:rPr>
            </w:pPr>
            <w:r>
              <w:rPr>
                <w:rFonts w:ascii="Arial" w:cs="Arial" w:eastAsia="Arial" w:hAnsi="Arial"/>
                <w:sz w:val="16"/>
                <w:szCs w:val="16"/>
                <w:color w:val="auto"/>
              </w:rPr>
              <w:t>Binfinity AG</w:t>
            </w:r>
          </w:p>
        </w:tc>
        <w:tc>
          <w:tcPr>
            <w:tcW w:w="7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3220" w:type="dxa"/>
            <w:vAlign w:val="bottom"/>
            <w:tcBorders>
              <w:bottom w:val="single" w:sz="8" w:color="A33F02"/>
            </w:tcBorders>
          </w:tcPr>
          <w:p>
            <w:pPr>
              <w:spacing w:after="0"/>
              <w:rPr>
                <w:sz w:val="14"/>
                <w:szCs w:val="14"/>
                <w:color w:val="auto"/>
              </w:rPr>
            </w:pPr>
          </w:p>
        </w:tc>
        <w:tc>
          <w:tcPr>
            <w:tcW w:w="7580" w:type="dxa"/>
            <w:vAlign w:val="bottom"/>
            <w:tcBorders>
              <w:bottom w:val="single" w:sz="8" w:color="A33F02"/>
            </w:tcBorders>
          </w:tcPr>
          <w:p>
            <w:pPr>
              <w:spacing w:after="0"/>
              <w:rPr>
                <w:sz w:val="14"/>
                <w:szCs w:val="14"/>
                <w:color w:val="auto"/>
              </w:rPr>
            </w:pPr>
          </w:p>
        </w:tc>
        <w:tc>
          <w:tcPr>
            <w:tcW w:w="0" w:type="dxa"/>
            <w:vAlign w:val="bottom"/>
          </w:tcPr>
          <w:p>
            <w:pPr>
              <w:spacing w:after="0"/>
              <w:rPr>
                <w:sz w:val="1"/>
                <w:szCs w:val="1"/>
                <w:color w:val="auto"/>
              </w:rPr>
            </w:pPr>
          </w:p>
        </w:tc>
      </w:tr>
      <w:tr>
        <w:trPr>
          <w:trHeight w:val="87"/>
        </w:trPr>
        <w:tc>
          <w:tcPr>
            <w:tcW w:w="3220" w:type="dxa"/>
            <w:vAlign w:val="bottom"/>
            <w:tcBorders>
              <w:left w:val="single" w:sz="8" w:color="A33F02"/>
              <w:bottom w:val="single" w:sz="8" w:color="A33F02"/>
            </w:tcBorders>
            <w:shd w:val="clear" w:color="auto" w:fill="F75E14"/>
          </w:tcPr>
          <w:p>
            <w:pPr>
              <w:spacing w:after="0"/>
              <w:rPr>
                <w:sz w:val="7"/>
                <w:szCs w:val="7"/>
                <w:color w:val="auto"/>
              </w:rPr>
            </w:pPr>
          </w:p>
        </w:tc>
        <w:tc>
          <w:tcPr>
            <w:tcW w:w="7580" w:type="dxa"/>
            <w:vAlign w:val="bottom"/>
            <w:tcBorders>
              <w:bottom w:val="single" w:sz="8" w:color="A33F02"/>
              <w:right w:val="single" w:sz="8" w:color="A33F02"/>
            </w:tcBorders>
            <w:shd w:val="clear" w:color="auto" w:fill="F75E14"/>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437515</wp:posOffset>
            </wp:positionH>
            <wp:positionV relativeFrom="paragraph">
              <wp:posOffset>-2173605</wp:posOffset>
            </wp:positionV>
            <wp:extent cx="959485" cy="13163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959485" cy="1316355"/>
                    </a:xfrm>
                    <a:prstGeom prst="rect">
                      <a:avLst/>
                    </a:prstGeom>
                    <a:noFill/>
                  </pic:spPr>
                </pic:pic>
              </a:graphicData>
            </a:graphic>
          </wp:anchor>
        </w:drawing>
        <w:drawing>
          <wp:anchor simplePos="0" relativeHeight="251657728" behindDoc="1" locked="0" layoutInCell="0" allowOverlap="1">
            <wp:simplePos x="0" y="0"/>
            <wp:positionH relativeFrom="column">
              <wp:posOffset>2390775</wp:posOffset>
            </wp:positionH>
            <wp:positionV relativeFrom="paragraph">
              <wp:posOffset>-1171575</wp:posOffset>
            </wp:positionV>
            <wp:extent cx="1715770" cy="26352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715770" cy="263525"/>
                    </a:xfrm>
                    <a:prstGeom prst="rect">
                      <a:avLst/>
                    </a:prstGeom>
                    <a:noFill/>
                  </pic:spPr>
                </pic:pic>
              </a:graphicData>
            </a:graphic>
          </wp:anchor>
        </w:drawing>
      </w:r>
    </w:p>
    <w:p>
      <w:pPr>
        <w:spacing w:after="0" w:line="86" w:lineRule="exact"/>
        <w:rPr>
          <w:sz w:val="20"/>
          <w:szCs w:val="20"/>
          <w:color w:val="auto"/>
        </w:rPr>
      </w:pPr>
    </w:p>
    <w:p>
      <w:pPr>
        <w:ind w:left="540"/>
        <w:spacing w:after="0"/>
        <w:tabs>
          <w:tab w:leader="none" w:pos="3720" w:val="left"/>
        </w:tabs>
        <w:rPr>
          <w:sz w:val="20"/>
          <w:szCs w:val="20"/>
          <w:color w:val="auto"/>
        </w:rPr>
      </w:pPr>
      <w:r>
        <w:rPr>
          <w:rFonts w:ascii="Arial" w:cs="Arial" w:eastAsia="Arial" w:hAnsi="Arial"/>
          <w:sz w:val="16"/>
          <w:szCs w:val="16"/>
          <w:b w:val="1"/>
          <w:bCs w:val="1"/>
          <w:color w:val="2B4772"/>
        </w:rPr>
        <w:t>ALAN CAMPBELL</w:t>
      </w:r>
      <w:r>
        <w:rPr>
          <w:sz w:val="20"/>
          <w:szCs w:val="20"/>
          <w:color w:val="auto"/>
        </w:rPr>
        <w:tab/>
      </w:r>
      <w:r>
        <w:rPr>
          <w:rFonts w:ascii="Arial" w:cs="Arial" w:eastAsia="Arial" w:hAnsi="Arial"/>
          <w:sz w:val="16"/>
          <w:szCs w:val="16"/>
          <w:b w:val="1"/>
          <w:bCs w:val="1"/>
          <w:color w:val="2B4772"/>
        </w:rPr>
        <w:t>Career Highlights</w:t>
      </w:r>
    </w:p>
    <w:p>
      <w:pPr>
        <w:spacing w:after="0" w:line="16" w:lineRule="exact"/>
        <w:rPr>
          <w:sz w:val="20"/>
          <w:szCs w:val="20"/>
          <w:color w:val="auto"/>
        </w:rPr>
      </w:pPr>
    </w:p>
    <w:p>
      <w:pPr>
        <w:ind w:left="3960" w:hanging="215"/>
        <w:spacing w:after="0"/>
        <w:tabs>
          <w:tab w:leader="none" w:pos="3960" w:val="left"/>
        </w:tabs>
        <w:numPr>
          <w:ilvl w:val="0"/>
          <w:numId w:val="9"/>
        </w:numPr>
        <w:rPr>
          <w:rFonts w:ascii="MS PGothic" w:cs="MS PGothic" w:eastAsia="MS PGothic" w:hAnsi="MS PGothic"/>
          <w:sz w:val="16"/>
          <w:szCs w:val="16"/>
          <w:color w:val="2A5597"/>
        </w:rPr>
      </w:pPr>
      <w:r>
        <w:rPr>
          <w:rFonts w:ascii="Arial" w:cs="Arial" w:eastAsia="Arial" w:hAnsi="Arial"/>
          <w:sz w:val="16"/>
          <w:szCs w:val="16"/>
          <w:b w:val="1"/>
          <w:bCs w:val="1"/>
          <w:color w:val="auto"/>
        </w:rPr>
        <w:t xml:space="preserve">Freescale Semiconductor, Inc. </w:t>
      </w:r>
      <w:r>
        <w:rPr>
          <w:rFonts w:ascii="Arial" w:cs="Arial" w:eastAsia="Arial" w:hAnsi="Arial"/>
          <w:sz w:val="16"/>
          <w:szCs w:val="16"/>
          <w:color w:val="auto"/>
        </w:rPr>
        <w:t>(acquired by NXP Semiconductors N.V.)</w:t>
      </w:r>
      <w:r>
        <w:rPr>
          <w:rFonts w:ascii="Arial" w:cs="Arial" w:eastAsia="Arial" w:hAnsi="Arial"/>
          <w:sz w:val="16"/>
          <w:szCs w:val="16"/>
          <w:b w:val="1"/>
          <w:bCs w:val="1"/>
          <w:color w:val="auto"/>
        </w:rPr>
        <w:t>, 2004 – 2014</w:t>
      </w:r>
    </w:p>
    <w:p>
      <w:pPr>
        <w:spacing w:after="0" w:line="20" w:lineRule="exact"/>
        <w:rPr>
          <w:rFonts w:ascii="MS PGothic" w:cs="MS PGothic" w:eastAsia="MS PGothic" w:hAnsi="MS PGothic"/>
          <w:sz w:val="16"/>
          <w:szCs w:val="16"/>
          <w:color w:val="2A5597"/>
        </w:rPr>
      </w:pPr>
    </w:p>
    <w:p>
      <w:pPr>
        <w:ind w:left="4020"/>
        <w:spacing w:after="0"/>
        <w:rPr>
          <w:rFonts w:ascii="MS PGothic" w:cs="MS PGothic" w:eastAsia="MS PGothic" w:hAnsi="MS PGothic"/>
          <w:sz w:val="16"/>
          <w:szCs w:val="16"/>
          <w:color w:val="2A5597"/>
        </w:rPr>
      </w:pPr>
      <w:r>
        <w:rPr>
          <w:rFonts w:ascii="Arial" w:cs="Arial" w:eastAsia="Arial" w:hAnsi="Arial"/>
          <w:sz w:val="16"/>
          <w:szCs w:val="16"/>
          <w:color w:val="auto"/>
        </w:rPr>
        <w:t>—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429260</wp:posOffset>
            </wp:positionH>
            <wp:positionV relativeFrom="paragraph">
              <wp:posOffset>-168275</wp:posOffset>
            </wp:positionV>
            <wp:extent cx="959485" cy="13163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959485" cy="1316355"/>
                    </a:xfrm>
                    <a:prstGeom prst="rect">
                      <a:avLst/>
                    </a:prstGeom>
                    <a:noFill/>
                  </pic:spPr>
                </pic:pic>
              </a:graphicData>
            </a:graphic>
          </wp:anchor>
        </w:drawing>
      </w:r>
    </w:p>
    <w:p>
      <w:pPr>
        <w:spacing w:after="0" w:line="88" w:lineRule="exact"/>
        <w:rPr>
          <w:sz w:val="20"/>
          <w:szCs w:val="20"/>
          <w:color w:val="auto"/>
        </w:rPr>
      </w:pPr>
    </w:p>
    <w:p>
      <w:pPr>
        <w:ind w:left="3740"/>
        <w:spacing w:after="0"/>
        <w:rPr>
          <w:sz w:val="20"/>
          <w:szCs w:val="20"/>
          <w:color w:val="auto"/>
        </w:rPr>
      </w:pPr>
      <w:r>
        <w:rPr>
          <w:rFonts w:ascii="Arial" w:cs="Arial" w:eastAsia="Arial" w:hAnsi="Arial"/>
          <w:sz w:val="16"/>
          <w:szCs w:val="16"/>
          <w:b w:val="1"/>
          <w:bCs w:val="1"/>
          <w:color w:val="2B4772"/>
        </w:rPr>
        <w:t>Relevant Skills and 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2382520</wp:posOffset>
            </wp:positionH>
            <wp:positionV relativeFrom="paragraph">
              <wp:posOffset>87630</wp:posOffset>
            </wp:positionV>
            <wp:extent cx="2174240" cy="26352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174240" cy="263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960" w:hanging="215"/>
        <w:spacing w:after="0"/>
        <w:tabs>
          <w:tab w:leader="none" w:pos="3960" w:val="left"/>
        </w:tabs>
        <w:numPr>
          <w:ilvl w:val="0"/>
          <w:numId w:val="10"/>
        </w:numPr>
        <w:rPr>
          <w:rFonts w:ascii="MS PGothic" w:cs="MS PGothic" w:eastAsia="MS PGothic" w:hAnsi="MS PGothic"/>
          <w:sz w:val="16"/>
          <w:szCs w:val="16"/>
          <w:color w:val="2A5597"/>
        </w:rPr>
      </w:pPr>
      <w:r>
        <w:rPr>
          <w:rFonts w:ascii="Arial" w:cs="Arial" w:eastAsia="Arial" w:hAnsi="Arial"/>
          <w:sz w:val="16"/>
          <w:szCs w:val="16"/>
          <w:color w:val="auto"/>
        </w:rPr>
        <w:t>Extensive experience in the semiconductor industry</w:t>
      </w:r>
    </w:p>
    <w:p>
      <w:pPr>
        <w:spacing w:after="0" w:line="32" w:lineRule="exact"/>
        <w:rPr>
          <w:rFonts w:ascii="MS PGothic" w:cs="MS PGothic" w:eastAsia="MS PGothic" w:hAnsi="MS PGothic"/>
          <w:sz w:val="16"/>
          <w:szCs w:val="16"/>
          <w:color w:val="2A5597"/>
        </w:rPr>
      </w:pPr>
    </w:p>
    <w:p>
      <w:pPr>
        <w:ind w:left="3960" w:hanging="215"/>
        <w:spacing w:after="0"/>
        <w:tabs>
          <w:tab w:leader="none" w:pos="3960" w:val="left"/>
        </w:tabs>
        <w:numPr>
          <w:ilvl w:val="0"/>
          <w:numId w:val="10"/>
        </w:numPr>
        <w:rPr>
          <w:rFonts w:ascii="MS PGothic" w:cs="MS PGothic" w:eastAsia="MS PGothic" w:hAnsi="MS PGothic"/>
          <w:sz w:val="16"/>
          <w:szCs w:val="16"/>
          <w:color w:val="2A5597"/>
        </w:rPr>
      </w:pPr>
      <w:r>
        <w:rPr>
          <w:rFonts w:ascii="Arial" w:cs="Arial" w:eastAsia="Arial" w:hAnsi="Arial"/>
          <w:sz w:val="16"/>
          <w:szCs w:val="16"/>
          <w:color w:val="auto"/>
        </w:rPr>
        <w:t>Experience as chief financial officer of a publicly held semiconductor company</w:t>
      </w:r>
    </w:p>
    <w:p>
      <w:pPr>
        <w:spacing w:after="0" w:line="16" w:lineRule="exact"/>
        <w:rPr>
          <w:rFonts w:ascii="MS PGothic" w:cs="MS PGothic" w:eastAsia="MS PGothic" w:hAnsi="MS PGothic"/>
          <w:sz w:val="16"/>
          <w:szCs w:val="16"/>
          <w:color w:val="2A5597"/>
        </w:rPr>
      </w:pPr>
    </w:p>
    <w:p>
      <w:pPr>
        <w:ind w:left="4000" w:right="60" w:hanging="255"/>
        <w:spacing w:after="0" w:line="252" w:lineRule="auto"/>
        <w:tabs>
          <w:tab w:leader="none" w:pos="3969" w:val="left"/>
        </w:tabs>
        <w:numPr>
          <w:ilvl w:val="0"/>
          <w:numId w:val="10"/>
        </w:numPr>
        <w:rPr>
          <w:rFonts w:ascii="MS PGothic" w:cs="MS PGothic" w:eastAsia="MS PGothic" w:hAnsi="MS PGothic"/>
          <w:sz w:val="16"/>
          <w:szCs w:val="16"/>
          <w:color w:val="2A5597"/>
        </w:rPr>
      </w:pPr>
      <w:r>
        <w:rPr>
          <w:rFonts w:ascii="Arial" w:cs="Arial" w:eastAsia="Arial" w:hAnsi="Arial"/>
          <w:sz w:val="16"/>
          <w:szCs w:val="16"/>
          <w:color w:val="auto"/>
        </w:rPr>
        <w:t>Significant management experience and relevant knowledge of financial statement preparation and regulatory compliance</w:t>
      </w:r>
    </w:p>
    <w:p>
      <w:pPr>
        <w:spacing w:after="0" w:line="1" w:lineRule="exact"/>
        <w:rPr>
          <w:rFonts w:ascii="MS PGothic" w:cs="MS PGothic" w:eastAsia="MS PGothic" w:hAnsi="MS PGothic"/>
          <w:sz w:val="16"/>
          <w:szCs w:val="16"/>
          <w:color w:val="2A5597"/>
        </w:rPr>
      </w:pPr>
    </w:p>
    <w:p>
      <w:pPr>
        <w:ind w:left="3960" w:hanging="215"/>
        <w:spacing w:after="0" w:line="209" w:lineRule="auto"/>
        <w:tabs>
          <w:tab w:leader="none" w:pos="3960" w:val="left"/>
        </w:tabs>
        <w:numPr>
          <w:ilvl w:val="0"/>
          <w:numId w:val="10"/>
        </w:numPr>
        <w:rPr>
          <w:rFonts w:ascii="MS PGothic" w:cs="MS PGothic" w:eastAsia="MS PGothic" w:hAnsi="MS PGothic"/>
          <w:sz w:val="16"/>
          <w:szCs w:val="16"/>
          <w:color w:val="2A5597"/>
        </w:rPr>
      </w:pPr>
      <w:r>
        <w:rPr>
          <w:rFonts w:ascii="Arial" w:cs="Arial" w:eastAsia="Arial" w:hAnsi="Arial"/>
          <w:sz w:val="16"/>
          <w:szCs w:val="16"/>
          <w:color w:val="auto"/>
        </w:rPr>
        <w:t>Significant mergers and acquisitions and global experience</w:t>
      </w:r>
    </w:p>
    <w:p>
      <w:pPr>
        <w:ind w:left="540"/>
        <w:spacing w:after="0"/>
        <w:rPr>
          <w:sz w:val="20"/>
          <w:szCs w:val="20"/>
          <w:color w:val="auto"/>
        </w:rPr>
      </w:pPr>
      <w:r>
        <w:rPr>
          <w:rFonts w:ascii="Arial" w:cs="Arial" w:eastAsia="Arial" w:hAnsi="Arial"/>
          <w:sz w:val="16"/>
          <w:szCs w:val="16"/>
          <w:b w:val="1"/>
          <w:bCs w:val="1"/>
          <w:color w:val="2B4772"/>
        </w:rPr>
        <w:t>Age 64</w:t>
      </w:r>
    </w:p>
    <w:p>
      <w:pPr>
        <w:spacing w:after="0" w:line="3" w:lineRule="exact"/>
        <w:rPr>
          <w:sz w:val="20"/>
          <w:szCs w:val="20"/>
          <w:color w:val="auto"/>
        </w:rPr>
      </w:pPr>
    </w:p>
    <w:p>
      <w:pPr>
        <w:ind w:left="540"/>
        <w:spacing w:after="0"/>
        <w:rPr>
          <w:sz w:val="20"/>
          <w:szCs w:val="20"/>
          <w:color w:val="auto"/>
        </w:rPr>
      </w:pPr>
      <w:r>
        <w:rPr>
          <w:rFonts w:ascii="Arial" w:cs="Arial" w:eastAsia="Arial" w:hAnsi="Arial"/>
          <w:sz w:val="16"/>
          <w:szCs w:val="16"/>
          <w:b w:val="1"/>
          <w:bCs w:val="1"/>
          <w:color w:val="2B4772"/>
        </w:rPr>
        <w:t>Director since 2015</w:t>
      </w:r>
    </w:p>
    <w:p>
      <w:pPr>
        <w:spacing w:after="0" w:line="3" w:lineRule="exact"/>
        <w:rPr>
          <w:sz w:val="20"/>
          <w:szCs w:val="20"/>
          <w:color w:val="auto"/>
        </w:rPr>
      </w:pPr>
    </w:p>
    <w:p>
      <w:pPr>
        <w:ind w:left="540"/>
        <w:spacing w:after="0"/>
        <w:rPr>
          <w:sz w:val="20"/>
          <w:szCs w:val="20"/>
          <w:color w:val="auto"/>
        </w:rPr>
      </w:pPr>
      <w:r>
        <w:rPr>
          <w:rFonts w:ascii="Arial" w:cs="Arial" w:eastAsia="Arial" w:hAnsi="Arial"/>
          <w:sz w:val="16"/>
          <w:szCs w:val="16"/>
          <w:b w:val="1"/>
          <w:bCs w:val="1"/>
          <w:color w:val="2B4772"/>
        </w:rPr>
        <w:t>Chair of Board since 2017</w:t>
      </w:r>
    </w:p>
    <w:p>
      <w:pPr>
        <w:spacing w:after="0" w:line="3" w:lineRule="exact"/>
        <w:rPr>
          <w:sz w:val="20"/>
          <w:szCs w:val="20"/>
          <w:color w:val="auto"/>
        </w:rPr>
      </w:pPr>
    </w:p>
    <w:p>
      <w:pPr>
        <w:ind w:left="540"/>
        <w:spacing w:after="0"/>
        <w:rPr>
          <w:sz w:val="20"/>
          <w:szCs w:val="20"/>
          <w:color w:val="auto"/>
        </w:rPr>
      </w:pPr>
      <w:r>
        <w:rPr>
          <w:rFonts w:ascii="Arial" w:cs="Arial" w:eastAsia="Arial" w:hAnsi="Arial"/>
          <w:sz w:val="16"/>
          <w:szCs w:val="16"/>
          <w:b w:val="1"/>
          <w:bCs w:val="1"/>
          <w:color w:val="2B4772"/>
        </w:rPr>
        <w:t>Other Current and Former Boards:</w:t>
      </w:r>
    </w:p>
    <w:p>
      <w:pPr>
        <w:spacing w:after="0" w:line="3" w:lineRule="exact"/>
        <w:rPr>
          <w:sz w:val="20"/>
          <w:szCs w:val="20"/>
          <w:color w:val="auto"/>
        </w:rPr>
      </w:pPr>
    </w:p>
    <w:p>
      <w:pPr>
        <w:ind w:left="700" w:right="8100" w:firstLine="104"/>
        <w:spacing w:after="0" w:line="254" w:lineRule="auto"/>
        <w:rPr>
          <w:sz w:val="20"/>
          <w:szCs w:val="20"/>
          <w:color w:val="auto"/>
        </w:rPr>
      </w:pPr>
      <w:r>
        <w:rPr>
          <w:rFonts w:ascii="Arial" w:cs="Arial" w:eastAsia="Arial" w:hAnsi="Arial"/>
          <w:sz w:val="16"/>
          <w:szCs w:val="16"/>
          <w:color w:val="auto"/>
        </w:rPr>
        <w:t>Dialog Semiconductor Plc (acquired by Renesas Electronics Corporation in 2021) (2015 –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98425</wp:posOffset>
            </wp:positionV>
            <wp:extent cx="6861810" cy="762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61810" cy="76200"/>
                    </a:xfrm>
                    <a:prstGeom prst="rect">
                      <a:avLst/>
                    </a:prstGeom>
                    <a:noFill/>
                  </pic:spPr>
                </pic:pic>
              </a:graphicData>
            </a:graphic>
          </wp:anchor>
        </w:drawing>
      </w:r>
    </w:p>
    <w:p>
      <w:pPr>
        <w:spacing w:after="0" w:line="394" w:lineRule="exact"/>
        <w:rPr>
          <w:sz w:val="20"/>
          <w:szCs w:val="20"/>
          <w:color w:val="auto"/>
        </w:rPr>
      </w:pPr>
    </w:p>
    <w:p>
      <w:pPr>
        <w:ind w:left="8900"/>
        <w:spacing w:after="0"/>
        <w:tabs>
          <w:tab w:leader="none" w:pos="10980" w:val="left"/>
        </w:tabs>
        <w:rPr>
          <w:sz w:val="20"/>
          <w:szCs w:val="20"/>
          <w:color w:val="auto"/>
        </w:rPr>
      </w:pPr>
      <w:r>
        <w:rPr>
          <w:rFonts w:ascii="Arial" w:cs="Arial" w:eastAsia="Arial" w:hAnsi="Arial"/>
          <w:sz w:val="14"/>
          <w:szCs w:val="14"/>
          <w:color w:val="F75E14"/>
        </w:rPr>
        <w:t>onsemi 2022 Proxy Statement</w:t>
        <w:tab/>
        <w:t>5</w:t>
      </w:r>
    </w:p>
    <w:p>
      <w:pPr>
        <w:sectPr>
          <w:pgSz w:w="11900" w:h="16838" w:orient="portrait"/>
          <w:cols w:equalWidth="0" w:num="1">
            <w:col w:w="11080"/>
          </w:cols>
          <w:pgMar w:left="320" w:top="454" w:right="49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2" w:lineRule="exact"/>
        <w:rPr>
          <w:sz w:val="20"/>
          <w:szCs w:val="20"/>
          <w:color w:val="auto"/>
        </w:rPr>
      </w:pPr>
    </w:p>
    <w:p>
      <w:pPr>
        <w:ind w:left="160"/>
        <w:spacing w:after="0"/>
        <w:rPr>
          <w:sz w:val="20"/>
          <w:szCs w:val="20"/>
          <w:color w:val="auto"/>
        </w:rPr>
      </w:pPr>
      <w:r>
        <w:rPr>
          <w:rFonts w:ascii="Arial" w:cs="Arial" w:eastAsia="Arial" w:hAnsi="Arial"/>
          <w:sz w:val="18"/>
          <w:szCs w:val="18"/>
          <w:color w:val="F75E14"/>
        </w:rPr>
        <w:t>Management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101600</wp:posOffset>
            </wp:positionV>
            <wp:extent cx="6861810" cy="762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61810" cy="76200"/>
                    </a:xfrm>
                    <a:prstGeom prst="rect">
                      <a:avLst/>
                    </a:prstGeom>
                    <a:noFill/>
                  </pic:spPr>
                </pic:pic>
              </a:graphicData>
            </a:graphic>
          </wp:anchor>
        </w:drawing>
      </w:r>
    </w:p>
    <w:p>
      <w:pPr>
        <w:spacing w:after="0" w:line="344" w:lineRule="exact"/>
        <w:rPr>
          <w:sz w:val="20"/>
          <w:szCs w:val="20"/>
          <w:color w:val="auto"/>
        </w:rPr>
      </w:pPr>
    </w:p>
    <w:tbl>
      <w:tblPr>
        <w:tblLayout w:type="fixed"/>
        <w:tblInd w:w="250" w:type="dxa"/>
        <w:tblCellMar>
          <w:top w:w="0" w:type="dxa"/>
          <w:left w:w="0" w:type="dxa"/>
          <w:bottom w:w="0" w:type="dxa"/>
          <w:right w:w="0" w:type="dxa"/>
        </w:tblCellMar>
      </w:tblPr>
      <w:tr>
        <w:trPr>
          <w:trHeight w:val="184"/>
        </w:trPr>
        <w:tc>
          <w:tcPr>
            <w:tcW w:w="3220" w:type="dxa"/>
            <w:vAlign w:val="bottom"/>
          </w:tcPr>
          <w:p>
            <w:pPr>
              <w:ind w:left="300"/>
              <w:spacing w:after="0"/>
              <w:rPr>
                <w:sz w:val="20"/>
                <w:szCs w:val="20"/>
                <w:color w:val="auto"/>
              </w:rPr>
            </w:pPr>
            <w:r>
              <w:rPr>
                <w:rFonts w:ascii="Arial" w:cs="Arial" w:eastAsia="Arial" w:hAnsi="Arial"/>
                <w:sz w:val="16"/>
                <w:szCs w:val="16"/>
                <w:b w:val="1"/>
                <w:bCs w:val="1"/>
                <w:color w:val="2B4772"/>
              </w:rPr>
              <w:t>SUSAN K. CARTER</w:t>
            </w:r>
          </w:p>
        </w:tc>
        <w:tc>
          <w:tcPr>
            <w:tcW w:w="7580" w:type="dxa"/>
            <w:vAlign w:val="bottom"/>
            <w:gridSpan w:val="2"/>
          </w:tcPr>
          <w:p>
            <w:pPr>
              <w:ind w:left="280"/>
              <w:spacing w:after="0"/>
              <w:rPr>
                <w:sz w:val="20"/>
                <w:szCs w:val="20"/>
                <w:color w:val="auto"/>
              </w:rPr>
            </w:pPr>
            <w:r>
              <w:rPr>
                <w:rFonts w:ascii="Arial" w:cs="Arial" w:eastAsia="Arial" w:hAnsi="Arial"/>
                <w:sz w:val="16"/>
                <w:szCs w:val="16"/>
                <w:b w:val="1"/>
                <w:bCs w:val="1"/>
                <w:color w:val="2B4772"/>
              </w:rPr>
              <w:t>Career Highlights</w:t>
            </w:r>
          </w:p>
        </w:tc>
        <w:tc>
          <w:tcPr>
            <w:tcW w:w="0" w:type="dxa"/>
            <w:vAlign w:val="bottom"/>
          </w:tcPr>
          <w:p>
            <w:pPr>
              <w:spacing w:after="0"/>
              <w:rPr>
                <w:sz w:val="1"/>
                <w:szCs w:val="1"/>
                <w:color w:val="auto"/>
              </w:rPr>
            </w:pPr>
          </w:p>
        </w:tc>
      </w:tr>
      <w:tr>
        <w:trPr>
          <w:trHeight w:val="226"/>
        </w:trPr>
        <w:tc>
          <w:tcPr>
            <w:tcW w:w="3220" w:type="dxa"/>
            <w:vAlign w:val="bottom"/>
          </w:tcPr>
          <w:p>
            <w:pPr>
              <w:spacing w:after="0"/>
              <w:rPr>
                <w:sz w:val="19"/>
                <w:szCs w:val="19"/>
                <w:color w:val="auto"/>
              </w:rPr>
            </w:pPr>
          </w:p>
        </w:tc>
        <w:tc>
          <w:tcPr>
            <w:tcW w:w="7580" w:type="dxa"/>
            <w:vAlign w:val="bottom"/>
            <w:gridSpan w:val="2"/>
          </w:tcPr>
          <w:p>
            <w:pPr>
              <w:ind w:left="280"/>
              <w:spacing w:after="0" w:line="184" w:lineRule="exact"/>
              <w:rPr>
                <w:sz w:val="20"/>
                <w:szCs w:val="20"/>
                <w:color w:val="auto"/>
              </w:rPr>
            </w:pPr>
            <w:r>
              <w:rPr>
                <w:rFonts w:ascii="MS PGothic" w:cs="MS PGothic" w:eastAsia="MS PGothic" w:hAnsi="MS PGothic"/>
                <w:sz w:val="16"/>
                <w:szCs w:val="16"/>
                <w:color w:val="2A5597"/>
              </w:rPr>
              <w:t>∎</w:t>
            </w:r>
            <w:r>
              <w:rPr>
                <w:rFonts w:ascii="Arial" w:cs="Arial" w:eastAsia="Arial" w:hAnsi="Arial"/>
                <w:sz w:val="16"/>
                <w:szCs w:val="16"/>
                <w:b w:val="1"/>
                <w:bCs w:val="1"/>
                <w:color w:val="auto"/>
              </w:rPr>
              <w:t xml:space="preserve"> Ingersoll Rand plc </w:t>
            </w:r>
            <w:r>
              <w:rPr>
                <w:rFonts w:ascii="Arial" w:cs="Arial" w:eastAsia="Arial" w:hAnsi="Arial"/>
                <w:sz w:val="16"/>
                <w:szCs w:val="16"/>
                <w:color w:val="auto"/>
              </w:rPr>
              <w:t>(now known as Trane Technologies plc) (an industrial manufacturing company</w:t>
            </w:r>
          </w:p>
        </w:tc>
        <w:tc>
          <w:tcPr>
            <w:tcW w:w="0" w:type="dxa"/>
            <w:vAlign w:val="bottom"/>
          </w:tcPr>
          <w:p>
            <w:pPr>
              <w:spacing w:after="0"/>
              <w:rPr>
                <w:sz w:val="1"/>
                <w:szCs w:val="1"/>
                <w:color w:val="auto"/>
              </w:rPr>
            </w:pPr>
          </w:p>
        </w:tc>
      </w:tr>
      <w:tr>
        <w:trPr>
          <w:trHeight w:val="187"/>
        </w:trPr>
        <w:tc>
          <w:tcPr>
            <w:tcW w:w="3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140" w:type="dxa"/>
            <w:vAlign w:val="bottom"/>
          </w:tcPr>
          <w:p>
            <w:pPr>
              <w:ind w:left="100"/>
              <w:spacing w:after="0"/>
              <w:rPr>
                <w:sz w:val="20"/>
                <w:szCs w:val="20"/>
                <w:color w:val="auto"/>
              </w:rPr>
            </w:pPr>
            <w:r>
              <w:rPr>
                <w:rFonts w:ascii="Arial" w:cs="Arial" w:eastAsia="Arial" w:hAnsi="Arial"/>
                <w:sz w:val="16"/>
                <w:szCs w:val="16"/>
                <w:color w:val="auto"/>
              </w:rPr>
              <w:t>domiciled in Ireland)</w:t>
            </w:r>
            <w:r>
              <w:rPr>
                <w:rFonts w:ascii="Arial" w:cs="Arial" w:eastAsia="Arial" w:hAnsi="Arial"/>
                <w:sz w:val="16"/>
                <w:szCs w:val="16"/>
                <w:b w:val="1"/>
                <w:bCs w:val="1"/>
                <w:color w:val="auto"/>
              </w:rPr>
              <w:t>, 2013 – 2020</w:t>
            </w:r>
          </w:p>
        </w:tc>
        <w:tc>
          <w:tcPr>
            <w:tcW w:w="0" w:type="dxa"/>
            <w:vAlign w:val="bottom"/>
          </w:tcPr>
          <w:p>
            <w:pPr>
              <w:spacing w:after="0"/>
              <w:rPr>
                <w:sz w:val="1"/>
                <w:szCs w:val="1"/>
                <w:color w:val="auto"/>
              </w:rPr>
            </w:pPr>
          </w:p>
        </w:tc>
      </w:tr>
      <w:tr>
        <w:trPr>
          <w:trHeight w:val="211"/>
        </w:trPr>
        <w:tc>
          <w:tcPr>
            <w:tcW w:w="3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140" w:type="dxa"/>
            <w:vAlign w:val="bottom"/>
          </w:tcPr>
          <w:p>
            <w:pPr>
              <w:ind w:left="120"/>
              <w:spacing w:after="0"/>
              <w:rPr>
                <w:sz w:val="20"/>
                <w:szCs w:val="20"/>
                <w:color w:val="auto"/>
              </w:rPr>
            </w:pPr>
            <w:r>
              <w:rPr>
                <w:rFonts w:ascii="Arial" w:cs="Arial" w:eastAsia="Arial" w:hAnsi="Arial"/>
                <w:sz w:val="16"/>
                <w:szCs w:val="16"/>
                <w:color w:val="auto"/>
              </w:rPr>
              <w:t>— Senior Vice President and Chief Financial Officer</w:t>
            </w:r>
          </w:p>
        </w:tc>
        <w:tc>
          <w:tcPr>
            <w:tcW w:w="0" w:type="dxa"/>
            <w:vAlign w:val="bottom"/>
          </w:tcPr>
          <w:p>
            <w:pPr>
              <w:spacing w:after="0"/>
              <w:rPr>
                <w:sz w:val="1"/>
                <w:szCs w:val="1"/>
                <w:color w:val="auto"/>
              </w:rPr>
            </w:pPr>
          </w:p>
        </w:tc>
      </w:tr>
      <w:tr>
        <w:trPr>
          <w:trHeight w:val="297"/>
        </w:trPr>
        <w:tc>
          <w:tcPr>
            <w:tcW w:w="3220" w:type="dxa"/>
            <w:vAlign w:val="bottom"/>
          </w:tcPr>
          <w:p>
            <w:pPr>
              <w:spacing w:after="0"/>
              <w:rPr>
                <w:sz w:val="24"/>
                <w:szCs w:val="24"/>
                <w:color w:val="auto"/>
              </w:rPr>
            </w:pPr>
          </w:p>
        </w:tc>
        <w:tc>
          <w:tcPr>
            <w:tcW w:w="7580" w:type="dxa"/>
            <w:vAlign w:val="bottom"/>
            <w:gridSpan w:val="2"/>
          </w:tcPr>
          <w:p>
            <w:pPr>
              <w:ind w:left="280"/>
              <w:spacing w:after="0" w:line="184" w:lineRule="exact"/>
              <w:rPr>
                <w:sz w:val="20"/>
                <w:szCs w:val="20"/>
                <w:color w:val="auto"/>
              </w:rPr>
            </w:pPr>
            <w:r>
              <w:rPr>
                <w:rFonts w:ascii="MS PGothic" w:cs="MS PGothic" w:eastAsia="MS PGothic" w:hAnsi="MS PGothic"/>
                <w:sz w:val="16"/>
                <w:szCs w:val="16"/>
                <w:color w:val="2A5597"/>
              </w:rPr>
              <w:t>∎</w:t>
            </w:r>
            <w:r>
              <w:rPr>
                <w:rFonts w:ascii="Arial" w:cs="Arial" w:eastAsia="Arial" w:hAnsi="Arial"/>
                <w:sz w:val="16"/>
                <w:szCs w:val="16"/>
                <w:b w:val="1"/>
                <w:bCs w:val="1"/>
                <w:color w:val="auto"/>
              </w:rPr>
              <w:t xml:space="preserve"> KBR, Inc., 2009 – 2013</w:t>
            </w:r>
          </w:p>
        </w:tc>
        <w:tc>
          <w:tcPr>
            <w:tcW w:w="0" w:type="dxa"/>
            <w:vAlign w:val="bottom"/>
          </w:tcPr>
          <w:p>
            <w:pPr>
              <w:spacing w:after="0"/>
              <w:rPr>
                <w:sz w:val="1"/>
                <w:szCs w:val="1"/>
                <w:color w:val="auto"/>
              </w:rPr>
            </w:pPr>
          </w:p>
        </w:tc>
      </w:tr>
      <w:tr>
        <w:trPr>
          <w:trHeight w:val="211"/>
        </w:trPr>
        <w:tc>
          <w:tcPr>
            <w:tcW w:w="3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140" w:type="dxa"/>
            <w:vAlign w:val="bottom"/>
          </w:tcPr>
          <w:p>
            <w:pPr>
              <w:ind w:left="120"/>
              <w:spacing w:after="0"/>
              <w:rPr>
                <w:sz w:val="20"/>
                <w:szCs w:val="20"/>
                <w:color w:val="auto"/>
              </w:rPr>
            </w:pPr>
            <w:r>
              <w:rPr>
                <w:rFonts w:ascii="Arial" w:cs="Arial" w:eastAsia="Arial" w:hAnsi="Arial"/>
                <w:sz w:val="16"/>
                <w:szCs w:val="16"/>
                <w:color w:val="auto"/>
              </w:rPr>
              <w:t>— Executive Vice President and Chief Financial Officer</w:t>
            </w:r>
          </w:p>
        </w:tc>
        <w:tc>
          <w:tcPr>
            <w:tcW w:w="0" w:type="dxa"/>
            <w:vAlign w:val="bottom"/>
          </w:tcPr>
          <w:p>
            <w:pPr>
              <w:spacing w:after="0"/>
              <w:rPr>
                <w:sz w:val="1"/>
                <w:szCs w:val="1"/>
                <w:color w:val="auto"/>
              </w:rPr>
            </w:pPr>
          </w:p>
        </w:tc>
      </w:tr>
      <w:tr>
        <w:trPr>
          <w:trHeight w:val="297"/>
        </w:trPr>
        <w:tc>
          <w:tcPr>
            <w:tcW w:w="3220" w:type="dxa"/>
            <w:vAlign w:val="bottom"/>
          </w:tcPr>
          <w:p>
            <w:pPr>
              <w:spacing w:after="0"/>
              <w:rPr>
                <w:sz w:val="24"/>
                <w:szCs w:val="24"/>
                <w:color w:val="auto"/>
              </w:rPr>
            </w:pPr>
          </w:p>
        </w:tc>
        <w:tc>
          <w:tcPr>
            <w:tcW w:w="7580" w:type="dxa"/>
            <w:vAlign w:val="bottom"/>
            <w:gridSpan w:val="2"/>
          </w:tcPr>
          <w:p>
            <w:pPr>
              <w:ind w:left="280"/>
              <w:spacing w:after="0" w:line="184" w:lineRule="exact"/>
              <w:rPr>
                <w:sz w:val="20"/>
                <w:szCs w:val="20"/>
                <w:color w:val="auto"/>
              </w:rPr>
            </w:pPr>
            <w:r>
              <w:rPr>
                <w:rFonts w:ascii="MS PGothic" w:cs="MS PGothic" w:eastAsia="MS PGothic" w:hAnsi="MS PGothic"/>
                <w:sz w:val="16"/>
                <w:szCs w:val="16"/>
                <w:color w:val="2A5597"/>
              </w:rPr>
              <w:t>∎</w:t>
            </w:r>
            <w:r>
              <w:rPr>
                <w:rFonts w:ascii="Arial" w:cs="Arial" w:eastAsia="Arial" w:hAnsi="Arial"/>
                <w:sz w:val="16"/>
                <w:szCs w:val="16"/>
                <w:b w:val="1"/>
                <w:bCs w:val="1"/>
                <w:color w:val="auto"/>
              </w:rPr>
              <w:t xml:space="preserve"> Lennox International, Inc., 2004 – 2009</w:t>
            </w:r>
          </w:p>
        </w:tc>
        <w:tc>
          <w:tcPr>
            <w:tcW w:w="0" w:type="dxa"/>
            <w:vAlign w:val="bottom"/>
          </w:tcPr>
          <w:p>
            <w:pPr>
              <w:spacing w:after="0"/>
              <w:rPr>
                <w:sz w:val="1"/>
                <w:szCs w:val="1"/>
                <w:color w:val="auto"/>
              </w:rPr>
            </w:pPr>
          </w:p>
        </w:tc>
      </w:tr>
      <w:tr>
        <w:trPr>
          <w:trHeight w:val="211"/>
        </w:trPr>
        <w:tc>
          <w:tcPr>
            <w:tcW w:w="3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140" w:type="dxa"/>
            <w:vAlign w:val="bottom"/>
          </w:tcPr>
          <w:p>
            <w:pPr>
              <w:ind w:left="120"/>
              <w:spacing w:after="0"/>
              <w:rPr>
                <w:sz w:val="20"/>
                <w:szCs w:val="20"/>
                <w:color w:val="auto"/>
              </w:rPr>
            </w:pPr>
            <w:r>
              <w:rPr>
                <w:rFonts w:ascii="Arial" w:cs="Arial" w:eastAsia="Arial" w:hAnsi="Arial"/>
                <w:sz w:val="16"/>
                <w:szCs w:val="16"/>
                <w:color w:val="auto"/>
              </w:rPr>
              <w:t>— Executive Vice President and Chief Financial Officer</w:t>
            </w:r>
          </w:p>
        </w:tc>
        <w:tc>
          <w:tcPr>
            <w:tcW w:w="0" w:type="dxa"/>
            <w:vAlign w:val="bottom"/>
          </w:tcPr>
          <w:p>
            <w:pPr>
              <w:spacing w:after="0"/>
              <w:rPr>
                <w:sz w:val="1"/>
                <w:szCs w:val="1"/>
                <w:color w:val="auto"/>
              </w:rPr>
            </w:pPr>
          </w:p>
        </w:tc>
      </w:tr>
      <w:tr>
        <w:trPr>
          <w:trHeight w:val="318"/>
        </w:trPr>
        <w:tc>
          <w:tcPr>
            <w:tcW w:w="3220" w:type="dxa"/>
            <w:vAlign w:val="bottom"/>
          </w:tcPr>
          <w:p>
            <w:pPr>
              <w:spacing w:after="0"/>
              <w:rPr>
                <w:sz w:val="24"/>
                <w:szCs w:val="24"/>
                <w:color w:val="auto"/>
              </w:rPr>
            </w:pPr>
          </w:p>
        </w:tc>
        <w:tc>
          <w:tcPr>
            <w:tcW w:w="7580" w:type="dxa"/>
            <w:vAlign w:val="bottom"/>
            <w:gridSpan w:val="2"/>
          </w:tcPr>
          <w:p>
            <w:pPr>
              <w:ind w:left="280"/>
              <w:spacing w:after="0"/>
              <w:rPr>
                <w:sz w:val="20"/>
                <w:szCs w:val="20"/>
                <w:color w:val="auto"/>
              </w:rPr>
            </w:pPr>
            <w:r>
              <w:rPr>
                <w:rFonts w:ascii="Arial" w:cs="Arial" w:eastAsia="Arial" w:hAnsi="Arial"/>
                <w:sz w:val="16"/>
                <w:szCs w:val="16"/>
                <w:b w:val="1"/>
                <w:bCs w:val="1"/>
                <w:color w:val="2B4772"/>
              </w:rPr>
              <w:t>Relevant Skills and Qualifications</w:t>
            </w:r>
          </w:p>
        </w:tc>
        <w:tc>
          <w:tcPr>
            <w:tcW w:w="0" w:type="dxa"/>
            <w:vAlign w:val="bottom"/>
          </w:tcPr>
          <w:p>
            <w:pPr>
              <w:spacing w:after="0"/>
              <w:rPr>
                <w:sz w:val="1"/>
                <w:szCs w:val="1"/>
                <w:color w:val="auto"/>
              </w:rPr>
            </w:pPr>
          </w:p>
        </w:tc>
      </w:tr>
      <w:tr>
        <w:trPr>
          <w:trHeight w:val="554"/>
        </w:trPr>
        <w:tc>
          <w:tcPr>
            <w:tcW w:w="3220" w:type="dxa"/>
            <w:vAlign w:val="bottom"/>
          </w:tcPr>
          <w:p>
            <w:pPr>
              <w:ind w:left="300"/>
              <w:spacing w:after="0"/>
              <w:rPr>
                <w:sz w:val="20"/>
                <w:szCs w:val="20"/>
                <w:color w:val="auto"/>
              </w:rPr>
            </w:pPr>
            <w:r>
              <w:rPr>
                <w:rFonts w:ascii="Arial" w:cs="Arial" w:eastAsia="Arial" w:hAnsi="Arial"/>
                <w:sz w:val="16"/>
                <w:szCs w:val="16"/>
                <w:b w:val="1"/>
                <w:bCs w:val="1"/>
                <w:color w:val="2B4772"/>
              </w:rPr>
              <w:t>Age 63</w:t>
            </w:r>
          </w:p>
        </w:tc>
        <w:tc>
          <w:tcPr>
            <w:tcW w:w="440" w:type="dxa"/>
            <w:vAlign w:val="bottom"/>
          </w:tcPr>
          <w:p>
            <w:pPr>
              <w:spacing w:after="0"/>
              <w:rPr>
                <w:sz w:val="24"/>
                <w:szCs w:val="24"/>
                <w:color w:val="auto"/>
              </w:rPr>
            </w:pPr>
          </w:p>
        </w:tc>
        <w:tc>
          <w:tcPr>
            <w:tcW w:w="7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3220" w:type="dxa"/>
            <w:vAlign w:val="bottom"/>
          </w:tcPr>
          <w:p>
            <w:pPr>
              <w:ind w:left="300"/>
              <w:spacing w:after="0"/>
              <w:rPr>
                <w:sz w:val="20"/>
                <w:szCs w:val="20"/>
                <w:color w:val="auto"/>
              </w:rPr>
            </w:pPr>
            <w:r>
              <w:rPr>
                <w:rFonts w:ascii="Arial" w:cs="Arial" w:eastAsia="Arial" w:hAnsi="Arial"/>
                <w:sz w:val="16"/>
                <w:szCs w:val="16"/>
                <w:b w:val="1"/>
                <w:bCs w:val="1"/>
                <w:color w:val="2B4772"/>
              </w:rPr>
              <w:t>Director since 2020</w:t>
            </w:r>
          </w:p>
        </w:tc>
        <w:tc>
          <w:tcPr>
            <w:tcW w:w="440" w:type="dxa"/>
            <w:vAlign w:val="bottom"/>
          </w:tcPr>
          <w:p>
            <w:pPr>
              <w:ind w:left="280"/>
              <w:spacing w:after="0" w:line="161" w:lineRule="exact"/>
              <w:rPr>
                <w:sz w:val="20"/>
                <w:szCs w:val="20"/>
                <w:color w:val="auto"/>
              </w:rPr>
            </w:pPr>
            <w:r>
              <w:rPr>
                <w:rFonts w:ascii="MS PGothic" w:cs="MS PGothic" w:eastAsia="MS PGothic" w:hAnsi="MS PGothic"/>
                <w:sz w:val="16"/>
                <w:szCs w:val="16"/>
                <w:color w:val="2A5597"/>
              </w:rPr>
              <w:t>∎</w:t>
            </w:r>
          </w:p>
        </w:tc>
        <w:tc>
          <w:tcPr>
            <w:tcW w:w="7140" w:type="dxa"/>
            <w:vAlign w:val="bottom"/>
          </w:tcPr>
          <w:p>
            <w:pPr>
              <w:ind w:left="60"/>
              <w:spacing w:after="0"/>
              <w:rPr>
                <w:sz w:val="20"/>
                <w:szCs w:val="20"/>
                <w:color w:val="auto"/>
              </w:rPr>
            </w:pPr>
            <w:r>
              <w:rPr>
                <w:rFonts w:ascii="Arial" w:cs="Arial" w:eastAsia="Arial" w:hAnsi="Arial"/>
                <w:sz w:val="16"/>
                <w:szCs w:val="16"/>
                <w:color w:val="auto"/>
              </w:rPr>
              <w:t>Experience as chief financial officer of a publicly held industrial company</w:t>
            </w:r>
          </w:p>
        </w:tc>
        <w:tc>
          <w:tcPr>
            <w:tcW w:w="0" w:type="dxa"/>
            <w:vAlign w:val="bottom"/>
          </w:tcPr>
          <w:p>
            <w:pPr>
              <w:spacing w:after="0"/>
              <w:rPr>
                <w:sz w:val="1"/>
                <w:szCs w:val="1"/>
                <w:color w:val="auto"/>
              </w:rPr>
            </w:pPr>
          </w:p>
        </w:tc>
      </w:tr>
      <w:tr>
        <w:trPr>
          <w:trHeight w:val="133"/>
        </w:trPr>
        <w:tc>
          <w:tcPr>
            <w:tcW w:w="3220" w:type="dxa"/>
            <w:vAlign w:val="bottom"/>
          </w:tcPr>
          <w:p>
            <w:pPr>
              <w:ind w:left="300"/>
              <w:spacing w:after="0" w:line="133" w:lineRule="exact"/>
              <w:rPr>
                <w:sz w:val="20"/>
                <w:szCs w:val="20"/>
                <w:color w:val="auto"/>
              </w:rPr>
            </w:pPr>
            <w:r>
              <w:rPr>
                <w:rFonts w:ascii="Arial" w:cs="Arial" w:eastAsia="Arial" w:hAnsi="Arial"/>
                <w:sz w:val="15"/>
                <w:szCs w:val="15"/>
                <w:b w:val="1"/>
                <w:bCs w:val="1"/>
                <w:color w:val="2B4772"/>
              </w:rPr>
              <w:t>Other Current and Former Boards:</w:t>
            </w:r>
          </w:p>
        </w:tc>
        <w:tc>
          <w:tcPr>
            <w:tcW w:w="7580" w:type="dxa"/>
            <w:vAlign w:val="bottom"/>
            <w:gridSpan w:val="2"/>
            <w:vMerge w:val="restart"/>
          </w:tcPr>
          <w:p>
            <w:pPr>
              <w:ind w:left="280"/>
              <w:spacing w:after="0" w:line="184" w:lineRule="exact"/>
              <w:rPr>
                <w:sz w:val="20"/>
                <w:szCs w:val="20"/>
                <w:color w:val="auto"/>
              </w:rPr>
            </w:pPr>
            <w:r>
              <w:rPr>
                <w:rFonts w:ascii="MS PGothic" w:cs="MS PGothic" w:eastAsia="MS PGothic" w:hAnsi="MS PGothic"/>
                <w:sz w:val="16"/>
                <w:szCs w:val="16"/>
                <w:color w:val="2A5597"/>
              </w:rPr>
              <w:t>∎</w:t>
            </w:r>
            <w:r>
              <w:rPr>
                <w:rFonts w:ascii="Arial" w:cs="Arial" w:eastAsia="Arial" w:hAnsi="Arial"/>
                <w:sz w:val="16"/>
                <w:szCs w:val="16"/>
                <w:color w:val="auto"/>
              </w:rPr>
              <w:t xml:space="preserve"> Significant management experience and relevant knowledge of financial statement preparation and</w:t>
            </w:r>
          </w:p>
        </w:tc>
        <w:tc>
          <w:tcPr>
            <w:tcW w:w="0" w:type="dxa"/>
            <w:vAlign w:val="bottom"/>
          </w:tcPr>
          <w:p>
            <w:pPr>
              <w:spacing w:after="0"/>
              <w:rPr>
                <w:sz w:val="1"/>
                <w:szCs w:val="1"/>
                <w:color w:val="auto"/>
              </w:rPr>
            </w:pPr>
          </w:p>
        </w:tc>
      </w:tr>
      <w:tr>
        <w:trPr>
          <w:trHeight w:val="107"/>
        </w:trPr>
        <w:tc>
          <w:tcPr>
            <w:tcW w:w="3220" w:type="dxa"/>
            <w:vAlign w:val="bottom"/>
            <w:vMerge w:val="restart"/>
          </w:tcPr>
          <w:p>
            <w:pPr>
              <w:ind w:left="300"/>
              <w:spacing w:after="0"/>
              <w:rPr>
                <w:sz w:val="20"/>
                <w:szCs w:val="20"/>
                <w:color w:val="auto"/>
              </w:rPr>
            </w:pPr>
            <w:r>
              <w:rPr>
                <w:rFonts w:ascii="Arial" w:cs="Arial" w:eastAsia="Arial" w:hAnsi="Arial"/>
                <w:sz w:val="16"/>
                <w:szCs w:val="16"/>
                <w:color w:val="auto"/>
              </w:rPr>
              <w:t>Amcor plc</w:t>
            </w:r>
          </w:p>
        </w:tc>
        <w:tc>
          <w:tcPr>
            <w:tcW w:w="75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3220" w:type="dxa"/>
            <w:vAlign w:val="bottom"/>
            <w:vMerge w:val="continue"/>
          </w:tcPr>
          <w:p>
            <w:pPr>
              <w:spacing w:after="0"/>
              <w:rPr>
                <w:sz w:val="8"/>
                <w:szCs w:val="8"/>
                <w:color w:val="auto"/>
              </w:rPr>
            </w:pPr>
          </w:p>
        </w:tc>
        <w:tc>
          <w:tcPr>
            <w:tcW w:w="440" w:type="dxa"/>
            <w:vAlign w:val="bottom"/>
          </w:tcPr>
          <w:p>
            <w:pPr>
              <w:spacing w:after="0"/>
              <w:rPr>
                <w:sz w:val="8"/>
                <w:szCs w:val="8"/>
                <w:color w:val="auto"/>
              </w:rPr>
            </w:pPr>
          </w:p>
        </w:tc>
        <w:tc>
          <w:tcPr>
            <w:tcW w:w="7140" w:type="dxa"/>
            <w:vAlign w:val="bottom"/>
            <w:vMerge w:val="restart"/>
          </w:tcPr>
          <w:p>
            <w:pPr>
              <w:ind w:left="100"/>
              <w:spacing w:after="0"/>
              <w:rPr>
                <w:sz w:val="20"/>
                <w:szCs w:val="20"/>
                <w:color w:val="auto"/>
              </w:rPr>
            </w:pPr>
            <w:r>
              <w:rPr>
                <w:rFonts w:ascii="Arial" w:cs="Arial" w:eastAsia="Arial" w:hAnsi="Arial"/>
                <w:sz w:val="16"/>
                <w:szCs w:val="16"/>
                <w:color w:val="auto"/>
              </w:rPr>
              <w:t>regulatory compliance</w:t>
            </w:r>
          </w:p>
        </w:tc>
        <w:tc>
          <w:tcPr>
            <w:tcW w:w="0" w:type="dxa"/>
            <w:vAlign w:val="bottom"/>
          </w:tcPr>
          <w:p>
            <w:pPr>
              <w:spacing w:after="0"/>
              <w:rPr>
                <w:sz w:val="1"/>
                <w:szCs w:val="1"/>
                <w:color w:val="auto"/>
              </w:rPr>
            </w:pPr>
          </w:p>
        </w:tc>
      </w:tr>
      <w:tr>
        <w:trPr>
          <w:trHeight w:val="94"/>
        </w:trPr>
        <w:tc>
          <w:tcPr>
            <w:tcW w:w="3220" w:type="dxa"/>
            <w:vAlign w:val="bottom"/>
            <w:vMerge w:val="restart"/>
          </w:tcPr>
          <w:p>
            <w:pPr>
              <w:ind w:left="300"/>
              <w:spacing w:after="0"/>
              <w:rPr>
                <w:sz w:val="20"/>
                <w:szCs w:val="20"/>
                <w:color w:val="auto"/>
              </w:rPr>
            </w:pPr>
            <w:r>
              <w:rPr>
                <w:rFonts w:ascii="Arial" w:cs="Arial" w:eastAsia="Arial" w:hAnsi="Arial"/>
                <w:sz w:val="16"/>
                <w:szCs w:val="16"/>
                <w:color w:val="auto"/>
              </w:rPr>
              <w:t>Air Products and Chemicals, Inc.</w:t>
            </w:r>
          </w:p>
        </w:tc>
        <w:tc>
          <w:tcPr>
            <w:tcW w:w="440" w:type="dxa"/>
            <w:vAlign w:val="bottom"/>
            <w:vMerge w:val="restart"/>
          </w:tcPr>
          <w:p>
            <w:pPr>
              <w:ind w:left="280"/>
              <w:spacing w:after="0" w:line="161" w:lineRule="exact"/>
              <w:rPr>
                <w:sz w:val="20"/>
                <w:szCs w:val="20"/>
                <w:color w:val="auto"/>
              </w:rPr>
            </w:pPr>
            <w:r>
              <w:rPr>
                <w:rFonts w:ascii="MS PGothic" w:cs="MS PGothic" w:eastAsia="MS PGothic" w:hAnsi="MS PGothic"/>
                <w:sz w:val="16"/>
                <w:szCs w:val="16"/>
                <w:color w:val="2A5597"/>
              </w:rPr>
              <w:t>∎</w:t>
            </w:r>
          </w:p>
        </w:tc>
        <w:tc>
          <w:tcPr>
            <w:tcW w:w="71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7"/>
        </w:trPr>
        <w:tc>
          <w:tcPr>
            <w:tcW w:w="3220" w:type="dxa"/>
            <w:vAlign w:val="bottom"/>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7140" w:type="dxa"/>
            <w:vAlign w:val="bottom"/>
            <w:vMerge w:val="restart"/>
          </w:tcPr>
          <w:p>
            <w:pPr>
              <w:ind w:left="60"/>
              <w:spacing w:after="0"/>
              <w:rPr>
                <w:sz w:val="20"/>
                <w:szCs w:val="20"/>
                <w:color w:val="auto"/>
              </w:rPr>
            </w:pPr>
            <w:r>
              <w:rPr>
                <w:rFonts w:ascii="Arial" w:cs="Arial" w:eastAsia="Arial" w:hAnsi="Arial"/>
                <w:sz w:val="16"/>
                <w:szCs w:val="16"/>
                <w:color w:val="auto"/>
              </w:rPr>
              <w:t>Significant experience in manufacturing, automotive, aerospace, defense and engineering and</w:t>
            </w:r>
          </w:p>
        </w:tc>
        <w:tc>
          <w:tcPr>
            <w:tcW w:w="0" w:type="dxa"/>
            <w:vAlign w:val="bottom"/>
          </w:tcPr>
          <w:p>
            <w:pPr>
              <w:spacing w:after="0"/>
              <w:rPr>
                <w:sz w:val="1"/>
                <w:szCs w:val="1"/>
                <w:color w:val="auto"/>
              </w:rPr>
            </w:pPr>
          </w:p>
        </w:tc>
      </w:tr>
      <w:tr>
        <w:trPr>
          <w:trHeight w:val="94"/>
        </w:trPr>
        <w:tc>
          <w:tcPr>
            <w:tcW w:w="3220" w:type="dxa"/>
            <w:vAlign w:val="bottom"/>
            <w:vMerge w:val="restart"/>
          </w:tcPr>
          <w:p>
            <w:pPr>
              <w:ind w:left="460"/>
              <w:spacing w:after="0"/>
              <w:rPr>
                <w:sz w:val="20"/>
                <w:szCs w:val="20"/>
                <w:color w:val="auto"/>
              </w:rPr>
            </w:pPr>
            <w:r>
              <w:rPr>
                <w:rFonts w:ascii="Arial" w:cs="Arial" w:eastAsia="Arial" w:hAnsi="Arial"/>
                <w:sz w:val="16"/>
                <w:szCs w:val="16"/>
                <w:color w:val="auto"/>
              </w:rPr>
              <w:t>(2011 – 2021)</w:t>
            </w:r>
          </w:p>
        </w:tc>
        <w:tc>
          <w:tcPr>
            <w:tcW w:w="440" w:type="dxa"/>
            <w:vAlign w:val="bottom"/>
            <w:vMerge w:val="continue"/>
          </w:tcPr>
          <w:p>
            <w:pPr>
              <w:spacing w:after="0"/>
              <w:rPr>
                <w:sz w:val="8"/>
                <w:szCs w:val="8"/>
                <w:color w:val="auto"/>
              </w:rPr>
            </w:pPr>
          </w:p>
        </w:tc>
        <w:tc>
          <w:tcPr>
            <w:tcW w:w="71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3220" w:type="dxa"/>
            <w:vAlign w:val="bottom"/>
            <w:vMerge w:val="continue"/>
          </w:tcPr>
          <w:p>
            <w:pPr>
              <w:spacing w:after="0"/>
              <w:rPr>
                <w:sz w:val="10"/>
                <w:szCs w:val="10"/>
                <w:color w:val="auto"/>
              </w:rPr>
            </w:pPr>
          </w:p>
        </w:tc>
        <w:tc>
          <w:tcPr>
            <w:tcW w:w="440" w:type="dxa"/>
            <w:vAlign w:val="bottom"/>
          </w:tcPr>
          <w:p>
            <w:pPr>
              <w:spacing w:after="0"/>
              <w:rPr>
                <w:sz w:val="10"/>
                <w:szCs w:val="10"/>
                <w:color w:val="auto"/>
              </w:rPr>
            </w:pPr>
          </w:p>
        </w:tc>
        <w:tc>
          <w:tcPr>
            <w:tcW w:w="7140" w:type="dxa"/>
            <w:vAlign w:val="bottom"/>
            <w:vMerge w:val="restart"/>
          </w:tcPr>
          <w:p>
            <w:pPr>
              <w:ind w:left="100"/>
              <w:spacing w:after="0"/>
              <w:rPr>
                <w:sz w:val="20"/>
                <w:szCs w:val="20"/>
                <w:color w:val="auto"/>
              </w:rPr>
            </w:pPr>
            <w:r>
              <w:rPr>
                <w:rFonts w:ascii="Arial" w:cs="Arial" w:eastAsia="Arial" w:hAnsi="Arial"/>
                <w:sz w:val="16"/>
                <w:szCs w:val="16"/>
                <w:color w:val="auto"/>
              </w:rPr>
              <w:t>construction industries</w:t>
            </w:r>
          </w:p>
        </w:tc>
        <w:tc>
          <w:tcPr>
            <w:tcW w:w="0" w:type="dxa"/>
            <w:vAlign w:val="bottom"/>
          </w:tcPr>
          <w:p>
            <w:pPr>
              <w:spacing w:after="0"/>
              <w:rPr>
                <w:sz w:val="1"/>
                <w:szCs w:val="1"/>
                <w:color w:val="auto"/>
              </w:rPr>
            </w:pPr>
          </w:p>
        </w:tc>
      </w:tr>
      <w:tr>
        <w:trPr>
          <w:trHeight w:val="70"/>
        </w:trPr>
        <w:tc>
          <w:tcPr>
            <w:tcW w:w="3220" w:type="dxa"/>
            <w:vAlign w:val="bottom"/>
          </w:tcPr>
          <w:p>
            <w:pPr>
              <w:spacing w:after="0"/>
              <w:rPr>
                <w:sz w:val="6"/>
                <w:szCs w:val="6"/>
                <w:color w:val="auto"/>
              </w:rPr>
            </w:pPr>
          </w:p>
        </w:tc>
        <w:tc>
          <w:tcPr>
            <w:tcW w:w="440" w:type="dxa"/>
            <w:vAlign w:val="bottom"/>
            <w:vMerge w:val="restart"/>
          </w:tcPr>
          <w:p>
            <w:pPr>
              <w:ind w:left="280"/>
              <w:spacing w:after="0" w:line="161" w:lineRule="exact"/>
              <w:rPr>
                <w:sz w:val="20"/>
                <w:szCs w:val="20"/>
                <w:color w:val="auto"/>
              </w:rPr>
            </w:pPr>
            <w:r>
              <w:rPr>
                <w:rFonts w:ascii="MS PGothic" w:cs="MS PGothic" w:eastAsia="MS PGothic" w:hAnsi="MS PGothic"/>
                <w:sz w:val="16"/>
                <w:szCs w:val="16"/>
                <w:color w:val="2A5597"/>
              </w:rPr>
              <w:t>∎</w:t>
            </w:r>
          </w:p>
        </w:tc>
        <w:tc>
          <w:tcPr>
            <w:tcW w:w="71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1"/>
        </w:trPr>
        <w:tc>
          <w:tcPr>
            <w:tcW w:w="3220" w:type="dxa"/>
            <w:vAlign w:val="bottom"/>
          </w:tcPr>
          <w:p>
            <w:pPr>
              <w:spacing w:after="0"/>
              <w:rPr>
                <w:sz w:val="17"/>
                <w:szCs w:val="17"/>
                <w:color w:val="auto"/>
              </w:rPr>
            </w:pPr>
          </w:p>
        </w:tc>
        <w:tc>
          <w:tcPr>
            <w:tcW w:w="440" w:type="dxa"/>
            <w:vAlign w:val="bottom"/>
            <w:vMerge w:val="continue"/>
          </w:tcPr>
          <w:p>
            <w:pPr>
              <w:spacing w:after="0"/>
              <w:rPr>
                <w:sz w:val="17"/>
                <w:szCs w:val="17"/>
                <w:color w:val="auto"/>
              </w:rPr>
            </w:pPr>
          </w:p>
        </w:tc>
        <w:tc>
          <w:tcPr>
            <w:tcW w:w="7140" w:type="dxa"/>
            <w:vAlign w:val="bottom"/>
          </w:tcPr>
          <w:p>
            <w:pPr>
              <w:ind w:left="60"/>
              <w:spacing w:after="0"/>
              <w:rPr>
                <w:sz w:val="20"/>
                <w:szCs w:val="20"/>
                <w:color w:val="auto"/>
              </w:rPr>
            </w:pPr>
            <w:r>
              <w:rPr>
                <w:rFonts w:ascii="Arial" w:cs="Arial" w:eastAsia="Arial" w:hAnsi="Arial"/>
                <w:sz w:val="16"/>
                <w:szCs w:val="16"/>
                <w:color w:val="auto"/>
              </w:rPr>
              <w:t>Extensive experience in accounting and financial reporting, international business, mergers and</w:t>
            </w:r>
          </w:p>
        </w:tc>
        <w:tc>
          <w:tcPr>
            <w:tcW w:w="0" w:type="dxa"/>
            <w:vAlign w:val="bottom"/>
          </w:tcPr>
          <w:p>
            <w:pPr>
              <w:spacing w:after="0"/>
              <w:rPr>
                <w:sz w:val="1"/>
                <w:szCs w:val="1"/>
                <w:color w:val="auto"/>
              </w:rPr>
            </w:pPr>
          </w:p>
        </w:tc>
      </w:tr>
      <w:tr>
        <w:trPr>
          <w:trHeight w:val="187"/>
        </w:trPr>
        <w:tc>
          <w:tcPr>
            <w:tcW w:w="3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140" w:type="dxa"/>
            <w:vAlign w:val="bottom"/>
          </w:tcPr>
          <w:p>
            <w:pPr>
              <w:ind w:left="100"/>
              <w:spacing w:after="0"/>
              <w:rPr>
                <w:sz w:val="20"/>
                <w:szCs w:val="20"/>
                <w:color w:val="auto"/>
              </w:rPr>
            </w:pPr>
            <w:r>
              <w:rPr>
                <w:rFonts w:ascii="Arial" w:cs="Arial" w:eastAsia="Arial" w:hAnsi="Arial"/>
                <w:sz w:val="16"/>
                <w:szCs w:val="16"/>
                <w:color w:val="auto"/>
              </w:rPr>
              <w:t>acquisitions,  investor  relations,  information  technology,  finance  and  capital  management,</w:t>
            </w:r>
          </w:p>
        </w:tc>
        <w:tc>
          <w:tcPr>
            <w:tcW w:w="0" w:type="dxa"/>
            <w:vAlign w:val="bottom"/>
          </w:tcPr>
          <w:p>
            <w:pPr>
              <w:spacing w:after="0"/>
              <w:rPr>
                <w:sz w:val="1"/>
                <w:szCs w:val="1"/>
                <w:color w:val="auto"/>
              </w:rPr>
            </w:pPr>
          </w:p>
        </w:tc>
      </w:tr>
      <w:tr>
        <w:trPr>
          <w:trHeight w:val="211"/>
        </w:trPr>
        <w:tc>
          <w:tcPr>
            <w:tcW w:w="3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140" w:type="dxa"/>
            <w:vAlign w:val="bottom"/>
          </w:tcPr>
          <w:p>
            <w:pPr>
              <w:ind w:left="100"/>
              <w:spacing w:after="0"/>
              <w:rPr>
                <w:sz w:val="20"/>
                <w:szCs w:val="20"/>
                <w:color w:val="auto"/>
              </w:rPr>
            </w:pPr>
            <w:r>
              <w:rPr>
                <w:rFonts w:ascii="Arial" w:cs="Arial" w:eastAsia="Arial" w:hAnsi="Arial"/>
                <w:sz w:val="16"/>
                <w:szCs w:val="16"/>
                <w:color w:val="auto"/>
              </w:rPr>
              <w:t>government relations and ESG matters</w:t>
            </w:r>
          </w:p>
        </w:tc>
        <w:tc>
          <w:tcPr>
            <w:tcW w:w="0" w:type="dxa"/>
            <w:vAlign w:val="bottom"/>
          </w:tcPr>
          <w:p>
            <w:pPr>
              <w:spacing w:after="0"/>
              <w:rPr>
                <w:sz w:val="1"/>
                <w:szCs w:val="1"/>
                <w:color w:val="auto"/>
              </w:rPr>
            </w:pPr>
          </w:p>
        </w:tc>
      </w:tr>
      <w:tr>
        <w:trPr>
          <w:trHeight w:val="151"/>
        </w:trPr>
        <w:tc>
          <w:tcPr>
            <w:tcW w:w="3220" w:type="dxa"/>
            <w:vAlign w:val="bottom"/>
            <w:tcBorders>
              <w:bottom w:val="single" w:sz="8" w:color="A33F02"/>
            </w:tcBorders>
          </w:tcPr>
          <w:p>
            <w:pPr>
              <w:spacing w:after="0"/>
              <w:rPr>
                <w:sz w:val="13"/>
                <w:szCs w:val="13"/>
                <w:color w:val="auto"/>
              </w:rPr>
            </w:pPr>
          </w:p>
        </w:tc>
        <w:tc>
          <w:tcPr>
            <w:tcW w:w="440" w:type="dxa"/>
            <w:vAlign w:val="bottom"/>
            <w:tcBorders>
              <w:bottom w:val="single" w:sz="8" w:color="A33F02"/>
            </w:tcBorders>
          </w:tcPr>
          <w:p>
            <w:pPr>
              <w:spacing w:after="0"/>
              <w:rPr>
                <w:sz w:val="13"/>
                <w:szCs w:val="13"/>
                <w:color w:val="auto"/>
              </w:rPr>
            </w:pPr>
          </w:p>
        </w:tc>
        <w:tc>
          <w:tcPr>
            <w:tcW w:w="7140" w:type="dxa"/>
            <w:vAlign w:val="bottom"/>
            <w:tcBorders>
              <w:bottom w:val="single" w:sz="8" w:color="A33F02"/>
            </w:tcBorders>
          </w:tcPr>
          <w:p>
            <w:pPr>
              <w:spacing w:after="0"/>
              <w:rPr>
                <w:sz w:val="13"/>
                <w:szCs w:val="13"/>
                <w:color w:val="auto"/>
              </w:rPr>
            </w:pPr>
          </w:p>
        </w:tc>
        <w:tc>
          <w:tcPr>
            <w:tcW w:w="0" w:type="dxa"/>
            <w:vAlign w:val="bottom"/>
          </w:tcPr>
          <w:p>
            <w:pPr>
              <w:spacing w:after="0"/>
              <w:rPr>
                <w:sz w:val="1"/>
                <w:szCs w:val="1"/>
                <w:color w:val="auto"/>
              </w:rPr>
            </w:pPr>
          </w:p>
        </w:tc>
      </w:tr>
      <w:tr>
        <w:trPr>
          <w:trHeight w:val="87"/>
        </w:trPr>
        <w:tc>
          <w:tcPr>
            <w:tcW w:w="3220" w:type="dxa"/>
            <w:vAlign w:val="bottom"/>
            <w:tcBorders>
              <w:left w:val="single" w:sz="8" w:color="A33F02"/>
              <w:bottom w:val="single" w:sz="8" w:color="A33F02"/>
            </w:tcBorders>
            <w:shd w:val="clear" w:color="auto" w:fill="F75E14"/>
          </w:tcPr>
          <w:p>
            <w:pPr>
              <w:spacing w:after="0"/>
              <w:rPr>
                <w:sz w:val="7"/>
                <w:szCs w:val="7"/>
                <w:color w:val="auto"/>
              </w:rPr>
            </w:pPr>
          </w:p>
        </w:tc>
        <w:tc>
          <w:tcPr>
            <w:tcW w:w="440" w:type="dxa"/>
            <w:vAlign w:val="bottom"/>
            <w:tcBorders>
              <w:bottom w:val="single" w:sz="8" w:color="A33F02"/>
            </w:tcBorders>
            <w:shd w:val="clear" w:color="auto" w:fill="F75E14"/>
          </w:tcPr>
          <w:p>
            <w:pPr>
              <w:spacing w:after="0"/>
              <w:rPr>
                <w:sz w:val="7"/>
                <w:szCs w:val="7"/>
                <w:color w:val="auto"/>
              </w:rPr>
            </w:pPr>
          </w:p>
        </w:tc>
        <w:tc>
          <w:tcPr>
            <w:tcW w:w="7140" w:type="dxa"/>
            <w:vAlign w:val="bottom"/>
            <w:tcBorders>
              <w:bottom w:val="single" w:sz="8" w:color="A33F02"/>
              <w:right w:val="single" w:sz="8" w:color="A33F02"/>
            </w:tcBorders>
            <w:shd w:val="clear" w:color="auto" w:fill="F75E14"/>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429260</wp:posOffset>
            </wp:positionH>
            <wp:positionV relativeFrom="paragraph">
              <wp:posOffset>-2717165</wp:posOffset>
            </wp:positionV>
            <wp:extent cx="4645025" cy="14776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4645025" cy="1477645"/>
                    </a:xfrm>
                    <a:prstGeom prst="rect">
                      <a:avLst/>
                    </a:prstGeom>
                    <a:noFill/>
                  </pic:spPr>
                </pic:pic>
              </a:graphicData>
            </a:graphic>
          </wp:anchor>
        </w:drawing>
      </w:r>
    </w:p>
    <w:p>
      <w:pPr>
        <w:spacing w:after="0" w:line="86" w:lineRule="exact"/>
        <w:rPr>
          <w:sz w:val="20"/>
          <w:szCs w:val="20"/>
          <w:color w:val="auto"/>
        </w:rPr>
      </w:pPr>
    </w:p>
    <w:p>
      <w:pPr>
        <w:ind w:left="540"/>
        <w:spacing w:after="0"/>
        <w:tabs>
          <w:tab w:leader="none" w:pos="3720" w:val="left"/>
        </w:tabs>
        <w:rPr>
          <w:sz w:val="20"/>
          <w:szCs w:val="20"/>
          <w:color w:val="auto"/>
        </w:rPr>
      </w:pPr>
      <w:r>
        <w:rPr>
          <w:rFonts w:ascii="Arial" w:cs="Arial" w:eastAsia="Arial" w:hAnsi="Arial"/>
          <w:sz w:val="16"/>
          <w:szCs w:val="16"/>
          <w:b w:val="1"/>
          <w:bCs w:val="1"/>
          <w:color w:val="2B4772"/>
        </w:rPr>
        <w:t>THOMAS L. DEITRICH</w:t>
      </w:r>
      <w:r>
        <w:rPr>
          <w:sz w:val="20"/>
          <w:szCs w:val="20"/>
          <w:color w:val="auto"/>
        </w:rPr>
        <w:tab/>
      </w:r>
      <w:r>
        <w:rPr>
          <w:rFonts w:ascii="Arial" w:cs="Arial" w:eastAsia="Arial" w:hAnsi="Arial"/>
          <w:sz w:val="16"/>
          <w:szCs w:val="16"/>
          <w:b w:val="1"/>
          <w:bCs w:val="1"/>
          <w:color w:val="2B4772"/>
        </w:rPr>
        <w:t>Career Highlights</w:t>
      </w:r>
    </w:p>
    <w:p>
      <w:pPr>
        <w:spacing w:after="0" w:line="16" w:lineRule="exact"/>
        <w:rPr>
          <w:sz w:val="20"/>
          <w:szCs w:val="20"/>
          <w:color w:val="auto"/>
        </w:rPr>
      </w:pPr>
    </w:p>
    <w:p>
      <w:pPr>
        <w:ind w:left="3960" w:hanging="215"/>
        <w:spacing w:after="0"/>
        <w:tabs>
          <w:tab w:leader="none" w:pos="3960" w:val="left"/>
        </w:tabs>
        <w:numPr>
          <w:ilvl w:val="0"/>
          <w:numId w:val="12"/>
        </w:numPr>
        <w:rPr>
          <w:rFonts w:ascii="MS PGothic" w:cs="MS PGothic" w:eastAsia="MS PGothic" w:hAnsi="MS PGothic"/>
          <w:sz w:val="16"/>
          <w:szCs w:val="16"/>
          <w:color w:val="2A5597"/>
        </w:rPr>
      </w:pPr>
      <w:r>
        <w:rPr>
          <w:rFonts w:ascii="Arial" w:cs="Arial" w:eastAsia="Arial" w:hAnsi="Arial"/>
          <w:sz w:val="16"/>
          <w:szCs w:val="16"/>
          <w:b w:val="1"/>
          <w:bCs w:val="1"/>
          <w:color w:val="auto"/>
        </w:rPr>
        <w:t xml:space="preserve">Itron, Inc. </w:t>
      </w:r>
      <w:r>
        <w:rPr>
          <w:rFonts w:ascii="Arial" w:cs="Arial" w:eastAsia="Arial" w:hAnsi="Arial"/>
          <w:sz w:val="16"/>
          <w:szCs w:val="16"/>
          <w:color w:val="auto"/>
        </w:rPr>
        <w:t>(an energy and water resource management technology company)</w:t>
      </w:r>
      <w:r>
        <w:rPr>
          <w:rFonts w:ascii="Arial" w:cs="Arial" w:eastAsia="Arial" w:hAnsi="Arial"/>
          <w:sz w:val="16"/>
          <w:szCs w:val="16"/>
          <w:b w:val="1"/>
          <w:bCs w:val="1"/>
          <w:color w:val="auto"/>
        </w:rPr>
        <w:t>, 2015 – Present</w:t>
      </w:r>
    </w:p>
    <w:p>
      <w:pPr>
        <w:spacing w:after="0" w:line="20" w:lineRule="exact"/>
        <w:rPr>
          <w:rFonts w:ascii="MS PGothic" w:cs="MS PGothic" w:eastAsia="MS PGothic" w:hAnsi="MS PGothic"/>
          <w:sz w:val="16"/>
          <w:szCs w:val="16"/>
          <w:color w:val="2A5597"/>
        </w:rPr>
      </w:pPr>
    </w:p>
    <w:p>
      <w:pPr>
        <w:ind w:left="4020"/>
        <w:spacing w:after="0"/>
        <w:rPr>
          <w:rFonts w:ascii="MS PGothic" w:cs="MS PGothic" w:eastAsia="MS PGothic" w:hAnsi="MS PGothic"/>
          <w:sz w:val="16"/>
          <w:szCs w:val="16"/>
          <w:color w:val="2A5597"/>
        </w:rPr>
      </w:pPr>
      <w:r>
        <w:rPr>
          <w:rFonts w:ascii="Arial" w:cs="Arial" w:eastAsia="Arial" w:hAnsi="Arial"/>
          <w:sz w:val="16"/>
          <w:szCs w:val="16"/>
          <w:color w:val="auto"/>
        </w:rPr>
        <w:t>— President, Chief Executive Officer and Director, 2019 – Present</w:t>
      </w:r>
    </w:p>
    <w:p>
      <w:pPr>
        <w:spacing w:after="0" w:line="3" w:lineRule="exact"/>
        <w:rPr>
          <w:rFonts w:ascii="MS PGothic" w:cs="MS PGothic" w:eastAsia="MS PGothic" w:hAnsi="MS PGothic"/>
          <w:sz w:val="16"/>
          <w:szCs w:val="16"/>
          <w:color w:val="2A5597"/>
        </w:rPr>
      </w:pPr>
    </w:p>
    <w:p>
      <w:pPr>
        <w:ind w:left="4020"/>
        <w:spacing w:after="0"/>
        <w:rPr>
          <w:rFonts w:ascii="MS PGothic" w:cs="MS PGothic" w:eastAsia="MS PGothic" w:hAnsi="MS PGothic"/>
          <w:sz w:val="16"/>
          <w:szCs w:val="16"/>
          <w:color w:val="2A5597"/>
        </w:rPr>
      </w:pPr>
      <w:r>
        <w:rPr>
          <w:rFonts w:ascii="Arial" w:cs="Arial" w:eastAsia="Arial" w:hAnsi="Arial"/>
          <w:sz w:val="16"/>
          <w:szCs w:val="16"/>
          <w:color w:val="auto"/>
        </w:rPr>
        <w:t>— Chief Operating Officer, 2015 – 2019</w:t>
      </w:r>
    </w:p>
    <w:p>
      <w:pPr>
        <w:spacing w:after="0" w:line="107" w:lineRule="exact"/>
        <w:rPr>
          <w:rFonts w:ascii="MS PGothic" w:cs="MS PGothic" w:eastAsia="MS PGothic" w:hAnsi="MS PGothic"/>
          <w:sz w:val="16"/>
          <w:szCs w:val="16"/>
          <w:color w:val="2A5597"/>
        </w:rPr>
      </w:pPr>
    </w:p>
    <w:p>
      <w:pPr>
        <w:ind w:left="3960" w:hanging="215"/>
        <w:spacing w:after="0"/>
        <w:tabs>
          <w:tab w:leader="none" w:pos="3960" w:val="left"/>
        </w:tabs>
        <w:numPr>
          <w:ilvl w:val="0"/>
          <w:numId w:val="12"/>
        </w:numPr>
        <w:rPr>
          <w:rFonts w:ascii="MS PGothic" w:cs="MS PGothic" w:eastAsia="MS PGothic" w:hAnsi="MS PGothic"/>
          <w:sz w:val="16"/>
          <w:szCs w:val="16"/>
          <w:color w:val="2A5597"/>
        </w:rPr>
      </w:pPr>
      <w:r>
        <w:rPr>
          <w:rFonts w:ascii="Arial" w:cs="Arial" w:eastAsia="Arial" w:hAnsi="Arial"/>
          <w:sz w:val="16"/>
          <w:szCs w:val="16"/>
          <w:b w:val="1"/>
          <w:bCs w:val="1"/>
          <w:color w:val="auto"/>
        </w:rPr>
        <w:t xml:space="preserve">Freescale Semiconductor, Inc. </w:t>
      </w:r>
      <w:r>
        <w:rPr>
          <w:rFonts w:ascii="Arial" w:cs="Arial" w:eastAsia="Arial" w:hAnsi="Arial"/>
          <w:sz w:val="16"/>
          <w:szCs w:val="16"/>
          <w:color w:val="auto"/>
        </w:rPr>
        <w:t>(acquired by NXP Semiconductors N.V.)</w:t>
      </w:r>
      <w:r>
        <w:rPr>
          <w:rFonts w:ascii="Arial" w:cs="Arial" w:eastAsia="Arial" w:hAnsi="Arial"/>
          <w:sz w:val="16"/>
          <w:szCs w:val="16"/>
          <w:b w:val="1"/>
          <w:bCs w:val="1"/>
          <w:color w:val="auto"/>
        </w:rPr>
        <w:t>, 2006 – 2015</w:t>
      </w:r>
    </w:p>
    <w:p>
      <w:pPr>
        <w:spacing w:after="0" w:line="32" w:lineRule="exact"/>
        <w:rPr>
          <w:rFonts w:ascii="MS PGothic" w:cs="MS PGothic" w:eastAsia="MS PGothic" w:hAnsi="MS PGothic"/>
          <w:sz w:val="16"/>
          <w:szCs w:val="16"/>
          <w:color w:val="2A5597"/>
        </w:rPr>
      </w:pPr>
    </w:p>
    <w:p>
      <w:pPr>
        <w:ind w:left="4020"/>
        <w:spacing w:after="0"/>
        <w:rPr>
          <w:rFonts w:ascii="MS PGothic" w:cs="MS PGothic" w:eastAsia="MS PGothic" w:hAnsi="MS PGothic"/>
          <w:sz w:val="16"/>
          <w:szCs w:val="16"/>
          <w:color w:val="2A5597"/>
        </w:rPr>
      </w:pPr>
      <w:r>
        <w:rPr>
          <w:rFonts w:ascii="Arial" w:cs="Arial" w:eastAsia="Arial" w:hAnsi="Arial"/>
          <w:sz w:val="16"/>
          <w:szCs w:val="16"/>
          <w:color w:val="auto"/>
        </w:rPr>
        <w:t>— Senior Vice President and General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429260</wp:posOffset>
            </wp:positionH>
            <wp:positionV relativeFrom="paragraph">
              <wp:posOffset>-610235</wp:posOffset>
            </wp:positionV>
            <wp:extent cx="959485" cy="13163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959485" cy="1316355"/>
                    </a:xfrm>
                    <a:prstGeom prst="rect">
                      <a:avLst/>
                    </a:prstGeom>
                    <a:noFill/>
                  </pic:spPr>
                </pic:pic>
              </a:graphicData>
            </a:graphic>
          </wp:anchor>
        </w:drawing>
      </w:r>
    </w:p>
    <w:p>
      <w:pPr>
        <w:spacing w:after="0" w:line="88" w:lineRule="exact"/>
        <w:rPr>
          <w:sz w:val="20"/>
          <w:szCs w:val="20"/>
          <w:color w:val="auto"/>
        </w:rPr>
      </w:pPr>
    </w:p>
    <w:p>
      <w:pPr>
        <w:ind w:left="3740"/>
        <w:spacing w:after="0"/>
        <w:rPr>
          <w:sz w:val="20"/>
          <w:szCs w:val="20"/>
          <w:color w:val="auto"/>
        </w:rPr>
      </w:pPr>
      <w:r>
        <w:rPr>
          <w:rFonts w:ascii="Arial" w:cs="Arial" w:eastAsia="Arial" w:hAnsi="Arial"/>
          <w:sz w:val="16"/>
          <w:szCs w:val="16"/>
          <w:b w:val="1"/>
          <w:bCs w:val="1"/>
          <w:color w:val="2B4772"/>
        </w:rPr>
        <w:t>Relevant Skills and 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2382520</wp:posOffset>
            </wp:positionH>
            <wp:positionV relativeFrom="paragraph">
              <wp:posOffset>87630</wp:posOffset>
            </wp:positionV>
            <wp:extent cx="2751455" cy="2717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751455" cy="271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540" w:type="dxa"/>
        <w:tblCellMar>
          <w:top w:w="0" w:type="dxa"/>
          <w:left w:w="0" w:type="dxa"/>
          <w:bottom w:w="0" w:type="dxa"/>
          <w:right w:w="0" w:type="dxa"/>
        </w:tblCellMar>
      </w:tblPr>
      <w:tr>
        <w:trPr>
          <w:trHeight w:val="201"/>
        </w:trPr>
        <w:tc>
          <w:tcPr>
            <w:tcW w:w="2920" w:type="dxa"/>
            <w:vAlign w:val="bottom"/>
          </w:tcPr>
          <w:p>
            <w:pPr>
              <w:spacing w:after="0"/>
              <w:rPr>
                <w:sz w:val="17"/>
                <w:szCs w:val="17"/>
                <w:color w:val="auto"/>
              </w:rPr>
            </w:pPr>
          </w:p>
        </w:tc>
        <w:tc>
          <w:tcPr>
            <w:tcW w:w="7560" w:type="dxa"/>
            <w:vAlign w:val="bottom"/>
          </w:tcPr>
          <w:p>
            <w:pPr>
              <w:ind w:left="280"/>
              <w:spacing w:after="0" w:line="184" w:lineRule="exact"/>
              <w:rPr>
                <w:sz w:val="20"/>
                <w:szCs w:val="20"/>
                <w:color w:val="auto"/>
              </w:rPr>
            </w:pPr>
            <w:r>
              <w:rPr>
                <w:rFonts w:ascii="MS PGothic" w:cs="MS PGothic" w:eastAsia="MS PGothic" w:hAnsi="MS PGothic"/>
                <w:sz w:val="16"/>
                <w:szCs w:val="16"/>
                <w:color w:val="2A5597"/>
              </w:rPr>
              <w:t>∎</w:t>
            </w:r>
            <w:r>
              <w:rPr>
                <w:rFonts w:ascii="Arial" w:cs="Arial" w:eastAsia="Arial" w:hAnsi="Arial"/>
                <w:sz w:val="16"/>
                <w:szCs w:val="16"/>
                <w:color w:val="auto"/>
              </w:rPr>
              <w:t xml:space="preserve"> Experience as chief executive officer of a publicly held technology company</w:t>
            </w:r>
          </w:p>
        </w:tc>
      </w:tr>
      <w:tr>
        <w:trPr>
          <w:trHeight w:val="227"/>
        </w:trPr>
        <w:tc>
          <w:tcPr>
            <w:tcW w:w="2920" w:type="dxa"/>
            <w:vAlign w:val="bottom"/>
          </w:tcPr>
          <w:p>
            <w:pPr>
              <w:spacing w:after="0"/>
              <w:rPr>
                <w:sz w:val="20"/>
                <w:szCs w:val="20"/>
                <w:color w:val="auto"/>
              </w:rPr>
            </w:pPr>
            <w:r>
              <w:rPr>
                <w:rFonts w:ascii="Arial" w:cs="Arial" w:eastAsia="Arial" w:hAnsi="Arial"/>
                <w:sz w:val="16"/>
                <w:szCs w:val="16"/>
                <w:b w:val="1"/>
                <w:bCs w:val="1"/>
                <w:color w:val="2B4772"/>
              </w:rPr>
              <w:t>Age 55</w:t>
            </w:r>
          </w:p>
        </w:tc>
        <w:tc>
          <w:tcPr>
            <w:tcW w:w="7560" w:type="dxa"/>
            <w:vAlign w:val="bottom"/>
          </w:tcPr>
          <w:p>
            <w:pPr>
              <w:ind w:left="280"/>
              <w:spacing w:after="0" w:line="184" w:lineRule="exact"/>
              <w:rPr>
                <w:sz w:val="20"/>
                <w:szCs w:val="20"/>
                <w:color w:val="auto"/>
              </w:rPr>
            </w:pPr>
            <w:r>
              <w:rPr>
                <w:rFonts w:ascii="MS PGothic" w:cs="MS PGothic" w:eastAsia="MS PGothic" w:hAnsi="MS PGothic"/>
                <w:sz w:val="16"/>
                <w:szCs w:val="16"/>
                <w:color w:val="2A5597"/>
              </w:rPr>
              <w:t>∎</w:t>
            </w:r>
            <w:r>
              <w:rPr>
                <w:rFonts w:ascii="Arial" w:cs="Arial" w:eastAsia="Arial" w:hAnsi="Arial"/>
                <w:sz w:val="16"/>
                <w:szCs w:val="16"/>
                <w:color w:val="auto"/>
              </w:rPr>
              <w:t xml:space="preserve"> Extensive  experience  in  product  management,  research  and  development,  supply  chain</w:t>
            </w:r>
          </w:p>
        </w:tc>
      </w:tr>
      <w:tr>
        <w:trPr>
          <w:trHeight w:val="187"/>
        </w:trPr>
        <w:tc>
          <w:tcPr>
            <w:tcW w:w="2920" w:type="dxa"/>
            <w:vAlign w:val="bottom"/>
          </w:tcPr>
          <w:p>
            <w:pPr>
              <w:spacing w:after="0"/>
              <w:rPr>
                <w:sz w:val="20"/>
                <w:szCs w:val="20"/>
                <w:color w:val="auto"/>
              </w:rPr>
            </w:pPr>
            <w:r>
              <w:rPr>
                <w:rFonts w:ascii="Arial" w:cs="Arial" w:eastAsia="Arial" w:hAnsi="Arial"/>
                <w:sz w:val="16"/>
                <w:szCs w:val="16"/>
                <w:b w:val="1"/>
                <w:bCs w:val="1"/>
                <w:color w:val="2B4772"/>
              </w:rPr>
              <w:t>Director since 2020</w:t>
            </w:r>
          </w:p>
        </w:tc>
        <w:tc>
          <w:tcPr>
            <w:tcW w:w="7560" w:type="dxa"/>
            <w:vAlign w:val="bottom"/>
          </w:tcPr>
          <w:p>
            <w:pPr>
              <w:ind w:left="540"/>
              <w:spacing w:after="0"/>
              <w:rPr>
                <w:sz w:val="20"/>
                <w:szCs w:val="20"/>
                <w:color w:val="auto"/>
              </w:rPr>
            </w:pPr>
            <w:r>
              <w:rPr>
                <w:rFonts w:ascii="Arial" w:cs="Arial" w:eastAsia="Arial" w:hAnsi="Arial"/>
                <w:sz w:val="16"/>
                <w:szCs w:val="16"/>
                <w:color w:val="auto"/>
              </w:rPr>
              <w:t>management, business development and sales</w:t>
            </w:r>
          </w:p>
        </w:tc>
      </w:tr>
      <w:tr>
        <w:trPr>
          <w:trHeight w:val="200"/>
        </w:trPr>
        <w:tc>
          <w:tcPr>
            <w:tcW w:w="2920" w:type="dxa"/>
            <w:vAlign w:val="bottom"/>
          </w:tcPr>
          <w:p>
            <w:pPr>
              <w:spacing w:after="0"/>
              <w:rPr>
                <w:sz w:val="20"/>
                <w:szCs w:val="20"/>
                <w:color w:val="auto"/>
              </w:rPr>
            </w:pPr>
            <w:r>
              <w:rPr>
                <w:rFonts w:ascii="Arial" w:cs="Arial" w:eastAsia="Arial" w:hAnsi="Arial"/>
                <w:sz w:val="16"/>
                <w:szCs w:val="16"/>
                <w:b w:val="1"/>
                <w:bCs w:val="1"/>
                <w:color w:val="2B4772"/>
              </w:rPr>
              <w:t>Other Current and Former Boards:</w:t>
            </w:r>
          </w:p>
        </w:tc>
        <w:tc>
          <w:tcPr>
            <w:tcW w:w="7560" w:type="dxa"/>
            <w:vAlign w:val="bottom"/>
          </w:tcPr>
          <w:p>
            <w:pPr>
              <w:ind w:left="280"/>
              <w:spacing w:after="0" w:line="184" w:lineRule="exact"/>
              <w:rPr>
                <w:sz w:val="20"/>
                <w:szCs w:val="20"/>
                <w:color w:val="auto"/>
              </w:rPr>
            </w:pPr>
            <w:r>
              <w:rPr>
                <w:rFonts w:ascii="MS PGothic" w:cs="MS PGothic" w:eastAsia="MS PGothic" w:hAnsi="MS PGothic"/>
                <w:sz w:val="16"/>
                <w:szCs w:val="16"/>
                <w:color w:val="2A5597"/>
              </w:rPr>
              <w:t>∎</w:t>
            </w:r>
            <w:r>
              <w:rPr>
                <w:rFonts w:ascii="Arial" w:cs="Arial" w:eastAsia="Arial" w:hAnsi="Arial"/>
                <w:sz w:val="16"/>
                <w:szCs w:val="16"/>
                <w:color w:val="auto"/>
              </w:rPr>
              <w:t xml:space="preserve"> Significant management experience and relevant knowledge of financial statement preparation and</w:t>
            </w:r>
          </w:p>
        </w:tc>
      </w:tr>
      <w:tr>
        <w:trPr>
          <w:trHeight w:val="175"/>
        </w:trPr>
        <w:tc>
          <w:tcPr>
            <w:tcW w:w="2920" w:type="dxa"/>
            <w:vAlign w:val="bottom"/>
          </w:tcPr>
          <w:p>
            <w:pPr>
              <w:spacing w:after="0" w:line="175" w:lineRule="exact"/>
              <w:rPr>
                <w:sz w:val="20"/>
                <w:szCs w:val="20"/>
                <w:color w:val="auto"/>
              </w:rPr>
            </w:pPr>
            <w:r>
              <w:rPr>
                <w:rFonts w:ascii="Arial" w:cs="Arial" w:eastAsia="Arial" w:hAnsi="Arial"/>
                <w:sz w:val="16"/>
                <w:szCs w:val="16"/>
                <w:color w:val="auto"/>
              </w:rPr>
              <w:t>Itron, Inc.</w:t>
            </w:r>
          </w:p>
        </w:tc>
        <w:tc>
          <w:tcPr>
            <w:tcW w:w="7560" w:type="dxa"/>
            <w:vAlign w:val="bottom"/>
          </w:tcPr>
          <w:p>
            <w:pPr>
              <w:ind w:left="540"/>
              <w:spacing w:after="0" w:line="175" w:lineRule="exact"/>
              <w:rPr>
                <w:sz w:val="20"/>
                <w:szCs w:val="20"/>
                <w:color w:val="auto"/>
              </w:rPr>
            </w:pPr>
            <w:r>
              <w:rPr>
                <w:rFonts w:ascii="Arial" w:cs="Arial" w:eastAsia="Arial" w:hAnsi="Arial"/>
                <w:sz w:val="16"/>
                <w:szCs w:val="16"/>
                <w:color w:val="auto"/>
              </w:rPr>
              <w:t>regulatory compliance</w:t>
            </w:r>
          </w:p>
        </w:tc>
      </w:tr>
      <w:tr>
        <w:trPr>
          <w:trHeight w:val="253"/>
        </w:trPr>
        <w:tc>
          <w:tcPr>
            <w:tcW w:w="2920" w:type="dxa"/>
            <w:vAlign w:val="bottom"/>
          </w:tcPr>
          <w:p>
            <w:pPr>
              <w:spacing w:after="0"/>
              <w:rPr>
                <w:sz w:val="20"/>
                <w:szCs w:val="20"/>
                <w:color w:val="auto"/>
              </w:rPr>
            </w:pPr>
            <w:r>
              <w:rPr>
                <w:rFonts w:ascii="Arial" w:cs="Arial" w:eastAsia="Arial" w:hAnsi="Arial"/>
                <w:sz w:val="16"/>
                <w:szCs w:val="16"/>
                <w:color w:val="auto"/>
              </w:rPr>
              <w:t>Ferric, Inc. (2016 – 2020)</w:t>
            </w:r>
          </w:p>
        </w:tc>
        <w:tc>
          <w:tcPr>
            <w:tcW w:w="7560" w:type="dxa"/>
            <w:vAlign w:val="bottom"/>
          </w:tcPr>
          <w:p>
            <w:pPr>
              <w:ind w:left="280"/>
              <w:spacing w:after="0" w:line="184" w:lineRule="exact"/>
              <w:rPr>
                <w:sz w:val="20"/>
                <w:szCs w:val="20"/>
                <w:color w:val="auto"/>
              </w:rPr>
            </w:pPr>
            <w:r>
              <w:rPr>
                <w:rFonts w:ascii="MS PGothic" w:cs="MS PGothic" w:eastAsia="MS PGothic" w:hAnsi="MS PGothic"/>
                <w:sz w:val="16"/>
                <w:szCs w:val="16"/>
                <w:color w:val="2A5597"/>
              </w:rPr>
              <w:t>∎</w:t>
            </w:r>
            <w:r>
              <w:rPr>
                <w:rFonts w:ascii="Arial" w:cs="Arial" w:eastAsia="Arial" w:hAnsi="Arial"/>
                <w:sz w:val="16"/>
                <w:szCs w:val="16"/>
                <w:color w:val="auto"/>
              </w:rPr>
              <w:t xml:space="preserve"> Significant mergers and acquisitions and global experience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161925</wp:posOffset>
            </wp:positionV>
            <wp:extent cx="6861810" cy="762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61810" cy="76200"/>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ind w:left="440" w:hanging="273"/>
        <w:spacing w:after="0"/>
        <w:tabs>
          <w:tab w:leader="none" w:pos="440" w:val="left"/>
        </w:tabs>
        <w:numPr>
          <w:ilvl w:val="0"/>
          <w:numId w:val="13"/>
        </w:numPr>
        <w:rPr>
          <w:rFonts w:ascii="Arial" w:cs="Arial" w:eastAsia="Arial" w:hAnsi="Arial"/>
          <w:sz w:val="14"/>
          <w:szCs w:val="14"/>
          <w:color w:val="F75E14"/>
        </w:rPr>
      </w:pPr>
      <w:r>
        <w:rPr>
          <w:rFonts w:ascii="Arial" w:cs="Arial" w:eastAsia="Arial" w:hAnsi="Arial"/>
          <w:sz w:val="14"/>
          <w:szCs w:val="14"/>
          <w:color w:val="F75E14"/>
        </w:rPr>
        <w:t>onsemi 2022 Proxy Statement</w:t>
      </w:r>
    </w:p>
    <w:p>
      <w:pPr>
        <w:sectPr>
          <w:pgSz w:w="11900" w:h="16838" w:orient="portrait"/>
          <w:cols w:equalWidth="0" w:num="1">
            <w:col w:w="11040"/>
          </w:cols>
          <w:pgMar w:left="320" w:top="454" w:right="53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2" w:lineRule="exact"/>
        <w:rPr>
          <w:sz w:val="20"/>
          <w:szCs w:val="20"/>
          <w:color w:val="auto"/>
        </w:rPr>
      </w:pPr>
    </w:p>
    <w:p>
      <w:pPr>
        <w:jc w:val="right"/>
        <w:spacing w:after="0"/>
        <w:rPr>
          <w:sz w:val="20"/>
          <w:szCs w:val="20"/>
          <w:color w:val="auto"/>
        </w:rPr>
      </w:pPr>
      <w:r>
        <w:rPr>
          <w:rFonts w:ascii="Arial" w:cs="Arial" w:eastAsia="Arial" w:hAnsi="Arial"/>
          <w:sz w:val="18"/>
          <w:szCs w:val="18"/>
          <w:color w:val="F75E14"/>
        </w:rPr>
        <w:t>Management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101600</wp:posOffset>
            </wp:positionV>
            <wp:extent cx="6861810" cy="762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61810" cy="76200"/>
                    </a:xfrm>
                    <a:prstGeom prst="rect">
                      <a:avLst/>
                    </a:prstGeom>
                    <a:noFill/>
                  </pic:spPr>
                </pic:pic>
              </a:graphicData>
            </a:graphic>
          </wp:anchor>
        </w:drawing>
      </w:r>
    </w:p>
    <w:p>
      <w:pPr>
        <w:spacing w:after="0" w:line="344" w:lineRule="exact"/>
        <w:rPr>
          <w:sz w:val="20"/>
          <w:szCs w:val="20"/>
          <w:color w:val="auto"/>
        </w:rPr>
      </w:pPr>
    </w:p>
    <w:tbl>
      <w:tblPr>
        <w:tblLayout w:type="fixed"/>
        <w:tblInd w:w="540" w:type="dxa"/>
        <w:tblCellMar>
          <w:top w:w="0" w:type="dxa"/>
          <w:left w:w="0" w:type="dxa"/>
          <w:bottom w:w="0" w:type="dxa"/>
          <w:right w:w="0" w:type="dxa"/>
        </w:tblCellMar>
      </w:tblPr>
      <w:tr>
        <w:trPr>
          <w:trHeight w:val="184"/>
        </w:trPr>
        <w:tc>
          <w:tcPr>
            <w:tcW w:w="2920" w:type="dxa"/>
            <w:vAlign w:val="bottom"/>
          </w:tcPr>
          <w:p>
            <w:pPr>
              <w:spacing w:after="0"/>
              <w:rPr>
                <w:sz w:val="20"/>
                <w:szCs w:val="20"/>
                <w:color w:val="auto"/>
              </w:rPr>
            </w:pPr>
            <w:r>
              <w:rPr>
                <w:rFonts w:ascii="Arial" w:cs="Arial" w:eastAsia="Arial" w:hAnsi="Arial"/>
                <w:sz w:val="16"/>
                <w:szCs w:val="16"/>
                <w:b w:val="1"/>
                <w:bCs w:val="1"/>
                <w:color w:val="2B4772"/>
              </w:rPr>
              <w:t>GILLES DELFASSY</w:t>
            </w:r>
          </w:p>
        </w:tc>
        <w:tc>
          <w:tcPr>
            <w:tcW w:w="7540" w:type="dxa"/>
            <w:vAlign w:val="bottom"/>
          </w:tcPr>
          <w:p>
            <w:pPr>
              <w:ind w:left="300"/>
              <w:spacing w:after="0"/>
              <w:rPr>
                <w:sz w:val="20"/>
                <w:szCs w:val="20"/>
                <w:color w:val="auto"/>
              </w:rPr>
            </w:pPr>
            <w:r>
              <w:rPr>
                <w:rFonts w:ascii="Arial" w:cs="Arial" w:eastAsia="Arial" w:hAnsi="Arial"/>
                <w:sz w:val="16"/>
                <w:szCs w:val="16"/>
                <w:b w:val="1"/>
                <w:bCs w:val="1"/>
                <w:color w:val="2B4772"/>
              </w:rPr>
              <w:t>Career Highlights</w:t>
            </w:r>
          </w:p>
        </w:tc>
        <w:tc>
          <w:tcPr>
            <w:tcW w:w="0" w:type="dxa"/>
            <w:vAlign w:val="bottom"/>
          </w:tcPr>
          <w:p>
            <w:pPr>
              <w:spacing w:after="0"/>
              <w:rPr>
                <w:sz w:val="1"/>
                <w:szCs w:val="1"/>
                <w:color w:val="auto"/>
              </w:rPr>
            </w:pPr>
          </w:p>
        </w:tc>
      </w:tr>
      <w:tr>
        <w:trPr>
          <w:trHeight w:val="226"/>
        </w:trPr>
        <w:tc>
          <w:tcPr>
            <w:tcW w:w="2920" w:type="dxa"/>
            <w:vAlign w:val="bottom"/>
          </w:tcPr>
          <w:p>
            <w:pPr>
              <w:spacing w:after="0"/>
              <w:rPr>
                <w:sz w:val="19"/>
                <w:szCs w:val="19"/>
                <w:color w:val="auto"/>
              </w:rPr>
            </w:pPr>
          </w:p>
        </w:tc>
        <w:tc>
          <w:tcPr>
            <w:tcW w:w="7540" w:type="dxa"/>
            <w:vAlign w:val="bottom"/>
          </w:tcPr>
          <w:p>
            <w:pPr>
              <w:ind w:left="300"/>
              <w:spacing w:after="0" w:line="184" w:lineRule="exact"/>
              <w:rPr>
                <w:sz w:val="20"/>
                <w:szCs w:val="20"/>
                <w:color w:val="auto"/>
              </w:rPr>
            </w:pPr>
            <w:r>
              <w:rPr>
                <w:rFonts w:ascii="MS PGothic" w:cs="MS PGothic" w:eastAsia="MS PGothic" w:hAnsi="MS PGothic"/>
                <w:sz w:val="16"/>
                <w:szCs w:val="16"/>
                <w:color w:val="2A5597"/>
              </w:rPr>
              <w:t>∎</w:t>
            </w:r>
            <w:r>
              <w:rPr>
                <w:rFonts w:ascii="Arial" w:cs="Arial" w:eastAsia="Arial" w:hAnsi="Arial"/>
                <w:sz w:val="16"/>
                <w:szCs w:val="16"/>
                <w:b w:val="1"/>
                <w:bCs w:val="1"/>
                <w:color w:val="auto"/>
              </w:rPr>
              <w:t xml:space="preserve"> ST-Ericsson, 2009 – 2012</w:t>
            </w:r>
          </w:p>
        </w:tc>
        <w:tc>
          <w:tcPr>
            <w:tcW w:w="0" w:type="dxa"/>
            <w:vAlign w:val="bottom"/>
          </w:tcPr>
          <w:p>
            <w:pPr>
              <w:spacing w:after="0"/>
              <w:rPr>
                <w:sz w:val="1"/>
                <w:szCs w:val="1"/>
                <w:color w:val="auto"/>
              </w:rPr>
            </w:pPr>
          </w:p>
        </w:tc>
      </w:tr>
      <w:tr>
        <w:trPr>
          <w:trHeight w:val="211"/>
        </w:trPr>
        <w:tc>
          <w:tcPr>
            <w:tcW w:w="2920" w:type="dxa"/>
            <w:vAlign w:val="bottom"/>
          </w:tcPr>
          <w:p>
            <w:pPr>
              <w:spacing w:after="0"/>
              <w:rPr>
                <w:sz w:val="18"/>
                <w:szCs w:val="18"/>
                <w:color w:val="auto"/>
              </w:rPr>
            </w:pPr>
          </w:p>
        </w:tc>
        <w:tc>
          <w:tcPr>
            <w:tcW w:w="7540" w:type="dxa"/>
            <w:vAlign w:val="bottom"/>
          </w:tcPr>
          <w:p>
            <w:pPr>
              <w:ind w:left="560"/>
              <w:spacing w:after="0"/>
              <w:rPr>
                <w:sz w:val="20"/>
                <w:szCs w:val="20"/>
                <w:color w:val="auto"/>
              </w:rPr>
            </w:pPr>
            <w:r>
              <w:rPr>
                <w:rFonts w:ascii="Arial" w:cs="Arial" w:eastAsia="Arial" w:hAnsi="Arial"/>
                <w:sz w:val="16"/>
                <w:szCs w:val="16"/>
                <w:color w:val="auto"/>
              </w:rPr>
              <w:t>— President and chief executive officer</w:t>
            </w:r>
          </w:p>
        </w:tc>
        <w:tc>
          <w:tcPr>
            <w:tcW w:w="0" w:type="dxa"/>
            <w:vAlign w:val="bottom"/>
          </w:tcPr>
          <w:p>
            <w:pPr>
              <w:spacing w:after="0"/>
              <w:rPr>
                <w:sz w:val="1"/>
                <w:szCs w:val="1"/>
                <w:color w:val="auto"/>
              </w:rPr>
            </w:pPr>
          </w:p>
        </w:tc>
      </w:tr>
      <w:tr>
        <w:trPr>
          <w:trHeight w:val="297"/>
        </w:trPr>
        <w:tc>
          <w:tcPr>
            <w:tcW w:w="2920" w:type="dxa"/>
            <w:vAlign w:val="bottom"/>
          </w:tcPr>
          <w:p>
            <w:pPr>
              <w:spacing w:after="0"/>
              <w:rPr>
                <w:sz w:val="24"/>
                <w:szCs w:val="24"/>
                <w:color w:val="auto"/>
              </w:rPr>
            </w:pPr>
          </w:p>
        </w:tc>
        <w:tc>
          <w:tcPr>
            <w:tcW w:w="7540" w:type="dxa"/>
            <w:vAlign w:val="bottom"/>
          </w:tcPr>
          <w:p>
            <w:pPr>
              <w:ind w:left="300"/>
              <w:spacing w:after="0" w:line="184" w:lineRule="exact"/>
              <w:rPr>
                <w:sz w:val="20"/>
                <w:szCs w:val="20"/>
                <w:color w:val="auto"/>
              </w:rPr>
            </w:pPr>
            <w:r>
              <w:rPr>
                <w:rFonts w:ascii="MS PGothic" w:cs="MS PGothic" w:eastAsia="MS PGothic" w:hAnsi="MS PGothic"/>
                <w:sz w:val="16"/>
                <w:szCs w:val="16"/>
                <w:color w:val="2A5597"/>
              </w:rPr>
              <w:t>∎</w:t>
            </w:r>
            <w:r>
              <w:rPr>
                <w:rFonts w:ascii="Arial" w:cs="Arial" w:eastAsia="Arial" w:hAnsi="Arial"/>
                <w:sz w:val="16"/>
                <w:szCs w:val="16"/>
                <w:b w:val="1"/>
                <w:bCs w:val="1"/>
                <w:color w:val="auto"/>
              </w:rPr>
              <w:t xml:space="preserve"> Anadigics, Inc. (acquired by II-VI Inc.), 2008 – 2009</w:t>
            </w:r>
          </w:p>
        </w:tc>
        <w:tc>
          <w:tcPr>
            <w:tcW w:w="0" w:type="dxa"/>
            <w:vAlign w:val="bottom"/>
          </w:tcPr>
          <w:p>
            <w:pPr>
              <w:spacing w:after="0"/>
              <w:rPr>
                <w:sz w:val="1"/>
                <w:szCs w:val="1"/>
                <w:color w:val="auto"/>
              </w:rPr>
            </w:pPr>
          </w:p>
        </w:tc>
      </w:tr>
      <w:tr>
        <w:trPr>
          <w:trHeight w:val="211"/>
        </w:trPr>
        <w:tc>
          <w:tcPr>
            <w:tcW w:w="2920" w:type="dxa"/>
            <w:vAlign w:val="bottom"/>
          </w:tcPr>
          <w:p>
            <w:pPr>
              <w:spacing w:after="0"/>
              <w:rPr>
                <w:sz w:val="18"/>
                <w:szCs w:val="18"/>
                <w:color w:val="auto"/>
              </w:rPr>
            </w:pPr>
          </w:p>
        </w:tc>
        <w:tc>
          <w:tcPr>
            <w:tcW w:w="7540" w:type="dxa"/>
            <w:vAlign w:val="bottom"/>
          </w:tcPr>
          <w:p>
            <w:pPr>
              <w:ind w:left="560"/>
              <w:spacing w:after="0"/>
              <w:rPr>
                <w:sz w:val="20"/>
                <w:szCs w:val="20"/>
                <w:color w:val="auto"/>
              </w:rPr>
            </w:pPr>
            <w:r>
              <w:rPr>
                <w:rFonts w:ascii="Arial" w:cs="Arial" w:eastAsia="Arial" w:hAnsi="Arial"/>
                <w:sz w:val="16"/>
                <w:szCs w:val="16"/>
                <w:color w:val="auto"/>
              </w:rPr>
              <w:t>— chair of the board of directors and interim chief executive officer</w:t>
            </w:r>
          </w:p>
        </w:tc>
        <w:tc>
          <w:tcPr>
            <w:tcW w:w="0" w:type="dxa"/>
            <w:vAlign w:val="bottom"/>
          </w:tcPr>
          <w:p>
            <w:pPr>
              <w:spacing w:after="0"/>
              <w:rPr>
                <w:sz w:val="1"/>
                <w:szCs w:val="1"/>
                <w:color w:val="auto"/>
              </w:rPr>
            </w:pPr>
          </w:p>
        </w:tc>
      </w:tr>
      <w:tr>
        <w:trPr>
          <w:trHeight w:val="297"/>
        </w:trPr>
        <w:tc>
          <w:tcPr>
            <w:tcW w:w="2920" w:type="dxa"/>
            <w:vAlign w:val="bottom"/>
          </w:tcPr>
          <w:p>
            <w:pPr>
              <w:spacing w:after="0"/>
              <w:rPr>
                <w:sz w:val="24"/>
                <w:szCs w:val="24"/>
                <w:color w:val="auto"/>
              </w:rPr>
            </w:pPr>
          </w:p>
        </w:tc>
        <w:tc>
          <w:tcPr>
            <w:tcW w:w="7540" w:type="dxa"/>
            <w:vAlign w:val="bottom"/>
          </w:tcPr>
          <w:p>
            <w:pPr>
              <w:ind w:left="300"/>
              <w:spacing w:after="0" w:line="184" w:lineRule="exact"/>
              <w:rPr>
                <w:sz w:val="20"/>
                <w:szCs w:val="20"/>
                <w:color w:val="auto"/>
              </w:rPr>
            </w:pPr>
            <w:r>
              <w:rPr>
                <w:rFonts w:ascii="MS PGothic" w:cs="MS PGothic" w:eastAsia="MS PGothic" w:hAnsi="MS PGothic"/>
                <w:sz w:val="16"/>
                <w:szCs w:val="16"/>
                <w:color w:val="2A5597"/>
              </w:rPr>
              <w:t>∎</w:t>
            </w:r>
            <w:r>
              <w:rPr>
                <w:rFonts w:ascii="Arial" w:cs="Arial" w:eastAsia="Arial" w:hAnsi="Arial"/>
                <w:sz w:val="16"/>
                <w:szCs w:val="16"/>
                <w:b w:val="1"/>
                <w:bCs w:val="1"/>
                <w:color w:val="auto"/>
              </w:rPr>
              <w:t xml:space="preserve"> Texas Instruments Incorporated, 1978 – 2007</w:t>
            </w:r>
          </w:p>
        </w:tc>
        <w:tc>
          <w:tcPr>
            <w:tcW w:w="0" w:type="dxa"/>
            <w:vAlign w:val="bottom"/>
          </w:tcPr>
          <w:p>
            <w:pPr>
              <w:spacing w:after="0"/>
              <w:rPr>
                <w:sz w:val="1"/>
                <w:szCs w:val="1"/>
                <w:color w:val="auto"/>
              </w:rPr>
            </w:pPr>
          </w:p>
        </w:tc>
      </w:tr>
      <w:tr>
        <w:trPr>
          <w:trHeight w:val="187"/>
        </w:trPr>
        <w:tc>
          <w:tcPr>
            <w:tcW w:w="2920" w:type="dxa"/>
            <w:vAlign w:val="bottom"/>
          </w:tcPr>
          <w:p>
            <w:pPr>
              <w:spacing w:after="0"/>
              <w:rPr>
                <w:sz w:val="16"/>
                <w:szCs w:val="16"/>
                <w:color w:val="auto"/>
              </w:rPr>
            </w:pPr>
          </w:p>
        </w:tc>
        <w:tc>
          <w:tcPr>
            <w:tcW w:w="7540" w:type="dxa"/>
            <w:vAlign w:val="bottom"/>
          </w:tcPr>
          <w:p>
            <w:pPr>
              <w:ind w:left="560"/>
              <w:spacing w:after="0"/>
              <w:rPr>
                <w:sz w:val="20"/>
                <w:szCs w:val="20"/>
                <w:color w:val="auto"/>
              </w:rPr>
            </w:pPr>
            <w:r>
              <w:rPr>
                <w:rFonts w:ascii="Arial" w:cs="Arial" w:eastAsia="Arial" w:hAnsi="Arial"/>
                <w:sz w:val="16"/>
                <w:szCs w:val="16"/>
                <w:color w:val="auto"/>
              </w:rPr>
              <w:t>— Senior Vice President and Executive Officer, General Manager, 2000 – 2007</w:t>
            </w:r>
          </w:p>
        </w:tc>
        <w:tc>
          <w:tcPr>
            <w:tcW w:w="0" w:type="dxa"/>
            <w:vAlign w:val="bottom"/>
          </w:tcPr>
          <w:p>
            <w:pPr>
              <w:spacing w:after="0"/>
              <w:rPr>
                <w:sz w:val="1"/>
                <w:szCs w:val="1"/>
                <w:color w:val="auto"/>
              </w:rPr>
            </w:pPr>
          </w:p>
        </w:tc>
      </w:tr>
      <w:tr>
        <w:trPr>
          <w:trHeight w:val="187"/>
        </w:trPr>
        <w:tc>
          <w:tcPr>
            <w:tcW w:w="2920" w:type="dxa"/>
            <w:vAlign w:val="bottom"/>
          </w:tcPr>
          <w:p>
            <w:pPr>
              <w:spacing w:after="0"/>
              <w:rPr>
                <w:sz w:val="16"/>
                <w:szCs w:val="16"/>
                <w:color w:val="auto"/>
              </w:rPr>
            </w:pPr>
          </w:p>
        </w:tc>
        <w:tc>
          <w:tcPr>
            <w:tcW w:w="7540" w:type="dxa"/>
            <w:vAlign w:val="bottom"/>
          </w:tcPr>
          <w:p>
            <w:pPr>
              <w:ind w:left="560"/>
              <w:spacing w:after="0"/>
              <w:rPr>
                <w:sz w:val="20"/>
                <w:szCs w:val="20"/>
                <w:color w:val="auto"/>
              </w:rPr>
            </w:pPr>
            <w:r>
              <w:rPr>
                <w:rFonts w:ascii="Arial" w:cs="Arial" w:eastAsia="Arial" w:hAnsi="Arial"/>
                <w:sz w:val="16"/>
                <w:szCs w:val="16"/>
                <w:color w:val="auto"/>
              </w:rPr>
              <w:t>— Founder, Wireless Terminals Business</w:t>
            </w:r>
          </w:p>
        </w:tc>
        <w:tc>
          <w:tcPr>
            <w:tcW w:w="0" w:type="dxa"/>
            <w:vAlign w:val="bottom"/>
          </w:tcPr>
          <w:p>
            <w:pPr>
              <w:spacing w:after="0"/>
              <w:rPr>
                <w:sz w:val="1"/>
                <w:szCs w:val="1"/>
                <w:color w:val="auto"/>
              </w:rPr>
            </w:pPr>
          </w:p>
        </w:tc>
      </w:tr>
      <w:tr>
        <w:trPr>
          <w:trHeight w:val="211"/>
        </w:trPr>
        <w:tc>
          <w:tcPr>
            <w:tcW w:w="2920" w:type="dxa"/>
            <w:vAlign w:val="bottom"/>
          </w:tcPr>
          <w:p>
            <w:pPr>
              <w:spacing w:after="0"/>
              <w:rPr>
                <w:sz w:val="18"/>
                <w:szCs w:val="18"/>
                <w:color w:val="auto"/>
              </w:rPr>
            </w:pPr>
          </w:p>
        </w:tc>
        <w:tc>
          <w:tcPr>
            <w:tcW w:w="7540" w:type="dxa"/>
            <w:vAlign w:val="bottom"/>
          </w:tcPr>
          <w:p>
            <w:pPr>
              <w:ind w:left="560"/>
              <w:spacing w:after="0"/>
              <w:rPr>
                <w:sz w:val="20"/>
                <w:szCs w:val="20"/>
                <w:color w:val="auto"/>
              </w:rPr>
            </w:pPr>
            <w:r>
              <w:rPr>
                <w:rFonts w:ascii="Arial" w:cs="Arial" w:eastAsia="Arial" w:hAnsi="Arial"/>
                <w:sz w:val="16"/>
                <w:szCs w:val="16"/>
                <w:color w:val="auto"/>
              </w:rPr>
              <w:t>— Department Manager and various other capacities</w:t>
            </w:r>
          </w:p>
        </w:tc>
        <w:tc>
          <w:tcPr>
            <w:tcW w:w="0" w:type="dxa"/>
            <w:vAlign w:val="bottom"/>
          </w:tcPr>
          <w:p>
            <w:pPr>
              <w:spacing w:after="0"/>
              <w:rPr>
                <w:sz w:val="1"/>
                <w:szCs w:val="1"/>
                <w:color w:val="auto"/>
              </w:rPr>
            </w:pPr>
          </w:p>
        </w:tc>
      </w:tr>
      <w:tr>
        <w:trPr>
          <w:trHeight w:val="318"/>
        </w:trPr>
        <w:tc>
          <w:tcPr>
            <w:tcW w:w="2920" w:type="dxa"/>
            <w:vAlign w:val="bottom"/>
          </w:tcPr>
          <w:p>
            <w:pPr>
              <w:spacing w:after="0"/>
              <w:rPr>
                <w:sz w:val="24"/>
                <w:szCs w:val="24"/>
                <w:color w:val="auto"/>
              </w:rPr>
            </w:pPr>
          </w:p>
        </w:tc>
        <w:tc>
          <w:tcPr>
            <w:tcW w:w="7540" w:type="dxa"/>
            <w:vAlign w:val="bottom"/>
          </w:tcPr>
          <w:p>
            <w:pPr>
              <w:ind w:left="300"/>
              <w:spacing w:after="0"/>
              <w:rPr>
                <w:sz w:val="20"/>
                <w:szCs w:val="20"/>
                <w:color w:val="auto"/>
              </w:rPr>
            </w:pPr>
            <w:r>
              <w:rPr>
                <w:rFonts w:ascii="Arial" w:cs="Arial" w:eastAsia="Arial" w:hAnsi="Arial"/>
                <w:sz w:val="16"/>
                <w:szCs w:val="16"/>
                <w:b w:val="1"/>
                <w:bCs w:val="1"/>
                <w:color w:val="2B4772"/>
              </w:rPr>
              <w:t>Relevant Skills and Qualifications</w:t>
            </w:r>
          </w:p>
        </w:tc>
        <w:tc>
          <w:tcPr>
            <w:tcW w:w="0" w:type="dxa"/>
            <w:vAlign w:val="bottom"/>
          </w:tcPr>
          <w:p>
            <w:pPr>
              <w:spacing w:after="0"/>
              <w:rPr>
                <w:sz w:val="1"/>
                <w:szCs w:val="1"/>
                <w:color w:val="auto"/>
              </w:rPr>
            </w:pPr>
          </w:p>
        </w:tc>
      </w:tr>
      <w:tr>
        <w:trPr>
          <w:trHeight w:val="421"/>
        </w:trPr>
        <w:tc>
          <w:tcPr>
            <w:tcW w:w="2920" w:type="dxa"/>
            <w:vAlign w:val="bottom"/>
          </w:tcPr>
          <w:p>
            <w:pPr>
              <w:spacing w:after="0"/>
              <w:rPr>
                <w:sz w:val="20"/>
                <w:szCs w:val="20"/>
                <w:color w:val="auto"/>
              </w:rPr>
            </w:pPr>
            <w:r>
              <w:rPr>
                <w:rFonts w:ascii="Arial" w:cs="Arial" w:eastAsia="Arial" w:hAnsi="Arial"/>
                <w:sz w:val="16"/>
                <w:szCs w:val="16"/>
                <w:b w:val="1"/>
                <w:bCs w:val="1"/>
                <w:color w:val="2B4772"/>
              </w:rPr>
              <w:t>Age 66</w:t>
            </w:r>
          </w:p>
        </w:tc>
        <w:tc>
          <w:tcPr>
            <w:tcW w:w="7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2920" w:type="dxa"/>
            <w:vAlign w:val="bottom"/>
          </w:tcPr>
          <w:p>
            <w:pPr>
              <w:spacing w:after="0"/>
              <w:rPr>
                <w:sz w:val="20"/>
                <w:szCs w:val="20"/>
                <w:color w:val="auto"/>
              </w:rPr>
            </w:pPr>
            <w:r>
              <w:rPr>
                <w:rFonts w:ascii="Arial" w:cs="Arial" w:eastAsia="Arial" w:hAnsi="Arial"/>
                <w:sz w:val="16"/>
                <w:szCs w:val="16"/>
                <w:b w:val="1"/>
                <w:bCs w:val="1"/>
                <w:color w:val="2B4772"/>
              </w:rPr>
              <w:t>Director since 2015</w:t>
            </w:r>
          </w:p>
        </w:tc>
        <w:tc>
          <w:tcPr>
            <w:tcW w:w="7540" w:type="dxa"/>
            <w:vAlign w:val="bottom"/>
            <w:vMerge w:val="restart"/>
          </w:tcPr>
          <w:p>
            <w:pPr>
              <w:ind w:left="300"/>
              <w:spacing w:after="0" w:line="184" w:lineRule="exact"/>
              <w:rPr>
                <w:sz w:val="20"/>
                <w:szCs w:val="20"/>
                <w:color w:val="auto"/>
              </w:rPr>
            </w:pPr>
            <w:r>
              <w:rPr>
                <w:rFonts w:ascii="MS PGothic" w:cs="MS PGothic" w:eastAsia="MS PGothic" w:hAnsi="MS PGothic"/>
                <w:sz w:val="16"/>
                <w:szCs w:val="16"/>
                <w:color w:val="2A5597"/>
              </w:rPr>
              <w:t>∎</w:t>
            </w:r>
            <w:r>
              <w:rPr>
                <w:rFonts w:ascii="Arial" w:cs="Arial" w:eastAsia="Arial" w:hAnsi="Arial"/>
                <w:sz w:val="16"/>
                <w:szCs w:val="16"/>
                <w:color w:val="auto"/>
              </w:rPr>
              <w:t xml:space="preserve"> Extensive experience in the semiconductor industry, with particular experience in the wireless</w:t>
            </w:r>
          </w:p>
        </w:tc>
        <w:tc>
          <w:tcPr>
            <w:tcW w:w="0" w:type="dxa"/>
            <w:vAlign w:val="bottom"/>
          </w:tcPr>
          <w:p>
            <w:pPr>
              <w:spacing w:after="0"/>
              <w:rPr>
                <w:sz w:val="1"/>
                <w:szCs w:val="1"/>
                <w:color w:val="auto"/>
              </w:rPr>
            </w:pPr>
          </w:p>
        </w:tc>
      </w:tr>
      <w:tr>
        <w:trPr>
          <w:trHeight w:val="187"/>
        </w:trPr>
        <w:tc>
          <w:tcPr>
            <w:tcW w:w="2920" w:type="dxa"/>
            <w:vAlign w:val="bottom"/>
          </w:tcPr>
          <w:p>
            <w:pPr>
              <w:spacing w:after="0"/>
              <w:rPr>
                <w:sz w:val="20"/>
                <w:szCs w:val="20"/>
                <w:color w:val="auto"/>
              </w:rPr>
            </w:pPr>
            <w:r>
              <w:rPr>
                <w:rFonts w:ascii="Arial" w:cs="Arial" w:eastAsia="Arial" w:hAnsi="Arial"/>
                <w:sz w:val="16"/>
                <w:szCs w:val="16"/>
                <w:b w:val="1"/>
                <w:bCs w:val="1"/>
                <w:color w:val="2B4772"/>
              </w:rPr>
              <w:t>Other Current and Former Boards:</w:t>
            </w:r>
          </w:p>
        </w:tc>
        <w:tc>
          <w:tcPr>
            <w:tcW w:w="75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920" w:type="dxa"/>
            <w:vAlign w:val="bottom"/>
          </w:tcPr>
          <w:p>
            <w:pPr>
              <w:spacing w:after="0" w:line="175" w:lineRule="exact"/>
              <w:rPr>
                <w:sz w:val="20"/>
                <w:szCs w:val="20"/>
                <w:color w:val="auto"/>
              </w:rPr>
            </w:pPr>
            <w:r>
              <w:rPr>
                <w:rFonts w:ascii="Arial" w:cs="Arial" w:eastAsia="Arial" w:hAnsi="Arial"/>
                <w:sz w:val="16"/>
                <w:szCs w:val="16"/>
                <w:color w:val="auto"/>
              </w:rPr>
              <w:t>eLichens SAS</w:t>
            </w:r>
          </w:p>
        </w:tc>
        <w:tc>
          <w:tcPr>
            <w:tcW w:w="7540" w:type="dxa"/>
            <w:vAlign w:val="bottom"/>
          </w:tcPr>
          <w:p>
            <w:pPr>
              <w:ind w:left="540"/>
              <w:spacing w:after="0" w:line="175" w:lineRule="exact"/>
              <w:rPr>
                <w:sz w:val="20"/>
                <w:szCs w:val="20"/>
                <w:color w:val="auto"/>
              </w:rPr>
            </w:pPr>
            <w:r>
              <w:rPr>
                <w:rFonts w:ascii="Arial" w:cs="Arial" w:eastAsia="Arial" w:hAnsi="Arial"/>
                <w:sz w:val="16"/>
                <w:szCs w:val="16"/>
                <w:color w:val="auto"/>
              </w:rPr>
              <w:t>industry, automotive and microcontrollers</w:t>
            </w:r>
          </w:p>
        </w:tc>
        <w:tc>
          <w:tcPr>
            <w:tcW w:w="0" w:type="dxa"/>
            <w:vAlign w:val="bottom"/>
          </w:tcPr>
          <w:p>
            <w:pPr>
              <w:spacing w:after="0"/>
              <w:rPr>
                <w:sz w:val="1"/>
                <w:szCs w:val="1"/>
                <w:color w:val="auto"/>
              </w:rPr>
            </w:pPr>
          </w:p>
        </w:tc>
      </w:tr>
      <w:tr>
        <w:trPr>
          <w:trHeight w:val="201"/>
        </w:trPr>
        <w:tc>
          <w:tcPr>
            <w:tcW w:w="2920" w:type="dxa"/>
            <w:vAlign w:val="bottom"/>
          </w:tcPr>
          <w:p>
            <w:pPr>
              <w:spacing w:after="0"/>
              <w:rPr>
                <w:sz w:val="20"/>
                <w:szCs w:val="20"/>
                <w:color w:val="auto"/>
              </w:rPr>
            </w:pPr>
            <w:r>
              <w:rPr>
                <w:rFonts w:ascii="Arial" w:cs="Arial" w:eastAsia="Arial" w:hAnsi="Arial"/>
                <w:sz w:val="16"/>
                <w:szCs w:val="16"/>
                <w:color w:val="auto"/>
              </w:rPr>
              <w:t>FOREIS</w:t>
            </w:r>
          </w:p>
        </w:tc>
        <w:tc>
          <w:tcPr>
            <w:tcW w:w="7540" w:type="dxa"/>
            <w:vAlign w:val="bottom"/>
          </w:tcPr>
          <w:p>
            <w:pPr>
              <w:ind w:left="300"/>
              <w:spacing w:after="0" w:line="184" w:lineRule="exact"/>
              <w:rPr>
                <w:sz w:val="20"/>
                <w:szCs w:val="20"/>
                <w:color w:val="auto"/>
              </w:rPr>
            </w:pPr>
            <w:r>
              <w:rPr>
                <w:rFonts w:ascii="MS PGothic" w:cs="MS PGothic" w:eastAsia="MS PGothic" w:hAnsi="MS PGothic"/>
                <w:sz w:val="16"/>
                <w:szCs w:val="16"/>
                <w:color w:val="2A5597"/>
              </w:rPr>
              <w:t>∎</w:t>
            </w:r>
            <w:r>
              <w:rPr>
                <w:rFonts w:ascii="Arial" w:cs="Arial" w:eastAsia="Arial" w:hAnsi="Arial"/>
                <w:sz w:val="16"/>
                <w:szCs w:val="16"/>
                <w:color w:val="auto"/>
              </w:rPr>
              <w:t xml:space="preserve"> Management experience in a publicly held semiconductor company</w:t>
            </w:r>
          </w:p>
        </w:tc>
        <w:tc>
          <w:tcPr>
            <w:tcW w:w="0" w:type="dxa"/>
            <w:vAlign w:val="bottom"/>
          </w:tcPr>
          <w:p>
            <w:pPr>
              <w:spacing w:after="0"/>
              <w:rPr>
                <w:sz w:val="1"/>
                <w:szCs w:val="1"/>
                <w:color w:val="auto"/>
              </w:rPr>
            </w:pPr>
          </w:p>
        </w:tc>
      </w:tr>
      <w:tr>
        <w:trPr>
          <w:trHeight w:val="239"/>
        </w:trPr>
        <w:tc>
          <w:tcPr>
            <w:tcW w:w="2920" w:type="dxa"/>
            <w:vAlign w:val="bottom"/>
          </w:tcPr>
          <w:p>
            <w:pPr>
              <w:spacing w:after="0"/>
              <w:rPr>
                <w:sz w:val="20"/>
                <w:szCs w:val="20"/>
                <w:color w:val="auto"/>
              </w:rPr>
            </w:pPr>
            <w:r>
              <w:rPr>
                <w:rFonts w:ascii="Arial" w:cs="Arial" w:eastAsia="Arial" w:hAnsi="Arial"/>
                <w:sz w:val="16"/>
                <w:szCs w:val="16"/>
                <w:color w:val="auto"/>
              </w:rPr>
              <w:t>Kalray S.A.</w:t>
            </w:r>
          </w:p>
        </w:tc>
        <w:tc>
          <w:tcPr>
            <w:tcW w:w="7540" w:type="dxa"/>
            <w:vAlign w:val="bottom"/>
          </w:tcPr>
          <w:p>
            <w:pPr>
              <w:ind w:left="300"/>
              <w:spacing w:after="0" w:line="184" w:lineRule="exact"/>
              <w:rPr>
                <w:sz w:val="20"/>
                <w:szCs w:val="20"/>
                <w:color w:val="auto"/>
              </w:rPr>
            </w:pPr>
            <w:r>
              <w:rPr>
                <w:rFonts w:ascii="MS PGothic" w:cs="MS PGothic" w:eastAsia="MS PGothic" w:hAnsi="MS PGothic"/>
                <w:sz w:val="16"/>
                <w:szCs w:val="16"/>
                <w:color w:val="2A5597"/>
              </w:rPr>
              <w:t>∎</w:t>
            </w:r>
            <w:r>
              <w:rPr>
                <w:rFonts w:ascii="Arial" w:cs="Arial" w:eastAsia="Arial" w:hAnsi="Arial"/>
                <w:sz w:val="16"/>
                <w:szCs w:val="16"/>
                <w:color w:val="auto"/>
              </w:rPr>
              <w:t xml:space="preserve"> Strategic insight and knowledge of the practical application of semiconductors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429260</wp:posOffset>
            </wp:positionH>
            <wp:positionV relativeFrom="paragraph">
              <wp:posOffset>-2155190</wp:posOffset>
            </wp:positionV>
            <wp:extent cx="959485" cy="13163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959485" cy="1316355"/>
                    </a:xfrm>
                    <a:prstGeom prst="rect">
                      <a:avLst/>
                    </a:prstGeom>
                    <a:noFill/>
                  </pic:spPr>
                </pic:pic>
              </a:graphicData>
            </a:graphic>
          </wp:anchor>
        </w:drawing>
        <w:drawing>
          <wp:anchor simplePos="0" relativeHeight="251657728" behindDoc="1" locked="0" layoutInCell="0" allowOverlap="1">
            <wp:simplePos x="0" y="0"/>
            <wp:positionH relativeFrom="column">
              <wp:posOffset>2390775</wp:posOffset>
            </wp:positionH>
            <wp:positionV relativeFrom="paragraph">
              <wp:posOffset>-830580</wp:posOffset>
            </wp:positionV>
            <wp:extent cx="1698625" cy="2546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698625" cy="254635"/>
                    </a:xfrm>
                    <a:prstGeom prst="rect">
                      <a:avLst/>
                    </a:prstGeom>
                    <a:noFill/>
                  </pic:spPr>
                </pic:pic>
              </a:graphicData>
            </a:graphic>
          </wp:anchor>
        </w:drawing>
      </w:r>
    </w:p>
    <w:p>
      <w:pPr>
        <w:ind w:left="700" w:right="1960" w:firstLine="104"/>
        <w:spacing w:after="0" w:line="200" w:lineRule="exact"/>
        <w:rPr>
          <w:sz w:val="20"/>
          <w:szCs w:val="20"/>
          <w:color w:val="auto"/>
        </w:rPr>
      </w:pPr>
      <w:r>
        <w:rPr>
          <w:rFonts w:ascii="Arial" w:cs="Arial" w:eastAsia="Arial" w:hAnsi="Arial"/>
          <w:sz w:val="16"/>
          <w:szCs w:val="16"/>
          <w:color w:val="auto"/>
        </w:rPr>
        <w:t xml:space="preserve">Cavendish Kinetics, Inc. (acquired by </w:t>
      </w:r>
      <w:r>
        <w:rPr>
          <w:rFonts w:ascii="MS PGothic" w:cs="MS PGothic" w:eastAsia="MS PGothic" w:hAnsi="MS PGothic"/>
          <w:sz w:val="16"/>
          <w:szCs w:val="16"/>
          <w:color w:val="2A5597"/>
        </w:rPr>
        <w:t>∎</w:t>
      </w:r>
      <w:r>
        <w:rPr>
          <w:rFonts w:ascii="Arial" w:cs="Arial" w:eastAsia="Arial" w:hAnsi="Arial"/>
          <w:sz w:val="16"/>
          <w:szCs w:val="16"/>
          <w:color w:val="auto"/>
        </w:rPr>
        <w:t xml:space="preserve"> Expertise with new business development, manufacturing and marketing Qorvo, Inc. in 2019), (2014 –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155575</wp:posOffset>
            </wp:positionV>
            <wp:extent cx="6861810" cy="762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61810" cy="7620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tbl>
      <w:tblPr>
        <w:tblLayout w:type="fixed"/>
        <w:tblInd w:w="540" w:type="dxa"/>
        <w:tblCellMar>
          <w:top w:w="0" w:type="dxa"/>
          <w:left w:w="0" w:type="dxa"/>
          <w:bottom w:w="0" w:type="dxa"/>
          <w:right w:w="0" w:type="dxa"/>
        </w:tblCellMar>
      </w:tblPr>
      <w:tr>
        <w:trPr>
          <w:trHeight w:val="184"/>
        </w:trPr>
        <w:tc>
          <w:tcPr>
            <w:tcW w:w="2900" w:type="dxa"/>
            <w:vAlign w:val="bottom"/>
          </w:tcPr>
          <w:p>
            <w:pPr>
              <w:spacing w:after="0"/>
              <w:rPr>
                <w:sz w:val="20"/>
                <w:szCs w:val="20"/>
                <w:color w:val="auto"/>
              </w:rPr>
            </w:pPr>
            <w:r>
              <w:rPr>
                <w:rFonts w:ascii="Arial" w:cs="Arial" w:eastAsia="Arial" w:hAnsi="Arial"/>
                <w:sz w:val="16"/>
                <w:szCs w:val="16"/>
                <w:b w:val="1"/>
                <w:bCs w:val="1"/>
                <w:color w:val="2B4772"/>
              </w:rPr>
              <w:t>HASSANE EL-KHOURY</w:t>
            </w:r>
          </w:p>
        </w:tc>
        <w:tc>
          <w:tcPr>
            <w:tcW w:w="7580" w:type="dxa"/>
            <w:vAlign w:val="bottom"/>
          </w:tcPr>
          <w:p>
            <w:pPr>
              <w:ind w:left="300"/>
              <w:spacing w:after="0"/>
              <w:rPr>
                <w:sz w:val="20"/>
                <w:szCs w:val="20"/>
                <w:color w:val="auto"/>
              </w:rPr>
            </w:pPr>
            <w:r>
              <w:rPr>
                <w:rFonts w:ascii="Arial" w:cs="Arial" w:eastAsia="Arial" w:hAnsi="Arial"/>
                <w:sz w:val="16"/>
                <w:szCs w:val="16"/>
                <w:b w:val="1"/>
                <w:bCs w:val="1"/>
                <w:color w:val="2B4772"/>
              </w:rPr>
              <w:t>Career Highlights</w:t>
            </w:r>
          </w:p>
        </w:tc>
        <w:tc>
          <w:tcPr>
            <w:tcW w:w="0" w:type="dxa"/>
            <w:vAlign w:val="bottom"/>
          </w:tcPr>
          <w:p>
            <w:pPr>
              <w:spacing w:after="0"/>
              <w:rPr>
                <w:sz w:val="1"/>
                <w:szCs w:val="1"/>
                <w:color w:val="auto"/>
              </w:rPr>
            </w:pPr>
          </w:p>
        </w:tc>
      </w:tr>
      <w:tr>
        <w:trPr>
          <w:trHeight w:val="226"/>
        </w:trPr>
        <w:tc>
          <w:tcPr>
            <w:tcW w:w="2900" w:type="dxa"/>
            <w:vAlign w:val="bottom"/>
          </w:tcPr>
          <w:p>
            <w:pPr>
              <w:spacing w:after="0"/>
              <w:rPr>
                <w:sz w:val="19"/>
                <w:szCs w:val="19"/>
                <w:color w:val="auto"/>
              </w:rPr>
            </w:pPr>
          </w:p>
        </w:tc>
        <w:tc>
          <w:tcPr>
            <w:tcW w:w="7580" w:type="dxa"/>
            <w:vAlign w:val="bottom"/>
          </w:tcPr>
          <w:p>
            <w:pPr>
              <w:ind w:left="300"/>
              <w:spacing w:after="0" w:line="184" w:lineRule="exact"/>
              <w:rPr>
                <w:sz w:val="20"/>
                <w:szCs w:val="20"/>
                <w:color w:val="auto"/>
              </w:rPr>
            </w:pPr>
            <w:r>
              <w:rPr>
                <w:rFonts w:ascii="MS PGothic" w:cs="MS PGothic" w:eastAsia="MS PGothic" w:hAnsi="MS PGothic"/>
                <w:sz w:val="16"/>
                <w:szCs w:val="16"/>
                <w:color w:val="2A5597"/>
              </w:rPr>
              <w:t>∎</w:t>
            </w:r>
            <w:r>
              <w:rPr>
                <w:rFonts w:ascii="Arial" w:cs="Arial" w:eastAsia="Arial" w:hAnsi="Arial"/>
                <w:sz w:val="16"/>
                <w:szCs w:val="16"/>
                <w:b w:val="1"/>
                <w:bCs w:val="1"/>
                <w:color w:val="auto"/>
              </w:rPr>
              <w:t xml:space="preserve"> ON Semiconductor Corporation, 2020 – Present</w:t>
            </w:r>
          </w:p>
        </w:tc>
        <w:tc>
          <w:tcPr>
            <w:tcW w:w="0" w:type="dxa"/>
            <w:vAlign w:val="bottom"/>
          </w:tcPr>
          <w:p>
            <w:pPr>
              <w:spacing w:after="0"/>
              <w:rPr>
                <w:sz w:val="1"/>
                <w:szCs w:val="1"/>
                <w:color w:val="auto"/>
              </w:rPr>
            </w:pPr>
          </w:p>
        </w:tc>
      </w:tr>
      <w:tr>
        <w:trPr>
          <w:trHeight w:val="211"/>
        </w:trPr>
        <w:tc>
          <w:tcPr>
            <w:tcW w:w="2900" w:type="dxa"/>
            <w:vAlign w:val="bottom"/>
          </w:tcPr>
          <w:p>
            <w:pPr>
              <w:spacing w:after="0"/>
              <w:rPr>
                <w:sz w:val="18"/>
                <w:szCs w:val="18"/>
                <w:color w:val="auto"/>
              </w:rPr>
            </w:pPr>
          </w:p>
        </w:tc>
        <w:tc>
          <w:tcPr>
            <w:tcW w:w="7580" w:type="dxa"/>
            <w:vAlign w:val="bottom"/>
          </w:tcPr>
          <w:p>
            <w:pPr>
              <w:ind w:left="560"/>
              <w:spacing w:after="0"/>
              <w:rPr>
                <w:sz w:val="20"/>
                <w:szCs w:val="20"/>
                <w:color w:val="auto"/>
              </w:rPr>
            </w:pPr>
            <w:r>
              <w:rPr>
                <w:rFonts w:ascii="Arial" w:cs="Arial" w:eastAsia="Arial" w:hAnsi="Arial"/>
                <w:sz w:val="16"/>
                <w:szCs w:val="16"/>
                <w:color w:val="auto"/>
              </w:rPr>
              <w:t>— President, Chief Executive Officer and Director, December 2020 – Present</w:t>
            </w:r>
          </w:p>
        </w:tc>
        <w:tc>
          <w:tcPr>
            <w:tcW w:w="0" w:type="dxa"/>
            <w:vAlign w:val="bottom"/>
          </w:tcPr>
          <w:p>
            <w:pPr>
              <w:spacing w:after="0"/>
              <w:rPr>
                <w:sz w:val="1"/>
                <w:szCs w:val="1"/>
                <w:color w:val="auto"/>
              </w:rPr>
            </w:pPr>
          </w:p>
        </w:tc>
      </w:tr>
      <w:tr>
        <w:trPr>
          <w:trHeight w:val="297"/>
        </w:trPr>
        <w:tc>
          <w:tcPr>
            <w:tcW w:w="2900" w:type="dxa"/>
            <w:vAlign w:val="bottom"/>
          </w:tcPr>
          <w:p>
            <w:pPr>
              <w:spacing w:after="0"/>
              <w:rPr>
                <w:sz w:val="24"/>
                <w:szCs w:val="24"/>
                <w:color w:val="auto"/>
              </w:rPr>
            </w:pPr>
          </w:p>
        </w:tc>
        <w:tc>
          <w:tcPr>
            <w:tcW w:w="7580" w:type="dxa"/>
            <w:vAlign w:val="bottom"/>
          </w:tcPr>
          <w:p>
            <w:pPr>
              <w:ind w:left="300"/>
              <w:spacing w:after="0" w:line="184" w:lineRule="exact"/>
              <w:rPr>
                <w:sz w:val="20"/>
                <w:szCs w:val="20"/>
                <w:color w:val="auto"/>
              </w:rPr>
            </w:pPr>
            <w:r>
              <w:rPr>
                <w:rFonts w:ascii="MS PGothic" w:cs="MS PGothic" w:eastAsia="MS PGothic" w:hAnsi="MS PGothic"/>
                <w:sz w:val="16"/>
                <w:szCs w:val="16"/>
                <w:color w:val="2A5597"/>
              </w:rPr>
              <w:t>∎</w:t>
            </w:r>
            <w:r>
              <w:rPr>
                <w:rFonts w:ascii="Arial" w:cs="Arial" w:eastAsia="Arial" w:hAnsi="Arial"/>
                <w:sz w:val="16"/>
                <w:szCs w:val="16"/>
                <w:b w:val="1"/>
                <w:bCs w:val="1"/>
                <w:color w:val="auto"/>
              </w:rPr>
              <w:t xml:space="preserve"> Cypress Semiconductor Corporation </w:t>
            </w:r>
            <w:r>
              <w:rPr>
                <w:rFonts w:ascii="Arial" w:cs="Arial" w:eastAsia="Arial" w:hAnsi="Arial"/>
                <w:sz w:val="16"/>
                <w:szCs w:val="16"/>
                <w:color w:val="auto"/>
              </w:rPr>
              <w:t>(acquired by Infineon Technologies AG) (a semiconductor</w:t>
            </w:r>
          </w:p>
        </w:tc>
        <w:tc>
          <w:tcPr>
            <w:tcW w:w="0" w:type="dxa"/>
            <w:vAlign w:val="bottom"/>
          </w:tcPr>
          <w:p>
            <w:pPr>
              <w:spacing w:after="0"/>
              <w:rPr>
                <w:sz w:val="1"/>
                <w:szCs w:val="1"/>
                <w:color w:val="auto"/>
              </w:rPr>
            </w:pPr>
          </w:p>
        </w:tc>
      </w:tr>
      <w:tr>
        <w:trPr>
          <w:trHeight w:val="187"/>
        </w:trPr>
        <w:tc>
          <w:tcPr>
            <w:tcW w:w="2900" w:type="dxa"/>
            <w:vAlign w:val="bottom"/>
          </w:tcPr>
          <w:p>
            <w:pPr>
              <w:spacing w:after="0"/>
              <w:rPr>
                <w:sz w:val="16"/>
                <w:szCs w:val="16"/>
                <w:color w:val="auto"/>
              </w:rPr>
            </w:pPr>
          </w:p>
        </w:tc>
        <w:tc>
          <w:tcPr>
            <w:tcW w:w="7580" w:type="dxa"/>
            <w:vAlign w:val="bottom"/>
          </w:tcPr>
          <w:p>
            <w:pPr>
              <w:ind w:left="540"/>
              <w:spacing w:after="0"/>
              <w:rPr>
                <w:sz w:val="20"/>
                <w:szCs w:val="20"/>
                <w:color w:val="auto"/>
              </w:rPr>
            </w:pPr>
            <w:r>
              <w:rPr>
                <w:rFonts w:ascii="Arial" w:cs="Arial" w:eastAsia="Arial" w:hAnsi="Arial"/>
                <w:sz w:val="16"/>
                <w:szCs w:val="16"/>
                <w:color w:val="auto"/>
              </w:rPr>
              <w:t>design and manufacturing company)</w:t>
            </w:r>
            <w:r>
              <w:rPr>
                <w:rFonts w:ascii="Arial" w:cs="Arial" w:eastAsia="Arial" w:hAnsi="Arial"/>
                <w:sz w:val="16"/>
                <w:szCs w:val="16"/>
                <w:b w:val="1"/>
                <w:bCs w:val="1"/>
                <w:color w:val="auto"/>
              </w:rPr>
              <w:t>, 2007 – 2020</w:t>
            </w:r>
          </w:p>
        </w:tc>
        <w:tc>
          <w:tcPr>
            <w:tcW w:w="0" w:type="dxa"/>
            <w:vAlign w:val="bottom"/>
          </w:tcPr>
          <w:p>
            <w:pPr>
              <w:spacing w:after="0"/>
              <w:rPr>
                <w:sz w:val="1"/>
                <w:szCs w:val="1"/>
                <w:color w:val="auto"/>
              </w:rPr>
            </w:pPr>
          </w:p>
        </w:tc>
      </w:tr>
      <w:tr>
        <w:trPr>
          <w:trHeight w:val="187"/>
        </w:trPr>
        <w:tc>
          <w:tcPr>
            <w:tcW w:w="2900" w:type="dxa"/>
            <w:vAlign w:val="bottom"/>
          </w:tcPr>
          <w:p>
            <w:pPr>
              <w:spacing w:after="0"/>
              <w:rPr>
                <w:sz w:val="16"/>
                <w:szCs w:val="16"/>
                <w:color w:val="auto"/>
              </w:rPr>
            </w:pPr>
          </w:p>
        </w:tc>
        <w:tc>
          <w:tcPr>
            <w:tcW w:w="7580" w:type="dxa"/>
            <w:vAlign w:val="bottom"/>
          </w:tcPr>
          <w:p>
            <w:pPr>
              <w:ind w:left="560"/>
              <w:spacing w:after="0"/>
              <w:rPr>
                <w:sz w:val="20"/>
                <w:szCs w:val="20"/>
                <w:color w:val="auto"/>
              </w:rPr>
            </w:pPr>
            <w:r>
              <w:rPr>
                <w:rFonts w:ascii="Arial" w:cs="Arial" w:eastAsia="Arial" w:hAnsi="Arial"/>
                <w:sz w:val="16"/>
                <w:szCs w:val="16"/>
                <w:color w:val="auto"/>
              </w:rPr>
              <w:t>— President, Chief Executive Officer and Director, 2016 – 2020</w:t>
            </w:r>
          </w:p>
        </w:tc>
        <w:tc>
          <w:tcPr>
            <w:tcW w:w="0" w:type="dxa"/>
            <w:vAlign w:val="bottom"/>
          </w:tcPr>
          <w:p>
            <w:pPr>
              <w:spacing w:after="0"/>
              <w:rPr>
                <w:sz w:val="1"/>
                <w:szCs w:val="1"/>
                <w:color w:val="auto"/>
              </w:rPr>
            </w:pPr>
          </w:p>
        </w:tc>
      </w:tr>
      <w:tr>
        <w:trPr>
          <w:trHeight w:val="187"/>
        </w:trPr>
        <w:tc>
          <w:tcPr>
            <w:tcW w:w="2900" w:type="dxa"/>
            <w:vAlign w:val="bottom"/>
          </w:tcPr>
          <w:p>
            <w:pPr>
              <w:spacing w:after="0"/>
              <w:rPr>
                <w:sz w:val="16"/>
                <w:szCs w:val="16"/>
                <w:color w:val="auto"/>
              </w:rPr>
            </w:pPr>
          </w:p>
        </w:tc>
        <w:tc>
          <w:tcPr>
            <w:tcW w:w="7580" w:type="dxa"/>
            <w:vAlign w:val="bottom"/>
          </w:tcPr>
          <w:p>
            <w:pPr>
              <w:ind w:left="560"/>
              <w:spacing w:after="0"/>
              <w:rPr>
                <w:sz w:val="20"/>
                <w:szCs w:val="20"/>
                <w:color w:val="auto"/>
              </w:rPr>
            </w:pPr>
            <w:r>
              <w:rPr>
                <w:rFonts w:ascii="Arial" w:cs="Arial" w:eastAsia="Arial" w:hAnsi="Arial"/>
                <w:sz w:val="16"/>
                <w:szCs w:val="16"/>
                <w:color w:val="auto"/>
              </w:rPr>
              <w:t>— Executive Vice President, Programmable Systems Division, 2012 – 2016</w:t>
            </w:r>
          </w:p>
        </w:tc>
        <w:tc>
          <w:tcPr>
            <w:tcW w:w="0" w:type="dxa"/>
            <w:vAlign w:val="bottom"/>
          </w:tcPr>
          <w:p>
            <w:pPr>
              <w:spacing w:after="0"/>
              <w:rPr>
                <w:sz w:val="1"/>
                <w:szCs w:val="1"/>
                <w:color w:val="auto"/>
              </w:rPr>
            </w:pPr>
          </w:p>
        </w:tc>
      </w:tr>
      <w:tr>
        <w:trPr>
          <w:trHeight w:val="187"/>
        </w:trPr>
        <w:tc>
          <w:tcPr>
            <w:tcW w:w="2900" w:type="dxa"/>
            <w:vAlign w:val="bottom"/>
          </w:tcPr>
          <w:p>
            <w:pPr>
              <w:spacing w:after="0"/>
              <w:rPr>
                <w:sz w:val="16"/>
                <w:szCs w:val="16"/>
                <w:color w:val="auto"/>
              </w:rPr>
            </w:pPr>
          </w:p>
        </w:tc>
        <w:tc>
          <w:tcPr>
            <w:tcW w:w="7580" w:type="dxa"/>
            <w:vAlign w:val="bottom"/>
          </w:tcPr>
          <w:p>
            <w:pPr>
              <w:ind w:left="560"/>
              <w:spacing w:after="0"/>
              <w:rPr>
                <w:sz w:val="20"/>
                <w:szCs w:val="20"/>
                <w:color w:val="auto"/>
              </w:rPr>
            </w:pPr>
            <w:r>
              <w:rPr>
                <w:rFonts w:ascii="Arial" w:cs="Arial" w:eastAsia="Arial" w:hAnsi="Arial"/>
                <w:sz w:val="16"/>
                <w:szCs w:val="16"/>
                <w:color w:val="auto"/>
              </w:rPr>
              <w:t>— Senior Director of Automotive Business Unit, 2010 – 2012</w:t>
            </w:r>
          </w:p>
        </w:tc>
        <w:tc>
          <w:tcPr>
            <w:tcW w:w="0" w:type="dxa"/>
            <w:vAlign w:val="bottom"/>
          </w:tcPr>
          <w:p>
            <w:pPr>
              <w:spacing w:after="0"/>
              <w:rPr>
                <w:sz w:val="1"/>
                <w:szCs w:val="1"/>
                <w:color w:val="auto"/>
              </w:rPr>
            </w:pPr>
          </w:p>
        </w:tc>
      </w:tr>
      <w:tr>
        <w:trPr>
          <w:trHeight w:val="187"/>
        </w:trPr>
        <w:tc>
          <w:tcPr>
            <w:tcW w:w="2900" w:type="dxa"/>
            <w:vAlign w:val="bottom"/>
          </w:tcPr>
          <w:p>
            <w:pPr>
              <w:spacing w:after="0"/>
              <w:rPr>
                <w:sz w:val="16"/>
                <w:szCs w:val="16"/>
                <w:color w:val="auto"/>
              </w:rPr>
            </w:pPr>
          </w:p>
        </w:tc>
        <w:tc>
          <w:tcPr>
            <w:tcW w:w="7580" w:type="dxa"/>
            <w:vAlign w:val="bottom"/>
          </w:tcPr>
          <w:p>
            <w:pPr>
              <w:ind w:left="560"/>
              <w:spacing w:after="0"/>
              <w:rPr>
                <w:sz w:val="20"/>
                <w:szCs w:val="20"/>
                <w:color w:val="auto"/>
              </w:rPr>
            </w:pPr>
            <w:r>
              <w:rPr>
                <w:rFonts w:ascii="Arial" w:cs="Arial" w:eastAsia="Arial" w:hAnsi="Arial"/>
                <w:sz w:val="16"/>
                <w:szCs w:val="16"/>
                <w:color w:val="auto"/>
              </w:rPr>
              <w:t>— Senior Business Development Manager, 2008 – 2010</w:t>
            </w:r>
          </w:p>
        </w:tc>
        <w:tc>
          <w:tcPr>
            <w:tcW w:w="0" w:type="dxa"/>
            <w:vAlign w:val="bottom"/>
          </w:tcPr>
          <w:p>
            <w:pPr>
              <w:spacing w:after="0"/>
              <w:rPr>
                <w:sz w:val="1"/>
                <w:szCs w:val="1"/>
                <w:color w:val="auto"/>
              </w:rPr>
            </w:pPr>
          </w:p>
        </w:tc>
      </w:tr>
      <w:tr>
        <w:trPr>
          <w:trHeight w:val="211"/>
        </w:trPr>
        <w:tc>
          <w:tcPr>
            <w:tcW w:w="2900" w:type="dxa"/>
            <w:vAlign w:val="bottom"/>
          </w:tcPr>
          <w:p>
            <w:pPr>
              <w:spacing w:after="0"/>
              <w:rPr>
                <w:sz w:val="18"/>
                <w:szCs w:val="18"/>
                <w:color w:val="auto"/>
              </w:rPr>
            </w:pPr>
          </w:p>
        </w:tc>
        <w:tc>
          <w:tcPr>
            <w:tcW w:w="7580" w:type="dxa"/>
            <w:vAlign w:val="bottom"/>
          </w:tcPr>
          <w:p>
            <w:pPr>
              <w:ind w:left="560"/>
              <w:spacing w:after="0"/>
              <w:rPr>
                <w:sz w:val="20"/>
                <w:szCs w:val="20"/>
                <w:color w:val="auto"/>
              </w:rPr>
            </w:pPr>
            <w:r>
              <w:rPr>
                <w:rFonts w:ascii="Arial" w:cs="Arial" w:eastAsia="Arial" w:hAnsi="Arial"/>
                <w:sz w:val="16"/>
                <w:szCs w:val="16"/>
                <w:color w:val="auto"/>
              </w:rPr>
              <w:t>— Staff Application Engineer, 2007 – 2008</w:t>
            </w:r>
          </w:p>
        </w:tc>
        <w:tc>
          <w:tcPr>
            <w:tcW w:w="0" w:type="dxa"/>
            <w:vAlign w:val="bottom"/>
          </w:tcPr>
          <w:p>
            <w:pPr>
              <w:spacing w:after="0"/>
              <w:rPr>
                <w:sz w:val="1"/>
                <w:szCs w:val="1"/>
                <w:color w:val="auto"/>
              </w:rPr>
            </w:pPr>
          </w:p>
        </w:tc>
      </w:tr>
      <w:tr>
        <w:trPr>
          <w:trHeight w:val="318"/>
        </w:trPr>
        <w:tc>
          <w:tcPr>
            <w:tcW w:w="2900" w:type="dxa"/>
            <w:vAlign w:val="bottom"/>
          </w:tcPr>
          <w:p>
            <w:pPr>
              <w:spacing w:after="0"/>
              <w:rPr>
                <w:sz w:val="24"/>
                <w:szCs w:val="24"/>
                <w:color w:val="auto"/>
              </w:rPr>
            </w:pPr>
          </w:p>
        </w:tc>
        <w:tc>
          <w:tcPr>
            <w:tcW w:w="7580" w:type="dxa"/>
            <w:vAlign w:val="bottom"/>
          </w:tcPr>
          <w:p>
            <w:pPr>
              <w:ind w:left="300"/>
              <w:spacing w:after="0"/>
              <w:rPr>
                <w:sz w:val="20"/>
                <w:szCs w:val="20"/>
                <w:color w:val="auto"/>
              </w:rPr>
            </w:pPr>
            <w:r>
              <w:rPr>
                <w:rFonts w:ascii="Arial" w:cs="Arial" w:eastAsia="Arial" w:hAnsi="Arial"/>
                <w:sz w:val="16"/>
                <w:szCs w:val="16"/>
                <w:b w:val="1"/>
                <w:bCs w:val="1"/>
                <w:color w:val="2B4772"/>
              </w:rPr>
              <w:t>Relevant Skills and Qualifications</w:t>
            </w:r>
          </w:p>
        </w:tc>
        <w:tc>
          <w:tcPr>
            <w:tcW w:w="0" w:type="dxa"/>
            <w:vAlign w:val="bottom"/>
          </w:tcPr>
          <w:p>
            <w:pPr>
              <w:spacing w:after="0"/>
              <w:rPr>
                <w:sz w:val="1"/>
                <w:szCs w:val="1"/>
                <w:color w:val="auto"/>
              </w:rPr>
            </w:pPr>
          </w:p>
        </w:tc>
      </w:tr>
      <w:tr>
        <w:trPr>
          <w:trHeight w:val="367"/>
        </w:trPr>
        <w:tc>
          <w:tcPr>
            <w:tcW w:w="2900" w:type="dxa"/>
            <w:vAlign w:val="bottom"/>
          </w:tcPr>
          <w:p>
            <w:pPr>
              <w:spacing w:after="0"/>
              <w:rPr>
                <w:sz w:val="20"/>
                <w:szCs w:val="20"/>
                <w:color w:val="auto"/>
              </w:rPr>
            </w:pPr>
            <w:r>
              <w:rPr>
                <w:rFonts w:ascii="Arial" w:cs="Arial" w:eastAsia="Arial" w:hAnsi="Arial"/>
                <w:sz w:val="16"/>
                <w:szCs w:val="16"/>
                <w:b w:val="1"/>
                <w:bCs w:val="1"/>
                <w:color w:val="2B4772"/>
              </w:rPr>
              <w:t>Age 42</w:t>
            </w:r>
          </w:p>
        </w:tc>
        <w:tc>
          <w:tcPr>
            <w:tcW w:w="7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2900" w:type="dxa"/>
            <w:vAlign w:val="bottom"/>
          </w:tcPr>
          <w:p>
            <w:pPr>
              <w:spacing w:after="0"/>
              <w:rPr>
                <w:sz w:val="20"/>
                <w:szCs w:val="20"/>
                <w:color w:val="auto"/>
              </w:rPr>
            </w:pPr>
            <w:r>
              <w:rPr>
                <w:rFonts w:ascii="Arial" w:cs="Arial" w:eastAsia="Arial" w:hAnsi="Arial"/>
                <w:sz w:val="16"/>
                <w:szCs w:val="16"/>
                <w:b w:val="1"/>
                <w:bCs w:val="1"/>
                <w:color w:val="2B4772"/>
              </w:rPr>
              <w:t>Director since 2020</w:t>
            </w:r>
          </w:p>
        </w:tc>
        <w:tc>
          <w:tcPr>
            <w:tcW w:w="7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900" w:type="dxa"/>
            <w:vAlign w:val="bottom"/>
          </w:tcPr>
          <w:p>
            <w:pPr>
              <w:spacing w:after="0"/>
              <w:rPr>
                <w:sz w:val="20"/>
                <w:szCs w:val="20"/>
                <w:color w:val="auto"/>
              </w:rPr>
            </w:pPr>
            <w:r>
              <w:rPr>
                <w:rFonts w:ascii="Arial" w:cs="Arial" w:eastAsia="Arial" w:hAnsi="Arial"/>
                <w:sz w:val="16"/>
                <w:szCs w:val="16"/>
                <w:b w:val="1"/>
                <w:bCs w:val="1"/>
                <w:color w:val="2B4772"/>
              </w:rPr>
              <w:t>Other Current and Former Boards:</w:t>
            </w:r>
          </w:p>
        </w:tc>
        <w:tc>
          <w:tcPr>
            <w:tcW w:w="7580" w:type="dxa"/>
            <w:vAlign w:val="bottom"/>
            <w:vMerge w:val="restart"/>
          </w:tcPr>
          <w:p>
            <w:pPr>
              <w:ind w:left="300"/>
              <w:spacing w:after="0" w:line="184" w:lineRule="exact"/>
              <w:rPr>
                <w:sz w:val="20"/>
                <w:szCs w:val="20"/>
                <w:color w:val="auto"/>
              </w:rPr>
            </w:pPr>
            <w:r>
              <w:rPr>
                <w:rFonts w:ascii="MS PGothic" w:cs="MS PGothic" w:eastAsia="MS PGothic" w:hAnsi="MS PGothic"/>
                <w:sz w:val="16"/>
                <w:szCs w:val="16"/>
                <w:color w:val="2A5597"/>
              </w:rPr>
              <w:t>∎</w:t>
            </w:r>
            <w:r>
              <w:rPr>
                <w:rFonts w:ascii="Arial" w:cs="Arial" w:eastAsia="Arial" w:hAnsi="Arial"/>
                <w:sz w:val="16"/>
                <w:szCs w:val="16"/>
                <w:color w:val="auto"/>
              </w:rPr>
              <w:t xml:space="preserve"> Experience as chief executive officer of a publicly held semiconductor company</w:t>
            </w:r>
          </w:p>
        </w:tc>
        <w:tc>
          <w:tcPr>
            <w:tcW w:w="0" w:type="dxa"/>
            <w:vAlign w:val="bottom"/>
          </w:tcPr>
          <w:p>
            <w:pPr>
              <w:spacing w:after="0"/>
              <w:rPr>
                <w:sz w:val="1"/>
                <w:szCs w:val="1"/>
                <w:color w:val="auto"/>
              </w:rPr>
            </w:pPr>
          </w:p>
        </w:tc>
      </w:tr>
      <w:tr>
        <w:trPr>
          <w:trHeight w:val="81"/>
        </w:trPr>
        <w:tc>
          <w:tcPr>
            <w:tcW w:w="2900" w:type="dxa"/>
            <w:vAlign w:val="bottom"/>
            <w:vMerge w:val="restart"/>
          </w:tcPr>
          <w:p>
            <w:pPr>
              <w:spacing w:after="0"/>
              <w:rPr>
                <w:sz w:val="20"/>
                <w:szCs w:val="20"/>
                <w:color w:val="auto"/>
              </w:rPr>
            </w:pPr>
            <w:r>
              <w:rPr>
                <w:rFonts w:ascii="Arial" w:cs="Arial" w:eastAsia="Arial" w:hAnsi="Arial"/>
                <w:sz w:val="16"/>
                <w:szCs w:val="16"/>
                <w:color w:val="auto"/>
              </w:rPr>
              <w:t>Sakuu Corporation</w:t>
            </w:r>
          </w:p>
        </w:tc>
        <w:tc>
          <w:tcPr>
            <w:tcW w:w="7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2900" w:type="dxa"/>
            <w:vAlign w:val="bottom"/>
            <w:vMerge w:val="continue"/>
          </w:tcPr>
          <w:p>
            <w:pPr>
              <w:spacing w:after="0"/>
              <w:rPr>
                <w:sz w:val="11"/>
                <w:szCs w:val="11"/>
                <w:color w:val="auto"/>
              </w:rPr>
            </w:pPr>
          </w:p>
        </w:tc>
        <w:tc>
          <w:tcPr>
            <w:tcW w:w="7580" w:type="dxa"/>
            <w:vAlign w:val="bottom"/>
            <w:vMerge w:val="restart"/>
          </w:tcPr>
          <w:p>
            <w:pPr>
              <w:ind w:left="300"/>
              <w:spacing w:after="0" w:line="184" w:lineRule="exact"/>
              <w:rPr>
                <w:sz w:val="20"/>
                <w:szCs w:val="20"/>
                <w:color w:val="auto"/>
              </w:rPr>
            </w:pPr>
            <w:r>
              <w:rPr>
                <w:rFonts w:ascii="MS PGothic" w:cs="MS PGothic" w:eastAsia="MS PGothic" w:hAnsi="MS PGothic"/>
                <w:sz w:val="16"/>
                <w:szCs w:val="16"/>
                <w:color w:val="2A5597"/>
              </w:rPr>
              <w:t>∎</w:t>
            </w:r>
            <w:r>
              <w:rPr>
                <w:rFonts w:ascii="Arial" w:cs="Arial" w:eastAsia="Arial" w:hAnsi="Arial"/>
                <w:sz w:val="16"/>
                <w:szCs w:val="16"/>
                <w:color w:val="auto"/>
              </w:rPr>
              <w:t xml:space="preserve"> Extensive experience in the semiconductor and automotive industries</w:t>
            </w:r>
          </w:p>
        </w:tc>
        <w:tc>
          <w:tcPr>
            <w:tcW w:w="0" w:type="dxa"/>
            <w:vAlign w:val="bottom"/>
          </w:tcPr>
          <w:p>
            <w:pPr>
              <w:spacing w:after="0"/>
              <w:rPr>
                <w:sz w:val="1"/>
                <w:szCs w:val="1"/>
                <w:color w:val="auto"/>
              </w:rPr>
            </w:pPr>
          </w:p>
        </w:tc>
      </w:tr>
      <w:tr>
        <w:trPr>
          <w:trHeight w:val="71"/>
        </w:trPr>
        <w:tc>
          <w:tcPr>
            <w:tcW w:w="2900" w:type="dxa"/>
            <w:vAlign w:val="bottom"/>
          </w:tcPr>
          <w:p>
            <w:pPr>
              <w:spacing w:after="0"/>
              <w:rPr>
                <w:sz w:val="6"/>
                <w:szCs w:val="6"/>
                <w:color w:val="auto"/>
              </w:rPr>
            </w:pPr>
          </w:p>
        </w:tc>
        <w:tc>
          <w:tcPr>
            <w:tcW w:w="75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1"/>
        </w:trPr>
        <w:tc>
          <w:tcPr>
            <w:tcW w:w="2900" w:type="dxa"/>
            <w:vAlign w:val="bottom"/>
          </w:tcPr>
          <w:p>
            <w:pPr>
              <w:spacing w:after="0"/>
              <w:rPr>
                <w:sz w:val="17"/>
                <w:szCs w:val="17"/>
                <w:color w:val="auto"/>
              </w:rPr>
            </w:pPr>
          </w:p>
        </w:tc>
        <w:tc>
          <w:tcPr>
            <w:tcW w:w="7580" w:type="dxa"/>
            <w:vAlign w:val="bottom"/>
          </w:tcPr>
          <w:p>
            <w:pPr>
              <w:ind w:left="300"/>
              <w:spacing w:after="0" w:line="184" w:lineRule="exact"/>
              <w:rPr>
                <w:sz w:val="20"/>
                <w:szCs w:val="20"/>
                <w:color w:val="auto"/>
              </w:rPr>
            </w:pPr>
            <w:r>
              <w:rPr>
                <w:rFonts w:ascii="MS PGothic" w:cs="MS PGothic" w:eastAsia="MS PGothic" w:hAnsi="MS PGothic"/>
                <w:sz w:val="16"/>
                <w:szCs w:val="16"/>
                <w:color w:val="2A5597"/>
              </w:rPr>
              <w:t>∎</w:t>
            </w:r>
            <w:r>
              <w:rPr>
                <w:rFonts w:ascii="Arial" w:cs="Arial" w:eastAsia="Arial" w:hAnsi="Arial"/>
                <w:sz w:val="16"/>
                <w:szCs w:val="16"/>
                <w:color w:val="auto"/>
              </w:rPr>
              <w:t xml:space="preserve"> Significant management and product development experience</w:t>
            </w:r>
          </w:p>
        </w:tc>
        <w:tc>
          <w:tcPr>
            <w:tcW w:w="0" w:type="dxa"/>
            <w:vAlign w:val="bottom"/>
          </w:tcPr>
          <w:p>
            <w:pPr>
              <w:spacing w:after="0"/>
              <w:rPr>
                <w:sz w:val="1"/>
                <w:szCs w:val="1"/>
                <w:color w:val="auto"/>
              </w:rPr>
            </w:pPr>
          </w:p>
        </w:tc>
      </w:tr>
      <w:tr>
        <w:trPr>
          <w:trHeight w:val="253"/>
        </w:trPr>
        <w:tc>
          <w:tcPr>
            <w:tcW w:w="2900" w:type="dxa"/>
            <w:vAlign w:val="bottom"/>
          </w:tcPr>
          <w:p>
            <w:pPr>
              <w:spacing w:after="0"/>
              <w:rPr>
                <w:sz w:val="21"/>
                <w:szCs w:val="21"/>
                <w:color w:val="auto"/>
              </w:rPr>
            </w:pPr>
          </w:p>
        </w:tc>
        <w:tc>
          <w:tcPr>
            <w:tcW w:w="7580" w:type="dxa"/>
            <w:vAlign w:val="bottom"/>
          </w:tcPr>
          <w:p>
            <w:pPr>
              <w:ind w:left="300"/>
              <w:spacing w:after="0" w:line="184" w:lineRule="exact"/>
              <w:rPr>
                <w:sz w:val="20"/>
                <w:szCs w:val="20"/>
                <w:color w:val="auto"/>
              </w:rPr>
            </w:pPr>
            <w:r>
              <w:rPr>
                <w:rFonts w:ascii="MS PGothic" w:cs="MS PGothic" w:eastAsia="MS PGothic" w:hAnsi="MS PGothic"/>
                <w:sz w:val="16"/>
                <w:szCs w:val="16"/>
                <w:color w:val="2A5597"/>
              </w:rPr>
              <w:t>∎</w:t>
            </w:r>
            <w:r>
              <w:rPr>
                <w:rFonts w:ascii="Arial" w:cs="Arial" w:eastAsia="Arial" w:hAnsi="Arial"/>
                <w:sz w:val="16"/>
                <w:szCs w:val="16"/>
                <w:color w:val="auto"/>
              </w:rPr>
              <w:t xml:space="preserve"> Significant mergers and acquisitions and global experience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153670</wp:posOffset>
            </wp:positionV>
            <wp:extent cx="6861810" cy="762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61810" cy="76200"/>
                    </a:xfrm>
                    <a:prstGeom prst="rect">
                      <a:avLst/>
                    </a:prstGeom>
                    <a:noFill/>
                  </pic:spPr>
                </pic:pic>
              </a:graphicData>
            </a:graphic>
          </wp:anchor>
        </w:drawing>
        <w:drawing>
          <wp:anchor simplePos="0" relativeHeight="251657728" behindDoc="1" locked="0" layoutInCell="0" allowOverlap="1">
            <wp:simplePos x="0" y="0"/>
            <wp:positionH relativeFrom="column">
              <wp:posOffset>429260</wp:posOffset>
            </wp:positionH>
            <wp:positionV relativeFrom="paragraph">
              <wp:posOffset>-2232025</wp:posOffset>
            </wp:positionV>
            <wp:extent cx="5299075" cy="16389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299075" cy="1638935"/>
                    </a:xfrm>
                    <a:prstGeom prst="rect">
                      <a:avLst/>
                    </a:prstGeom>
                    <a:noFill/>
                  </pic:spPr>
                </pic:pic>
              </a:graphicData>
            </a:graphic>
          </wp:anchor>
        </w:drawing>
      </w:r>
    </w:p>
    <w:p>
      <w:pPr>
        <w:sectPr>
          <w:pgSz w:w="11900" w:h="16838" w:orient="portrait"/>
          <w:cols w:equalWidth="0" w:num="1">
            <w:col w:w="11080"/>
          </w:cols>
          <w:pgMar w:left="320" w:top="454" w:right="49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ind w:left="540"/>
        <w:spacing w:after="0"/>
        <w:rPr>
          <w:sz w:val="20"/>
          <w:szCs w:val="20"/>
          <w:color w:val="auto"/>
        </w:rPr>
      </w:pPr>
      <w:r>
        <w:rPr>
          <w:rFonts w:ascii="Arial" w:cs="Arial" w:eastAsia="Arial" w:hAnsi="Arial"/>
          <w:sz w:val="16"/>
          <w:szCs w:val="16"/>
          <w:b w:val="1"/>
          <w:bCs w:val="1"/>
          <w:color w:val="2B4772"/>
        </w:rPr>
        <w:t>BRUCE E. KIDDOO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429260</wp:posOffset>
            </wp:positionH>
            <wp:positionV relativeFrom="paragraph">
              <wp:posOffset>87630</wp:posOffset>
            </wp:positionV>
            <wp:extent cx="959485" cy="13163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959485" cy="1316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540"/>
        <w:spacing w:after="0"/>
        <w:rPr>
          <w:sz w:val="20"/>
          <w:szCs w:val="20"/>
          <w:color w:val="auto"/>
        </w:rPr>
      </w:pPr>
      <w:r>
        <w:rPr>
          <w:rFonts w:ascii="Arial" w:cs="Arial" w:eastAsia="Arial" w:hAnsi="Arial"/>
          <w:sz w:val="16"/>
          <w:szCs w:val="16"/>
          <w:b w:val="1"/>
          <w:bCs w:val="1"/>
          <w:color w:val="2B4772"/>
        </w:rPr>
        <w:t>Age 61</w:t>
      </w:r>
    </w:p>
    <w:p>
      <w:pPr>
        <w:spacing w:after="0" w:line="19" w:lineRule="exact"/>
        <w:rPr>
          <w:sz w:val="20"/>
          <w:szCs w:val="20"/>
          <w:color w:val="auto"/>
        </w:rPr>
      </w:pPr>
    </w:p>
    <w:p>
      <w:pPr>
        <w:ind w:left="540"/>
        <w:spacing w:after="0"/>
        <w:rPr>
          <w:sz w:val="20"/>
          <w:szCs w:val="20"/>
          <w:color w:val="auto"/>
        </w:rPr>
      </w:pPr>
      <w:r>
        <w:rPr>
          <w:rFonts w:ascii="Arial" w:cs="Arial" w:eastAsia="Arial" w:hAnsi="Arial"/>
          <w:sz w:val="16"/>
          <w:szCs w:val="16"/>
          <w:b w:val="1"/>
          <w:bCs w:val="1"/>
          <w:color w:val="2B4772"/>
        </w:rPr>
        <w:t>Director since 2020</w:t>
      </w:r>
    </w:p>
    <w:p>
      <w:pPr>
        <w:spacing w:after="0" w:line="3" w:lineRule="exact"/>
        <w:rPr>
          <w:sz w:val="20"/>
          <w:szCs w:val="20"/>
          <w:color w:val="auto"/>
        </w:rPr>
      </w:pPr>
    </w:p>
    <w:p>
      <w:pPr>
        <w:ind w:left="540"/>
        <w:spacing w:after="0"/>
        <w:rPr>
          <w:sz w:val="20"/>
          <w:szCs w:val="20"/>
          <w:color w:val="auto"/>
        </w:rPr>
      </w:pPr>
      <w:r>
        <w:rPr>
          <w:rFonts w:ascii="Arial" w:cs="Arial" w:eastAsia="Arial" w:hAnsi="Arial"/>
          <w:sz w:val="15"/>
          <w:szCs w:val="15"/>
          <w:b w:val="1"/>
          <w:bCs w:val="1"/>
          <w:color w:val="2B4772"/>
        </w:rPr>
        <w:t>Other Current and Former Boards:</w:t>
      </w:r>
    </w:p>
    <w:p>
      <w:pPr>
        <w:spacing w:after="0" w:line="15" w:lineRule="exact"/>
        <w:rPr>
          <w:sz w:val="20"/>
          <w:szCs w:val="20"/>
          <w:color w:val="auto"/>
        </w:rPr>
      </w:pPr>
    </w:p>
    <w:p>
      <w:pPr>
        <w:ind w:left="540"/>
        <w:spacing w:after="0"/>
        <w:rPr>
          <w:sz w:val="20"/>
          <w:szCs w:val="20"/>
          <w:color w:val="auto"/>
        </w:rPr>
      </w:pPr>
      <w:r>
        <w:rPr>
          <w:rFonts w:ascii="Arial" w:cs="Arial" w:eastAsia="Arial" w:hAnsi="Arial"/>
          <w:sz w:val="16"/>
          <w:szCs w:val="16"/>
          <w:color w:val="auto"/>
        </w:rPr>
        <w:t>San Onofre Parks Foundation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2B4772"/>
        </w:rPr>
        <w:t>Career Highlights</w:t>
      </w:r>
    </w:p>
    <w:p>
      <w:pPr>
        <w:spacing w:after="0" w:line="16" w:lineRule="exact"/>
        <w:rPr>
          <w:sz w:val="20"/>
          <w:szCs w:val="20"/>
          <w:color w:val="auto"/>
        </w:rPr>
      </w:pPr>
    </w:p>
    <w:p>
      <w:pPr>
        <w:ind w:left="260" w:right="60" w:hanging="255"/>
        <w:spacing w:after="0" w:line="255" w:lineRule="auto"/>
        <w:tabs>
          <w:tab w:leader="none" w:pos="229" w:val="left"/>
        </w:tabs>
        <w:numPr>
          <w:ilvl w:val="0"/>
          <w:numId w:val="16"/>
        </w:numPr>
        <w:rPr>
          <w:rFonts w:ascii="MS PGothic" w:cs="MS PGothic" w:eastAsia="MS PGothic" w:hAnsi="MS PGothic"/>
          <w:sz w:val="16"/>
          <w:szCs w:val="16"/>
          <w:color w:val="2A5597"/>
        </w:rPr>
      </w:pPr>
      <w:r>
        <w:rPr>
          <w:rFonts w:ascii="Arial" w:cs="Arial" w:eastAsia="Arial" w:hAnsi="Arial"/>
          <w:sz w:val="16"/>
          <w:szCs w:val="16"/>
          <w:b w:val="1"/>
          <w:bCs w:val="1"/>
          <w:color w:val="auto"/>
        </w:rPr>
        <w:t xml:space="preserve">Maxim Integrated Products, Inc. </w:t>
      </w:r>
      <w:r>
        <w:rPr>
          <w:rFonts w:ascii="Arial" w:cs="Arial" w:eastAsia="Arial" w:hAnsi="Arial"/>
          <w:sz w:val="16"/>
          <w:szCs w:val="16"/>
          <w:color w:val="auto"/>
        </w:rPr>
        <w:t>(a semiconductor design and manufacturing company)</w:t>
      </w:r>
      <w:r>
        <w:rPr>
          <w:rFonts w:ascii="Arial" w:cs="Arial" w:eastAsia="Arial" w:hAnsi="Arial"/>
          <w:sz w:val="16"/>
          <w:szCs w:val="16"/>
          <w:b w:val="1"/>
          <w:bCs w:val="1"/>
          <w:color w:val="auto"/>
        </w:rPr>
        <w:t>, 2007 – 2019</w:t>
      </w:r>
    </w:p>
    <w:p>
      <w:pPr>
        <w:ind w:left="280"/>
        <w:spacing w:after="0"/>
        <w:rPr>
          <w:rFonts w:ascii="MS PGothic" w:cs="MS PGothic" w:eastAsia="MS PGothic" w:hAnsi="MS PGothic"/>
          <w:sz w:val="16"/>
          <w:szCs w:val="16"/>
          <w:color w:val="2A5597"/>
        </w:rPr>
      </w:pPr>
      <w:r>
        <w:rPr>
          <w:rFonts w:ascii="Arial" w:cs="Arial" w:eastAsia="Arial" w:hAnsi="Arial"/>
          <w:sz w:val="16"/>
          <w:szCs w:val="16"/>
          <w:color w:val="auto"/>
        </w:rPr>
        <w:t>— Chief Financial Officer</w:t>
      </w:r>
    </w:p>
    <w:p>
      <w:pPr>
        <w:spacing w:after="0" w:line="107" w:lineRule="exact"/>
        <w:rPr>
          <w:rFonts w:ascii="MS PGothic" w:cs="MS PGothic" w:eastAsia="MS PGothic" w:hAnsi="MS PGothic"/>
          <w:sz w:val="16"/>
          <w:szCs w:val="16"/>
          <w:color w:val="2A5597"/>
        </w:rPr>
      </w:pPr>
    </w:p>
    <w:p>
      <w:pPr>
        <w:ind w:left="220" w:hanging="215"/>
        <w:spacing w:after="0"/>
        <w:tabs>
          <w:tab w:leader="none" w:pos="220" w:val="left"/>
        </w:tabs>
        <w:numPr>
          <w:ilvl w:val="0"/>
          <w:numId w:val="16"/>
        </w:numPr>
        <w:rPr>
          <w:rFonts w:ascii="MS PGothic" w:cs="MS PGothic" w:eastAsia="MS PGothic" w:hAnsi="MS PGothic"/>
          <w:sz w:val="16"/>
          <w:szCs w:val="16"/>
          <w:color w:val="2A5597"/>
        </w:rPr>
      </w:pPr>
      <w:r>
        <w:rPr>
          <w:rFonts w:ascii="Arial" w:cs="Arial" w:eastAsia="Arial" w:hAnsi="Arial"/>
          <w:sz w:val="16"/>
          <w:szCs w:val="16"/>
          <w:b w:val="1"/>
          <w:bCs w:val="1"/>
          <w:color w:val="auto"/>
        </w:rPr>
        <w:t>Broadcom Corporation, 1999 – 2007</w:t>
      </w:r>
    </w:p>
    <w:p>
      <w:pPr>
        <w:spacing w:after="0" w:line="32" w:lineRule="exact"/>
        <w:rPr>
          <w:rFonts w:ascii="MS PGothic" w:cs="MS PGothic" w:eastAsia="MS PGothic" w:hAnsi="MS PGothic"/>
          <w:sz w:val="16"/>
          <w:szCs w:val="16"/>
          <w:color w:val="2A5597"/>
        </w:rPr>
      </w:pPr>
    </w:p>
    <w:p>
      <w:pPr>
        <w:ind w:left="280"/>
        <w:spacing w:after="0"/>
        <w:rPr>
          <w:rFonts w:ascii="MS PGothic" w:cs="MS PGothic" w:eastAsia="MS PGothic" w:hAnsi="MS PGothic"/>
          <w:sz w:val="16"/>
          <w:szCs w:val="16"/>
          <w:color w:val="2A5597"/>
        </w:rPr>
      </w:pPr>
      <w:r>
        <w:rPr>
          <w:rFonts w:ascii="Arial" w:cs="Arial" w:eastAsia="Arial" w:hAnsi="Arial"/>
          <w:sz w:val="16"/>
          <w:szCs w:val="16"/>
          <w:color w:val="auto"/>
        </w:rPr>
        <w:t>— Vice President and Acting Chief Financial Officer, 2006 – 2007</w:t>
      </w:r>
    </w:p>
    <w:p>
      <w:pPr>
        <w:spacing w:after="0" w:line="3" w:lineRule="exact"/>
        <w:rPr>
          <w:rFonts w:ascii="MS PGothic" w:cs="MS PGothic" w:eastAsia="MS PGothic" w:hAnsi="MS PGothic"/>
          <w:sz w:val="16"/>
          <w:szCs w:val="16"/>
          <w:color w:val="2A5597"/>
        </w:rPr>
      </w:pPr>
    </w:p>
    <w:p>
      <w:pPr>
        <w:ind w:left="280"/>
        <w:spacing w:after="0"/>
        <w:rPr>
          <w:rFonts w:ascii="MS PGothic" w:cs="MS PGothic" w:eastAsia="MS PGothic" w:hAnsi="MS PGothic"/>
          <w:sz w:val="16"/>
          <w:szCs w:val="16"/>
          <w:color w:val="2A5597"/>
        </w:rPr>
      </w:pPr>
      <w:r>
        <w:rPr>
          <w:rFonts w:ascii="Arial" w:cs="Arial" w:eastAsia="Arial" w:hAnsi="Arial"/>
          <w:sz w:val="16"/>
          <w:szCs w:val="16"/>
          <w:color w:val="auto"/>
        </w:rPr>
        <w:t>— Vice President, Finance and Corporate Controller</w:t>
      </w:r>
    </w:p>
    <w:p>
      <w:pPr>
        <w:spacing w:after="0" w:line="3" w:lineRule="exact"/>
        <w:rPr>
          <w:rFonts w:ascii="MS PGothic" w:cs="MS PGothic" w:eastAsia="MS PGothic" w:hAnsi="MS PGothic"/>
          <w:sz w:val="16"/>
          <w:szCs w:val="16"/>
          <w:color w:val="2A5597"/>
        </w:rPr>
      </w:pPr>
    </w:p>
    <w:p>
      <w:pPr>
        <w:ind w:left="280"/>
        <w:spacing w:after="0"/>
        <w:rPr>
          <w:rFonts w:ascii="MS PGothic" w:cs="MS PGothic" w:eastAsia="MS PGothic" w:hAnsi="MS PGothic"/>
          <w:sz w:val="16"/>
          <w:szCs w:val="16"/>
          <w:color w:val="2A5597"/>
        </w:rPr>
      </w:pPr>
      <w:r>
        <w:rPr>
          <w:rFonts w:ascii="Arial" w:cs="Arial" w:eastAsia="Arial" w:hAnsi="Arial"/>
          <w:sz w:val="16"/>
          <w:szCs w:val="16"/>
          <w:color w:val="auto"/>
        </w:rPr>
        <w:t>— Controller, Broadband Communications</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b w:val="1"/>
          <w:bCs w:val="1"/>
          <w:color w:val="2B4772"/>
        </w:rPr>
        <w:t>Relevant Skills and 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87630</wp:posOffset>
            </wp:positionV>
            <wp:extent cx="2496820" cy="26352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496820" cy="263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20" w:hanging="215"/>
        <w:spacing w:after="0"/>
        <w:tabs>
          <w:tab w:leader="none" w:pos="220" w:val="left"/>
        </w:tabs>
        <w:numPr>
          <w:ilvl w:val="0"/>
          <w:numId w:val="17"/>
        </w:numPr>
        <w:rPr>
          <w:rFonts w:ascii="MS PGothic" w:cs="MS PGothic" w:eastAsia="MS PGothic" w:hAnsi="MS PGothic"/>
          <w:sz w:val="16"/>
          <w:szCs w:val="16"/>
          <w:color w:val="2A5597"/>
        </w:rPr>
      </w:pPr>
      <w:r>
        <w:rPr>
          <w:rFonts w:ascii="Arial" w:cs="Arial" w:eastAsia="Arial" w:hAnsi="Arial"/>
          <w:sz w:val="16"/>
          <w:szCs w:val="16"/>
          <w:color w:val="auto"/>
        </w:rPr>
        <w:t>Extensive experience in the semiconductor industry and with mergers and acquisitions</w:t>
      </w:r>
    </w:p>
    <w:p>
      <w:pPr>
        <w:spacing w:after="0" w:line="32" w:lineRule="exact"/>
        <w:rPr>
          <w:rFonts w:ascii="MS PGothic" w:cs="MS PGothic" w:eastAsia="MS PGothic" w:hAnsi="MS PGothic"/>
          <w:sz w:val="16"/>
          <w:szCs w:val="16"/>
          <w:color w:val="2A5597"/>
        </w:rPr>
      </w:pPr>
    </w:p>
    <w:p>
      <w:pPr>
        <w:ind w:left="220" w:hanging="215"/>
        <w:spacing w:after="0"/>
        <w:tabs>
          <w:tab w:leader="none" w:pos="220" w:val="left"/>
        </w:tabs>
        <w:numPr>
          <w:ilvl w:val="0"/>
          <w:numId w:val="17"/>
        </w:numPr>
        <w:rPr>
          <w:rFonts w:ascii="MS PGothic" w:cs="MS PGothic" w:eastAsia="MS PGothic" w:hAnsi="MS PGothic"/>
          <w:sz w:val="16"/>
          <w:szCs w:val="16"/>
          <w:color w:val="2A5597"/>
        </w:rPr>
      </w:pPr>
      <w:r>
        <w:rPr>
          <w:rFonts w:ascii="Arial" w:cs="Arial" w:eastAsia="Arial" w:hAnsi="Arial"/>
          <w:sz w:val="16"/>
          <w:szCs w:val="16"/>
          <w:color w:val="auto"/>
        </w:rPr>
        <w:t>Experience as chief financial officer of a publicly held semiconductor company</w:t>
      </w:r>
    </w:p>
    <w:p>
      <w:pPr>
        <w:spacing w:after="0" w:line="16" w:lineRule="exact"/>
        <w:rPr>
          <w:rFonts w:ascii="MS PGothic" w:cs="MS PGothic" w:eastAsia="MS PGothic" w:hAnsi="MS PGothic"/>
          <w:sz w:val="16"/>
          <w:szCs w:val="16"/>
          <w:color w:val="2A5597"/>
        </w:rPr>
      </w:pPr>
    </w:p>
    <w:p>
      <w:pPr>
        <w:ind w:left="260" w:right="60" w:hanging="255"/>
        <w:spacing w:after="0" w:line="276" w:lineRule="auto"/>
        <w:tabs>
          <w:tab w:leader="none" w:pos="229" w:val="left"/>
        </w:tabs>
        <w:numPr>
          <w:ilvl w:val="0"/>
          <w:numId w:val="17"/>
        </w:numPr>
        <w:rPr>
          <w:rFonts w:ascii="MS PGothic" w:cs="MS PGothic" w:eastAsia="MS PGothic" w:hAnsi="MS PGothic"/>
          <w:sz w:val="16"/>
          <w:szCs w:val="16"/>
          <w:color w:val="2A5597"/>
        </w:rPr>
      </w:pPr>
      <w:r>
        <w:rPr>
          <w:rFonts w:ascii="Arial" w:cs="Arial" w:eastAsia="Arial" w:hAnsi="Arial"/>
          <w:sz w:val="16"/>
          <w:szCs w:val="16"/>
          <w:color w:val="auto"/>
        </w:rPr>
        <w:t>Significant management experience and relevant knowledge of financial statement preparation and regulatory compliance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-2225675</wp:posOffset>
            </wp:positionH>
            <wp:positionV relativeFrom="paragraph">
              <wp:posOffset>137795</wp:posOffset>
            </wp:positionV>
            <wp:extent cx="6861810" cy="762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61810" cy="7620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160" w:space="580"/>
            <w:col w:w="7340"/>
          </w:cols>
          <w:pgMar w:left="320" w:top="454" w:right="499" w:bottom="1440" w:gutter="0" w:footer="0" w:header="0"/>
          <w:type w:val="continuous"/>
        </w:sectPr>
      </w:pPr>
    </w:p>
    <w:p>
      <w:pPr>
        <w:spacing w:after="0" w:line="275" w:lineRule="exact"/>
        <w:rPr>
          <w:sz w:val="20"/>
          <w:szCs w:val="20"/>
          <w:color w:val="auto"/>
        </w:rPr>
      </w:pPr>
    </w:p>
    <w:p>
      <w:pPr>
        <w:ind w:left="8900"/>
        <w:spacing w:after="0"/>
        <w:tabs>
          <w:tab w:leader="none" w:pos="10980" w:val="left"/>
        </w:tabs>
        <w:rPr>
          <w:sz w:val="20"/>
          <w:szCs w:val="20"/>
          <w:color w:val="auto"/>
        </w:rPr>
      </w:pPr>
      <w:r>
        <w:rPr>
          <w:rFonts w:ascii="Arial" w:cs="Arial" w:eastAsia="Arial" w:hAnsi="Arial"/>
          <w:sz w:val="14"/>
          <w:szCs w:val="14"/>
          <w:color w:val="F75E14"/>
        </w:rPr>
        <w:t>onsemi 2022 Proxy Statement</w:t>
        <w:tab/>
        <w:t>7</w:t>
      </w:r>
    </w:p>
    <w:p>
      <w:pPr>
        <w:sectPr>
          <w:pgSz w:w="11900" w:h="16838" w:orient="portrait"/>
          <w:cols w:equalWidth="0" w:num="1">
            <w:col w:w="11080"/>
          </w:cols>
          <w:pgMar w:left="320" w:top="454" w:right="499" w:bottom="1440" w:gutter="0" w:footer="0" w:header="0"/>
          <w:type w:val="continuous"/>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2" w:lineRule="exact"/>
        <w:rPr>
          <w:sz w:val="20"/>
          <w:szCs w:val="20"/>
          <w:color w:val="auto"/>
        </w:rPr>
      </w:pPr>
    </w:p>
    <w:p>
      <w:pPr>
        <w:ind w:left="160"/>
        <w:spacing w:after="0"/>
        <w:rPr>
          <w:sz w:val="20"/>
          <w:szCs w:val="20"/>
          <w:color w:val="auto"/>
        </w:rPr>
      </w:pPr>
      <w:r>
        <w:rPr>
          <w:rFonts w:ascii="Arial" w:cs="Arial" w:eastAsia="Arial" w:hAnsi="Arial"/>
          <w:sz w:val="18"/>
          <w:szCs w:val="18"/>
          <w:color w:val="F75E14"/>
        </w:rPr>
        <w:t>Management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101600</wp:posOffset>
            </wp:positionV>
            <wp:extent cx="6861810" cy="762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61810" cy="76200"/>
                    </a:xfrm>
                    <a:prstGeom prst="rect">
                      <a:avLst/>
                    </a:prstGeom>
                    <a:noFill/>
                  </pic:spPr>
                </pic:pic>
              </a:graphicData>
            </a:graphic>
          </wp:anchor>
        </w:drawing>
      </w:r>
    </w:p>
    <w:p>
      <w:pPr>
        <w:spacing w:after="0" w:line="366" w:lineRule="exact"/>
        <w:rPr>
          <w:sz w:val="20"/>
          <w:szCs w:val="20"/>
          <w:color w:val="auto"/>
        </w:rPr>
      </w:pPr>
    </w:p>
    <w:p>
      <w:pPr>
        <w:ind w:left="540"/>
        <w:spacing w:after="0"/>
        <w:tabs>
          <w:tab w:leader="none" w:pos="3740" w:val="left"/>
        </w:tabs>
        <w:rPr>
          <w:sz w:val="20"/>
          <w:szCs w:val="20"/>
          <w:color w:val="auto"/>
        </w:rPr>
      </w:pPr>
      <w:r>
        <w:rPr>
          <w:rFonts w:ascii="Arial" w:cs="Arial" w:eastAsia="Arial" w:hAnsi="Arial"/>
          <w:sz w:val="16"/>
          <w:szCs w:val="16"/>
          <w:b w:val="1"/>
          <w:bCs w:val="1"/>
          <w:color w:val="2B4772"/>
        </w:rPr>
        <w:t>PAUL A. MASCARENAS</w:t>
      </w:r>
      <w:r>
        <w:rPr>
          <w:sz w:val="20"/>
          <w:szCs w:val="20"/>
          <w:color w:val="auto"/>
        </w:rPr>
        <w:tab/>
      </w:r>
      <w:r>
        <w:rPr>
          <w:rFonts w:ascii="Arial" w:cs="Arial" w:eastAsia="Arial" w:hAnsi="Arial"/>
          <w:sz w:val="16"/>
          <w:szCs w:val="16"/>
          <w:b w:val="1"/>
          <w:bCs w:val="1"/>
          <w:color w:val="2B4772"/>
        </w:rPr>
        <w:t>Career Highlights</w:t>
      </w:r>
    </w:p>
    <w:p>
      <w:pPr>
        <w:spacing w:after="0" w:line="16" w:lineRule="exact"/>
        <w:rPr>
          <w:sz w:val="20"/>
          <w:szCs w:val="20"/>
          <w:color w:val="auto"/>
        </w:rPr>
      </w:pPr>
    </w:p>
    <w:p>
      <w:pPr>
        <w:ind w:left="3980" w:hanging="222"/>
        <w:spacing w:after="0"/>
        <w:tabs>
          <w:tab w:leader="none" w:pos="3980" w:val="left"/>
        </w:tabs>
        <w:numPr>
          <w:ilvl w:val="0"/>
          <w:numId w:val="18"/>
        </w:numPr>
        <w:rPr>
          <w:rFonts w:ascii="MS PGothic" w:cs="MS PGothic" w:eastAsia="MS PGothic" w:hAnsi="MS PGothic"/>
          <w:sz w:val="16"/>
          <w:szCs w:val="16"/>
          <w:color w:val="2A5597"/>
        </w:rPr>
      </w:pPr>
      <w:r>
        <w:rPr>
          <w:rFonts w:ascii="Arial" w:cs="Arial" w:eastAsia="Arial" w:hAnsi="Arial"/>
          <w:sz w:val="16"/>
          <w:szCs w:val="16"/>
          <w:b w:val="1"/>
          <w:bCs w:val="1"/>
          <w:color w:val="auto"/>
        </w:rPr>
        <w:t>Ford Motor Company, 1982 – 2014</w:t>
      </w:r>
    </w:p>
    <w:p>
      <w:pPr>
        <w:spacing w:after="0" w:line="20" w:lineRule="exact"/>
        <w:rPr>
          <w:rFonts w:ascii="MS PGothic" w:cs="MS PGothic" w:eastAsia="MS PGothic" w:hAnsi="MS PGothic"/>
          <w:sz w:val="16"/>
          <w:szCs w:val="16"/>
          <w:color w:val="2A5597"/>
        </w:rPr>
      </w:pPr>
    </w:p>
    <w:p>
      <w:pPr>
        <w:ind w:left="4020"/>
        <w:spacing w:after="0"/>
        <w:rPr>
          <w:rFonts w:ascii="MS PGothic" w:cs="MS PGothic" w:eastAsia="MS PGothic" w:hAnsi="MS PGothic"/>
          <w:sz w:val="16"/>
          <w:szCs w:val="16"/>
          <w:color w:val="2A5597"/>
        </w:rPr>
      </w:pPr>
      <w:r>
        <w:rPr>
          <w:rFonts w:ascii="Arial" w:cs="Arial" w:eastAsia="Arial" w:hAnsi="Arial"/>
          <w:sz w:val="16"/>
          <w:szCs w:val="16"/>
          <w:color w:val="auto"/>
        </w:rPr>
        <w:t>— Vice President of Research &amp; Advanced Engineering and Chief Technical Officer, 2011 – 2014</w:t>
      </w:r>
    </w:p>
    <w:p>
      <w:pPr>
        <w:spacing w:after="0" w:line="3" w:lineRule="exact"/>
        <w:rPr>
          <w:rFonts w:ascii="MS PGothic" w:cs="MS PGothic" w:eastAsia="MS PGothic" w:hAnsi="MS PGothic"/>
          <w:sz w:val="16"/>
          <w:szCs w:val="16"/>
          <w:color w:val="2A5597"/>
        </w:rPr>
      </w:pPr>
    </w:p>
    <w:p>
      <w:pPr>
        <w:ind w:left="4020"/>
        <w:spacing w:after="0"/>
        <w:rPr>
          <w:rFonts w:ascii="MS PGothic" w:cs="MS PGothic" w:eastAsia="MS PGothic" w:hAnsi="MS PGothic"/>
          <w:sz w:val="16"/>
          <w:szCs w:val="16"/>
          <w:color w:val="2A5597"/>
        </w:rPr>
      </w:pPr>
      <w:r>
        <w:rPr>
          <w:rFonts w:ascii="Arial" w:cs="Arial" w:eastAsia="Arial" w:hAnsi="Arial"/>
          <w:sz w:val="16"/>
          <w:szCs w:val="16"/>
          <w:color w:val="auto"/>
        </w:rPr>
        <w:t>— Vice President of Engineering, 2007 – 2011</w:t>
      </w:r>
    </w:p>
    <w:p>
      <w:pPr>
        <w:spacing w:after="0" w:line="3" w:lineRule="exact"/>
        <w:rPr>
          <w:rFonts w:ascii="MS PGothic" w:cs="MS PGothic" w:eastAsia="MS PGothic" w:hAnsi="MS PGothic"/>
          <w:sz w:val="16"/>
          <w:szCs w:val="16"/>
          <w:color w:val="2A5597"/>
        </w:rPr>
      </w:pPr>
    </w:p>
    <w:p>
      <w:pPr>
        <w:ind w:left="4020"/>
        <w:spacing w:after="0"/>
        <w:rPr>
          <w:rFonts w:ascii="MS PGothic" w:cs="MS PGothic" w:eastAsia="MS PGothic" w:hAnsi="MS PGothic"/>
          <w:sz w:val="16"/>
          <w:szCs w:val="16"/>
          <w:color w:val="2A5597"/>
        </w:rPr>
      </w:pPr>
      <w:r>
        <w:rPr>
          <w:rFonts w:ascii="Arial" w:cs="Arial" w:eastAsia="Arial" w:hAnsi="Arial"/>
          <w:sz w:val="16"/>
          <w:szCs w:val="16"/>
          <w:color w:val="auto"/>
        </w:rPr>
        <w:t>— Vice President, North American Vehicle Programs, 2005 – 2007</w:t>
      </w:r>
    </w:p>
    <w:p>
      <w:pPr>
        <w:spacing w:after="0" w:line="3" w:lineRule="exact"/>
        <w:rPr>
          <w:rFonts w:ascii="MS PGothic" w:cs="MS PGothic" w:eastAsia="MS PGothic" w:hAnsi="MS PGothic"/>
          <w:sz w:val="16"/>
          <w:szCs w:val="16"/>
          <w:color w:val="2A5597"/>
        </w:rPr>
      </w:pPr>
    </w:p>
    <w:p>
      <w:pPr>
        <w:ind w:left="4300" w:right="20" w:hanging="268"/>
        <w:spacing w:after="0" w:line="258" w:lineRule="auto"/>
        <w:rPr>
          <w:rFonts w:ascii="MS PGothic" w:cs="MS PGothic" w:eastAsia="MS PGothic" w:hAnsi="MS PGothic"/>
          <w:sz w:val="16"/>
          <w:szCs w:val="16"/>
          <w:color w:val="2A5597"/>
        </w:rPr>
      </w:pPr>
      <w:r>
        <w:rPr>
          <w:rFonts w:ascii="Arial" w:cs="Arial" w:eastAsia="Arial" w:hAnsi="Arial"/>
          <w:sz w:val="16"/>
          <w:szCs w:val="16"/>
          <w:color w:val="auto"/>
        </w:rPr>
        <w:t>— Various positions in product development, program management and business leadership, 1982 –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429260</wp:posOffset>
            </wp:positionH>
            <wp:positionV relativeFrom="paragraph">
              <wp:posOffset>-659130</wp:posOffset>
            </wp:positionV>
            <wp:extent cx="959485" cy="13163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959485" cy="1316355"/>
                    </a:xfrm>
                    <a:prstGeom prst="rect">
                      <a:avLst/>
                    </a:prstGeom>
                    <a:noFill/>
                  </pic:spPr>
                </pic:pic>
              </a:graphicData>
            </a:graphic>
          </wp:anchor>
        </w:drawing>
      </w:r>
    </w:p>
    <w:p>
      <w:pPr>
        <w:spacing w:after="0" w:line="63" w:lineRule="exact"/>
        <w:rPr>
          <w:sz w:val="20"/>
          <w:szCs w:val="20"/>
          <w:color w:val="auto"/>
        </w:rPr>
      </w:pPr>
    </w:p>
    <w:p>
      <w:pPr>
        <w:ind w:left="3760"/>
        <w:spacing w:after="0"/>
        <w:rPr>
          <w:sz w:val="20"/>
          <w:szCs w:val="20"/>
          <w:color w:val="auto"/>
        </w:rPr>
      </w:pPr>
      <w:r>
        <w:rPr>
          <w:rFonts w:ascii="Arial" w:cs="Arial" w:eastAsia="Arial" w:hAnsi="Arial"/>
          <w:sz w:val="16"/>
          <w:szCs w:val="16"/>
          <w:b w:val="1"/>
          <w:bCs w:val="1"/>
          <w:color w:val="2B4772"/>
        </w:rPr>
        <w:t>Relevant Skills and 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2390775</wp:posOffset>
            </wp:positionH>
            <wp:positionV relativeFrom="paragraph">
              <wp:posOffset>87630</wp:posOffset>
            </wp:positionV>
            <wp:extent cx="1630680" cy="27178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630680" cy="271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540" w:type="dxa"/>
        <w:tblCellMar>
          <w:top w:w="0" w:type="dxa"/>
          <w:left w:w="0" w:type="dxa"/>
          <w:bottom w:w="0" w:type="dxa"/>
          <w:right w:w="0" w:type="dxa"/>
        </w:tblCellMar>
      </w:tblPr>
      <w:tr>
        <w:trPr>
          <w:trHeight w:val="201"/>
        </w:trPr>
        <w:tc>
          <w:tcPr>
            <w:tcW w:w="2920" w:type="dxa"/>
            <w:vAlign w:val="bottom"/>
          </w:tcPr>
          <w:p>
            <w:pPr>
              <w:spacing w:after="0"/>
              <w:rPr>
                <w:sz w:val="17"/>
                <w:szCs w:val="17"/>
                <w:color w:val="auto"/>
              </w:rPr>
            </w:pPr>
          </w:p>
        </w:tc>
        <w:tc>
          <w:tcPr>
            <w:tcW w:w="6480" w:type="dxa"/>
            <w:vAlign w:val="bottom"/>
          </w:tcPr>
          <w:p>
            <w:pPr>
              <w:ind w:left="300"/>
              <w:spacing w:after="0" w:line="184" w:lineRule="exact"/>
              <w:rPr>
                <w:sz w:val="20"/>
                <w:szCs w:val="20"/>
                <w:color w:val="auto"/>
              </w:rPr>
            </w:pPr>
            <w:r>
              <w:rPr>
                <w:rFonts w:ascii="MS PGothic" w:cs="MS PGothic" w:eastAsia="MS PGothic" w:hAnsi="MS PGothic"/>
                <w:sz w:val="16"/>
                <w:szCs w:val="16"/>
                <w:color w:val="2A5597"/>
              </w:rPr>
              <w:t>∎</w:t>
            </w:r>
            <w:r>
              <w:rPr>
                <w:rFonts w:ascii="Arial" w:cs="Arial" w:eastAsia="Arial" w:hAnsi="Arial"/>
                <w:sz w:val="16"/>
                <w:szCs w:val="16"/>
                <w:color w:val="auto"/>
              </w:rPr>
              <w:t xml:space="preserve">  Extensive experience in technical strategy, planning and research and development</w:t>
            </w:r>
          </w:p>
        </w:tc>
      </w:tr>
      <w:tr>
        <w:trPr>
          <w:trHeight w:val="253"/>
        </w:trPr>
        <w:tc>
          <w:tcPr>
            <w:tcW w:w="2920" w:type="dxa"/>
            <w:vAlign w:val="bottom"/>
          </w:tcPr>
          <w:p>
            <w:pPr>
              <w:spacing w:after="0"/>
              <w:rPr>
                <w:sz w:val="20"/>
                <w:szCs w:val="20"/>
                <w:color w:val="auto"/>
              </w:rPr>
            </w:pPr>
            <w:r>
              <w:rPr>
                <w:rFonts w:ascii="Arial" w:cs="Arial" w:eastAsia="Arial" w:hAnsi="Arial"/>
                <w:sz w:val="16"/>
                <w:szCs w:val="16"/>
                <w:b w:val="1"/>
                <w:bCs w:val="1"/>
                <w:color w:val="2B4772"/>
              </w:rPr>
              <w:t>Age 60</w:t>
            </w:r>
          </w:p>
        </w:tc>
        <w:tc>
          <w:tcPr>
            <w:tcW w:w="6480" w:type="dxa"/>
            <w:vAlign w:val="bottom"/>
          </w:tcPr>
          <w:p>
            <w:pPr>
              <w:ind w:left="300"/>
              <w:spacing w:after="0" w:line="184" w:lineRule="exact"/>
              <w:rPr>
                <w:sz w:val="20"/>
                <w:szCs w:val="20"/>
                <w:color w:val="auto"/>
              </w:rPr>
            </w:pPr>
            <w:r>
              <w:rPr>
                <w:rFonts w:ascii="MS PGothic" w:cs="MS PGothic" w:eastAsia="MS PGothic" w:hAnsi="MS PGothic"/>
                <w:sz w:val="16"/>
                <w:szCs w:val="16"/>
                <w:color w:val="2A5597"/>
              </w:rPr>
              <w:t>∎</w:t>
            </w:r>
            <w:r>
              <w:rPr>
                <w:rFonts w:ascii="Arial" w:cs="Arial" w:eastAsia="Arial" w:hAnsi="Arial"/>
                <w:sz w:val="16"/>
                <w:szCs w:val="16"/>
                <w:color w:val="auto"/>
              </w:rPr>
              <w:t xml:space="preserve">  Leadership and strategic planning expertise in automotive industry</w:t>
            </w:r>
          </w:p>
        </w:tc>
      </w:tr>
      <w:tr>
        <w:trPr>
          <w:trHeight w:val="187"/>
        </w:trPr>
        <w:tc>
          <w:tcPr>
            <w:tcW w:w="2920" w:type="dxa"/>
            <w:vAlign w:val="bottom"/>
          </w:tcPr>
          <w:p>
            <w:pPr>
              <w:spacing w:after="0"/>
              <w:rPr>
                <w:sz w:val="20"/>
                <w:szCs w:val="20"/>
                <w:color w:val="auto"/>
              </w:rPr>
            </w:pPr>
            <w:r>
              <w:rPr>
                <w:rFonts w:ascii="Arial" w:cs="Arial" w:eastAsia="Arial" w:hAnsi="Arial"/>
                <w:sz w:val="16"/>
                <w:szCs w:val="16"/>
                <w:b w:val="1"/>
                <w:bCs w:val="1"/>
                <w:color w:val="2B4772"/>
              </w:rPr>
              <w:t>Director since 2014</w:t>
            </w:r>
          </w:p>
        </w:tc>
        <w:tc>
          <w:tcPr>
            <w:tcW w:w="6480" w:type="dxa"/>
            <w:vAlign w:val="bottom"/>
          </w:tcPr>
          <w:p>
            <w:pPr>
              <w:spacing w:after="0"/>
              <w:rPr>
                <w:sz w:val="16"/>
                <w:szCs w:val="16"/>
                <w:color w:val="auto"/>
              </w:rPr>
            </w:pPr>
          </w:p>
        </w:tc>
      </w:tr>
      <w:tr>
        <w:trPr>
          <w:trHeight w:val="187"/>
        </w:trPr>
        <w:tc>
          <w:tcPr>
            <w:tcW w:w="2920" w:type="dxa"/>
            <w:vAlign w:val="bottom"/>
          </w:tcPr>
          <w:p>
            <w:pPr>
              <w:spacing w:after="0"/>
              <w:rPr>
                <w:sz w:val="20"/>
                <w:szCs w:val="20"/>
                <w:color w:val="auto"/>
              </w:rPr>
            </w:pPr>
            <w:r>
              <w:rPr>
                <w:rFonts w:ascii="Arial" w:cs="Arial" w:eastAsia="Arial" w:hAnsi="Arial"/>
                <w:sz w:val="16"/>
                <w:szCs w:val="16"/>
                <w:b w:val="1"/>
                <w:bCs w:val="1"/>
                <w:color w:val="2B4772"/>
              </w:rPr>
              <w:t>Other Current and Former Boards:</w:t>
            </w:r>
          </w:p>
        </w:tc>
        <w:tc>
          <w:tcPr>
            <w:tcW w:w="6480" w:type="dxa"/>
            <w:vAlign w:val="bottom"/>
          </w:tcPr>
          <w:p>
            <w:pPr>
              <w:spacing w:after="0"/>
              <w:rPr>
                <w:sz w:val="16"/>
                <w:szCs w:val="16"/>
                <w:color w:val="auto"/>
              </w:rPr>
            </w:pPr>
          </w:p>
        </w:tc>
      </w:tr>
      <w:tr>
        <w:trPr>
          <w:trHeight w:val="201"/>
        </w:trPr>
        <w:tc>
          <w:tcPr>
            <w:tcW w:w="2920" w:type="dxa"/>
            <w:vAlign w:val="bottom"/>
          </w:tcPr>
          <w:p>
            <w:pPr>
              <w:spacing w:after="0"/>
              <w:rPr>
                <w:sz w:val="20"/>
                <w:szCs w:val="20"/>
                <w:color w:val="auto"/>
              </w:rPr>
            </w:pPr>
            <w:r>
              <w:rPr>
                <w:rFonts w:ascii="Arial" w:cs="Arial" w:eastAsia="Arial" w:hAnsi="Arial"/>
                <w:sz w:val="16"/>
                <w:szCs w:val="16"/>
                <w:color w:val="auto"/>
              </w:rPr>
              <w:t>BorgWarner, Inc.</w:t>
            </w:r>
          </w:p>
        </w:tc>
        <w:tc>
          <w:tcPr>
            <w:tcW w:w="6480" w:type="dxa"/>
            <w:vAlign w:val="bottom"/>
          </w:tcPr>
          <w:p>
            <w:pPr>
              <w:spacing w:after="0"/>
              <w:rPr>
                <w:sz w:val="17"/>
                <w:szCs w:val="17"/>
                <w:color w:val="auto"/>
              </w:rPr>
            </w:pPr>
          </w:p>
        </w:tc>
      </w:tr>
      <w:tr>
        <w:trPr>
          <w:trHeight w:val="201"/>
        </w:trPr>
        <w:tc>
          <w:tcPr>
            <w:tcW w:w="2920" w:type="dxa"/>
            <w:vAlign w:val="bottom"/>
          </w:tcPr>
          <w:p>
            <w:pPr>
              <w:spacing w:after="0"/>
              <w:rPr>
                <w:sz w:val="20"/>
                <w:szCs w:val="20"/>
                <w:color w:val="auto"/>
              </w:rPr>
            </w:pPr>
            <w:r>
              <w:rPr>
                <w:rFonts w:ascii="Arial" w:cs="Arial" w:eastAsia="Arial" w:hAnsi="Arial"/>
                <w:sz w:val="16"/>
                <w:szCs w:val="16"/>
                <w:color w:val="auto"/>
              </w:rPr>
              <w:t>The Shyft Group</w:t>
            </w:r>
          </w:p>
        </w:tc>
        <w:tc>
          <w:tcPr>
            <w:tcW w:w="6480" w:type="dxa"/>
            <w:vAlign w:val="bottom"/>
          </w:tcPr>
          <w:p>
            <w:pPr>
              <w:spacing w:after="0"/>
              <w:rPr>
                <w:sz w:val="17"/>
                <w:szCs w:val="17"/>
                <w:color w:val="auto"/>
              </w:rPr>
            </w:pPr>
          </w:p>
        </w:tc>
      </w:tr>
      <w:tr>
        <w:trPr>
          <w:trHeight w:val="211"/>
        </w:trPr>
        <w:tc>
          <w:tcPr>
            <w:tcW w:w="2920" w:type="dxa"/>
            <w:vAlign w:val="bottom"/>
          </w:tcPr>
          <w:p>
            <w:pPr>
              <w:spacing w:after="0"/>
              <w:rPr>
                <w:sz w:val="20"/>
                <w:szCs w:val="20"/>
                <w:color w:val="auto"/>
              </w:rPr>
            </w:pPr>
            <w:r>
              <w:rPr>
                <w:rFonts w:ascii="Arial" w:cs="Arial" w:eastAsia="Arial" w:hAnsi="Arial"/>
                <w:sz w:val="16"/>
                <w:szCs w:val="16"/>
                <w:color w:val="auto"/>
              </w:rPr>
              <w:t>United States Steel Corporation</w:t>
            </w:r>
          </w:p>
        </w:tc>
        <w:tc>
          <w:tcPr>
            <w:tcW w:w="648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163830</wp:posOffset>
            </wp:positionV>
            <wp:extent cx="6861810" cy="762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61810" cy="76200"/>
                    </a:xfrm>
                    <a:prstGeom prst="rect">
                      <a:avLst/>
                    </a:prstGeom>
                    <a:noFill/>
                  </pic:spPr>
                </pic:pic>
              </a:graphicData>
            </a:graphic>
          </wp:anchor>
        </w:drawing>
      </w:r>
    </w:p>
    <w:p>
      <w:pPr>
        <w:sectPr>
          <w:pgSz w:w="11900" w:h="16838" w:orient="portrait"/>
          <w:cols w:equalWidth="0" w:num="1">
            <w:col w:w="11020"/>
          </w:cols>
          <w:pgMar w:left="320" w:top="454" w:right="559" w:bottom="1440" w:gutter="0" w:footer="0" w:header="0"/>
        </w:sectPr>
      </w:pPr>
    </w:p>
    <w:p>
      <w:pPr>
        <w:spacing w:after="0" w:line="200" w:lineRule="exact"/>
        <w:rPr>
          <w:sz w:val="20"/>
          <w:szCs w:val="20"/>
          <w:color w:val="auto"/>
        </w:rPr>
      </w:pPr>
    </w:p>
    <w:p>
      <w:pPr>
        <w:spacing w:after="0" w:line="284" w:lineRule="exact"/>
        <w:rPr>
          <w:sz w:val="20"/>
          <w:szCs w:val="20"/>
          <w:color w:val="auto"/>
        </w:rPr>
      </w:pPr>
    </w:p>
    <w:p>
      <w:pPr>
        <w:ind w:left="540"/>
        <w:spacing w:after="0"/>
        <w:rPr>
          <w:sz w:val="20"/>
          <w:szCs w:val="20"/>
          <w:color w:val="auto"/>
        </w:rPr>
      </w:pPr>
      <w:r>
        <w:rPr>
          <w:rFonts w:ascii="Arial" w:cs="Arial" w:eastAsia="Arial" w:hAnsi="Arial"/>
          <w:sz w:val="16"/>
          <w:szCs w:val="16"/>
          <w:b w:val="1"/>
          <w:bCs w:val="1"/>
          <w:color w:val="2B4772"/>
        </w:rPr>
        <w:t>GREGORY L. WATERS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429260</wp:posOffset>
            </wp:positionH>
            <wp:positionV relativeFrom="paragraph">
              <wp:posOffset>87630</wp:posOffset>
            </wp:positionV>
            <wp:extent cx="959485" cy="13163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959485" cy="1316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540"/>
        <w:spacing w:after="0"/>
        <w:rPr>
          <w:sz w:val="20"/>
          <w:szCs w:val="20"/>
          <w:color w:val="auto"/>
        </w:rPr>
      </w:pPr>
      <w:r>
        <w:rPr>
          <w:rFonts w:ascii="Arial" w:cs="Arial" w:eastAsia="Arial" w:hAnsi="Arial"/>
          <w:sz w:val="16"/>
          <w:szCs w:val="16"/>
          <w:b w:val="1"/>
          <w:bCs w:val="1"/>
          <w:color w:val="2B4772"/>
        </w:rPr>
        <w:t>Age 61</w:t>
      </w:r>
    </w:p>
    <w:p>
      <w:pPr>
        <w:spacing w:after="0" w:line="19" w:lineRule="exact"/>
        <w:rPr>
          <w:sz w:val="20"/>
          <w:szCs w:val="20"/>
          <w:color w:val="auto"/>
        </w:rPr>
      </w:pPr>
    </w:p>
    <w:p>
      <w:pPr>
        <w:ind w:left="540"/>
        <w:spacing w:after="0"/>
        <w:rPr>
          <w:sz w:val="20"/>
          <w:szCs w:val="20"/>
          <w:color w:val="auto"/>
        </w:rPr>
      </w:pPr>
      <w:r>
        <w:rPr>
          <w:rFonts w:ascii="Arial" w:cs="Arial" w:eastAsia="Arial" w:hAnsi="Arial"/>
          <w:sz w:val="16"/>
          <w:szCs w:val="16"/>
          <w:b w:val="1"/>
          <w:bCs w:val="1"/>
          <w:color w:val="2B4772"/>
        </w:rPr>
        <w:t>Director since 2020</w:t>
      </w:r>
    </w:p>
    <w:p>
      <w:pPr>
        <w:spacing w:after="0" w:line="3" w:lineRule="exact"/>
        <w:rPr>
          <w:sz w:val="20"/>
          <w:szCs w:val="20"/>
          <w:color w:val="auto"/>
        </w:rPr>
      </w:pPr>
    </w:p>
    <w:p>
      <w:pPr>
        <w:ind w:left="540"/>
        <w:spacing w:after="0"/>
        <w:rPr>
          <w:sz w:val="20"/>
          <w:szCs w:val="20"/>
          <w:color w:val="auto"/>
        </w:rPr>
      </w:pPr>
      <w:r>
        <w:rPr>
          <w:rFonts w:ascii="Arial" w:cs="Arial" w:eastAsia="Arial" w:hAnsi="Arial"/>
          <w:sz w:val="16"/>
          <w:szCs w:val="16"/>
          <w:b w:val="1"/>
          <w:bCs w:val="1"/>
          <w:color w:val="2B4772"/>
        </w:rPr>
        <w:t>Other Current and Former Boards:</w:t>
      </w:r>
    </w:p>
    <w:p>
      <w:pPr>
        <w:spacing w:after="0" w:line="3" w:lineRule="exact"/>
        <w:rPr>
          <w:sz w:val="20"/>
          <w:szCs w:val="20"/>
          <w:color w:val="auto"/>
        </w:rPr>
      </w:pPr>
    </w:p>
    <w:p>
      <w:pPr>
        <w:ind w:left="800" w:right="780"/>
        <w:spacing w:after="0" w:line="258" w:lineRule="auto"/>
        <w:rPr>
          <w:sz w:val="20"/>
          <w:szCs w:val="20"/>
          <w:color w:val="auto"/>
        </w:rPr>
      </w:pPr>
      <w:r>
        <w:rPr>
          <w:rFonts w:ascii="Arial" w:cs="Arial" w:eastAsia="Arial" w:hAnsi="Arial"/>
          <w:sz w:val="16"/>
          <w:szCs w:val="16"/>
          <w:color w:val="auto"/>
        </w:rPr>
        <w:t>Cyxtera Technologies, Inc. Mythic Inc.</w:t>
      </w:r>
    </w:p>
    <w:p>
      <w:pPr>
        <w:ind w:left="540"/>
        <w:spacing w:after="0"/>
        <w:rPr>
          <w:sz w:val="20"/>
          <w:szCs w:val="20"/>
          <w:color w:val="auto"/>
        </w:rPr>
      </w:pPr>
      <w:r>
        <w:rPr>
          <w:rFonts w:ascii="Arial" w:cs="Arial" w:eastAsia="Arial" w:hAnsi="Arial"/>
          <w:sz w:val="16"/>
          <w:szCs w:val="16"/>
          <w:color w:val="auto"/>
        </w:rPr>
        <w:t>Sierra Wireless, Inc.</w:t>
      </w:r>
    </w:p>
    <w:p>
      <w:pPr>
        <w:spacing w:after="0" w:line="16" w:lineRule="exact"/>
        <w:rPr>
          <w:sz w:val="20"/>
          <w:szCs w:val="20"/>
          <w:color w:val="auto"/>
        </w:rPr>
      </w:pPr>
    </w:p>
    <w:p>
      <w:pPr>
        <w:jc w:val="right"/>
        <w:ind w:left="700" w:firstLine="104"/>
        <w:spacing w:after="0" w:line="318" w:lineRule="auto"/>
        <w:rPr>
          <w:sz w:val="20"/>
          <w:szCs w:val="20"/>
          <w:color w:val="auto"/>
        </w:rPr>
      </w:pPr>
      <w:r>
        <w:rPr>
          <w:rFonts w:ascii="Arial" w:cs="Arial" w:eastAsia="Arial" w:hAnsi="Arial"/>
          <w:sz w:val="15"/>
          <w:szCs w:val="15"/>
          <w:color w:val="auto"/>
        </w:rPr>
        <w:t>Mellanox Technologies Ltd. (acquired by NVIDIA Corporation), (2018 – 2020)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color w:val="2B4772"/>
        </w:rPr>
        <w:t>Career Highlights</w:t>
      </w:r>
    </w:p>
    <w:p>
      <w:pPr>
        <w:spacing w:after="0" w:line="16" w:lineRule="exact"/>
        <w:rPr>
          <w:sz w:val="20"/>
          <w:szCs w:val="20"/>
          <w:color w:val="auto"/>
        </w:rPr>
      </w:pPr>
    </w:p>
    <w:p>
      <w:pPr>
        <w:ind w:left="220" w:hanging="215"/>
        <w:spacing w:after="0"/>
        <w:tabs>
          <w:tab w:leader="none" w:pos="220" w:val="left"/>
        </w:tabs>
        <w:numPr>
          <w:ilvl w:val="0"/>
          <w:numId w:val="20"/>
        </w:numPr>
        <w:rPr>
          <w:rFonts w:ascii="MS PGothic" w:cs="MS PGothic" w:eastAsia="MS PGothic" w:hAnsi="MS PGothic"/>
          <w:sz w:val="16"/>
          <w:szCs w:val="16"/>
          <w:color w:val="2A5597"/>
        </w:rPr>
      </w:pPr>
      <w:r>
        <w:rPr>
          <w:rFonts w:ascii="Arial" w:cs="Arial" w:eastAsia="Arial" w:hAnsi="Arial"/>
          <w:sz w:val="16"/>
          <w:szCs w:val="16"/>
          <w:b w:val="1"/>
          <w:bCs w:val="1"/>
          <w:color w:val="auto"/>
        </w:rPr>
        <w:t xml:space="preserve">MatrixSpace, Inc. </w:t>
      </w:r>
      <w:r>
        <w:rPr>
          <w:rFonts w:ascii="Arial" w:cs="Arial" w:eastAsia="Arial" w:hAnsi="Arial"/>
          <w:sz w:val="16"/>
          <w:szCs w:val="16"/>
          <w:color w:val="auto"/>
        </w:rPr>
        <w:t>(an artificial intelligence software company)</w:t>
      </w:r>
      <w:r>
        <w:rPr>
          <w:rFonts w:ascii="Arial" w:cs="Arial" w:eastAsia="Arial" w:hAnsi="Arial"/>
          <w:sz w:val="16"/>
          <w:szCs w:val="16"/>
          <w:b w:val="1"/>
          <w:bCs w:val="1"/>
          <w:color w:val="auto"/>
        </w:rPr>
        <w:t>, 2014 – 2019</w:t>
      </w:r>
    </w:p>
    <w:p>
      <w:pPr>
        <w:spacing w:after="0" w:line="20" w:lineRule="exact"/>
        <w:rPr>
          <w:rFonts w:ascii="MS PGothic" w:cs="MS PGothic" w:eastAsia="MS PGothic" w:hAnsi="MS PGothic"/>
          <w:sz w:val="16"/>
          <w:szCs w:val="16"/>
          <w:color w:val="2A5597"/>
        </w:rPr>
      </w:pPr>
    </w:p>
    <w:p>
      <w:pPr>
        <w:ind w:left="280"/>
        <w:spacing w:after="0"/>
        <w:rPr>
          <w:rFonts w:ascii="MS PGothic" w:cs="MS PGothic" w:eastAsia="MS PGothic" w:hAnsi="MS PGothic"/>
          <w:sz w:val="16"/>
          <w:szCs w:val="16"/>
          <w:color w:val="2A5597"/>
        </w:rPr>
      </w:pPr>
      <w:r>
        <w:rPr>
          <w:rFonts w:ascii="Arial" w:cs="Arial" w:eastAsia="Arial" w:hAnsi="Arial"/>
          <w:sz w:val="16"/>
          <w:szCs w:val="16"/>
          <w:color w:val="auto"/>
        </w:rPr>
        <w:t>— Founder</w:t>
      </w:r>
    </w:p>
    <w:p>
      <w:pPr>
        <w:spacing w:after="0" w:line="107" w:lineRule="exact"/>
        <w:rPr>
          <w:rFonts w:ascii="MS PGothic" w:cs="MS PGothic" w:eastAsia="MS PGothic" w:hAnsi="MS PGothic"/>
          <w:sz w:val="16"/>
          <w:szCs w:val="16"/>
          <w:color w:val="2A5597"/>
        </w:rPr>
      </w:pPr>
    </w:p>
    <w:p>
      <w:pPr>
        <w:ind w:left="260" w:hanging="255"/>
        <w:spacing w:after="0" w:line="263" w:lineRule="auto"/>
        <w:tabs>
          <w:tab w:leader="none" w:pos="229" w:val="left"/>
        </w:tabs>
        <w:numPr>
          <w:ilvl w:val="0"/>
          <w:numId w:val="20"/>
        </w:numPr>
        <w:rPr>
          <w:rFonts w:ascii="MS PGothic" w:cs="MS PGothic" w:eastAsia="MS PGothic" w:hAnsi="MS PGothic"/>
          <w:sz w:val="16"/>
          <w:szCs w:val="16"/>
          <w:color w:val="2A5597"/>
        </w:rPr>
      </w:pPr>
      <w:r>
        <w:rPr>
          <w:rFonts w:ascii="Arial" w:cs="Arial" w:eastAsia="Arial" w:hAnsi="Arial"/>
          <w:sz w:val="16"/>
          <w:szCs w:val="16"/>
          <w:b w:val="1"/>
          <w:bCs w:val="1"/>
          <w:color w:val="auto"/>
        </w:rPr>
        <w:t xml:space="preserve">Integrated Device Technology, Inc. </w:t>
      </w:r>
      <w:r>
        <w:rPr>
          <w:rFonts w:ascii="Arial" w:cs="Arial" w:eastAsia="Arial" w:hAnsi="Arial"/>
          <w:sz w:val="16"/>
          <w:szCs w:val="16"/>
          <w:color w:val="auto"/>
        </w:rPr>
        <w:t>(a semiconductor design and manufacturing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acquired by Renesas Electronics Corporation)</w:t>
      </w:r>
      <w:r>
        <w:rPr>
          <w:rFonts w:ascii="Arial" w:cs="Arial" w:eastAsia="Arial" w:hAnsi="Arial"/>
          <w:sz w:val="16"/>
          <w:szCs w:val="16"/>
          <w:b w:val="1"/>
          <w:bCs w:val="1"/>
          <w:color w:val="auto"/>
        </w:rPr>
        <w:t>, 2014 – 2019</w:t>
      </w:r>
    </w:p>
    <w:p>
      <w:pPr>
        <w:ind w:left="280"/>
        <w:spacing w:after="0"/>
        <w:rPr>
          <w:rFonts w:ascii="MS PGothic" w:cs="MS PGothic" w:eastAsia="MS PGothic" w:hAnsi="MS PGothic"/>
          <w:sz w:val="16"/>
          <w:szCs w:val="16"/>
          <w:color w:val="2A5597"/>
        </w:rPr>
      </w:pPr>
      <w:r>
        <w:rPr>
          <w:rFonts w:ascii="Arial" w:cs="Arial" w:eastAsia="Arial" w:hAnsi="Arial"/>
          <w:sz w:val="16"/>
          <w:szCs w:val="16"/>
          <w:color w:val="auto"/>
        </w:rPr>
        <w:t>— President, Chief Executive Officer and Director</w:t>
      </w:r>
    </w:p>
    <w:p>
      <w:pPr>
        <w:spacing w:after="0" w:line="107" w:lineRule="exact"/>
        <w:rPr>
          <w:rFonts w:ascii="MS PGothic" w:cs="MS PGothic" w:eastAsia="MS PGothic" w:hAnsi="MS PGothic"/>
          <w:sz w:val="16"/>
          <w:szCs w:val="16"/>
          <w:color w:val="2A5597"/>
        </w:rPr>
      </w:pPr>
    </w:p>
    <w:p>
      <w:pPr>
        <w:ind w:left="220" w:hanging="215"/>
        <w:spacing w:after="0"/>
        <w:tabs>
          <w:tab w:leader="none" w:pos="220" w:val="left"/>
        </w:tabs>
        <w:numPr>
          <w:ilvl w:val="0"/>
          <w:numId w:val="20"/>
        </w:numPr>
        <w:rPr>
          <w:rFonts w:ascii="MS PGothic" w:cs="MS PGothic" w:eastAsia="MS PGothic" w:hAnsi="MS PGothic"/>
          <w:sz w:val="16"/>
          <w:szCs w:val="16"/>
          <w:color w:val="2A5597"/>
        </w:rPr>
      </w:pPr>
      <w:r>
        <w:rPr>
          <w:rFonts w:ascii="Arial" w:cs="Arial" w:eastAsia="Arial" w:hAnsi="Arial"/>
          <w:sz w:val="16"/>
          <w:szCs w:val="16"/>
          <w:b w:val="1"/>
          <w:bCs w:val="1"/>
          <w:color w:val="auto"/>
        </w:rPr>
        <w:t>Skyworks Solutions, Inc., 2003 – 2012</w:t>
      </w:r>
    </w:p>
    <w:p>
      <w:pPr>
        <w:spacing w:after="0" w:line="32" w:lineRule="exact"/>
        <w:rPr>
          <w:rFonts w:ascii="MS PGothic" w:cs="MS PGothic" w:eastAsia="MS PGothic" w:hAnsi="MS PGothic"/>
          <w:sz w:val="16"/>
          <w:szCs w:val="16"/>
          <w:color w:val="2A5597"/>
        </w:rPr>
      </w:pPr>
    </w:p>
    <w:p>
      <w:pPr>
        <w:ind w:left="280"/>
        <w:spacing w:after="0"/>
        <w:rPr>
          <w:rFonts w:ascii="MS PGothic" w:cs="MS PGothic" w:eastAsia="MS PGothic" w:hAnsi="MS PGothic"/>
          <w:sz w:val="16"/>
          <w:szCs w:val="16"/>
          <w:color w:val="2A5597"/>
        </w:rPr>
      </w:pPr>
      <w:r>
        <w:rPr>
          <w:rFonts w:ascii="Arial" w:cs="Arial" w:eastAsia="Arial" w:hAnsi="Arial"/>
          <w:sz w:val="16"/>
          <w:szCs w:val="16"/>
          <w:color w:val="auto"/>
        </w:rPr>
        <w:t>— Executive Vice President</w:t>
      </w:r>
    </w:p>
    <w:p>
      <w:pPr>
        <w:spacing w:after="0" w:line="107" w:lineRule="exact"/>
        <w:rPr>
          <w:rFonts w:ascii="MS PGothic" w:cs="MS PGothic" w:eastAsia="MS PGothic" w:hAnsi="MS PGothic"/>
          <w:sz w:val="16"/>
          <w:szCs w:val="16"/>
          <w:color w:val="2A5597"/>
        </w:rPr>
      </w:pPr>
    </w:p>
    <w:p>
      <w:pPr>
        <w:ind w:left="220" w:hanging="215"/>
        <w:spacing w:after="0"/>
        <w:tabs>
          <w:tab w:leader="none" w:pos="220" w:val="left"/>
        </w:tabs>
        <w:numPr>
          <w:ilvl w:val="0"/>
          <w:numId w:val="20"/>
        </w:numPr>
        <w:rPr>
          <w:rFonts w:ascii="MS PGothic" w:cs="MS PGothic" w:eastAsia="MS PGothic" w:hAnsi="MS PGothic"/>
          <w:sz w:val="16"/>
          <w:szCs w:val="16"/>
          <w:color w:val="2A5597"/>
        </w:rPr>
      </w:pPr>
      <w:r>
        <w:rPr>
          <w:rFonts w:ascii="Arial" w:cs="Arial" w:eastAsia="Arial" w:hAnsi="Arial"/>
          <w:sz w:val="16"/>
          <w:szCs w:val="16"/>
          <w:b w:val="1"/>
          <w:bCs w:val="1"/>
          <w:color w:val="auto"/>
        </w:rPr>
        <w:t>Agere Systems, Inc., 1998 – 2003</w:t>
      </w:r>
    </w:p>
    <w:p>
      <w:pPr>
        <w:spacing w:after="0" w:line="32" w:lineRule="exact"/>
        <w:rPr>
          <w:rFonts w:ascii="MS PGothic" w:cs="MS PGothic" w:eastAsia="MS PGothic" w:hAnsi="MS PGothic"/>
          <w:sz w:val="16"/>
          <w:szCs w:val="16"/>
          <w:color w:val="2A5597"/>
        </w:rPr>
      </w:pPr>
    </w:p>
    <w:p>
      <w:pPr>
        <w:ind w:left="280"/>
        <w:spacing w:after="0"/>
        <w:rPr>
          <w:rFonts w:ascii="MS PGothic" w:cs="MS PGothic" w:eastAsia="MS PGothic" w:hAnsi="MS PGothic"/>
          <w:sz w:val="16"/>
          <w:szCs w:val="16"/>
          <w:color w:val="2A5597"/>
        </w:rPr>
      </w:pPr>
      <w:r>
        <w:rPr>
          <w:rFonts w:ascii="Arial" w:cs="Arial" w:eastAsia="Arial" w:hAnsi="Arial"/>
          <w:sz w:val="16"/>
          <w:szCs w:val="16"/>
          <w:color w:val="auto"/>
        </w:rPr>
        <w:t>— Senior Vice President</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b w:val="1"/>
          <w:bCs w:val="1"/>
          <w:color w:val="2B4772"/>
        </w:rPr>
        <w:t>Relevant Skills and 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87630</wp:posOffset>
            </wp:positionV>
            <wp:extent cx="2581910" cy="26352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581910" cy="263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20" w:hanging="215"/>
        <w:spacing w:after="0"/>
        <w:tabs>
          <w:tab w:leader="none" w:pos="220" w:val="left"/>
        </w:tabs>
        <w:numPr>
          <w:ilvl w:val="0"/>
          <w:numId w:val="21"/>
        </w:numPr>
        <w:rPr>
          <w:rFonts w:ascii="MS PGothic" w:cs="MS PGothic" w:eastAsia="MS PGothic" w:hAnsi="MS PGothic"/>
          <w:sz w:val="16"/>
          <w:szCs w:val="16"/>
          <w:color w:val="2A5597"/>
        </w:rPr>
      </w:pPr>
      <w:r>
        <w:rPr>
          <w:rFonts w:ascii="Arial" w:cs="Arial" w:eastAsia="Arial" w:hAnsi="Arial"/>
          <w:sz w:val="16"/>
          <w:szCs w:val="16"/>
          <w:color w:val="auto"/>
        </w:rPr>
        <w:t>Extensive experience with device technology companies</w:t>
      </w:r>
    </w:p>
    <w:p>
      <w:pPr>
        <w:spacing w:after="0" w:line="32" w:lineRule="exact"/>
        <w:rPr>
          <w:rFonts w:ascii="MS PGothic" w:cs="MS PGothic" w:eastAsia="MS PGothic" w:hAnsi="MS PGothic"/>
          <w:sz w:val="16"/>
          <w:szCs w:val="16"/>
          <w:color w:val="2A5597"/>
        </w:rPr>
      </w:pPr>
    </w:p>
    <w:p>
      <w:pPr>
        <w:ind w:left="220" w:hanging="215"/>
        <w:spacing w:after="0"/>
        <w:tabs>
          <w:tab w:leader="none" w:pos="220" w:val="left"/>
        </w:tabs>
        <w:numPr>
          <w:ilvl w:val="0"/>
          <w:numId w:val="21"/>
        </w:numPr>
        <w:rPr>
          <w:rFonts w:ascii="MS PGothic" w:cs="MS PGothic" w:eastAsia="MS PGothic" w:hAnsi="MS PGothic"/>
          <w:sz w:val="16"/>
          <w:szCs w:val="16"/>
          <w:color w:val="2A5597"/>
        </w:rPr>
      </w:pPr>
      <w:r>
        <w:rPr>
          <w:rFonts w:ascii="Arial" w:cs="Arial" w:eastAsia="Arial" w:hAnsi="Arial"/>
          <w:sz w:val="16"/>
          <w:szCs w:val="16"/>
          <w:color w:val="auto"/>
        </w:rPr>
        <w:t>Experience as chief executive officer of a publicly held technology company</w:t>
      </w:r>
    </w:p>
    <w:p>
      <w:pPr>
        <w:spacing w:after="0" w:line="16" w:lineRule="exact"/>
        <w:rPr>
          <w:rFonts w:ascii="MS PGothic" w:cs="MS PGothic" w:eastAsia="MS PGothic" w:hAnsi="MS PGothic"/>
          <w:sz w:val="16"/>
          <w:szCs w:val="16"/>
          <w:color w:val="2A5597"/>
        </w:rPr>
      </w:pPr>
    </w:p>
    <w:p>
      <w:pPr>
        <w:ind w:left="260" w:hanging="255"/>
        <w:spacing w:after="0" w:line="276" w:lineRule="auto"/>
        <w:tabs>
          <w:tab w:leader="none" w:pos="229" w:val="left"/>
        </w:tabs>
        <w:numPr>
          <w:ilvl w:val="0"/>
          <w:numId w:val="21"/>
        </w:numPr>
        <w:rPr>
          <w:rFonts w:ascii="MS PGothic" w:cs="MS PGothic" w:eastAsia="MS PGothic" w:hAnsi="MS PGothic"/>
          <w:sz w:val="16"/>
          <w:szCs w:val="16"/>
          <w:color w:val="2A5597"/>
        </w:rPr>
      </w:pPr>
      <w:r>
        <w:rPr>
          <w:rFonts w:ascii="Arial" w:cs="Arial" w:eastAsia="Arial" w:hAnsi="Arial"/>
          <w:sz w:val="16"/>
          <w:szCs w:val="16"/>
          <w:color w:val="auto"/>
        </w:rPr>
        <w:t>Significant management experience and relevant knowledge of financial statement preparation and regulatory compliance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-2225675</wp:posOffset>
            </wp:positionH>
            <wp:positionV relativeFrom="paragraph">
              <wp:posOffset>171450</wp:posOffset>
            </wp:positionV>
            <wp:extent cx="6861810" cy="762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61810" cy="76200"/>
                    </a:xfrm>
                    <a:prstGeom prst="rect">
                      <a:avLst/>
                    </a:prstGeom>
                    <a:noFill/>
                  </pic:spPr>
                </pic:pic>
              </a:graphicData>
            </a:graphic>
          </wp:anchor>
        </w:drawing>
      </w:r>
    </w:p>
    <w:p>
      <w:pPr>
        <w:spacing w:after="0" w:line="282" w:lineRule="exact"/>
        <w:rPr>
          <w:sz w:val="20"/>
          <w:szCs w:val="20"/>
          <w:color w:val="auto"/>
        </w:rPr>
      </w:pPr>
    </w:p>
    <w:p>
      <w:pPr>
        <w:sectPr>
          <w:pgSz w:w="11900" w:h="16838" w:orient="portrait"/>
          <w:cols w:equalWidth="0" w:num="2">
            <w:col w:w="3460" w:space="280"/>
            <w:col w:w="7280"/>
          </w:cols>
          <w:pgMar w:left="320" w:top="454" w:right="559" w:bottom="1440" w:gutter="0" w:footer="0" w:header="0"/>
          <w:type w:val="continuous"/>
        </w:sectPr>
      </w:pPr>
    </w:p>
    <w:p>
      <w:pPr>
        <w:spacing w:after="0" w:line="247" w:lineRule="exact"/>
        <w:rPr>
          <w:sz w:val="20"/>
          <w:szCs w:val="20"/>
          <w:color w:val="auto"/>
        </w:rPr>
      </w:pPr>
    </w:p>
    <w:p>
      <w:pPr>
        <w:ind w:left="440" w:hanging="273"/>
        <w:spacing w:after="0"/>
        <w:tabs>
          <w:tab w:leader="none" w:pos="440" w:val="left"/>
        </w:tabs>
        <w:numPr>
          <w:ilvl w:val="0"/>
          <w:numId w:val="22"/>
        </w:numPr>
        <w:rPr>
          <w:rFonts w:ascii="Arial" w:cs="Arial" w:eastAsia="Arial" w:hAnsi="Arial"/>
          <w:sz w:val="14"/>
          <w:szCs w:val="14"/>
          <w:color w:val="F75E14"/>
        </w:rPr>
      </w:pPr>
      <w:r>
        <w:rPr>
          <w:rFonts w:ascii="Arial" w:cs="Arial" w:eastAsia="Arial" w:hAnsi="Arial"/>
          <w:sz w:val="14"/>
          <w:szCs w:val="14"/>
          <w:color w:val="F75E14"/>
        </w:rPr>
        <w:t>onsemi 2022 Proxy Statement</w:t>
      </w:r>
    </w:p>
    <w:p>
      <w:pPr>
        <w:sectPr>
          <w:pgSz w:w="11900" w:h="16838" w:orient="portrait"/>
          <w:cols w:equalWidth="0" w:num="1">
            <w:col w:w="11020"/>
          </w:cols>
          <w:pgMar w:left="320" w:top="454" w:right="559" w:bottom="1440" w:gutter="0" w:footer="0" w:header="0"/>
          <w:type w:val="continuous"/>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2" w:lineRule="exact"/>
        <w:rPr>
          <w:sz w:val="20"/>
          <w:szCs w:val="20"/>
          <w:color w:val="auto"/>
        </w:rPr>
      </w:pPr>
    </w:p>
    <w:p>
      <w:pPr>
        <w:jc w:val="right"/>
        <w:spacing w:after="0"/>
        <w:rPr>
          <w:sz w:val="20"/>
          <w:szCs w:val="20"/>
          <w:color w:val="auto"/>
        </w:rPr>
      </w:pPr>
      <w:r>
        <w:rPr>
          <w:rFonts w:ascii="Arial" w:cs="Arial" w:eastAsia="Arial" w:hAnsi="Arial"/>
          <w:sz w:val="18"/>
          <w:szCs w:val="18"/>
          <w:color w:val="F75E14"/>
        </w:rPr>
        <w:t>Management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101600</wp:posOffset>
            </wp:positionV>
            <wp:extent cx="6861810" cy="762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61810" cy="76200"/>
                    </a:xfrm>
                    <a:prstGeom prst="rect">
                      <a:avLst/>
                    </a:prstGeom>
                    <a:noFill/>
                  </pic:spPr>
                </pic:pic>
              </a:graphicData>
            </a:graphic>
          </wp:anchor>
        </w:drawing>
      </w:r>
    </w:p>
    <w:p>
      <w:pPr>
        <w:spacing w:after="0" w:line="366" w:lineRule="exact"/>
        <w:rPr>
          <w:sz w:val="20"/>
          <w:szCs w:val="20"/>
          <w:color w:val="auto"/>
        </w:rPr>
      </w:pPr>
    </w:p>
    <w:p>
      <w:pPr>
        <w:ind w:left="540"/>
        <w:spacing w:after="0"/>
        <w:tabs>
          <w:tab w:leader="none" w:pos="3740" w:val="left"/>
        </w:tabs>
        <w:rPr>
          <w:sz w:val="20"/>
          <w:szCs w:val="20"/>
          <w:color w:val="auto"/>
        </w:rPr>
      </w:pPr>
      <w:r>
        <w:rPr>
          <w:rFonts w:ascii="Arial" w:cs="Arial" w:eastAsia="Arial" w:hAnsi="Arial"/>
          <w:sz w:val="16"/>
          <w:szCs w:val="16"/>
          <w:b w:val="1"/>
          <w:bCs w:val="1"/>
          <w:color w:val="2B4772"/>
        </w:rPr>
        <w:t>CHRISTINE Y. YAN</w:t>
      </w:r>
      <w:r>
        <w:rPr>
          <w:sz w:val="20"/>
          <w:szCs w:val="20"/>
          <w:color w:val="auto"/>
        </w:rPr>
        <w:tab/>
      </w:r>
      <w:r>
        <w:rPr>
          <w:rFonts w:ascii="Arial" w:cs="Arial" w:eastAsia="Arial" w:hAnsi="Arial"/>
          <w:sz w:val="16"/>
          <w:szCs w:val="16"/>
          <w:b w:val="1"/>
          <w:bCs w:val="1"/>
          <w:color w:val="2B4772"/>
        </w:rPr>
        <w:t>Career Highlights</w:t>
      </w:r>
    </w:p>
    <w:p>
      <w:pPr>
        <w:spacing w:after="0" w:line="16" w:lineRule="exact"/>
        <w:rPr>
          <w:sz w:val="20"/>
          <w:szCs w:val="20"/>
          <w:color w:val="auto"/>
        </w:rPr>
      </w:pPr>
    </w:p>
    <w:p>
      <w:pPr>
        <w:ind w:left="4000" w:right="60" w:hanging="242"/>
        <w:spacing w:after="0" w:line="255" w:lineRule="auto"/>
        <w:tabs>
          <w:tab w:leader="none" w:pos="3969" w:val="left"/>
        </w:tabs>
        <w:numPr>
          <w:ilvl w:val="0"/>
          <w:numId w:val="23"/>
        </w:numPr>
        <w:rPr>
          <w:rFonts w:ascii="MS PGothic" w:cs="MS PGothic" w:eastAsia="MS PGothic" w:hAnsi="MS PGothic"/>
          <w:sz w:val="16"/>
          <w:szCs w:val="16"/>
          <w:color w:val="2A5597"/>
        </w:rPr>
      </w:pPr>
      <w:r>
        <w:rPr>
          <w:rFonts w:ascii="Arial" w:cs="Arial" w:eastAsia="Arial" w:hAnsi="Arial"/>
          <w:sz w:val="16"/>
          <w:szCs w:val="16"/>
          <w:b w:val="1"/>
          <w:bCs w:val="1"/>
          <w:color w:val="auto"/>
        </w:rPr>
        <w:t xml:space="preserve">Stanley Black &amp; Decker, Inc. </w:t>
      </w:r>
      <w:r>
        <w:rPr>
          <w:rFonts w:ascii="Arial" w:cs="Arial" w:eastAsia="Arial" w:hAnsi="Arial"/>
          <w:sz w:val="16"/>
          <w:szCs w:val="16"/>
          <w:color w:val="auto"/>
        </w:rPr>
        <w:t>(an industrial and household hardware manufacturing company and</w:t>
      </w:r>
      <w:r>
        <w:rPr>
          <w:rFonts w:ascii="Arial" w:cs="Arial" w:eastAsia="Arial" w:hAnsi="Arial"/>
          <w:sz w:val="16"/>
          <w:szCs w:val="16"/>
          <w:b w:val="1"/>
          <w:bCs w:val="1"/>
          <w:color w:val="auto"/>
        </w:rPr>
        <w:t xml:space="preserve"> </w:t>
      </w:r>
      <w:r>
        <w:rPr>
          <w:rFonts w:ascii="Arial" w:cs="Arial" w:eastAsia="Arial" w:hAnsi="Arial"/>
          <w:sz w:val="16"/>
          <w:szCs w:val="16"/>
          <w:color w:val="auto"/>
        </w:rPr>
        <w:t>security products provider)</w:t>
      </w:r>
      <w:r>
        <w:rPr>
          <w:rFonts w:ascii="Arial" w:cs="Arial" w:eastAsia="Arial" w:hAnsi="Arial"/>
          <w:sz w:val="16"/>
          <w:szCs w:val="16"/>
          <w:b w:val="1"/>
          <w:bCs w:val="1"/>
          <w:color w:val="auto"/>
        </w:rPr>
        <w:t>, 1989 – November 2018</w:t>
      </w:r>
    </w:p>
    <w:p>
      <w:pPr>
        <w:ind w:left="4020"/>
        <w:spacing w:after="0"/>
        <w:rPr>
          <w:rFonts w:ascii="MS PGothic" w:cs="MS PGothic" w:eastAsia="MS PGothic" w:hAnsi="MS PGothic"/>
          <w:sz w:val="16"/>
          <w:szCs w:val="16"/>
          <w:color w:val="2A5597"/>
        </w:rPr>
      </w:pPr>
      <w:r>
        <w:rPr>
          <w:rFonts w:ascii="Arial" w:cs="Arial" w:eastAsia="Arial" w:hAnsi="Arial"/>
          <w:sz w:val="16"/>
          <w:szCs w:val="16"/>
          <w:color w:val="auto"/>
        </w:rPr>
        <w:t>— Vice President, Integration, January 2018 – November 2018</w:t>
      </w:r>
    </w:p>
    <w:p>
      <w:pPr>
        <w:spacing w:after="0" w:line="3" w:lineRule="exact"/>
        <w:rPr>
          <w:rFonts w:ascii="MS PGothic" w:cs="MS PGothic" w:eastAsia="MS PGothic" w:hAnsi="MS PGothic"/>
          <w:sz w:val="16"/>
          <w:szCs w:val="16"/>
          <w:color w:val="2A5597"/>
        </w:rPr>
      </w:pPr>
    </w:p>
    <w:p>
      <w:pPr>
        <w:ind w:left="4020"/>
        <w:spacing w:after="0"/>
        <w:rPr>
          <w:rFonts w:ascii="MS PGothic" w:cs="MS PGothic" w:eastAsia="MS PGothic" w:hAnsi="MS PGothic"/>
          <w:sz w:val="16"/>
          <w:szCs w:val="16"/>
          <w:color w:val="2A5597"/>
        </w:rPr>
      </w:pPr>
      <w:r>
        <w:rPr>
          <w:rFonts w:ascii="Arial" w:cs="Arial" w:eastAsia="Arial" w:hAnsi="Arial"/>
          <w:sz w:val="16"/>
          <w:szCs w:val="16"/>
          <w:color w:val="auto"/>
        </w:rPr>
        <w:t>— President, Asia, 2014 – January 2018</w:t>
      </w:r>
    </w:p>
    <w:p>
      <w:pPr>
        <w:spacing w:after="0" w:line="3" w:lineRule="exact"/>
        <w:rPr>
          <w:rFonts w:ascii="MS PGothic" w:cs="MS PGothic" w:eastAsia="MS PGothic" w:hAnsi="MS PGothic"/>
          <w:sz w:val="16"/>
          <w:szCs w:val="16"/>
          <w:color w:val="2A5597"/>
        </w:rPr>
      </w:pPr>
    </w:p>
    <w:p>
      <w:pPr>
        <w:ind w:left="4020"/>
        <w:spacing w:after="0"/>
        <w:rPr>
          <w:rFonts w:ascii="MS PGothic" w:cs="MS PGothic" w:eastAsia="MS PGothic" w:hAnsi="MS PGothic"/>
          <w:sz w:val="16"/>
          <w:szCs w:val="16"/>
          <w:color w:val="2A5597"/>
        </w:rPr>
      </w:pPr>
      <w:r>
        <w:rPr>
          <w:rFonts w:ascii="Arial" w:cs="Arial" w:eastAsia="Arial" w:hAnsi="Arial"/>
          <w:sz w:val="16"/>
          <w:szCs w:val="16"/>
          <w:color w:val="auto"/>
        </w:rPr>
        <w:t>— President, Stanley Storage and Workspace Systems, 2013 – 2014</w:t>
      </w:r>
    </w:p>
    <w:p>
      <w:pPr>
        <w:spacing w:after="0" w:line="3" w:lineRule="exact"/>
        <w:rPr>
          <w:rFonts w:ascii="MS PGothic" w:cs="MS PGothic" w:eastAsia="MS PGothic" w:hAnsi="MS PGothic"/>
          <w:sz w:val="16"/>
          <w:szCs w:val="16"/>
          <w:color w:val="2A5597"/>
        </w:rPr>
      </w:pPr>
    </w:p>
    <w:p>
      <w:pPr>
        <w:ind w:left="4020"/>
        <w:spacing w:after="0"/>
        <w:rPr>
          <w:rFonts w:ascii="MS PGothic" w:cs="MS PGothic" w:eastAsia="MS PGothic" w:hAnsi="MS PGothic"/>
          <w:sz w:val="16"/>
          <w:szCs w:val="16"/>
          <w:color w:val="2A5597"/>
        </w:rPr>
      </w:pPr>
      <w:r>
        <w:rPr>
          <w:rFonts w:ascii="Arial" w:cs="Arial" w:eastAsia="Arial" w:hAnsi="Arial"/>
          <w:sz w:val="16"/>
          <w:szCs w:val="16"/>
          <w:color w:val="auto"/>
        </w:rPr>
        <w:t>— President, Americas, Stanley Engineered Fastening, 2008 – 2013</w:t>
      </w:r>
    </w:p>
    <w:p>
      <w:pPr>
        <w:spacing w:after="0" w:line="3" w:lineRule="exact"/>
        <w:rPr>
          <w:rFonts w:ascii="MS PGothic" w:cs="MS PGothic" w:eastAsia="MS PGothic" w:hAnsi="MS PGothic"/>
          <w:sz w:val="16"/>
          <w:szCs w:val="16"/>
          <w:color w:val="2A5597"/>
        </w:rPr>
      </w:pPr>
    </w:p>
    <w:p>
      <w:pPr>
        <w:ind w:left="4020"/>
        <w:spacing w:after="0"/>
        <w:rPr>
          <w:rFonts w:ascii="MS PGothic" w:cs="MS PGothic" w:eastAsia="MS PGothic" w:hAnsi="MS PGothic"/>
          <w:sz w:val="16"/>
          <w:szCs w:val="16"/>
          <w:color w:val="2A5597"/>
        </w:rPr>
      </w:pPr>
      <w:r>
        <w:rPr>
          <w:rFonts w:ascii="Arial" w:cs="Arial" w:eastAsia="Arial" w:hAnsi="Arial"/>
          <w:sz w:val="16"/>
          <w:szCs w:val="16"/>
          <w:color w:val="auto"/>
        </w:rPr>
        <w:t>— President, Global Automotive, Stanley Engineered Fastening, 2006 – 2008</w:t>
      </w:r>
    </w:p>
    <w:p>
      <w:pPr>
        <w:spacing w:after="0" w:line="3" w:lineRule="exact"/>
        <w:rPr>
          <w:rFonts w:ascii="MS PGothic" w:cs="MS PGothic" w:eastAsia="MS PGothic" w:hAnsi="MS PGothic"/>
          <w:sz w:val="16"/>
          <w:szCs w:val="16"/>
          <w:color w:val="2A5597"/>
        </w:rPr>
      </w:pPr>
    </w:p>
    <w:p>
      <w:pPr>
        <w:ind w:left="4020"/>
        <w:spacing w:after="0"/>
        <w:rPr>
          <w:rFonts w:ascii="MS PGothic" w:cs="MS PGothic" w:eastAsia="MS PGothic" w:hAnsi="MS PGothic"/>
          <w:sz w:val="16"/>
          <w:szCs w:val="16"/>
          <w:color w:val="2A5597"/>
        </w:rPr>
      </w:pPr>
      <w:r>
        <w:rPr>
          <w:rFonts w:ascii="Arial" w:cs="Arial" w:eastAsia="Arial" w:hAnsi="Arial"/>
          <w:sz w:val="16"/>
          <w:szCs w:val="16"/>
          <w:color w:val="auto"/>
        </w:rPr>
        <w:t>— Various roles in sales and marketing, engineering and research and development, 1989 –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429260</wp:posOffset>
            </wp:positionH>
            <wp:positionV relativeFrom="paragraph">
              <wp:posOffset>-882015</wp:posOffset>
            </wp:positionV>
            <wp:extent cx="959485" cy="13163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959485" cy="1316355"/>
                    </a:xfrm>
                    <a:prstGeom prst="rect">
                      <a:avLst/>
                    </a:prstGeom>
                    <a:noFill/>
                  </pic:spPr>
                </pic:pic>
              </a:graphicData>
            </a:graphic>
          </wp:anchor>
        </w:drawing>
      </w:r>
    </w:p>
    <w:p>
      <w:pPr>
        <w:spacing w:after="0" w:line="88" w:lineRule="exact"/>
        <w:rPr>
          <w:sz w:val="20"/>
          <w:szCs w:val="20"/>
          <w:color w:val="auto"/>
        </w:rPr>
      </w:pPr>
    </w:p>
    <w:p>
      <w:pPr>
        <w:ind w:left="3760"/>
        <w:spacing w:after="0"/>
        <w:rPr>
          <w:sz w:val="20"/>
          <w:szCs w:val="20"/>
          <w:color w:val="auto"/>
        </w:rPr>
      </w:pPr>
      <w:r>
        <w:rPr>
          <w:rFonts w:ascii="Arial" w:cs="Arial" w:eastAsia="Arial" w:hAnsi="Arial"/>
          <w:sz w:val="16"/>
          <w:szCs w:val="16"/>
          <w:b w:val="1"/>
          <w:bCs w:val="1"/>
          <w:color w:val="2B4772"/>
        </w:rPr>
        <w:t>Relevant Skills and 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2390775</wp:posOffset>
            </wp:positionH>
            <wp:positionV relativeFrom="paragraph">
              <wp:posOffset>87630</wp:posOffset>
            </wp:positionV>
            <wp:extent cx="1392555" cy="24638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392555" cy="246380"/>
                    </a:xfrm>
                    <a:prstGeom prst="rect">
                      <a:avLst/>
                    </a:prstGeom>
                    <a:noFill/>
                  </pic:spPr>
                </pic:pic>
              </a:graphicData>
            </a:graphic>
          </wp:anchor>
        </w:drawing>
      </w:r>
    </w:p>
    <w:p>
      <w:pPr>
        <w:sectPr>
          <w:pgSz w:w="11900" w:h="16838" w:orient="portrait"/>
          <w:cols w:equalWidth="0" w:num="1">
            <w:col w:w="11080"/>
          </w:cols>
          <w:pgMar w:left="320" w:top="454" w:right="499" w:bottom="1440" w:gutter="0" w:footer="0" w:header="0"/>
        </w:sectPr>
      </w:pPr>
    </w:p>
    <w:p>
      <w:pPr>
        <w:spacing w:after="0" w:line="200" w:lineRule="exact"/>
        <w:rPr>
          <w:sz w:val="20"/>
          <w:szCs w:val="20"/>
          <w:color w:val="auto"/>
        </w:rPr>
      </w:pPr>
    </w:p>
    <w:p>
      <w:pPr>
        <w:spacing w:after="0" w:line="338" w:lineRule="exact"/>
        <w:rPr>
          <w:sz w:val="20"/>
          <w:szCs w:val="20"/>
          <w:color w:val="auto"/>
        </w:rPr>
      </w:pPr>
    </w:p>
    <w:p>
      <w:pPr>
        <w:ind w:left="540"/>
        <w:spacing w:after="0"/>
        <w:rPr>
          <w:sz w:val="20"/>
          <w:szCs w:val="20"/>
          <w:color w:val="auto"/>
        </w:rPr>
      </w:pPr>
      <w:r>
        <w:rPr>
          <w:rFonts w:ascii="Arial" w:cs="Arial" w:eastAsia="Arial" w:hAnsi="Arial"/>
          <w:sz w:val="16"/>
          <w:szCs w:val="16"/>
          <w:b w:val="1"/>
          <w:bCs w:val="1"/>
          <w:color w:val="2B4772"/>
        </w:rPr>
        <w:t>Age 56</w:t>
      </w:r>
    </w:p>
    <w:p>
      <w:pPr>
        <w:spacing w:after="0" w:line="19" w:lineRule="exact"/>
        <w:rPr>
          <w:sz w:val="20"/>
          <w:szCs w:val="20"/>
          <w:color w:val="auto"/>
        </w:rPr>
      </w:pPr>
    </w:p>
    <w:p>
      <w:pPr>
        <w:ind w:left="540"/>
        <w:spacing w:after="0"/>
        <w:rPr>
          <w:sz w:val="20"/>
          <w:szCs w:val="20"/>
          <w:color w:val="auto"/>
        </w:rPr>
      </w:pPr>
      <w:r>
        <w:rPr>
          <w:rFonts w:ascii="Arial" w:cs="Arial" w:eastAsia="Arial" w:hAnsi="Arial"/>
          <w:sz w:val="16"/>
          <w:szCs w:val="16"/>
          <w:b w:val="1"/>
          <w:bCs w:val="1"/>
          <w:color w:val="2B4772"/>
        </w:rPr>
        <w:t>Director since 2018</w:t>
      </w:r>
    </w:p>
    <w:p>
      <w:pPr>
        <w:spacing w:after="0" w:line="3" w:lineRule="exact"/>
        <w:rPr>
          <w:sz w:val="20"/>
          <w:szCs w:val="20"/>
          <w:color w:val="auto"/>
        </w:rPr>
      </w:pPr>
    </w:p>
    <w:p>
      <w:pPr>
        <w:ind w:left="540"/>
        <w:spacing w:after="0"/>
        <w:rPr>
          <w:sz w:val="20"/>
          <w:szCs w:val="20"/>
          <w:color w:val="auto"/>
        </w:rPr>
      </w:pPr>
      <w:r>
        <w:rPr>
          <w:rFonts w:ascii="Arial" w:cs="Arial" w:eastAsia="Arial" w:hAnsi="Arial"/>
          <w:sz w:val="15"/>
          <w:szCs w:val="15"/>
          <w:b w:val="1"/>
          <w:bCs w:val="1"/>
          <w:color w:val="2B4772"/>
        </w:rPr>
        <w:t>Other Current and Former Boards:</w:t>
      </w:r>
    </w:p>
    <w:p>
      <w:pPr>
        <w:spacing w:after="0" w:line="15" w:lineRule="exact"/>
        <w:rPr>
          <w:sz w:val="20"/>
          <w:szCs w:val="20"/>
          <w:color w:val="auto"/>
        </w:rPr>
      </w:pPr>
    </w:p>
    <w:p>
      <w:pPr>
        <w:ind w:left="840" w:right="1000" w:hanging="9"/>
        <w:spacing w:after="0" w:line="258" w:lineRule="auto"/>
        <w:rPr>
          <w:sz w:val="20"/>
          <w:szCs w:val="20"/>
          <w:color w:val="auto"/>
        </w:rPr>
      </w:pPr>
      <w:r>
        <w:rPr>
          <w:rFonts w:ascii="Arial" w:cs="Arial" w:eastAsia="Arial" w:hAnsi="Arial"/>
          <w:sz w:val="16"/>
          <w:szCs w:val="16"/>
          <w:color w:val="auto"/>
        </w:rPr>
        <w:t>Ansell Limited Cabot Corporation</w:t>
      </w:r>
    </w:p>
    <w:p>
      <w:pPr>
        <w:ind w:left="540"/>
        <w:spacing w:after="0"/>
        <w:rPr>
          <w:sz w:val="20"/>
          <w:szCs w:val="20"/>
          <w:color w:val="auto"/>
        </w:rPr>
      </w:pPr>
      <w:r>
        <w:rPr>
          <w:rFonts w:ascii="Arial" w:cs="Arial" w:eastAsia="Arial" w:hAnsi="Arial"/>
          <w:sz w:val="16"/>
          <w:szCs w:val="16"/>
          <w:color w:val="auto"/>
        </w:rPr>
        <w:t>Modine Manufacturing Company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42" w:right="60" w:hanging="242"/>
        <w:spacing w:after="0" w:line="263" w:lineRule="auto"/>
        <w:tabs>
          <w:tab w:leader="none" w:pos="211" w:val="left"/>
        </w:tabs>
        <w:numPr>
          <w:ilvl w:val="0"/>
          <w:numId w:val="25"/>
        </w:numPr>
        <w:rPr>
          <w:rFonts w:ascii="MS PGothic" w:cs="MS PGothic" w:eastAsia="MS PGothic" w:hAnsi="MS PGothic"/>
          <w:sz w:val="16"/>
          <w:szCs w:val="16"/>
          <w:color w:val="2A5597"/>
        </w:rPr>
      </w:pPr>
      <w:r>
        <w:rPr>
          <w:rFonts w:ascii="Arial" w:cs="Arial" w:eastAsia="Arial" w:hAnsi="Arial"/>
          <w:sz w:val="16"/>
          <w:szCs w:val="16"/>
          <w:color w:val="auto"/>
        </w:rPr>
        <w:t>Extensive global general management experience in the automotive, industrial and consumer markets</w:t>
      </w:r>
    </w:p>
    <w:p>
      <w:pPr>
        <w:ind w:left="222" w:hanging="222"/>
        <w:spacing w:after="0"/>
        <w:tabs>
          <w:tab w:leader="none" w:pos="222" w:val="left"/>
        </w:tabs>
        <w:numPr>
          <w:ilvl w:val="0"/>
          <w:numId w:val="25"/>
        </w:numPr>
        <w:rPr>
          <w:rFonts w:ascii="MS PGothic" w:cs="MS PGothic" w:eastAsia="MS PGothic" w:hAnsi="MS PGothic"/>
          <w:sz w:val="16"/>
          <w:szCs w:val="16"/>
          <w:color w:val="2A5597"/>
        </w:rPr>
      </w:pPr>
      <w:r>
        <w:rPr>
          <w:rFonts w:ascii="Arial" w:cs="Arial" w:eastAsia="Arial" w:hAnsi="Arial"/>
          <w:sz w:val="16"/>
          <w:szCs w:val="16"/>
          <w:color w:val="auto"/>
        </w:rPr>
        <w:t>Deep emerging market experience</w:t>
      </w:r>
    </w:p>
    <w:p>
      <w:pPr>
        <w:spacing w:after="0" w:line="16" w:lineRule="exact"/>
        <w:rPr>
          <w:rFonts w:ascii="MS PGothic" w:cs="MS PGothic" w:eastAsia="MS PGothic" w:hAnsi="MS PGothic"/>
          <w:sz w:val="16"/>
          <w:szCs w:val="16"/>
          <w:color w:val="2A5597"/>
        </w:rPr>
      </w:pPr>
    </w:p>
    <w:p>
      <w:pPr>
        <w:ind w:left="222" w:hanging="222"/>
        <w:spacing w:after="0"/>
        <w:tabs>
          <w:tab w:leader="none" w:pos="222" w:val="left"/>
        </w:tabs>
        <w:numPr>
          <w:ilvl w:val="0"/>
          <w:numId w:val="25"/>
        </w:numPr>
        <w:rPr>
          <w:rFonts w:ascii="MS PGothic" w:cs="MS PGothic" w:eastAsia="MS PGothic" w:hAnsi="MS PGothic"/>
          <w:sz w:val="16"/>
          <w:szCs w:val="16"/>
          <w:color w:val="2A5597"/>
        </w:rPr>
      </w:pPr>
      <w:r>
        <w:rPr>
          <w:rFonts w:ascii="Arial" w:cs="Arial" w:eastAsia="Arial" w:hAnsi="Arial"/>
          <w:sz w:val="16"/>
          <w:szCs w:val="16"/>
          <w:color w:val="auto"/>
        </w:rPr>
        <w:t>Significant mergers and acquisitions experience</w:t>
      </w:r>
    </w:p>
    <w:p>
      <w:pPr>
        <w:spacing w:after="0" w:line="16" w:lineRule="exact"/>
        <w:rPr>
          <w:rFonts w:ascii="MS PGothic" w:cs="MS PGothic" w:eastAsia="MS PGothic" w:hAnsi="MS PGothic"/>
          <w:sz w:val="16"/>
          <w:szCs w:val="16"/>
          <w:color w:val="2A5597"/>
        </w:rPr>
      </w:pPr>
    </w:p>
    <w:p>
      <w:pPr>
        <w:ind w:left="242" w:right="60" w:hanging="242"/>
        <w:spacing w:after="0" w:line="252" w:lineRule="auto"/>
        <w:tabs>
          <w:tab w:leader="none" w:pos="211" w:val="left"/>
        </w:tabs>
        <w:numPr>
          <w:ilvl w:val="0"/>
          <w:numId w:val="25"/>
        </w:numPr>
        <w:rPr>
          <w:rFonts w:ascii="MS PGothic" w:cs="MS PGothic" w:eastAsia="MS PGothic" w:hAnsi="MS PGothic"/>
          <w:sz w:val="16"/>
          <w:szCs w:val="16"/>
          <w:color w:val="2A5597"/>
        </w:rPr>
      </w:pPr>
      <w:r>
        <w:rPr>
          <w:rFonts w:ascii="Arial" w:cs="Arial" w:eastAsia="Arial" w:hAnsi="Arial"/>
          <w:sz w:val="16"/>
          <w:szCs w:val="16"/>
          <w:color w:val="auto"/>
        </w:rPr>
        <w:t>Extensive, commercial, technology and operations management experience, including as member of senior management team of a public company</w:t>
      </w:r>
    </w:p>
    <w:p>
      <w:pPr>
        <w:spacing w:after="0" w:line="1" w:lineRule="exact"/>
        <w:rPr>
          <w:rFonts w:ascii="MS PGothic" w:cs="MS PGothic" w:eastAsia="MS PGothic" w:hAnsi="MS PGothic"/>
          <w:sz w:val="16"/>
          <w:szCs w:val="16"/>
          <w:color w:val="2A5597"/>
        </w:rPr>
      </w:pPr>
    </w:p>
    <w:p>
      <w:pPr>
        <w:ind w:left="222" w:hanging="222"/>
        <w:spacing w:after="0"/>
        <w:tabs>
          <w:tab w:leader="none" w:pos="222" w:val="left"/>
        </w:tabs>
        <w:numPr>
          <w:ilvl w:val="0"/>
          <w:numId w:val="25"/>
        </w:numPr>
        <w:rPr>
          <w:rFonts w:ascii="MS PGothic" w:cs="MS PGothic" w:eastAsia="MS PGothic" w:hAnsi="MS PGothic"/>
          <w:sz w:val="16"/>
          <w:szCs w:val="16"/>
          <w:color w:val="2A5597"/>
        </w:rPr>
      </w:pPr>
      <w:r>
        <w:rPr>
          <w:rFonts w:ascii="Arial" w:cs="Arial" w:eastAsia="Arial" w:hAnsi="Arial"/>
          <w:sz w:val="16"/>
          <w:szCs w:val="16"/>
          <w:color w:val="auto"/>
        </w:rPr>
        <w:t>Corporate governance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-2237105</wp:posOffset>
            </wp:positionH>
            <wp:positionV relativeFrom="paragraph">
              <wp:posOffset>170815</wp:posOffset>
            </wp:positionV>
            <wp:extent cx="6861810" cy="762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61810" cy="7620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160" w:space="598"/>
            <w:col w:w="7322"/>
          </w:cols>
          <w:pgMar w:left="320" w:top="454" w:right="499" w:bottom="1440" w:gutter="0" w:footer="0" w:header="0"/>
          <w:type w:val="continuous"/>
        </w:sectPr>
      </w:pPr>
    </w:p>
    <w:p>
      <w:pPr>
        <w:spacing w:after="0" w:line="200" w:lineRule="exact"/>
        <w:rPr>
          <w:sz w:val="20"/>
          <w:szCs w:val="20"/>
          <w:color w:val="auto"/>
        </w:rPr>
      </w:pPr>
    </w:p>
    <w:p>
      <w:pPr>
        <w:spacing w:after="0" w:line="29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Required Vote</w:t>
      </w:r>
    </w:p>
    <w:p>
      <w:pPr>
        <w:spacing w:after="0" w:line="208" w:lineRule="exact"/>
        <w:rPr>
          <w:sz w:val="20"/>
          <w:szCs w:val="20"/>
          <w:color w:val="auto"/>
        </w:rPr>
      </w:pPr>
    </w:p>
    <w:p>
      <w:pPr>
        <w:jc w:val="both"/>
        <w:ind w:left="160"/>
        <w:spacing w:after="0" w:line="249" w:lineRule="auto"/>
        <w:rPr>
          <w:sz w:val="20"/>
          <w:szCs w:val="20"/>
          <w:color w:val="auto"/>
        </w:rPr>
      </w:pPr>
      <w:r>
        <w:rPr>
          <w:rFonts w:ascii="Arial" w:cs="Arial" w:eastAsia="Arial" w:hAnsi="Arial"/>
          <w:sz w:val="18"/>
          <w:szCs w:val="18"/>
          <w:color w:val="auto"/>
        </w:rPr>
        <w:t>Upon recommendation of the Governance and Sustainability Committee of the Board (the “GS Committee”), the Board has concluded that re-nominating each Director named above would strike the appropriate balance of perspectives and qualifications on the Board and align with the Company’s current and future business objectives.</w:t>
      </w:r>
    </w:p>
    <w:p>
      <w:pPr>
        <w:spacing w:after="0" w:line="172" w:lineRule="exact"/>
        <w:rPr>
          <w:sz w:val="20"/>
          <w:szCs w:val="20"/>
          <w:color w:val="auto"/>
        </w:rPr>
      </w:pPr>
    </w:p>
    <w:p>
      <w:pPr>
        <w:jc w:val="both"/>
        <w:ind w:left="160"/>
        <w:spacing w:after="0" w:line="238" w:lineRule="auto"/>
        <w:rPr>
          <w:sz w:val="20"/>
          <w:szCs w:val="20"/>
          <w:color w:val="auto"/>
        </w:rPr>
      </w:pPr>
      <w:r>
        <w:rPr>
          <w:rFonts w:ascii="Arial" w:cs="Arial" w:eastAsia="Arial" w:hAnsi="Arial"/>
          <w:sz w:val="18"/>
          <w:szCs w:val="18"/>
          <w:color w:val="auto"/>
        </w:rPr>
        <w:t>To be elected, each of the nominees for Director must receive the affirmative vote of the majority of votes cast, meaning that the number of votes cast “FOR” a nominee must exceed the number of votes cast “AGAINST” that nominee. Abstentions and Broker non-votes are not treated as votes cast and, therefore, will have no effect on the outcomes of any of the proposals. Unless you withhold your vote or indicate otherwise on your proxy card, and except in a case of an abstention or Broker non-vote, proxies will be voted “FOR” the election of the nominees for Director. The Board has no reason to believe that any of the nominees for Director will be unable to serve. If, however, any one of them should become unavailable, the Board may reduce the size of the Board or designate a substitute nominee. If the Board designates a substitute nominee, shares represented by proxies will be voted for the substitute nominee.</w:t>
      </w:r>
    </w:p>
    <w:p>
      <w:pPr>
        <w:spacing w:after="0" w:line="18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The Board of Directors recommends a vote “FOR” the election of each of the nominees for Director in Proposal No. 1.</w:t>
      </w:r>
    </w:p>
    <w:p>
      <w:pPr>
        <w:spacing w:after="0" w:line="150" w:lineRule="exact"/>
        <w:rPr>
          <w:sz w:val="20"/>
          <w:szCs w:val="20"/>
          <w:color w:val="auto"/>
        </w:rPr>
      </w:pPr>
    </w:p>
    <w:p>
      <w:pPr>
        <w:jc w:val="right"/>
        <w:spacing w:after="0"/>
        <w:tabs>
          <w:tab w:leader="none" w:pos="60" w:val="left"/>
        </w:tabs>
        <w:rPr>
          <w:sz w:val="20"/>
          <w:szCs w:val="20"/>
          <w:color w:val="auto"/>
        </w:rPr>
      </w:pPr>
      <w:r>
        <w:rPr>
          <w:rFonts w:ascii="Arial" w:cs="Arial" w:eastAsia="Arial" w:hAnsi="Arial"/>
          <w:sz w:val="14"/>
          <w:szCs w:val="14"/>
          <w:color w:val="F75E14"/>
        </w:rPr>
        <w:t>onsemi 2022 Proxy Statement</w:t>
        <w:tab/>
        <w:t>9</w:t>
      </w:r>
    </w:p>
    <w:p>
      <w:pPr>
        <w:sectPr>
          <w:pgSz w:w="11900" w:h="16838" w:orient="portrait"/>
          <w:cols w:equalWidth="0" w:num="1">
            <w:col w:w="11080"/>
          </w:cols>
          <w:pgMar w:left="320" w:top="454" w:right="499" w:bottom="1440" w:gutter="0" w:footer="0" w:header="0"/>
          <w:type w:val="continuous"/>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2" w:lineRule="exact"/>
        <w:rPr>
          <w:sz w:val="20"/>
          <w:szCs w:val="20"/>
          <w:color w:val="auto"/>
        </w:rPr>
      </w:pPr>
    </w:p>
    <w:p>
      <w:pPr>
        <w:ind w:left="160"/>
        <w:spacing w:after="0"/>
        <w:rPr>
          <w:sz w:val="20"/>
          <w:szCs w:val="20"/>
          <w:color w:val="auto"/>
        </w:rPr>
      </w:pPr>
      <w:r>
        <w:rPr>
          <w:rFonts w:ascii="Arial" w:cs="Arial" w:eastAsia="Arial" w:hAnsi="Arial"/>
          <w:sz w:val="18"/>
          <w:szCs w:val="18"/>
          <w:color w:val="F75E14"/>
        </w:rPr>
        <w:t>Management Proposals</w:t>
      </w:r>
    </w:p>
    <w:p>
      <w:pPr>
        <w:spacing w:after="0" w:line="135" w:lineRule="exact"/>
        <w:rPr>
          <w:sz w:val="20"/>
          <w:szCs w:val="20"/>
          <w:color w:val="auto"/>
        </w:rPr>
      </w:pPr>
    </w:p>
    <w:p>
      <w:pPr>
        <w:jc w:val="both"/>
        <w:ind w:left="160"/>
        <w:spacing w:after="0" w:line="292" w:lineRule="auto"/>
        <w:rPr>
          <w:sz w:val="20"/>
          <w:szCs w:val="20"/>
          <w:color w:val="auto"/>
        </w:rPr>
      </w:pPr>
      <w:r>
        <w:rPr>
          <w:rFonts w:ascii="Arial" w:cs="Arial" w:eastAsia="Arial" w:hAnsi="Arial"/>
          <w:sz w:val="25"/>
          <w:szCs w:val="25"/>
          <w:b w:val="1"/>
          <w:bCs w:val="1"/>
          <w:color w:val="2B4772"/>
        </w:rPr>
        <w:t>Proposal No. 2: Advisory (Non-Binding) Resolution to Approve Named Executive Officer Compensation</w:t>
      </w:r>
    </w:p>
    <w:p>
      <w:pPr>
        <w:spacing w:after="0" w:line="2" w:lineRule="exact"/>
        <w:rPr>
          <w:sz w:val="20"/>
          <w:szCs w:val="20"/>
          <w:color w:val="auto"/>
        </w:rPr>
      </w:pPr>
    </w:p>
    <w:p>
      <w:pPr>
        <w:jc w:val="both"/>
        <w:ind w:left="160"/>
        <w:spacing w:after="0" w:line="243" w:lineRule="auto"/>
        <w:rPr>
          <w:sz w:val="20"/>
          <w:szCs w:val="20"/>
          <w:color w:val="auto"/>
        </w:rPr>
      </w:pPr>
      <w:r>
        <w:rPr>
          <w:rFonts w:ascii="Arial" w:cs="Arial" w:eastAsia="Arial" w:hAnsi="Arial"/>
          <w:sz w:val="18"/>
          <w:szCs w:val="18"/>
          <w:color w:val="auto"/>
        </w:rPr>
        <w:t>As required by Section 14A of the Securities Exchange Act of 1934, as amended (the “Exchange Act”), we are asking for stockholder approval of the compensation of our named executive officers identified in the “Compensation Discussion and Analysis — Overview” section of this proxy statement (the “NEOs”). The Board of Directors recommends that our stockholders approve such compensation by approving the following advisory resolution:</w:t>
      </w:r>
    </w:p>
    <w:p>
      <w:pPr>
        <w:spacing w:after="0" w:line="178" w:lineRule="exact"/>
        <w:rPr>
          <w:sz w:val="20"/>
          <w:szCs w:val="20"/>
          <w:color w:val="auto"/>
        </w:rPr>
      </w:pPr>
    </w:p>
    <w:p>
      <w:pPr>
        <w:jc w:val="both"/>
        <w:ind w:left="600"/>
        <w:spacing w:after="0"/>
        <w:rPr>
          <w:sz w:val="20"/>
          <w:szCs w:val="20"/>
          <w:color w:val="auto"/>
        </w:rPr>
      </w:pPr>
      <w:r>
        <w:rPr>
          <w:rFonts w:ascii="Arial" w:cs="Arial" w:eastAsia="Arial" w:hAnsi="Arial"/>
          <w:sz w:val="18"/>
          <w:szCs w:val="18"/>
          <w:color w:val="auto"/>
        </w:rPr>
        <w:t>RESOLVED, that the stockholders of ON Semiconductor Corporation approve, on an advisory basis, the compensation of the Company’s named executive officers identified in the Summary Compensation Table included in this proxy statement as such compensation is described pursuant to Item 402 of Regulation S-K in this proxy statement (which disclosure includes the Compensation Discussion and Analysis and the compensation tables and accompanying footnotes and narratives under the heading “Compensation of Executive Officers” in this proxy statement).</w:t>
      </w:r>
    </w:p>
    <w:p>
      <w:pPr>
        <w:spacing w:after="0" w:line="182" w:lineRule="exact"/>
        <w:rPr>
          <w:sz w:val="20"/>
          <w:szCs w:val="20"/>
          <w:color w:val="auto"/>
        </w:rPr>
      </w:pPr>
    </w:p>
    <w:p>
      <w:pPr>
        <w:jc w:val="both"/>
        <w:ind w:left="160"/>
        <w:spacing w:after="0" w:line="253" w:lineRule="auto"/>
        <w:rPr>
          <w:sz w:val="20"/>
          <w:szCs w:val="20"/>
          <w:color w:val="auto"/>
        </w:rPr>
      </w:pPr>
      <w:r>
        <w:rPr>
          <w:rFonts w:ascii="Arial" w:cs="Arial" w:eastAsia="Arial" w:hAnsi="Arial"/>
          <w:sz w:val="17"/>
          <w:szCs w:val="17"/>
          <w:color w:val="auto"/>
        </w:rPr>
        <w:t>The principal objective of our compensation programs is to attract, retain and motivate highly talented individuals who will deliver competitive financial returns to our stockholders and accomplish our short-term and long-term plans and goals. The Company seeks to accomplish this objective by rewarding performance, both individual and corporate, in a way that is aligned with the short-term and long-term interests of the Company and its stockholders. Consistent with this philosophy, the majority of the total compensation opportunity for each of our NEOs is incentive-based, and a significant portion of such compensation is dependent upon the Company’s or the individual’s achievement of specified and predetermined financial and operational goals. The Company believes that its executive compensation program satisfies the Company’s compensation objectives. We describe our compensation policies and programs in more detail below in this proxy statement, including in the Compensation Discussion and Analysis section of this proxy statement (the “CD&amp;A”).</w:t>
      </w:r>
    </w:p>
    <w:p>
      <w:pPr>
        <w:spacing w:after="0" w:line="170" w:lineRule="exact"/>
        <w:rPr>
          <w:sz w:val="20"/>
          <w:szCs w:val="20"/>
          <w:color w:val="auto"/>
        </w:rPr>
      </w:pPr>
    </w:p>
    <w:p>
      <w:pPr>
        <w:jc w:val="both"/>
        <w:ind w:left="160"/>
        <w:spacing w:after="0" w:line="243" w:lineRule="auto"/>
        <w:rPr>
          <w:sz w:val="20"/>
          <w:szCs w:val="20"/>
          <w:color w:val="auto"/>
        </w:rPr>
      </w:pPr>
      <w:r>
        <w:rPr>
          <w:rFonts w:ascii="Arial" w:cs="Arial" w:eastAsia="Arial" w:hAnsi="Arial"/>
          <w:sz w:val="18"/>
          <w:szCs w:val="18"/>
          <w:color w:val="auto"/>
        </w:rPr>
        <w:t>As an advisory vote, this proposal is not binding upon the Company. However, the Human Capital and Compensation Committee of the Board (the “HCC Committee”), which is responsible for designing and administering the Company’s executive compensation programs, values the opinions expressed by stockholders. If there are a significant number of negative votes, the HCC Committee will seek to understand the concerns that influenced the voting and will consider whether any actions are necessary to address those concerns.</w:t>
      </w:r>
    </w:p>
    <w:p>
      <w:pPr>
        <w:spacing w:after="0" w:line="178" w:lineRule="exact"/>
        <w:rPr>
          <w:sz w:val="20"/>
          <w:szCs w:val="20"/>
          <w:color w:val="auto"/>
        </w:rPr>
      </w:pPr>
    </w:p>
    <w:p>
      <w:pPr>
        <w:jc w:val="both"/>
        <w:ind w:left="160"/>
        <w:spacing w:after="0" w:line="265" w:lineRule="auto"/>
        <w:rPr>
          <w:sz w:val="20"/>
          <w:szCs w:val="20"/>
          <w:color w:val="auto"/>
        </w:rPr>
      </w:pPr>
      <w:r>
        <w:rPr>
          <w:rFonts w:ascii="Arial" w:cs="Arial" w:eastAsia="Arial" w:hAnsi="Arial"/>
          <w:sz w:val="18"/>
          <w:szCs w:val="18"/>
          <w:color w:val="auto"/>
        </w:rPr>
        <w:t>The Board has previously adopted a policy providing for an annual advisory vote to approve the compensation of our NEOs. Unless the Board modifies its current policy, the next advisory vote will be at the 2023 Annual Meeting.</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Required Vote</w:t>
      </w:r>
    </w:p>
    <w:p>
      <w:pPr>
        <w:spacing w:after="0" w:line="208" w:lineRule="exact"/>
        <w:rPr>
          <w:sz w:val="20"/>
          <w:szCs w:val="20"/>
          <w:color w:val="auto"/>
        </w:rPr>
      </w:pPr>
    </w:p>
    <w:p>
      <w:pPr>
        <w:jc w:val="both"/>
        <w:ind w:left="160"/>
        <w:spacing w:after="0" w:line="265" w:lineRule="auto"/>
        <w:rPr>
          <w:sz w:val="20"/>
          <w:szCs w:val="20"/>
          <w:color w:val="auto"/>
        </w:rPr>
      </w:pPr>
      <w:r>
        <w:rPr>
          <w:rFonts w:ascii="Arial" w:cs="Arial" w:eastAsia="Arial" w:hAnsi="Arial"/>
          <w:sz w:val="18"/>
          <w:szCs w:val="18"/>
          <w:color w:val="auto"/>
        </w:rPr>
        <w:t>The affirmative vote of a majority of the votes duly cast on this item is required to approve this Proposal No. 2. Abstentions and Broker non-votes are not treated as votes cast and, therefore, will have no effect on the outcome of this Proposal No. 2.</w:t>
      </w:r>
    </w:p>
    <w:p>
      <w:pPr>
        <w:spacing w:after="0" w:line="158" w:lineRule="exact"/>
        <w:rPr>
          <w:sz w:val="20"/>
          <w:szCs w:val="20"/>
          <w:color w:val="auto"/>
        </w:rPr>
      </w:pPr>
    </w:p>
    <w:p>
      <w:pPr>
        <w:jc w:val="both"/>
        <w:ind w:left="160"/>
        <w:spacing w:after="0" w:line="277" w:lineRule="auto"/>
        <w:rPr>
          <w:sz w:val="20"/>
          <w:szCs w:val="20"/>
          <w:color w:val="auto"/>
        </w:rPr>
      </w:pPr>
      <w:r>
        <w:rPr>
          <w:rFonts w:ascii="Arial" w:cs="Arial" w:eastAsia="Arial" w:hAnsi="Arial"/>
          <w:sz w:val="18"/>
          <w:szCs w:val="18"/>
          <w:b w:val="1"/>
          <w:bCs w:val="1"/>
          <w:color w:val="auto"/>
        </w:rPr>
        <w:t>The Board of Directors recommends a vote “FOR” the advisory (non-binding) resolution to approve the compensation of our NEOs in Proposal No. 2.</w:t>
      </w:r>
    </w:p>
    <w:p>
      <w:pPr>
        <w:spacing w:after="0" w:line="80" w:lineRule="exact"/>
        <w:rPr>
          <w:sz w:val="20"/>
          <w:szCs w:val="20"/>
          <w:color w:val="auto"/>
        </w:rPr>
      </w:pPr>
    </w:p>
    <w:p>
      <w:pPr>
        <w:ind w:left="160"/>
        <w:spacing w:after="0"/>
        <w:tabs>
          <w:tab w:leader="none" w:pos="500" w:val="left"/>
        </w:tabs>
        <w:rPr>
          <w:sz w:val="20"/>
          <w:szCs w:val="20"/>
          <w:color w:val="auto"/>
        </w:rPr>
      </w:pPr>
      <w:r>
        <w:rPr>
          <w:rFonts w:ascii="Arial" w:cs="Arial" w:eastAsia="Arial" w:hAnsi="Arial"/>
          <w:sz w:val="14"/>
          <w:szCs w:val="14"/>
          <w:color w:val="F75E14"/>
        </w:rPr>
        <w:t>10</w:t>
        <w:tab/>
        <w:t>onsemi 2022 Proxy Statement</w:t>
      </w:r>
    </w:p>
    <w:p>
      <w:pPr>
        <w:sectPr>
          <w:pgSz w:w="11900" w:h="16838" w:orient="portrait"/>
          <w:cols w:equalWidth="0" w:num="1">
            <w:col w:w="11080"/>
          </w:cols>
          <w:pgMar w:left="320" w:top="454" w:right="49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2" w:lineRule="exact"/>
        <w:rPr>
          <w:sz w:val="20"/>
          <w:szCs w:val="20"/>
          <w:color w:val="auto"/>
        </w:rPr>
      </w:pPr>
    </w:p>
    <w:p>
      <w:pPr>
        <w:ind w:left="9200"/>
        <w:spacing w:after="0"/>
        <w:rPr>
          <w:sz w:val="20"/>
          <w:szCs w:val="20"/>
          <w:color w:val="auto"/>
        </w:rPr>
      </w:pPr>
      <w:r>
        <w:rPr>
          <w:rFonts w:ascii="Arial" w:cs="Arial" w:eastAsia="Arial" w:hAnsi="Arial"/>
          <w:sz w:val="17"/>
          <w:szCs w:val="17"/>
          <w:color w:val="F75E14"/>
        </w:rPr>
        <w:t>Management Proposals</w:t>
      </w:r>
    </w:p>
    <w:p>
      <w:pPr>
        <w:spacing w:after="0" w:line="147"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2B4772"/>
        </w:rPr>
        <w:t>Proposal No. 3: Ratification of Selection of Independent Registered Public Accounting Firm</w:t>
      </w:r>
    </w:p>
    <w:p>
      <w:pPr>
        <w:spacing w:after="0" w:line="119" w:lineRule="exact"/>
        <w:rPr>
          <w:sz w:val="20"/>
          <w:szCs w:val="20"/>
          <w:color w:val="auto"/>
        </w:rPr>
      </w:pPr>
    </w:p>
    <w:p>
      <w:pPr>
        <w:jc w:val="both"/>
        <w:ind w:left="160"/>
        <w:spacing w:after="0"/>
        <w:rPr>
          <w:sz w:val="20"/>
          <w:szCs w:val="20"/>
          <w:color w:val="auto"/>
        </w:rPr>
      </w:pPr>
      <w:r>
        <w:rPr>
          <w:rFonts w:ascii="Arial" w:cs="Arial" w:eastAsia="Arial" w:hAnsi="Arial"/>
          <w:sz w:val="18"/>
          <w:szCs w:val="18"/>
          <w:color w:val="auto"/>
        </w:rPr>
        <w:t>The Audit Committee of the Board (the “Audit Committee”): (i) has selected PricewaterhouseCoopers LLP (“PwC”) as the independent registered public accounting firm to (1) audit our consolidated financial statements for the year ending December 31, 2022, and (2) render other services as required of them, including to report on the effectiveness of our internal control over financial reporting as of December 31, 2022; and (ii) is seeking ratification of this selection from the stockholders of the Company. PwC has served as the Company’s independent auditor since 2001.</w:t>
      </w:r>
    </w:p>
    <w:p>
      <w:pPr>
        <w:spacing w:after="0" w:line="182" w:lineRule="exact"/>
        <w:rPr>
          <w:sz w:val="20"/>
          <w:szCs w:val="20"/>
          <w:color w:val="auto"/>
        </w:rPr>
      </w:pPr>
    </w:p>
    <w:p>
      <w:pPr>
        <w:ind w:left="160"/>
        <w:spacing w:after="0"/>
        <w:rPr>
          <w:sz w:val="20"/>
          <w:szCs w:val="20"/>
          <w:color w:val="auto"/>
        </w:rPr>
      </w:pPr>
      <w:r>
        <w:rPr>
          <w:rFonts w:ascii="Arial" w:cs="Arial" w:eastAsia="Arial" w:hAnsi="Arial"/>
          <w:sz w:val="18"/>
          <w:szCs w:val="18"/>
          <w:color w:val="auto"/>
        </w:rPr>
        <w:t>In determining whether to retain PwC as our 2022 independent auditor, the Audit Committee considered, among other things:</w:t>
      </w:r>
    </w:p>
    <w:p>
      <w:pPr>
        <w:spacing w:after="0" w:line="234" w:lineRule="exact"/>
        <w:rPr>
          <w:sz w:val="20"/>
          <w:szCs w:val="20"/>
          <w:color w:val="auto"/>
        </w:rPr>
      </w:pPr>
    </w:p>
    <w:p>
      <w:pPr>
        <w:ind w:left="1020" w:hanging="425"/>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historical and recent performance of PwC on our audits;</w:t>
      </w:r>
    </w:p>
    <w:p>
      <w:pPr>
        <w:spacing w:after="0" w:line="11" w:lineRule="exact"/>
        <w:rPr>
          <w:rFonts w:ascii="Arial" w:cs="Arial" w:eastAsia="Arial" w:hAnsi="Arial"/>
          <w:sz w:val="18"/>
          <w:szCs w:val="18"/>
          <w:color w:val="auto"/>
        </w:rPr>
      </w:pPr>
    </w:p>
    <w:p>
      <w:pPr>
        <w:ind w:left="1020" w:hanging="425"/>
        <w:spacing w:after="0" w:line="232" w:lineRule="auto"/>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breadth of knowledge of PwC with respect to our industry and business, our accounting policies and practices and our internal control over financial reporting;</w:t>
      </w:r>
    </w:p>
    <w:p>
      <w:pPr>
        <w:spacing w:after="0" w:line="1" w:lineRule="exact"/>
        <w:rPr>
          <w:rFonts w:ascii="Arial" w:cs="Arial" w:eastAsia="Arial" w:hAnsi="Arial"/>
          <w:sz w:val="18"/>
          <w:szCs w:val="18"/>
          <w:color w:val="auto"/>
        </w:rPr>
      </w:pPr>
    </w:p>
    <w:p>
      <w:pPr>
        <w:ind w:left="1020" w:hanging="425"/>
        <w:spacing w:after="0" w:line="232" w:lineRule="auto"/>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capability and expertise of PwC in handling the breadth and complexity of our worldwide operations;</w:t>
      </w:r>
    </w:p>
    <w:p>
      <w:pPr>
        <w:ind w:left="1020" w:right="20" w:hanging="425"/>
        <w:spacing w:after="0" w:line="232" w:lineRule="auto"/>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external data on audit quality and performance, including recent Public Company Accounting Oversight Board (“PCAOB”) reports on PwC and its peer firms;</w:t>
      </w:r>
    </w:p>
    <w:p>
      <w:pPr>
        <w:spacing w:after="0" w:line="1" w:lineRule="exact"/>
        <w:rPr>
          <w:rFonts w:ascii="Arial" w:cs="Arial" w:eastAsia="Arial" w:hAnsi="Arial"/>
          <w:sz w:val="18"/>
          <w:szCs w:val="18"/>
          <w:color w:val="auto"/>
        </w:rPr>
      </w:pPr>
    </w:p>
    <w:p>
      <w:pPr>
        <w:ind w:left="1020" w:hanging="425"/>
        <w:spacing w:after="0" w:line="232" w:lineRule="auto"/>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appropriateness of PwC’s fees for audit and non-audit services; and</w:t>
      </w:r>
    </w:p>
    <w:p>
      <w:pPr>
        <w:ind w:left="1020" w:hanging="425"/>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PwC’s independence and tenure as our independent auditor.</w:t>
      </w:r>
    </w:p>
    <w:p>
      <w:pPr>
        <w:spacing w:after="0" w:line="190" w:lineRule="exact"/>
        <w:rPr>
          <w:sz w:val="20"/>
          <w:szCs w:val="20"/>
          <w:color w:val="auto"/>
        </w:rPr>
      </w:pPr>
    </w:p>
    <w:p>
      <w:pPr>
        <w:jc w:val="both"/>
        <w:ind w:left="160"/>
        <w:spacing w:after="0" w:line="265" w:lineRule="auto"/>
        <w:rPr>
          <w:sz w:val="20"/>
          <w:szCs w:val="20"/>
          <w:color w:val="auto"/>
        </w:rPr>
      </w:pPr>
      <w:r>
        <w:rPr>
          <w:rFonts w:ascii="Arial" w:cs="Arial" w:eastAsia="Arial" w:hAnsi="Arial"/>
          <w:sz w:val="18"/>
          <w:szCs w:val="18"/>
          <w:color w:val="auto"/>
        </w:rPr>
        <w:t>Based on this evaluation, the Audit Committee believes that the retention of PwC as our independent auditor for the year ending December 31, 2022 is in the best interest of the Company and our stockholders.</w:t>
      </w:r>
    </w:p>
    <w:p>
      <w:pPr>
        <w:spacing w:after="0" w:line="158" w:lineRule="exact"/>
        <w:rPr>
          <w:sz w:val="20"/>
          <w:szCs w:val="20"/>
          <w:color w:val="auto"/>
        </w:rPr>
      </w:pPr>
    </w:p>
    <w:p>
      <w:pPr>
        <w:jc w:val="both"/>
        <w:ind w:left="160"/>
        <w:spacing w:after="0" w:line="265" w:lineRule="auto"/>
        <w:rPr>
          <w:sz w:val="20"/>
          <w:szCs w:val="20"/>
          <w:color w:val="auto"/>
        </w:rPr>
      </w:pPr>
      <w:r>
        <w:rPr>
          <w:rFonts w:ascii="Arial" w:cs="Arial" w:eastAsia="Arial" w:hAnsi="Arial"/>
          <w:sz w:val="18"/>
          <w:szCs w:val="18"/>
          <w:color w:val="auto"/>
        </w:rPr>
        <w:t>A representative of PwC is expected to be present at the Annual Meeting. If present, the representative will have an opportunity to make a statement, if such representative desires to do so, and will be available to respond to appropriate questions by stockholders.</w:t>
      </w:r>
    </w:p>
    <w:p>
      <w:pPr>
        <w:spacing w:after="0" w:line="158" w:lineRule="exact"/>
        <w:rPr>
          <w:sz w:val="20"/>
          <w:szCs w:val="20"/>
          <w:color w:val="auto"/>
        </w:rPr>
      </w:pPr>
    </w:p>
    <w:p>
      <w:pPr>
        <w:jc w:val="both"/>
        <w:ind w:left="160"/>
        <w:spacing w:after="0" w:line="243" w:lineRule="auto"/>
        <w:rPr>
          <w:sz w:val="20"/>
          <w:szCs w:val="20"/>
          <w:color w:val="auto"/>
        </w:rPr>
      </w:pPr>
      <w:r>
        <w:rPr>
          <w:rFonts w:ascii="Arial" w:cs="Arial" w:eastAsia="Arial" w:hAnsi="Arial"/>
          <w:sz w:val="18"/>
          <w:szCs w:val="18"/>
          <w:color w:val="auto"/>
        </w:rPr>
        <w:t>Stockholder ratification of the selection of PwC as our independent registered public accounting firm is not required by the bylaws of the Company (the “Bylaws”) or otherwise. Nonetheless, the Audit Committee is submitting the selection of PwC to the stockholders for ratification as a matter of good corporate practice and because the Audit Committee values stockholders’ views on our independent auditor.</w:t>
      </w:r>
    </w:p>
    <w:p>
      <w:pPr>
        <w:spacing w:after="0" w:line="178" w:lineRule="exact"/>
        <w:rPr>
          <w:sz w:val="20"/>
          <w:szCs w:val="20"/>
          <w:color w:val="auto"/>
        </w:rPr>
      </w:pPr>
    </w:p>
    <w:p>
      <w:pPr>
        <w:jc w:val="both"/>
        <w:ind w:left="160"/>
        <w:spacing w:after="0" w:line="249" w:lineRule="auto"/>
        <w:rPr>
          <w:sz w:val="20"/>
          <w:szCs w:val="20"/>
          <w:color w:val="auto"/>
        </w:rPr>
      </w:pPr>
      <w:r>
        <w:rPr>
          <w:rFonts w:ascii="Arial" w:cs="Arial" w:eastAsia="Arial" w:hAnsi="Arial"/>
          <w:sz w:val="18"/>
          <w:szCs w:val="18"/>
          <w:color w:val="auto"/>
        </w:rPr>
        <w:t>If the stockholders fail to ratify the selection, the Audit Committee may reconsider the selection of PwC. Even if the selection is ratified, the Audit Committee, in its discretion, may select a different independent registered public accounting firm at any time during the year if it determines that such a selection would be in our best interest and the best interest of our stockholders.</w:t>
      </w:r>
    </w:p>
    <w:p>
      <w:pPr>
        <w:spacing w:after="0" w:line="172"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Audit and Related Fees</w:t>
      </w:r>
    </w:p>
    <w:p>
      <w:pPr>
        <w:spacing w:after="0" w:line="208" w:lineRule="exact"/>
        <w:rPr>
          <w:sz w:val="20"/>
          <w:szCs w:val="20"/>
          <w:color w:val="auto"/>
        </w:rPr>
      </w:pPr>
    </w:p>
    <w:p>
      <w:pPr>
        <w:jc w:val="both"/>
        <w:ind w:left="160"/>
        <w:spacing w:after="0"/>
        <w:rPr>
          <w:sz w:val="20"/>
          <w:szCs w:val="20"/>
          <w:color w:val="auto"/>
        </w:rPr>
      </w:pPr>
      <w:r>
        <w:rPr>
          <w:rFonts w:ascii="Arial" w:cs="Arial" w:eastAsia="Arial" w:hAnsi="Arial"/>
          <w:sz w:val="18"/>
          <w:szCs w:val="18"/>
          <w:color w:val="auto"/>
        </w:rPr>
        <w:t>The Audit Committee reviews and approves audit and permissible non-audit services performed by PwC, as well as the fees charged by PwC for such services. In its review of non-audit services and fees and its selection of PwC as our independent registered public accounting firm, the Audit Committee considered whether the provision of such services is compatible with maintaining PwC’s independence. The table below sets forth the aggregate fees for audit and other services provided by PwC for each of the past two fiscal years.</w:t>
      </w:r>
    </w:p>
    <w:p>
      <w:pPr>
        <w:spacing w:after="0" w:line="228" w:lineRule="exact"/>
        <w:rPr>
          <w:sz w:val="20"/>
          <w:szCs w:val="20"/>
          <w:color w:val="auto"/>
        </w:rPr>
      </w:pPr>
    </w:p>
    <w:tbl>
      <w:tblPr>
        <w:tblLayout w:type="fixed"/>
        <w:tblInd w:w="160" w:type="dxa"/>
        <w:tblCellMar>
          <w:top w:w="0" w:type="dxa"/>
          <w:left w:w="0" w:type="dxa"/>
          <w:bottom w:w="0" w:type="dxa"/>
          <w:right w:w="0" w:type="dxa"/>
        </w:tblCellMar>
      </w:tblPr>
      <w:tr>
        <w:trPr>
          <w:trHeight w:val="227"/>
        </w:trPr>
        <w:tc>
          <w:tcPr>
            <w:tcW w:w="3580" w:type="dxa"/>
            <w:vAlign w:val="bottom"/>
            <w:shd w:val="clear" w:color="auto" w:fill="F75E14"/>
          </w:tcPr>
          <w:p>
            <w:pPr>
              <w:spacing w:after="0"/>
              <w:rPr>
                <w:sz w:val="19"/>
                <w:szCs w:val="19"/>
                <w:color w:val="auto"/>
              </w:rPr>
            </w:pPr>
          </w:p>
        </w:tc>
        <w:tc>
          <w:tcPr>
            <w:tcW w:w="3480" w:type="dxa"/>
            <w:vAlign w:val="bottom"/>
            <w:gridSpan w:val="2"/>
            <w:shd w:val="clear" w:color="auto" w:fill="F75E14"/>
          </w:tcPr>
          <w:p>
            <w:pPr>
              <w:ind w:left="140"/>
              <w:spacing w:after="0"/>
              <w:rPr>
                <w:sz w:val="20"/>
                <w:szCs w:val="20"/>
                <w:color w:val="auto"/>
              </w:rPr>
            </w:pPr>
            <w:r>
              <w:rPr>
                <w:rFonts w:ascii="Arial" w:cs="Arial" w:eastAsia="Arial" w:hAnsi="Arial"/>
                <w:sz w:val="16"/>
                <w:szCs w:val="16"/>
                <w:b w:val="1"/>
                <w:bCs w:val="1"/>
                <w:color w:val="FFFFFF"/>
              </w:rPr>
              <w:t>2021</w:t>
            </w:r>
          </w:p>
        </w:tc>
        <w:tc>
          <w:tcPr>
            <w:tcW w:w="3860" w:type="dxa"/>
            <w:vAlign w:val="bottom"/>
            <w:gridSpan w:val="2"/>
            <w:shd w:val="clear" w:color="auto" w:fill="F75E14"/>
          </w:tcPr>
          <w:p>
            <w:pPr>
              <w:ind w:left="520"/>
              <w:spacing w:after="0"/>
              <w:rPr>
                <w:sz w:val="20"/>
                <w:szCs w:val="20"/>
                <w:color w:val="auto"/>
              </w:rPr>
            </w:pPr>
            <w:r>
              <w:rPr>
                <w:rFonts w:ascii="Arial" w:cs="Arial" w:eastAsia="Arial" w:hAnsi="Arial"/>
                <w:sz w:val="16"/>
                <w:szCs w:val="16"/>
                <w:b w:val="1"/>
                <w:bCs w:val="1"/>
                <w:color w:val="FFFFFF"/>
              </w:rPr>
              <w:t>2020</w:t>
            </w:r>
          </w:p>
        </w:tc>
      </w:tr>
      <w:tr>
        <w:trPr>
          <w:trHeight w:val="248"/>
        </w:trPr>
        <w:tc>
          <w:tcPr>
            <w:tcW w:w="3580" w:type="dxa"/>
            <w:vAlign w:val="bottom"/>
            <w:tcBorders>
              <w:bottom w:val="single" w:sz="8" w:color="F75E14"/>
            </w:tcBorders>
            <w:shd w:val="clear" w:color="auto" w:fill="F75E14"/>
          </w:tcPr>
          <w:p>
            <w:pPr>
              <w:ind w:left="60"/>
              <w:spacing w:after="0"/>
              <w:rPr>
                <w:sz w:val="20"/>
                <w:szCs w:val="20"/>
                <w:color w:val="auto"/>
              </w:rPr>
            </w:pPr>
            <w:r>
              <w:rPr>
                <w:rFonts w:ascii="Arial" w:cs="Arial" w:eastAsia="Arial" w:hAnsi="Arial"/>
                <w:sz w:val="16"/>
                <w:szCs w:val="16"/>
                <w:b w:val="1"/>
                <w:bCs w:val="1"/>
                <w:color w:val="FFFFFF"/>
              </w:rPr>
              <w:t>Fee Type</w:t>
            </w:r>
          </w:p>
        </w:tc>
        <w:tc>
          <w:tcPr>
            <w:tcW w:w="100" w:type="dxa"/>
            <w:vAlign w:val="bottom"/>
            <w:tcBorders>
              <w:bottom w:val="single" w:sz="8" w:color="F75E14"/>
            </w:tcBorders>
            <w:shd w:val="clear" w:color="auto" w:fill="F75E14"/>
          </w:tcPr>
          <w:p>
            <w:pPr>
              <w:spacing w:after="0"/>
              <w:rPr>
                <w:sz w:val="21"/>
                <w:szCs w:val="21"/>
                <w:color w:val="auto"/>
              </w:rPr>
            </w:pPr>
          </w:p>
        </w:tc>
        <w:tc>
          <w:tcPr>
            <w:tcW w:w="3380" w:type="dxa"/>
            <w:vAlign w:val="bottom"/>
            <w:tcBorders>
              <w:bottom w:val="single" w:sz="8" w:color="F75E14"/>
            </w:tcBorders>
            <w:shd w:val="clear" w:color="auto" w:fill="F75E14"/>
          </w:tcPr>
          <w:p>
            <w:pPr>
              <w:ind w:left="40"/>
              <w:spacing w:after="0"/>
              <w:rPr>
                <w:sz w:val="20"/>
                <w:szCs w:val="20"/>
                <w:color w:val="auto"/>
              </w:rPr>
            </w:pPr>
            <w:r>
              <w:rPr>
                <w:rFonts w:ascii="Arial" w:cs="Arial" w:eastAsia="Arial" w:hAnsi="Arial"/>
                <w:sz w:val="16"/>
                <w:szCs w:val="16"/>
                <w:b w:val="1"/>
                <w:bCs w:val="1"/>
                <w:color w:val="FFFFFF"/>
              </w:rPr>
              <w:t>($ in millions)</w:t>
            </w:r>
          </w:p>
        </w:tc>
        <w:tc>
          <w:tcPr>
            <w:tcW w:w="480" w:type="dxa"/>
            <w:vAlign w:val="bottom"/>
            <w:tcBorders>
              <w:bottom w:val="single" w:sz="8" w:color="F75E14"/>
            </w:tcBorders>
            <w:shd w:val="clear" w:color="auto" w:fill="F75E14"/>
          </w:tcPr>
          <w:p>
            <w:pPr>
              <w:spacing w:after="0"/>
              <w:rPr>
                <w:sz w:val="21"/>
                <w:szCs w:val="21"/>
                <w:color w:val="auto"/>
              </w:rPr>
            </w:pPr>
          </w:p>
        </w:tc>
        <w:tc>
          <w:tcPr>
            <w:tcW w:w="3380" w:type="dxa"/>
            <w:vAlign w:val="bottom"/>
            <w:tcBorders>
              <w:bottom w:val="single" w:sz="8" w:color="F75E14"/>
            </w:tcBorders>
            <w:shd w:val="clear" w:color="auto" w:fill="F75E14"/>
          </w:tcPr>
          <w:p>
            <w:pPr>
              <w:ind w:left="40"/>
              <w:spacing w:after="0"/>
              <w:rPr>
                <w:sz w:val="20"/>
                <w:szCs w:val="20"/>
                <w:color w:val="auto"/>
              </w:rPr>
            </w:pPr>
            <w:r>
              <w:rPr>
                <w:rFonts w:ascii="Arial" w:cs="Arial" w:eastAsia="Arial" w:hAnsi="Arial"/>
                <w:sz w:val="16"/>
                <w:szCs w:val="16"/>
                <w:b w:val="1"/>
                <w:bCs w:val="1"/>
                <w:color w:val="FFFFFF"/>
              </w:rPr>
              <w:t>($ in millions)</w:t>
            </w:r>
          </w:p>
        </w:tc>
      </w:tr>
      <w:tr>
        <w:trPr>
          <w:trHeight w:val="234"/>
        </w:trPr>
        <w:tc>
          <w:tcPr>
            <w:tcW w:w="3580" w:type="dxa"/>
            <w:vAlign w:val="bottom"/>
            <w:tcBorders>
              <w:bottom w:val="single" w:sz="8" w:color="D8E8EF"/>
            </w:tcBorders>
            <w:shd w:val="clear" w:color="auto" w:fill="D8E8EF"/>
          </w:tcPr>
          <w:p>
            <w:pPr>
              <w:ind w:left="60"/>
              <w:spacing w:after="0"/>
              <w:rPr>
                <w:sz w:val="20"/>
                <w:szCs w:val="20"/>
                <w:color w:val="auto"/>
              </w:rPr>
            </w:pPr>
            <w:r>
              <w:rPr>
                <w:rFonts w:ascii="Arial" w:cs="Arial" w:eastAsia="Arial" w:hAnsi="Arial"/>
                <w:sz w:val="16"/>
                <w:szCs w:val="16"/>
                <w:color w:val="auto"/>
              </w:rPr>
              <w:t>Audit Fees (1)</w:t>
            </w:r>
          </w:p>
        </w:tc>
        <w:tc>
          <w:tcPr>
            <w:tcW w:w="3480" w:type="dxa"/>
            <w:vAlign w:val="bottom"/>
            <w:tcBorders>
              <w:bottom w:val="single" w:sz="8" w:color="D8E8EF"/>
            </w:tcBorders>
            <w:gridSpan w:val="2"/>
            <w:shd w:val="clear" w:color="auto" w:fill="D8E8EF"/>
          </w:tcPr>
          <w:p>
            <w:pPr>
              <w:ind w:left="140"/>
              <w:spacing w:after="0"/>
              <w:rPr>
                <w:sz w:val="20"/>
                <w:szCs w:val="20"/>
                <w:color w:val="auto"/>
              </w:rPr>
            </w:pPr>
            <w:r>
              <w:rPr>
                <w:rFonts w:ascii="Arial" w:cs="Arial" w:eastAsia="Arial" w:hAnsi="Arial"/>
                <w:sz w:val="16"/>
                <w:szCs w:val="16"/>
                <w:color w:val="auto"/>
              </w:rPr>
              <w:t>6.3</w:t>
            </w:r>
          </w:p>
        </w:tc>
        <w:tc>
          <w:tcPr>
            <w:tcW w:w="3860" w:type="dxa"/>
            <w:vAlign w:val="bottom"/>
            <w:tcBorders>
              <w:bottom w:val="single" w:sz="8" w:color="D8E8EF"/>
            </w:tcBorders>
            <w:gridSpan w:val="2"/>
            <w:shd w:val="clear" w:color="auto" w:fill="D8E8EF"/>
          </w:tcPr>
          <w:p>
            <w:pPr>
              <w:ind w:left="520"/>
              <w:spacing w:after="0"/>
              <w:rPr>
                <w:sz w:val="20"/>
                <w:szCs w:val="20"/>
                <w:color w:val="auto"/>
              </w:rPr>
            </w:pPr>
            <w:r>
              <w:rPr>
                <w:rFonts w:ascii="Arial" w:cs="Arial" w:eastAsia="Arial" w:hAnsi="Arial"/>
                <w:sz w:val="16"/>
                <w:szCs w:val="16"/>
                <w:color w:val="auto"/>
              </w:rPr>
              <w:t>6.7</w:t>
            </w:r>
          </w:p>
        </w:tc>
      </w:tr>
      <w:tr>
        <w:trPr>
          <w:trHeight w:val="224"/>
        </w:trPr>
        <w:tc>
          <w:tcPr>
            <w:tcW w:w="3580" w:type="dxa"/>
            <w:vAlign w:val="bottom"/>
          </w:tcPr>
          <w:p>
            <w:pPr>
              <w:ind w:left="60"/>
              <w:spacing w:after="0"/>
              <w:rPr>
                <w:sz w:val="20"/>
                <w:szCs w:val="20"/>
                <w:color w:val="auto"/>
              </w:rPr>
            </w:pPr>
            <w:r>
              <w:rPr>
                <w:rFonts w:ascii="Arial" w:cs="Arial" w:eastAsia="Arial" w:hAnsi="Arial"/>
                <w:sz w:val="16"/>
                <w:szCs w:val="16"/>
                <w:color w:val="auto"/>
              </w:rPr>
              <w:t>Audit-Related Fees (2)</w:t>
            </w:r>
          </w:p>
        </w:tc>
        <w:tc>
          <w:tcPr>
            <w:tcW w:w="3480" w:type="dxa"/>
            <w:vAlign w:val="bottom"/>
            <w:gridSpan w:val="2"/>
          </w:tcPr>
          <w:p>
            <w:pPr>
              <w:ind w:left="140"/>
              <w:spacing w:after="0"/>
              <w:rPr>
                <w:sz w:val="20"/>
                <w:szCs w:val="20"/>
                <w:color w:val="auto"/>
              </w:rPr>
            </w:pPr>
            <w:r>
              <w:rPr>
                <w:rFonts w:ascii="Arial" w:cs="Arial" w:eastAsia="Arial" w:hAnsi="Arial"/>
                <w:sz w:val="16"/>
                <w:szCs w:val="16"/>
                <w:color w:val="auto"/>
              </w:rPr>
              <w:t>0.0</w:t>
            </w:r>
          </w:p>
        </w:tc>
        <w:tc>
          <w:tcPr>
            <w:tcW w:w="3860" w:type="dxa"/>
            <w:vAlign w:val="bottom"/>
            <w:gridSpan w:val="2"/>
          </w:tcPr>
          <w:p>
            <w:pPr>
              <w:ind w:left="520"/>
              <w:spacing w:after="0"/>
              <w:rPr>
                <w:sz w:val="20"/>
                <w:szCs w:val="20"/>
                <w:color w:val="auto"/>
              </w:rPr>
            </w:pPr>
            <w:r>
              <w:rPr>
                <w:rFonts w:ascii="Arial" w:cs="Arial" w:eastAsia="Arial" w:hAnsi="Arial"/>
                <w:sz w:val="16"/>
                <w:szCs w:val="16"/>
                <w:color w:val="auto"/>
              </w:rPr>
              <w:t>0.0</w:t>
            </w:r>
          </w:p>
        </w:tc>
      </w:tr>
      <w:tr>
        <w:trPr>
          <w:trHeight w:val="30"/>
        </w:trPr>
        <w:tc>
          <w:tcPr>
            <w:tcW w:w="3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380" w:type="dxa"/>
            <w:vAlign w:val="bottom"/>
          </w:tcPr>
          <w:p>
            <w:pPr>
              <w:spacing w:after="0"/>
              <w:rPr>
                <w:sz w:val="2"/>
                <w:szCs w:val="2"/>
                <w:color w:val="auto"/>
              </w:rPr>
            </w:pPr>
          </w:p>
        </w:tc>
        <w:tc>
          <w:tcPr>
            <w:tcW w:w="480" w:type="dxa"/>
            <w:vAlign w:val="bottom"/>
          </w:tcPr>
          <w:p>
            <w:pPr>
              <w:spacing w:after="0"/>
              <w:rPr>
                <w:sz w:val="2"/>
                <w:szCs w:val="2"/>
                <w:color w:val="auto"/>
              </w:rPr>
            </w:pPr>
          </w:p>
        </w:tc>
        <w:tc>
          <w:tcPr>
            <w:tcW w:w="3380" w:type="dxa"/>
            <w:vAlign w:val="bottom"/>
          </w:tcPr>
          <w:p>
            <w:pPr>
              <w:spacing w:after="0"/>
              <w:rPr>
                <w:sz w:val="2"/>
                <w:szCs w:val="2"/>
                <w:color w:val="auto"/>
              </w:rPr>
            </w:pPr>
          </w:p>
        </w:tc>
      </w:tr>
      <w:tr>
        <w:trPr>
          <w:trHeight w:val="234"/>
        </w:trPr>
        <w:tc>
          <w:tcPr>
            <w:tcW w:w="3580" w:type="dxa"/>
            <w:vAlign w:val="bottom"/>
            <w:tcBorders>
              <w:bottom w:val="single" w:sz="8" w:color="D8E8EF"/>
            </w:tcBorders>
            <w:shd w:val="clear" w:color="auto" w:fill="D8E8EF"/>
          </w:tcPr>
          <w:p>
            <w:pPr>
              <w:ind w:left="60"/>
              <w:spacing w:after="0"/>
              <w:rPr>
                <w:sz w:val="20"/>
                <w:szCs w:val="20"/>
                <w:color w:val="auto"/>
              </w:rPr>
            </w:pPr>
            <w:r>
              <w:rPr>
                <w:rFonts w:ascii="Arial" w:cs="Arial" w:eastAsia="Arial" w:hAnsi="Arial"/>
                <w:sz w:val="16"/>
                <w:szCs w:val="16"/>
                <w:color w:val="auto"/>
              </w:rPr>
              <w:t>Tax Fees (3)</w:t>
            </w:r>
          </w:p>
        </w:tc>
        <w:tc>
          <w:tcPr>
            <w:tcW w:w="3480" w:type="dxa"/>
            <w:vAlign w:val="bottom"/>
            <w:tcBorders>
              <w:bottom w:val="single" w:sz="8" w:color="D8E8EF"/>
            </w:tcBorders>
            <w:gridSpan w:val="2"/>
            <w:shd w:val="clear" w:color="auto" w:fill="D8E8EF"/>
          </w:tcPr>
          <w:p>
            <w:pPr>
              <w:ind w:left="140"/>
              <w:spacing w:after="0"/>
              <w:rPr>
                <w:sz w:val="20"/>
                <w:szCs w:val="20"/>
                <w:color w:val="auto"/>
              </w:rPr>
            </w:pPr>
            <w:r>
              <w:rPr>
                <w:rFonts w:ascii="Arial" w:cs="Arial" w:eastAsia="Arial" w:hAnsi="Arial"/>
                <w:sz w:val="16"/>
                <w:szCs w:val="16"/>
                <w:color w:val="auto"/>
              </w:rPr>
              <w:t>0.9</w:t>
            </w:r>
          </w:p>
        </w:tc>
        <w:tc>
          <w:tcPr>
            <w:tcW w:w="3860" w:type="dxa"/>
            <w:vAlign w:val="bottom"/>
            <w:tcBorders>
              <w:bottom w:val="single" w:sz="8" w:color="D8E8EF"/>
            </w:tcBorders>
            <w:gridSpan w:val="2"/>
            <w:shd w:val="clear" w:color="auto" w:fill="D8E8EF"/>
          </w:tcPr>
          <w:p>
            <w:pPr>
              <w:ind w:left="520"/>
              <w:spacing w:after="0"/>
              <w:rPr>
                <w:sz w:val="20"/>
                <w:szCs w:val="20"/>
                <w:color w:val="auto"/>
              </w:rPr>
            </w:pPr>
            <w:r>
              <w:rPr>
                <w:rFonts w:ascii="Arial" w:cs="Arial" w:eastAsia="Arial" w:hAnsi="Arial"/>
                <w:sz w:val="16"/>
                <w:szCs w:val="16"/>
                <w:color w:val="auto"/>
              </w:rPr>
              <w:t>1.3</w:t>
            </w:r>
          </w:p>
        </w:tc>
      </w:tr>
      <w:tr>
        <w:trPr>
          <w:trHeight w:val="234"/>
        </w:trPr>
        <w:tc>
          <w:tcPr>
            <w:tcW w:w="3580" w:type="dxa"/>
            <w:vAlign w:val="bottom"/>
          </w:tcPr>
          <w:p>
            <w:pPr>
              <w:ind w:left="60"/>
              <w:spacing w:after="0"/>
              <w:rPr>
                <w:sz w:val="20"/>
                <w:szCs w:val="20"/>
                <w:color w:val="auto"/>
              </w:rPr>
            </w:pPr>
            <w:r>
              <w:rPr>
                <w:rFonts w:ascii="Arial" w:cs="Arial" w:eastAsia="Arial" w:hAnsi="Arial"/>
                <w:sz w:val="16"/>
                <w:szCs w:val="16"/>
                <w:color w:val="auto"/>
              </w:rPr>
              <w:t>All Other Fees</w:t>
            </w:r>
          </w:p>
        </w:tc>
        <w:tc>
          <w:tcPr>
            <w:tcW w:w="3480" w:type="dxa"/>
            <w:vAlign w:val="bottom"/>
            <w:gridSpan w:val="2"/>
          </w:tcPr>
          <w:p>
            <w:pPr>
              <w:ind w:left="140"/>
              <w:spacing w:after="0"/>
              <w:rPr>
                <w:sz w:val="20"/>
                <w:szCs w:val="20"/>
                <w:color w:val="auto"/>
              </w:rPr>
            </w:pPr>
            <w:r>
              <w:rPr>
                <w:rFonts w:ascii="Arial" w:cs="Arial" w:eastAsia="Arial" w:hAnsi="Arial"/>
                <w:sz w:val="16"/>
                <w:szCs w:val="16"/>
                <w:color w:val="auto"/>
              </w:rPr>
              <w:t>0.0</w:t>
            </w:r>
          </w:p>
        </w:tc>
        <w:tc>
          <w:tcPr>
            <w:tcW w:w="3860" w:type="dxa"/>
            <w:vAlign w:val="bottom"/>
            <w:gridSpan w:val="2"/>
          </w:tcPr>
          <w:p>
            <w:pPr>
              <w:ind w:left="520"/>
              <w:spacing w:after="0"/>
              <w:rPr>
                <w:sz w:val="20"/>
                <w:szCs w:val="20"/>
                <w:color w:val="auto"/>
              </w:rPr>
            </w:pPr>
            <w:r>
              <w:rPr>
                <w:rFonts w:ascii="Arial" w:cs="Arial" w:eastAsia="Arial" w:hAnsi="Arial"/>
                <w:sz w:val="16"/>
                <w:szCs w:val="16"/>
                <w:color w:val="auto"/>
              </w:rPr>
              <w:t>0.0</w:t>
            </w:r>
          </w:p>
        </w:tc>
      </w:tr>
      <w:tr>
        <w:trPr>
          <w:trHeight w:val="20"/>
        </w:trPr>
        <w:tc>
          <w:tcPr>
            <w:tcW w:w="3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380" w:type="dxa"/>
            <w:vAlign w:val="bottom"/>
            <w:tcBorders>
              <w:top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380" w:type="dxa"/>
            <w:vAlign w:val="bottom"/>
            <w:tcBorders>
              <w:top w:val="single" w:sz="8" w:color="auto"/>
            </w:tcBorders>
          </w:tcPr>
          <w:p>
            <w:pPr>
              <w:spacing w:after="0" w:line="20" w:lineRule="exact"/>
              <w:rPr>
                <w:sz w:val="1"/>
                <w:szCs w:val="1"/>
                <w:color w:val="auto"/>
              </w:rPr>
            </w:pPr>
          </w:p>
        </w:tc>
      </w:tr>
      <w:tr>
        <w:trPr>
          <w:trHeight w:val="227"/>
        </w:trPr>
        <w:tc>
          <w:tcPr>
            <w:tcW w:w="3580" w:type="dxa"/>
            <w:vAlign w:val="bottom"/>
            <w:tcBorders>
              <w:bottom w:val="single" w:sz="8" w:color="D8E8EF"/>
            </w:tcBorders>
            <w:shd w:val="clear" w:color="auto" w:fill="D8E8EF"/>
          </w:tcPr>
          <w:p>
            <w:pPr>
              <w:ind w:left="60"/>
              <w:spacing w:after="0"/>
              <w:rPr>
                <w:sz w:val="20"/>
                <w:szCs w:val="20"/>
                <w:color w:val="auto"/>
              </w:rPr>
            </w:pPr>
            <w:r>
              <w:rPr>
                <w:rFonts w:ascii="Arial" w:cs="Arial" w:eastAsia="Arial" w:hAnsi="Arial"/>
                <w:sz w:val="16"/>
                <w:szCs w:val="16"/>
                <w:color w:val="auto"/>
              </w:rPr>
              <w:t>Total Fees</w:t>
            </w:r>
          </w:p>
        </w:tc>
        <w:tc>
          <w:tcPr>
            <w:tcW w:w="3480" w:type="dxa"/>
            <w:vAlign w:val="bottom"/>
            <w:tcBorders>
              <w:bottom w:val="single" w:sz="8" w:color="D8E8EF"/>
            </w:tcBorders>
            <w:gridSpan w:val="2"/>
            <w:shd w:val="clear" w:color="auto" w:fill="D8E8EF"/>
          </w:tcPr>
          <w:p>
            <w:pPr>
              <w:ind w:left="140"/>
              <w:spacing w:after="0"/>
              <w:rPr>
                <w:sz w:val="20"/>
                <w:szCs w:val="20"/>
                <w:color w:val="auto"/>
              </w:rPr>
            </w:pPr>
            <w:r>
              <w:rPr>
                <w:rFonts w:ascii="Arial" w:cs="Arial" w:eastAsia="Arial" w:hAnsi="Arial"/>
                <w:sz w:val="16"/>
                <w:szCs w:val="16"/>
                <w:color w:val="auto"/>
              </w:rPr>
              <w:t>7.2</w:t>
            </w:r>
          </w:p>
        </w:tc>
        <w:tc>
          <w:tcPr>
            <w:tcW w:w="3860" w:type="dxa"/>
            <w:vAlign w:val="bottom"/>
            <w:tcBorders>
              <w:bottom w:val="single" w:sz="8" w:color="D8E8EF"/>
            </w:tcBorders>
            <w:gridSpan w:val="2"/>
            <w:shd w:val="clear" w:color="auto" w:fill="D8E8EF"/>
          </w:tcPr>
          <w:p>
            <w:pPr>
              <w:ind w:left="520"/>
              <w:spacing w:after="0"/>
              <w:rPr>
                <w:sz w:val="20"/>
                <w:szCs w:val="20"/>
                <w:color w:val="auto"/>
              </w:rPr>
            </w:pPr>
            <w:r>
              <w:rPr>
                <w:rFonts w:ascii="Arial" w:cs="Arial" w:eastAsia="Arial" w:hAnsi="Arial"/>
                <w:sz w:val="16"/>
                <w:szCs w:val="16"/>
                <w:color w:val="auto"/>
              </w:rPr>
              <w:t>8.0</w:t>
            </w:r>
          </w:p>
        </w:tc>
      </w:tr>
      <w:tr>
        <w:trPr>
          <w:trHeight w:val="20"/>
        </w:trPr>
        <w:tc>
          <w:tcPr>
            <w:tcW w:w="35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3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380" w:type="dxa"/>
            <w:vAlign w:val="bottom"/>
            <w:shd w:val="clear" w:color="auto" w:fill="000000"/>
          </w:tcPr>
          <w:p>
            <w:pPr>
              <w:spacing w:after="0" w:line="20" w:lineRule="exact"/>
              <w:rPr>
                <w:sz w:val="1"/>
                <w:szCs w:val="1"/>
                <w:color w:val="auto"/>
              </w:rPr>
            </w:pPr>
          </w:p>
        </w:tc>
      </w:tr>
    </w:tbl>
    <w:p>
      <w:pPr>
        <w:spacing w:after="0" w:line="138" w:lineRule="exact"/>
        <w:rPr>
          <w:sz w:val="20"/>
          <w:szCs w:val="20"/>
          <w:color w:val="auto"/>
        </w:rPr>
      </w:pPr>
    </w:p>
    <w:p>
      <w:pPr>
        <w:ind w:left="8820"/>
        <w:spacing w:after="0"/>
        <w:tabs>
          <w:tab w:leader="none" w:pos="10920" w:val="left"/>
        </w:tabs>
        <w:rPr>
          <w:sz w:val="20"/>
          <w:szCs w:val="20"/>
          <w:color w:val="auto"/>
        </w:rPr>
      </w:pPr>
      <w:r>
        <w:rPr>
          <w:rFonts w:ascii="Arial" w:cs="Arial" w:eastAsia="Arial" w:hAnsi="Arial"/>
          <w:sz w:val="14"/>
          <w:szCs w:val="14"/>
          <w:color w:val="F75E14"/>
        </w:rPr>
        <w:t>onsemi 2022 Proxy Statement</w:t>
      </w:r>
      <w:r>
        <w:rPr>
          <w:sz w:val="20"/>
          <w:szCs w:val="20"/>
          <w:color w:val="auto"/>
        </w:rPr>
        <w:tab/>
      </w:r>
      <w:r>
        <w:rPr>
          <w:rFonts w:ascii="Arial" w:cs="Arial" w:eastAsia="Arial" w:hAnsi="Arial"/>
          <w:sz w:val="12"/>
          <w:szCs w:val="12"/>
          <w:color w:val="F75E14"/>
        </w:rPr>
        <w:t>11</w:t>
      </w:r>
    </w:p>
    <w:p>
      <w:pPr>
        <w:sectPr>
          <w:pgSz w:w="11900" w:h="16838" w:orient="portrait"/>
          <w:cols w:equalWidth="0" w:num="1">
            <w:col w:w="11080"/>
          </w:cols>
          <w:pgMar w:left="320" w:top="454" w:right="49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2" w:lineRule="exact"/>
        <w:rPr>
          <w:sz w:val="20"/>
          <w:szCs w:val="20"/>
          <w:color w:val="auto"/>
        </w:rPr>
      </w:pPr>
    </w:p>
    <w:p>
      <w:pPr>
        <w:ind w:left="160"/>
        <w:spacing w:after="0"/>
        <w:rPr>
          <w:sz w:val="20"/>
          <w:szCs w:val="20"/>
          <w:color w:val="auto"/>
        </w:rPr>
      </w:pPr>
      <w:r>
        <w:rPr>
          <w:rFonts w:ascii="Arial" w:cs="Arial" w:eastAsia="Arial" w:hAnsi="Arial"/>
          <w:sz w:val="18"/>
          <w:szCs w:val="18"/>
          <w:color w:val="F75E14"/>
        </w:rPr>
        <w:t>Management Proposals</w:t>
      </w:r>
    </w:p>
    <w:p>
      <w:pPr>
        <w:spacing w:after="0" w:line="150" w:lineRule="exact"/>
        <w:rPr>
          <w:sz w:val="20"/>
          <w:szCs w:val="20"/>
          <w:color w:val="auto"/>
        </w:rPr>
      </w:pPr>
    </w:p>
    <w:p>
      <w:pPr>
        <w:jc w:val="both"/>
        <w:ind w:left="600" w:hanging="433"/>
        <w:spacing w:after="0" w:line="253" w:lineRule="auto"/>
        <w:tabs>
          <w:tab w:leader="none" w:pos="600" w:val="left"/>
        </w:tabs>
        <w:numPr>
          <w:ilvl w:val="0"/>
          <w:numId w:val="27"/>
        </w:numPr>
        <w:rPr>
          <w:rFonts w:ascii="Arial" w:cs="Arial" w:eastAsia="Arial" w:hAnsi="Arial"/>
          <w:sz w:val="14"/>
          <w:szCs w:val="14"/>
          <w:color w:val="auto"/>
        </w:rPr>
      </w:pPr>
      <w:r>
        <w:rPr>
          <w:rFonts w:ascii="Arial" w:cs="Arial" w:eastAsia="Arial" w:hAnsi="Arial"/>
          <w:sz w:val="14"/>
          <w:szCs w:val="14"/>
          <w:color w:val="auto"/>
        </w:rPr>
        <w:t>Includes fees billed or expected to be billed for each of 2021 and 2020 for professional services rendered in connection with the audit of our consolidated financial statements, limited reviews of our interim consolidated financial information, audits of the financial statements of certain of our subsidiaries and joint ventures, review of purchase accounting and acquisition matters and assistance with securities offerings, including the review of related documents, preparation of comfort letters and issuance of consents.</w:t>
      </w:r>
    </w:p>
    <w:p>
      <w:pPr>
        <w:spacing w:after="0" w:line="3" w:lineRule="exact"/>
        <w:rPr>
          <w:rFonts w:ascii="Arial" w:cs="Arial" w:eastAsia="Arial" w:hAnsi="Arial"/>
          <w:sz w:val="14"/>
          <w:szCs w:val="14"/>
          <w:color w:val="auto"/>
        </w:rPr>
      </w:pPr>
    </w:p>
    <w:p>
      <w:pPr>
        <w:ind w:left="600" w:hanging="433"/>
        <w:spacing w:after="0"/>
        <w:tabs>
          <w:tab w:leader="none" w:pos="600" w:val="left"/>
        </w:tabs>
        <w:numPr>
          <w:ilvl w:val="0"/>
          <w:numId w:val="27"/>
        </w:numPr>
        <w:rPr>
          <w:rFonts w:ascii="Arial" w:cs="Arial" w:eastAsia="Arial" w:hAnsi="Arial"/>
          <w:sz w:val="14"/>
          <w:szCs w:val="14"/>
          <w:color w:val="auto"/>
        </w:rPr>
      </w:pPr>
      <w:r>
        <w:rPr>
          <w:rFonts w:ascii="Arial" w:cs="Arial" w:eastAsia="Arial" w:hAnsi="Arial"/>
          <w:sz w:val="14"/>
          <w:szCs w:val="14"/>
          <w:color w:val="auto"/>
        </w:rPr>
        <w:t>Includes fees for professional services rendered in connection with the audit of the ESPP (as defined below) for 2020.</w:t>
      </w:r>
    </w:p>
    <w:p>
      <w:pPr>
        <w:spacing w:after="0" w:line="39" w:lineRule="exact"/>
        <w:rPr>
          <w:rFonts w:ascii="Arial" w:cs="Arial" w:eastAsia="Arial" w:hAnsi="Arial"/>
          <w:sz w:val="14"/>
          <w:szCs w:val="14"/>
          <w:color w:val="auto"/>
        </w:rPr>
      </w:pPr>
    </w:p>
    <w:p>
      <w:pPr>
        <w:ind w:left="600" w:hanging="433"/>
        <w:spacing w:after="0" w:line="281" w:lineRule="auto"/>
        <w:tabs>
          <w:tab w:leader="none" w:pos="600" w:val="left"/>
        </w:tabs>
        <w:numPr>
          <w:ilvl w:val="0"/>
          <w:numId w:val="27"/>
        </w:numPr>
        <w:rPr>
          <w:rFonts w:ascii="Arial" w:cs="Arial" w:eastAsia="Arial" w:hAnsi="Arial"/>
          <w:sz w:val="14"/>
          <w:szCs w:val="14"/>
          <w:color w:val="auto"/>
        </w:rPr>
      </w:pPr>
      <w:r>
        <w:rPr>
          <w:rFonts w:ascii="Arial" w:cs="Arial" w:eastAsia="Arial" w:hAnsi="Arial"/>
          <w:sz w:val="14"/>
          <w:szCs w:val="14"/>
          <w:color w:val="auto"/>
        </w:rPr>
        <w:t>Includes fees billed or expected to be billed for each of 2021 and 2020 for professional services rendered in connection with tax consulting, tax compliance, tax audit assistance and transfer pricing.</w:t>
      </w:r>
    </w:p>
    <w:p>
      <w:pPr>
        <w:spacing w:after="0" w:line="148"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Policy on Audit Committee Pre-Approval of Audit and Permissible Non-Audit Services</w:t>
      </w:r>
    </w:p>
    <w:p>
      <w:pPr>
        <w:spacing w:after="0" w:line="208" w:lineRule="exact"/>
        <w:rPr>
          <w:sz w:val="20"/>
          <w:szCs w:val="20"/>
          <w:color w:val="auto"/>
        </w:rPr>
      </w:pPr>
    </w:p>
    <w:p>
      <w:pPr>
        <w:jc w:val="both"/>
        <w:ind w:left="160"/>
        <w:spacing w:after="0" w:line="243" w:lineRule="auto"/>
        <w:rPr>
          <w:sz w:val="20"/>
          <w:szCs w:val="20"/>
          <w:color w:val="auto"/>
        </w:rPr>
      </w:pPr>
      <w:r>
        <w:rPr>
          <w:rFonts w:ascii="Arial" w:cs="Arial" w:eastAsia="Arial" w:hAnsi="Arial"/>
          <w:sz w:val="18"/>
          <w:szCs w:val="18"/>
          <w:color w:val="auto"/>
        </w:rPr>
        <w:t xml:space="preserve">Under the Audit Committee’s charter, the Audit Committee must pre -approve all audit and permitted non-audit services (including the fees and terms thereof) to be performed by our independent registered public accounting firm, except for any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non-audit services that are approved by the Audit Committee prior to the completion of the audit and that qualify for the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exception under federal securities laws and regulations.</w:t>
      </w:r>
    </w:p>
    <w:p>
      <w:pPr>
        <w:spacing w:after="0" w:line="178" w:lineRule="exact"/>
        <w:rPr>
          <w:sz w:val="20"/>
          <w:szCs w:val="20"/>
          <w:color w:val="auto"/>
        </w:rPr>
      </w:pPr>
    </w:p>
    <w:p>
      <w:pPr>
        <w:jc w:val="both"/>
        <w:ind w:left="160"/>
        <w:spacing w:after="0" w:line="236" w:lineRule="auto"/>
        <w:rPr>
          <w:sz w:val="20"/>
          <w:szCs w:val="20"/>
          <w:color w:val="auto"/>
        </w:rPr>
      </w:pPr>
      <w:r>
        <w:rPr>
          <w:rFonts w:ascii="Arial" w:cs="Arial" w:eastAsia="Arial" w:hAnsi="Arial"/>
          <w:sz w:val="18"/>
          <w:szCs w:val="18"/>
          <w:color w:val="auto"/>
        </w:rPr>
        <w:t>The Audit Committee’s pre-approval policy (the “Pre-Approval Policy”) requires the Audit Committee to pre-approve certain audit, audit-related, tax, tax-related and other services to be performed by our independent registered public accounting firm. With certain exceptions, the term of pre-approval is 12 months from the date of pre-approval. The Audit Committee periodically revises the list of pre-approved services. The Audit Committee may delegate pre-approval authority to one or more of its members, who then must report any pre-approval decisions to the full Audit Committee at its next scheduled meeting, but the Audit Committee may not delegate such decisions to management. In granting any such pre-approvals, the Audit Committee considers the extent to which approved services could impair the independence of our independent registered public accounting firm. With respect to each proposed pre-approved service, the auditor must provide the Audit Committee, upon request, with detailed back-up documentation regarding the specific services to be performed. During 2021 and 2020, all audit and permissible non-audit services were pre-approved by the Audit Committee pursuant to the Pre-Approval Policy and its charter.</w:t>
      </w:r>
    </w:p>
    <w:p>
      <w:pPr>
        <w:spacing w:after="0" w:line="18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Audit Committee has determined that the provision of services described above is compatible with maintaining PwC’s independence.</w:t>
      </w:r>
    </w:p>
    <w:p>
      <w:pPr>
        <w:spacing w:after="0" w:line="208"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Required Vote</w:t>
      </w:r>
    </w:p>
    <w:p>
      <w:pPr>
        <w:spacing w:after="0" w:line="208" w:lineRule="exact"/>
        <w:rPr>
          <w:sz w:val="20"/>
          <w:szCs w:val="20"/>
          <w:color w:val="auto"/>
        </w:rPr>
      </w:pPr>
    </w:p>
    <w:p>
      <w:pPr>
        <w:jc w:val="both"/>
        <w:ind w:left="160"/>
        <w:spacing w:after="0" w:line="265" w:lineRule="auto"/>
        <w:rPr>
          <w:sz w:val="20"/>
          <w:szCs w:val="20"/>
          <w:color w:val="auto"/>
        </w:rPr>
      </w:pPr>
      <w:r>
        <w:rPr>
          <w:rFonts w:ascii="Arial" w:cs="Arial" w:eastAsia="Arial" w:hAnsi="Arial"/>
          <w:sz w:val="18"/>
          <w:szCs w:val="18"/>
          <w:color w:val="auto"/>
        </w:rPr>
        <w:t>The affirmative vote of a majority of the votes duly cast on this item is required to approve this Proposal No. 3. Abstentions are not treated as votes cast and, therefore, will have no effect on this Proposal No. 3.</w:t>
      </w:r>
    </w:p>
    <w:p>
      <w:pPr>
        <w:spacing w:after="0" w:line="158"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The Audit Committee and the Board of Directors recommend a vote “FOR” approval of Proposal No. 3.</w:t>
      </w:r>
    </w:p>
    <w:p>
      <w:pPr>
        <w:spacing w:after="0" w:line="150" w:lineRule="exact"/>
        <w:rPr>
          <w:sz w:val="20"/>
          <w:szCs w:val="20"/>
          <w:color w:val="auto"/>
        </w:rPr>
      </w:pPr>
    </w:p>
    <w:p>
      <w:pPr>
        <w:ind w:left="160"/>
        <w:spacing w:after="0"/>
        <w:tabs>
          <w:tab w:leader="none" w:pos="500" w:val="left"/>
        </w:tabs>
        <w:rPr>
          <w:sz w:val="20"/>
          <w:szCs w:val="20"/>
          <w:color w:val="auto"/>
        </w:rPr>
      </w:pPr>
      <w:r>
        <w:rPr>
          <w:rFonts w:ascii="Arial" w:cs="Arial" w:eastAsia="Arial" w:hAnsi="Arial"/>
          <w:sz w:val="14"/>
          <w:szCs w:val="14"/>
          <w:color w:val="F75E14"/>
        </w:rPr>
        <w:t>12</w:t>
        <w:tab/>
        <w:t>onsemi 2022 Proxy Statement</w:t>
      </w:r>
    </w:p>
    <w:p>
      <w:pPr>
        <w:sectPr>
          <w:pgSz w:w="11900" w:h="16838" w:orient="portrait"/>
          <w:cols w:equalWidth="0" w:num="1">
            <w:col w:w="11080"/>
          </w:cols>
          <w:pgMar w:left="320" w:top="454" w:right="49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6"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F75E14"/>
        </w:rPr>
        <w:t>THE BOARD OF DIRECTORS AND CORPORATE GOVERNANCE</w:t>
      </w:r>
    </w:p>
    <w:p>
      <w:pPr>
        <w:spacing w:after="0" w:line="30" w:lineRule="exact"/>
        <w:rPr>
          <w:sz w:val="20"/>
          <w:szCs w:val="20"/>
          <w:color w:val="auto"/>
        </w:rPr>
      </w:pPr>
    </w:p>
    <w:p>
      <w:pPr>
        <w:jc w:val="both"/>
        <w:ind w:left="160"/>
        <w:spacing w:after="0" w:line="235" w:lineRule="auto"/>
        <w:rPr>
          <w:sz w:val="20"/>
          <w:szCs w:val="20"/>
          <w:color w:val="auto"/>
        </w:rPr>
      </w:pPr>
      <w:r>
        <w:rPr>
          <w:rFonts w:ascii="Arial" w:cs="Arial" w:eastAsia="Arial" w:hAnsi="Arial"/>
          <w:sz w:val="18"/>
          <w:szCs w:val="18"/>
          <w:color w:val="auto"/>
        </w:rPr>
        <w:t>The Board met seven times in 2021, and the committees of the Board and the former Science and Technology Committee of the Board (the “Science and Technology Committee”) held a total of 23 meetings. Each incumbent Director serving during 2021 attended more than 75% of all Board and applicable committee meetings held during his or her period of service in 2021. We do not currently have a formal policy with regard to Directors’ attendance at annual meetings of stockholders. Notwithstanding the public health concerns related to the novel coronavirus 2019 (“COVID-19”) pandemic, eight of our ten Directors serving during 2021 attended the annual meeting of stockholders held on May 20, 2021 (the “2021 Annual Meeting”).</w:t>
      </w:r>
    </w:p>
    <w:p>
      <w:pPr>
        <w:spacing w:after="0" w:line="178"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2B4772"/>
        </w:rPr>
        <w:t>Board Diversity</w:t>
      </w:r>
    </w:p>
    <w:p>
      <w:pPr>
        <w:spacing w:after="0" w:line="271" w:lineRule="exact"/>
        <w:rPr>
          <w:sz w:val="20"/>
          <w:szCs w:val="20"/>
          <w:color w:val="auto"/>
        </w:rPr>
      </w:pPr>
    </w:p>
    <w:p>
      <w:pPr>
        <w:jc w:val="center"/>
        <w:ind w:right="-119"/>
        <w:spacing w:after="0"/>
        <w:rPr>
          <w:sz w:val="20"/>
          <w:szCs w:val="20"/>
          <w:color w:val="auto"/>
        </w:rPr>
      </w:pPr>
      <w:r>
        <w:rPr>
          <w:rFonts w:ascii="Arial" w:cs="Arial" w:eastAsia="Arial" w:hAnsi="Arial"/>
          <w:sz w:val="16"/>
          <w:szCs w:val="16"/>
          <w:b w:val="1"/>
          <w:bCs w:val="1"/>
          <w:color w:val="FFFFFF"/>
        </w:rPr>
        <w:t>Board Diversity Matrix (as of March 9,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-115570</wp:posOffset>
            </wp:positionV>
            <wp:extent cx="6861810" cy="246253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61810" cy="2462530"/>
                    </a:xfrm>
                    <a:prstGeom prst="rect">
                      <a:avLst/>
                    </a:prstGeom>
                    <a:noFill/>
                  </pic:spPr>
                </pic:pic>
              </a:graphicData>
            </a:graphic>
          </wp:anchor>
        </w:drawing>
      </w:r>
    </w:p>
    <w:tbl>
      <w:tblPr>
        <w:tblLayout w:type="fixed"/>
        <w:tblInd w:w="240" w:type="dxa"/>
        <w:tblCellMar>
          <w:top w:w="0" w:type="dxa"/>
          <w:left w:w="0" w:type="dxa"/>
          <w:bottom w:w="0" w:type="dxa"/>
          <w:right w:w="0" w:type="dxa"/>
        </w:tblCellMar>
      </w:tblPr>
      <w:tr>
        <w:trPr>
          <w:trHeight w:val="216"/>
        </w:trPr>
        <w:tc>
          <w:tcPr>
            <w:tcW w:w="5180" w:type="dxa"/>
            <w:vAlign w:val="bottom"/>
            <w:tcBorders>
              <w:top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6"/>
                <w:szCs w:val="16"/>
                <w:color w:val="auto"/>
              </w:rPr>
              <w:t>Total Number of Directors</w:t>
            </w:r>
          </w:p>
        </w:tc>
        <w:tc>
          <w:tcPr>
            <w:tcW w:w="13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spacing w:after="0"/>
              <w:rPr>
                <w:sz w:val="18"/>
                <w:szCs w:val="18"/>
                <w:color w:val="auto"/>
              </w:rPr>
            </w:pPr>
          </w:p>
        </w:tc>
        <w:tc>
          <w:tcPr>
            <w:tcW w:w="1940" w:type="dxa"/>
            <w:vAlign w:val="bottom"/>
            <w:tcBorders>
              <w:top w:val="single" w:sz="8" w:color="auto"/>
              <w:bottom w:val="single" w:sz="8" w:color="auto"/>
            </w:tcBorders>
            <w:gridSpan w:val="2"/>
          </w:tcPr>
          <w:p>
            <w:pPr>
              <w:jc w:val="right"/>
              <w:ind w:right="1209"/>
              <w:spacing w:after="0"/>
              <w:rPr>
                <w:sz w:val="20"/>
                <w:szCs w:val="20"/>
                <w:color w:val="auto"/>
              </w:rPr>
            </w:pPr>
            <w:r>
              <w:rPr>
                <w:rFonts w:ascii="Arial" w:cs="Arial" w:eastAsia="Arial" w:hAnsi="Arial"/>
                <w:sz w:val="16"/>
                <w:szCs w:val="16"/>
                <w:color w:val="auto"/>
              </w:rPr>
              <w:t>10</w:t>
            </w:r>
          </w:p>
        </w:tc>
        <w:tc>
          <w:tcPr>
            <w:tcW w:w="144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r>
      <w:tr>
        <w:trPr>
          <w:trHeight w:val="163"/>
        </w:trPr>
        <w:tc>
          <w:tcPr>
            <w:tcW w:w="5180" w:type="dxa"/>
            <w:vAlign w:val="bottom"/>
            <w:tcBorders>
              <w:right w:val="single" w:sz="8" w:color="auto"/>
            </w:tcBorders>
            <w:shd w:val="clear" w:color="auto" w:fill="F75E14"/>
          </w:tcPr>
          <w:p>
            <w:pPr>
              <w:spacing w:after="0"/>
              <w:rPr>
                <w:sz w:val="14"/>
                <w:szCs w:val="14"/>
                <w:color w:val="auto"/>
              </w:rPr>
            </w:pPr>
          </w:p>
        </w:tc>
        <w:tc>
          <w:tcPr>
            <w:tcW w:w="1300" w:type="dxa"/>
            <w:vAlign w:val="bottom"/>
            <w:tcBorders>
              <w:right w:val="single" w:sz="8" w:color="auto"/>
            </w:tcBorders>
            <w:shd w:val="clear" w:color="auto" w:fill="F75E14"/>
          </w:tcPr>
          <w:p>
            <w:pPr>
              <w:spacing w:after="0"/>
              <w:rPr>
                <w:sz w:val="14"/>
                <w:szCs w:val="14"/>
                <w:color w:val="auto"/>
              </w:rPr>
            </w:pPr>
          </w:p>
        </w:tc>
        <w:tc>
          <w:tcPr>
            <w:tcW w:w="920" w:type="dxa"/>
            <w:vAlign w:val="bottom"/>
            <w:shd w:val="clear" w:color="auto" w:fill="F75E14"/>
          </w:tcPr>
          <w:p>
            <w:pPr>
              <w:spacing w:after="0"/>
              <w:rPr>
                <w:sz w:val="14"/>
                <w:szCs w:val="14"/>
                <w:color w:val="auto"/>
              </w:rPr>
            </w:pPr>
          </w:p>
        </w:tc>
        <w:tc>
          <w:tcPr>
            <w:tcW w:w="280" w:type="dxa"/>
            <w:vAlign w:val="bottom"/>
            <w:tcBorders>
              <w:right w:val="single" w:sz="8" w:color="auto"/>
            </w:tcBorders>
            <w:shd w:val="clear" w:color="auto" w:fill="F75E14"/>
          </w:tcPr>
          <w:p>
            <w:pPr>
              <w:spacing w:after="0"/>
              <w:rPr>
                <w:sz w:val="14"/>
                <w:szCs w:val="14"/>
                <w:color w:val="auto"/>
              </w:rPr>
            </w:pPr>
          </w:p>
        </w:tc>
        <w:tc>
          <w:tcPr>
            <w:tcW w:w="1660" w:type="dxa"/>
            <w:vAlign w:val="bottom"/>
            <w:tcBorders>
              <w:right w:val="single" w:sz="8" w:color="auto"/>
            </w:tcBorders>
            <w:shd w:val="clear" w:color="auto" w:fill="F75E14"/>
          </w:tcPr>
          <w:p>
            <w:pPr>
              <w:spacing w:after="0"/>
              <w:rPr>
                <w:sz w:val="14"/>
                <w:szCs w:val="14"/>
                <w:color w:val="auto"/>
              </w:rPr>
            </w:pPr>
          </w:p>
        </w:tc>
        <w:tc>
          <w:tcPr>
            <w:tcW w:w="1440" w:type="dxa"/>
            <w:vAlign w:val="bottom"/>
            <w:shd w:val="clear" w:color="auto" w:fill="F75E14"/>
          </w:tcPr>
          <w:p>
            <w:pPr>
              <w:jc w:val="center"/>
              <w:spacing w:after="0"/>
              <w:rPr>
                <w:sz w:val="20"/>
                <w:szCs w:val="20"/>
                <w:color w:val="auto"/>
              </w:rPr>
            </w:pPr>
            <w:r>
              <w:rPr>
                <w:rFonts w:ascii="Arial" w:cs="Arial" w:eastAsia="Arial" w:hAnsi="Arial"/>
                <w:sz w:val="14"/>
                <w:szCs w:val="14"/>
                <w:b w:val="1"/>
                <w:bCs w:val="1"/>
                <w:color w:val="FFFFFF"/>
              </w:rPr>
              <w:t>Did Not</w:t>
            </w:r>
          </w:p>
        </w:tc>
        <w:tc>
          <w:tcPr>
            <w:tcW w:w="20" w:type="dxa"/>
            <w:vAlign w:val="bottom"/>
          </w:tcPr>
          <w:p>
            <w:pPr>
              <w:spacing w:after="0"/>
              <w:rPr>
                <w:sz w:val="14"/>
                <w:szCs w:val="14"/>
                <w:color w:val="auto"/>
              </w:rPr>
            </w:pPr>
          </w:p>
        </w:tc>
      </w:tr>
      <w:tr>
        <w:trPr>
          <w:trHeight w:val="160"/>
        </w:trPr>
        <w:tc>
          <w:tcPr>
            <w:tcW w:w="5180" w:type="dxa"/>
            <w:vAlign w:val="bottom"/>
            <w:tcBorders>
              <w:right w:val="single" w:sz="8" w:color="auto"/>
            </w:tcBorders>
            <w:shd w:val="clear" w:color="auto" w:fill="F75E14"/>
          </w:tcPr>
          <w:p>
            <w:pPr>
              <w:spacing w:after="0"/>
              <w:rPr>
                <w:sz w:val="13"/>
                <w:szCs w:val="13"/>
                <w:color w:val="auto"/>
              </w:rPr>
            </w:pPr>
          </w:p>
        </w:tc>
        <w:tc>
          <w:tcPr>
            <w:tcW w:w="1300" w:type="dxa"/>
            <w:vAlign w:val="bottom"/>
            <w:tcBorders>
              <w:right w:val="single" w:sz="8" w:color="auto"/>
            </w:tcBorders>
            <w:shd w:val="clear" w:color="auto" w:fill="F75E14"/>
          </w:tcPr>
          <w:p>
            <w:pPr>
              <w:spacing w:after="0"/>
              <w:rPr>
                <w:sz w:val="13"/>
                <w:szCs w:val="13"/>
                <w:color w:val="auto"/>
              </w:rPr>
            </w:pPr>
          </w:p>
        </w:tc>
        <w:tc>
          <w:tcPr>
            <w:tcW w:w="920" w:type="dxa"/>
            <w:vAlign w:val="bottom"/>
            <w:shd w:val="clear" w:color="auto" w:fill="F75E14"/>
          </w:tcPr>
          <w:p>
            <w:pPr>
              <w:spacing w:after="0"/>
              <w:rPr>
                <w:sz w:val="13"/>
                <w:szCs w:val="13"/>
                <w:color w:val="auto"/>
              </w:rPr>
            </w:pPr>
          </w:p>
        </w:tc>
        <w:tc>
          <w:tcPr>
            <w:tcW w:w="280" w:type="dxa"/>
            <w:vAlign w:val="bottom"/>
            <w:tcBorders>
              <w:right w:val="single" w:sz="8" w:color="auto"/>
            </w:tcBorders>
            <w:shd w:val="clear" w:color="auto" w:fill="F75E14"/>
          </w:tcPr>
          <w:p>
            <w:pPr>
              <w:spacing w:after="0"/>
              <w:rPr>
                <w:sz w:val="13"/>
                <w:szCs w:val="13"/>
                <w:color w:val="auto"/>
              </w:rPr>
            </w:pPr>
          </w:p>
        </w:tc>
        <w:tc>
          <w:tcPr>
            <w:tcW w:w="1660" w:type="dxa"/>
            <w:vAlign w:val="bottom"/>
            <w:tcBorders>
              <w:right w:val="single" w:sz="8" w:color="auto"/>
            </w:tcBorders>
            <w:shd w:val="clear" w:color="auto" w:fill="F75E14"/>
          </w:tcPr>
          <w:p>
            <w:pPr>
              <w:spacing w:after="0"/>
              <w:rPr>
                <w:sz w:val="13"/>
                <w:szCs w:val="13"/>
                <w:color w:val="auto"/>
              </w:rPr>
            </w:pPr>
          </w:p>
        </w:tc>
        <w:tc>
          <w:tcPr>
            <w:tcW w:w="1440" w:type="dxa"/>
            <w:vAlign w:val="bottom"/>
            <w:shd w:val="clear" w:color="auto" w:fill="F75E14"/>
          </w:tcPr>
          <w:p>
            <w:pPr>
              <w:jc w:val="center"/>
              <w:spacing w:after="0"/>
              <w:rPr>
                <w:sz w:val="20"/>
                <w:szCs w:val="20"/>
                <w:color w:val="auto"/>
              </w:rPr>
            </w:pPr>
            <w:r>
              <w:rPr>
                <w:rFonts w:ascii="Arial" w:cs="Arial" w:eastAsia="Arial" w:hAnsi="Arial"/>
                <w:sz w:val="14"/>
                <w:szCs w:val="14"/>
                <w:b w:val="1"/>
                <w:bCs w:val="1"/>
                <w:color w:val="FFFFFF"/>
              </w:rPr>
              <w:t>Disclose</w:t>
            </w:r>
          </w:p>
        </w:tc>
        <w:tc>
          <w:tcPr>
            <w:tcW w:w="20" w:type="dxa"/>
            <w:vAlign w:val="bottom"/>
          </w:tcPr>
          <w:p>
            <w:pPr>
              <w:spacing w:after="0"/>
              <w:rPr>
                <w:sz w:val="13"/>
                <w:szCs w:val="13"/>
                <w:color w:val="auto"/>
              </w:rPr>
            </w:pPr>
          </w:p>
        </w:tc>
      </w:tr>
      <w:tr>
        <w:trPr>
          <w:trHeight w:val="196"/>
        </w:trPr>
        <w:tc>
          <w:tcPr>
            <w:tcW w:w="5180" w:type="dxa"/>
            <w:vAlign w:val="bottom"/>
            <w:tcBorders>
              <w:bottom w:val="single" w:sz="8" w:color="auto"/>
              <w:right w:val="single" w:sz="8" w:color="auto"/>
            </w:tcBorders>
            <w:shd w:val="clear" w:color="auto" w:fill="F75E14"/>
          </w:tcPr>
          <w:p>
            <w:pPr>
              <w:spacing w:after="0"/>
              <w:rPr>
                <w:sz w:val="17"/>
                <w:szCs w:val="17"/>
                <w:color w:val="auto"/>
              </w:rPr>
            </w:pPr>
          </w:p>
        </w:tc>
        <w:tc>
          <w:tcPr>
            <w:tcW w:w="1300" w:type="dxa"/>
            <w:vAlign w:val="bottom"/>
            <w:tcBorders>
              <w:bottom w:val="single" w:sz="8" w:color="auto"/>
              <w:right w:val="single" w:sz="8" w:color="auto"/>
            </w:tcBorders>
            <w:shd w:val="clear" w:color="auto" w:fill="F75E14"/>
          </w:tcPr>
          <w:p>
            <w:pPr>
              <w:jc w:val="right"/>
              <w:ind w:right="322"/>
              <w:spacing w:after="0"/>
              <w:rPr>
                <w:sz w:val="20"/>
                <w:szCs w:val="20"/>
                <w:color w:val="auto"/>
              </w:rPr>
            </w:pPr>
            <w:r>
              <w:rPr>
                <w:rFonts w:ascii="Arial" w:cs="Arial" w:eastAsia="Arial" w:hAnsi="Arial"/>
                <w:sz w:val="14"/>
                <w:szCs w:val="14"/>
                <w:b w:val="1"/>
                <w:bCs w:val="1"/>
                <w:color w:val="FFFFFF"/>
              </w:rPr>
              <w:t>Female</w:t>
            </w:r>
          </w:p>
        </w:tc>
        <w:tc>
          <w:tcPr>
            <w:tcW w:w="920" w:type="dxa"/>
            <w:vAlign w:val="bottom"/>
            <w:tcBorders>
              <w:bottom w:val="single" w:sz="8" w:color="auto"/>
            </w:tcBorders>
            <w:shd w:val="clear" w:color="auto" w:fill="F75E14"/>
          </w:tcPr>
          <w:p>
            <w:pPr>
              <w:jc w:val="center"/>
              <w:ind w:left="142"/>
              <w:spacing w:after="0"/>
              <w:rPr>
                <w:sz w:val="20"/>
                <w:szCs w:val="20"/>
                <w:color w:val="auto"/>
              </w:rPr>
            </w:pPr>
            <w:r>
              <w:rPr>
                <w:rFonts w:ascii="Arial" w:cs="Arial" w:eastAsia="Arial" w:hAnsi="Arial"/>
                <w:sz w:val="14"/>
                <w:szCs w:val="14"/>
                <w:b w:val="1"/>
                <w:bCs w:val="1"/>
                <w:color w:val="FFFFFF"/>
                <w:w w:val="96"/>
              </w:rPr>
              <w:t>Male</w:t>
            </w:r>
          </w:p>
        </w:tc>
        <w:tc>
          <w:tcPr>
            <w:tcW w:w="280" w:type="dxa"/>
            <w:vAlign w:val="bottom"/>
            <w:tcBorders>
              <w:bottom w:val="single" w:sz="8" w:color="auto"/>
              <w:right w:val="single" w:sz="8" w:color="auto"/>
            </w:tcBorders>
            <w:shd w:val="clear" w:color="auto" w:fill="F75E14"/>
          </w:tcPr>
          <w:p>
            <w:pPr>
              <w:spacing w:after="0"/>
              <w:rPr>
                <w:sz w:val="17"/>
                <w:szCs w:val="17"/>
                <w:color w:val="auto"/>
              </w:rPr>
            </w:pPr>
          </w:p>
        </w:tc>
        <w:tc>
          <w:tcPr>
            <w:tcW w:w="1660" w:type="dxa"/>
            <w:vAlign w:val="bottom"/>
            <w:tcBorders>
              <w:bottom w:val="single" w:sz="8" w:color="auto"/>
              <w:right w:val="single" w:sz="8" w:color="auto"/>
            </w:tcBorders>
            <w:shd w:val="clear" w:color="auto" w:fill="F75E14"/>
          </w:tcPr>
          <w:p>
            <w:pPr>
              <w:jc w:val="right"/>
              <w:ind w:right="409"/>
              <w:spacing w:after="0"/>
              <w:rPr>
                <w:sz w:val="20"/>
                <w:szCs w:val="20"/>
                <w:color w:val="auto"/>
              </w:rPr>
            </w:pPr>
            <w:r>
              <w:rPr>
                <w:rFonts w:ascii="Arial" w:cs="Arial" w:eastAsia="Arial" w:hAnsi="Arial"/>
                <w:sz w:val="14"/>
                <w:szCs w:val="14"/>
                <w:b w:val="1"/>
                <w:bCs w:val="1"/>
                <w:color w:val="FFFFFF"/>
              </w:rPr>
              <w:t>Non-Binary</w:t>
            </w:r>
          </w:p>
        </w:tc>
        <w:tc>
          <w:tcPr>
            <w:tcW w:w="1440" w:type="dxa"/>
            <w:vAlign w:val="bottom"/>
            <w:tcBorders>
              <w:bottom w:val="single" w:sz="8" w:color="auto"/>
            </w:tcBorders>
            <w:shd w:val="clear" w:color="auto" w:fill="F75E14"/>
          </w:tcPr>
          <w:p>
            <w:pPr>
              <w:jc w:val="center"/>
              <w:spacing w:after="0"/>
              <w:rPr>
                <w:sz w:val="20"/>
                <w:szCs w:val="20"/>
                <w:color w:val="auto"/>
              </w:rPr>
            </w:pPr>
            <w:r>
              <w:rPr>
                <w:rFonts w:ascii="Arial" w:cs="Arial" w:eastAsia="Arial" w:hAnsi="Arial"/>
                <w:sz w:val="14"/>
                <w:szCs w:val="14"/>
                <w:b w:val="1"/>
                <w:bCs w:val="1"/>
                <w:color w:val="FFFFFF"/>
              </w:rPr>
              <w:t>Gender</w:t>
            </w:r>
          </w:p>
        </w:tc>
        <w:tc>
          <w:tcPr>
            <w:tcW w:w="20" w:type="dxa"/>
            <w:vAlign w:val="bottom"/>
            <w:tcBorders>
              <w:bottom w:val="single" w:sz="8" w:color="auto"/>
            </w:tcBorders>
          </w:tcPr>
          <w:p>
            <w:pPr>
              <w:spacing w:after="0"/>
              <w:rPr>
                <w:sz w:val="17"/>
                <w:szCs w:val="17"/>
                <w:color w:val="auto"/>
              </w:rPr>
            </w:pPr>
          </w:p>
        </w:tc>
      </w:tr>
      <w:tr>
        <w:trPr>
          <w:trHeight w:val="218"/>
        </w:trPr>
        <w:tc>
          <w:tcPr>
            <w:tcW w:w="5180" w:type="dxa"/>
            <w:vAlign w:val="bottom"/>
            <w:tcBorders>
              <w:bottom w:val="single" w:sz="8" w:color="auto"/>
              <w:right w:val="single" w:sz="8" w:color="F75E14"/>
            </w:tcBorders>
            <w:shd w:val="clear" w:color="auto" w:fill="F75E14"/>
          </w:tcPr>
          <w:p>
            <w:pPr>
              <w:ind w:left="140"/>
              <w:spacing w:after="0"/>
              <w:rPr>
                <w:sz w:val="20"/>
                <w:szCs w:val="20"/>
                <w:color w:val="auto"/>
              </w:rPr>
            </w:pPr>
            <w:r>
              <w:rPr>
                <w:rFonts w:ascii="Arial" w:cs="Arial" w:eastAsia="Arial" w:hAnsi="Arial"/>
                <w:sz w:val="16"/>
                <w:szCs w:val="16"/>
                <w:b w:val="1"/>
                <w:bCs w:val="1"/>
                <w:color w:val="FFFFFF"/>
              </w:rPr>
              <w:t>Part I. Gender Identity</w:t>
            </w:r>
          </w:p>
        </w:tc>
        <w:tc>
          <w:tcPr>
            <w:tcW w:w="1300" w:type="dxa"/>
            <w:vAlign w:val="bottom"/>
            <w:tcBorders>
              <w:bottom w:val="single" w:sz="8" w:color="auto"/>
              <w:right w:val="single" w:sz="8" w:color="F75E14"/>
            </w:tcBorders>
            <w:shd w:val="clear" w:color="auto" w:fill="F75E14"/>
          </w:tcPr>
          <w:p>
            <w:pPr>
              <w:spacing w:after="0"/>
              <w:rPr>
                <w:sz w:val="18"/>
                <w:szCs w:val="18"/>
                <w:color w:val="auto"/>
              </w:rPr>
            </w:pPr>
          </w:p>
        </w:tc>
        <w:tc>
          <w:tcPr>
            <w:tcW w:w="920" w:type="dxa"/>
            <w:vAlign w:val="bottom"/>
            <w:tcBorders>
              <w:bottom w:val="single" w:sz="8" w:color="auto"/>
            </w:tcBorders>
            <w:shd w:val="clear" w:color="auto" w:fill="F75E14"/>
          </w:tcPr>
          <w:p>
            <w:pPr>
              <w:spacing w:after="0"/>
              <w:rPr>
                <w:sz w:val="18"/>
                <w:szCs w:val="18"/>
                <w:color w:val="auto"/>
              </w:rPr>
            </w:pPr>
          </w:p>
        </w:tc>
        <w:tc>
          <w:tcPr>
            <w:tcW w:w="280" w:type="dxa"/>
            <w:vAlign w:val="bottom"/>
            <w:tcBorders>
              <w:bottom w:val="single" w:sz="8" w:color="auto"/>
              <w:right w:val="single" w:sz="8" w:color="F75E14"/>
            </w:tcBorders>
            <w:shd w:val="clear" w:color="auto" w:fill="F75E14"/>
          </w:tcPr>
          <w:p>
            <w:pPr>
              <w:spacing w:after="0"/>
              <w:rPr>
                <w:sz w:val="18"/>
                <w:szCs w:val="18"/>
                <w:color w:val="auto"/>
              </w:rPr>
            </w:pPr>
          </w:p>
        </w:tc>
        <w:tc>
          <w:tcPr>
            <w:tcW w:w="1660" w:type="dxa"/>
            <w:vAlign w:val="bottom"/>
            <w:tcBorders>
              <w:bottom w:val="single" w:sz="8" w:color="auto"/>
              <w:right w:val="single" w:sz="8" w:color="F75E14"/>
            </w:tcBorders>
            <w:shd w:val="clear" w:color="auto" w:fill="F75E14"/>
          </w:tcPr>
          <w:p>
            <w:pPr>
              <w:spacing w:after="0"/>
              <w:rPr>
                <w:sz w:val="18"/>
                <w:szCs w:val="18"/>
                <w:color w:val="auto"/>
              </w:rPr>
            </w:pPr>
          </w:p>
        </w:tc>
        <w:tc>
          <w:tcPr>
            <w:tcW w:w="1440" w:type="dxa"/>
            <w:vAlign w:val="bottom"/>
            <w:tcBorders>
              <w:bottom w:val="single" w:sz="8" w:color="auto"/>
            </w:tcBorders>
            <w:shd w:val="clear" w:color="auto" w:fill="F75E14"/>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r>
      <w:tr>
        <w:trPr>
          <w:trHeight w:val="217"/>
        </w:trPr>
        <w:tc>
          <w:tcPr>
            <w:tcW w:w="518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6"/>
                <w:szCs w:val="16"/>
                <w:color w:val="auto"/>
              </w:rPr>
              <w:t>Directors</w:t>
            </w:r>
          </w:p>
        </w:tc>
        <w:tc>
          <w:tcPr>
            <w:tcW w:w="1300" w:type="dxa"/>
            <w:vAlign w:val="bottom"/>
            <w:tcBorders>
              <w:bottom w:val="single" w:sz="8" w:color="auto"/>
              <w:right w:val="single" w:sz="8" w:color="auto"/>
            </w:tcBorders>
          </w:tcPr>
          <w:p>
            <w:pPr>
              <w:jc w:val="right"/>
              <w:ind w:right="562"/>
              <w:spacing w:after="0"/>
              <w:rPr>
                <w:sz w:val="20"/>
                <w:szCs w:val="20"/>
                <w:color w:val="auto"/>
              </w:rPr>
            </w:pPr>
            <w:r>
              <w:rPr>
                <w:rFonts w:ascii="Arial" w:cs="Arial" w:eastAsia="Arial" w:hAnsi="Arial"/>
                <w:sz w:val="16"/>
                <w:szCs w:val="16"/>
                <w:color w:val="auto"/>
              </w:rPr>
              <w:t>2</w:t>
            </w:r>
          </w:p>
        </w:tc>
        <w:tc>
          <w:tcPr>
            <w:tcW w:w="920" w:type="dxa"/>
            <w:vAlign w:val="bottom"/>
            <w:tcBorders>
              <w:bottom w:val="single" w:sz="8" w:color="auto"/>
            </w:tcBorders>
          </w:tcPr>
          <w:p>
            <w:pPr>
              <w:jc w:val="center"/>
              <w:ind w:left="182"/>
              <w:spacing w:after="0"/>
              <w:rPr>
                <w:sz w:val="20"/>
                <w:szCs w:val="20"/>
                <w:color w:val="auto"/>
              </w:rPr>
            </w:pPr>
            <w:r>
              <w:rPr>
                <w:rFonts w:ascii="Arial" w:cs="Arial" w:eastAsia="Arial" w:hAnsi="Arial"/>
                <w:sz w:val="16"/>
                <w:szCs w:val="16"/>
                <w:color w:val="auto"/>
              </w:rPr>
              <w:t>8</w:t>
            </w:r>
          </w:p>
        </w:tc>
        <w:tc>
          <w:tcPr>
            <w:tcW w:w="280" w:type="dxa"/>
            <w:vAlign w:val="bottom"/>
            <w:tcBorders>
              <w:bottom w:val="single" w:sz="8" w:color="auto"/>
              <w:right w:val="single" w:sz="8" w:color="auto"/>
            </w:tcBorders>
          </w:tcPr>
          <w:p>
            <w:pPr>
              <w:spacing w:after="0"/>
              <w:rPr>
                <w:sz w:val="18"/>
                <w:szCs w:val="18"/>
                <w:color w:val="auto"/>
              </w:rPr>
            </w:pPr>
          </w:p>
        </w:tc>
        <w:tc>
          <w:tcPr>
            <w:tcW w:w="1660" w:type="dxa"/>
            <w:vAlign w:val="bottom"/>
            <w:tcBorders>
              <w:bottom w:val="single" w:sz="8" w:color="auto"/>
              <w:right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r>
      <w:tr>
        <w:trPr>
          <w:trHeight w:val="224"/>
        </w:trPr>
        <w:tc>
          <w:tcPr>
            <w:tcW w:w="5180" w:type="dxa"/>
            <w:vAlign w:val="bottom"/>
            <w:tcBorders>
              <w:bottom w:val="single" w:sz="8" w:color="auto"/>
              <w:right w:val="single" w:sz="8" w:color="F75E14"/>
            </w:tcBorders>
            <w:shd w:val="clear" w:color="auto" w:fill="F75E14"/>
          </w:tcPr>
          <w:p>
            <w:pPr>
              <w:ind w:left="140"/>
              <w:spacing w:after="0"/>
              <w:rPr>
                <w:sz w:val="20"/>
                <w:szCs w:val="20"/>
                <w:color w:val="auto"/>
              </w:rPr>
            </w:pPr>
            <w:r>
              <w:rPr>
                <w:rFonts w:ascii="Arial" w:cs="Arial" w:eastAsia="Arial" w:hAnsi="Arial"/>
                <w:sz w:val="16"/>
                <w:szCs w:val="16"/>
                <w:b w:val="1"/>
                <w:bCs w:val="1"/>
                <w:color w:val="FFFFFF"/>
              </w:rPr>
              <w:t>Part II. Demographic Background</w:t>
            </w:r>
          </w:p>
        </w:tc>
        <w:tc>
          <w:tcPr>
            <w:tcW w:w="1300" w:type="dxa"/>
            <w:vAlign w:val="bottom"/>
            <w:tcBorders>
              <w:bottom w:val="single" w:sz="8" w:color="auto"/>
              <w:right w:val="single" w:sz="8" w:color="F75E14"/>
            </w:tcBorders>
            <w:shd w:val="clear" w:color="auto" w:fill="F75E14"/>
          </w:tcPr>
          <w:p>
            <w:pPr>
              <w:spacing w:after="0"/>
              <w:rPr>
                <w:sz w:val="19"/>
                <w:szCs w:val="19"/>
                <w:color w:val="auto"/>
              </w:rPr>
            </w:pPr>
          </w:p>
        </w:tc>
        <w:tc>
          <w:tcPr>
            <w:tcW w:w="920" w:type="dxa"/>
            <w:vAlign w:val="bottom"/>
            <w:tcBorders>
              <w:bottom w:val="single" w:sz="8" w:color="auto"/>
            </w:tcBorders>
            <w:shd w:val="clear" w:color="auto" w:fill="F75E14"/>
          </w:tcPr>
          <w:p>
            <w:pPr>
              <w:spacing w:after="0"/>
              <w:rPr>
                <w:sz w:val="19"/>
                <w:szCs w:val="19"/>
                <w:color w:val="auto"/>
              </w:rPr>
            </w:pPr>
          </w:p>
        </w:tc>
        <w:tc>
          <w:tcPr>
            <w:tcW w:w="280" w:type="dxa"/>
            <w:vAlign w:val="bottom"/>
            <w:tcBorders>
              <w:bottom w:val="single" w:sz="8" w:color="auto"/>
              <w:right w:val="single" w:sz="8" w:color="F75E14"/>
            </w:tcBorders>
            <w:shd w:val="clear" w:color="auto" w:fill="F75E14"/>
          </w:tcPr>
          <w:p>
            <w:pPr>
              <w:spacing w:after="0"/>
              <w:rPr>
                <w:sz w:val="19"/>
                <w:szCs w:val="19"/>
                <w:color w:val="auto"/>
              </w:rPr>
            </w:pPr>
          </w:p>
        </w:tc>
        <w:tc>
          <w:tcPr>
            <w:tcW w:w="1660" w:type="dxa"/>
            <w:vAlign w:val="bottom"/>
            <w:tcBorders>
              <w:bottom w:val="single" w:sz="8" w:color="auto"/>
              <w:right w:val="single" w:sz="8" w:color="F75E14"/>
            </w:tcBorders>
            <w:shd w:val="clear" w:color="auto" w:fill="F75E14"/>
          </w:tcPr>
          <w:p>
            <w:pPr>
              <w:spacing w:after="0"/>
              <w:rPr>
                <w:sz w:val="19"/>
                <w:szCs w:val="19"/>
                <w:color w:val="auto"/>
              </w:rPr>
            </w:pPr>
          </w:p>
        </w:tc>
        <w:tc>
          <w:tcPr>
            <w:tcW w:w="1440" w:type="dxa"/>
            <w:vAlign w:val="bottom"/>
            <w:tcBorders>
              <w:bottom w:val="single" w:sz="8" w:color="auto"/>
            </w:tcBorders>
            <w:shd w:val="clear" w:color="auto" w:fill="F75E14"/>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r>
      <w:tr>
        <w:trPr>
          <w:trHeight w:val="217"/>
        </w:trPr>
        <w:tc>
          <w:tcPr>
            <w:tcW w:w="518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6"/>
                <w:szCs w:val="16"/>
                <w:color w:val="auto"/>
              </w:rPr>
              <w:t>African American or Black</w:t>
            </w:r>
          </w:p>
        </w:tc>
        <w:tc>
          <w:tcPr>
            <w:tcW w:w="130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80" w:type="dxa"/>
            <w:vAlign w:val="bottom"/>
            <w:tcBorders>
              <w:bottom w:val="single" w:sz="8" w:color="auto"/>
              <w:right w:val="single" w:sz="8" w:color="auto"/>
            </w:tcBorders>
          </w:tcPr>
          <w:p>
            <w:pPr>
              <w:spacing w:after="0"/>
              <w:rPr>
                <w:sz w:val="18"/>
                <w:szCs w:val="18"/>
                <w:color w:val="auto"/>
              </w:rPr>
            </w:pPr>
          </w:p>
        </w:tc>
        <w:tc>
          <w:tcPr>
            <w:tcW w:w="1660" w:type="dxa"/>
            <w:vAlign w:val="bottom"/>
            <w:tcBorders>
              <w:bottom w:val="single" w:sz="8" w:color="auto"/>
              <w:right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r>
      <w:tr>
        <w:trPr>
          <w:trHeight w:val="221"/>
        </w:trPr>
        <w:tc>
          <w:tcPr>
            <w:tcW w:w="518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6"/>
                <w:szCs w:val="16"/>
                <w:color w:val="auto"/>
              </w:rPr>
              <w:t>Alaskan Native or Native American</w:t>
            </w:r>
          </w:p>
        </w:tc>
        <w:tc>
          <w:tcPr>
            <w:tcW w:w="1300" w:type="dxa"/>
            <w:vAlign w:val="bottom"/>
            <w:tcBorders>
              <w:bottom w:val="single" w:sz="8" w:color="auto"/>
              <w:right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280" w:type="dxa"/>
            <w:vAlign w:val="bottom"/>
            <w:tcBorders>
              <w:bottom w:val="single" w:sz="8" w:color="auto"/>
              <w:right w:val="single" w:sz="8" w:color="auto"/>
            </w:tcBorders>
          </w:tcPr>
          <w:p>
            <w:pPr>
              <w:spacing w:after="0"/>
              <w:rPr>
                <w:sz w:val="19"/>
                <w:szCs w:val="19"/>
                <w:color w:val="auto"/>
              </w:rPr>
            </w:pPr>
          </w:p>
        </w:tc>
        <w:tc>
          <w:tcPr>
            <w:tcW w:w="1660" w:type="dxa"/>
            <w:vAlign w:val="bottom"/>
            <w:tcBorders>
              <w:bottom w:val="single" w:sz="8" w:color="auto"/>
              <w:right w:val="single" w:sz="8" w:color="auto"/>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r>
      <w:tr>
        <w:trPr>
          <w:trHeight w:val="221"/>
        </w:trPr>
        <w:tc>
          <w:tcPr>
            <w:tcW w:w="518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6"/>
                <w:szCs w:val="16"/>
                <w:color w:val="auto"/>
              </w:rPr>
              <w:t>Asian</w:t>
            </w:r>
          </w:p>
        </w:tc>
        <w:tc>
          <w:tcPr>
            <w:tcW w:w="1300" w:type="dxa"/>
            <w:vAlign w:val="bottom"/>
            <w:tcBorders>
              <w:bottom w:val="single" w:sz="8" w:color="auto"/>
              <w:right w:val="single" w:sz="8" w:color="auto"/>
            </w:tcBorders>
          </w:tcPr>
          <w:p>
            <w:pPr>
              <w:jc w:val="right"/>
              <w:ind w:right="562"/>
              <w:spacing w:after="0"/>
              <w:rPr>
                <w:sz w:val="20"/>
                <w:szCs w:val="20"/>
                <w:color w:val="auto"/>
              </w:rPr>
            </w:pPr>
            <w:r>
              <w:rPr>
                <w:rFonts w:ascii="Arial" w:cs="Arial" w:eastAsia="Arial" w:hAnsi="Arial"/>
                <w:sz w:val="16"/>
                <w:szCs w:val="16"/>
                <w:color w:val="auto"/>
              </w:rPr>
              <w:t>1</w:t>
            </w:r>
          </w:p>
        </w:tc>
        <w:tc>
          <w:tcPr>
            <w:tcW w:w="920" w:type="dxa"/>
            <w:vAlign w:val="bottom"/>
            <w:tcBorders>
              <w:bottom w:val="single" w:sz="8" w:color="auto"/>
            </w:tcBorders>
          </w:tcPr>
          <w:p>
            <w:pPr>
              <w:jc w:val="center"/>
              <w:ind w:left="182"/>
              <w:spacing w:after="0"/>
              <w:rPr>
                <w:sz w:val="20"/>
                <w:szCs w:val="20"/>
                <w:color w:val="auto"/>
              </w:rPr>
            </w:pPr>
            <w:r>
              <w:rPr>
                <w:rFonts w:ascii="Arial" w:cs="Arial" w:eastAsia="Arial" w:hAnsi="Arial"/>
                <w:sz w:val="16"/>
                <w:szCs w:val="16"/>
                <w:color w:val="auto"/>
              </w:rPr>
              <w:t>1</w:t>
            </w:r>
          </w:p>
        </w:tc>
        <w:tc>
          <w:tcPr>
            <w:tcW w:w="280" w:type="dxa"/>
            <w:vAlign w:val="bottom"/>
            <w:tcBorders>
              <w:bottom w:val="single" w:sz="8" w:color="auto"/>
              <w:right w:val="single" w:sz="8" w:color="auto"/>
            </w:tcBorders>
          </w:tcPr>
          <w:p>
            <w:pPr>
              <w:spacing w:after="0"/>
              <w:rPr>
                <w:sz w:val="19"/>
                <w:szCs w:val="19"/>
                <w:color w:val="auto"/>
              </w:rPr>
            </w:pPr>
          </w:p>
        </w:tc>
        <w:tc>
          <w:tcPr>
            <w:tcW w:w="1660" w:type="dxa"/>
            <w:vAlign w:val="bottom"/>
            <w:tcBorders>
              <w:bottom w:val="single" w:sz="8" w:color="auto"/>
              <w:right w:val="single" w:sz="8" w:color="auto"/>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r>
      <w:tr>
        <w:trPr>
          <w:trHeight w:val="221"/>
        </w:trPr>
        <w:tc>
          <w:tcPr>
            <w:tcW w:w="518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6"/>
                <w:szCs w:val="16"/>
                <w:color w:val="auto"/>
              </w:rPr>
              <w:t>Hispanic or Latinx</w:t>
            </w:r>
          </w:p>
        </w:tc>
        <w:tc>
          <w:tcPr>
            <w:tcW w:w="1300" w:type="dxa"/>
            <w:vAlign w:val="bottom"/>
            <w:tcBorders>
              <w:bottom w:val="single" w:sz="8" w:color="auto"/>
              <w:right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280" w:type="dxa"/>
            <w:vAlign w:val="bottom"/>
            <w:tcBorders>
              <w:bottom w:val="single" w:sz="8" w:color="auto"/>
              <w:right w:val="single" w:sz="8" w:color="auto"/>
            </w:tcBorders>
          </w:tcPr>
          <w:p>
            <w:pPr>
              <w:spacing w:after="0"/>
              <w:rPr>
                <w:sz w:val="19"/>
                <w:szCs w:val="19"/>
                <w:color w:val="auto"/>
              </w:rPr>
            </w:pPr>
          </w:p>
        </w:tc>
        <w:tc>
          <w:tcPr>
            <w:tcW w:w="1660" w:type="dxa"/>
            <w:vAlign w:val="bottom"/>
            <w:tcBorders>
              <w:bottom w:val="single" w:sz="8" w:color="auto"/>
              <w:right w:val="single" w:sz="8" w:color="auto"/>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r>
      <w:tr>
        <w:trPr>
          <w:trHeight w:val="221"/>
        </w:trPr>
        <w:tc>
          <w:tcPr>
            <w:tcW w:w="518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6"/>
                <w:szCs w:val="16"/>
                <w:color w:val="auto"/>
              </w:rPr>
              <w:t>Native Hawaiian or Pacific Islander</w:t>
            </w:r>
          </w:p>
        </w:tc>
        <w:tc>
          <w:tcPr>
            <w:tcW w:w="1300" w:type="dxa"/>
            <w:vAlign w:val="bottom"/>
            <w:tcBorders>
              <w:bottom w:val="single" w:sz="8" w:color="auto"/>
              <w:right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280" w:type="dxa"/>
            <w:vAlign w:val="bottom"/>
            <w:tcBorders>
              <w:bottom w:val="single" w:sz="8" w:color="auto"/>
              <w:right w:val="single" w:sz="8" w:color="auto"/>
            </w:tcBorders>
          </w:tcPr>
          <w:p>
            <w:pPr>
              <w:spacing w:after="0"/>
              <w:rPr>
                <w:sz w:val="19"/>
                <w:szCs w:val="19"/>
                <w:color w:val="auto"/>
              </w:rPr>
            </w:pPr>
          </w:p>
        </w:tc>
        <w:tc>
          <w:tcPr>
            <w:tcW w:w="1660" w:type="dxa"/>
            <w:vAlign w:val="bottom"/>
            <w:tcBorders>
              <w:bottom w:val="single" w:sz="8" w:color="auto"/>
              <w:right w:val="single" w:sz="8" w:color="auto"/>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r>
      <w:tr>
        <w:trPr>
          <w:trHeight w:val="221"/>
        </w:trPr>
        <w:tc>
          <w:tcPr>
            <w:tcW w:w="518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6"/>
                <w:szCs w:val="16"/>
                <w:color w:val="auto"/>
              </w:rPr>
              <w:t>White</w:t>
            </w:r>
          </w:p>
        </w:tc>
        <w:tc>
          <w:tcPr>
            <w:tcW w:w="1300" w:type="dxa"/>
            <w:vAlign w:val="bottom"/>
            <w:tcBorders>
              <w:bottom w:val="single" w:sz="8" w:color="auto"/>
              <w:right w:val="single" w:sz="8" w:color="auto"/>
            </w:tcBorders>
          </w:tcPr>
          <w:p>
            <w:pPr>
              <w:jc w:val="right"/>
              <w:ind w:right="562"/>
              <w:spacing w:after="0"/>
              <w:rPr>
                <w:sz w:val="20"/>
                <w:szCs w:val="20"/>
                <w:color w:val="auto"/>
              </w:rPr>
            </w:pPr>
            <w:r>
              <w:rPr>
                <w:rFonts w:ascii="Arial" w:cs="Arial" w:eastAsia="Arial" w:hAnsi="Arial"/>
                <w:sz w:val="16"/>
                <w:szCs w:val="16"/>
                <w:color w:val="auto"/>
              </w:rPr>
              <w:t>1</w:t>
            </w:r>
          </w:p>
        </w:tc>
        <w:tc>
          <w:tcPr>
            <w:tcW w:w="920" w:type="dxa"/>
            <w:vAlign w:val="bottom"/>
            <w:tcBorders>
              <w:bottom w:val="single" w:sz="8" w:color="auto"/>
            </w:tcBorders>
          </w:tcPr>
          <w:p>
            <w:pPr>
              <w:jc w:val="center"/>
              <w:ind w:left="182"/>
              <w:spacing w:after="0"/>
              <w:rPr>
                <w:sz w:val="20"/>
                <w:szCs w:val="20"/>
                <w:color w:val="auto"/>
              </w:rPr>
            </w:pPr>
            <w:r>
              <w:rPr>
                <w:rFonts w:ascii="Arial" w:cs="Arial" w:eastAsia="Arial" w:hAnsi="Arial"/>
                <w:sz w:val="16"/>
                <w:szCs w:val="16"/>
                <w:color w:val="auto"/>
              </w:rPr>
              <w:t>7</w:t>
            </w:r>
          </w:p>
        </w:tc>
        <w:tc>
          <w:tcPr>
            <w:tcW w:w="280" w:type="dxa"/>
            <w:vAlign w:val="bottom"/>
            <w:tcBorders>
              <w:bottom w:val="single" w:sz="8" w:color="auto"/>
              <w:right w:val="single" w:sz="8" w:color="auto"/>
            </w:tcBorders>
          </w:tcPr>
          <w:p>
            <w:pPr>
              <w:spacing w:after="0"/>
              <w:rPr>
                <w:sz w:val="19"/>
                <w:szCs w:val="19"/>
                <w:color w:val="auto"/>
              </w:rPr>
            </w:pPr>
          </w:p>
        </w:tc>
        <w:tc>
          <w:tcPr>
            <w:tcW w:w="1660" w:type="dxa"/>
            <w:vAlign w:val="bottom"/>
            <w:tcBorders>
              <w:bottom w:val="single" w:sz="8" w:color="auto"/>
              <w:right w:val="single" w:sz="8" w:color="auto"/>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r>
      <w:tr>
        <w:trPr>
          <w:trHeight w:val="221"/>
        </w:trPr>
        <w:tc>
          <w:tcPr>
            <w:tcW w:w="518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6"/>
                <w:szCs w:val="16"/>
                <w:color w:val="auto"/>
              </w:rPr>
              <w:t>Two or More Races or Ethnicities</w:t>
            </w:r>
          </w:p>
        </w:tc>
        <w:tc>
          <w:tcPr>
            <w:tcW w:w="1300" w:type="dxa"/>
            <w:vAlign w:val="bottom"/>
            <w:tcBorders>
              <w:bottom w:val="single" w:sz="8" w:color="auto"/>
              <w:right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280" w:type="dxa"/>
            <w:vAlign w:val="bottom"/>
            <w:tcBorders>
              <w:bottom w:val="single" w:sz="8" w:color="auto"/>
              <w:right w:val="single" w:sz="8" w:color="auto"/>
            </w:tcBorders>
          </w:tcPr>
          <w:p>
            <w:pPr>
              <w:spacing w:after="0"/>
              <w:rPr>
                <w:sz w:val="19"/>
                <w:szCs w:val="19"/>
                <w:color w:val="auto"/>
              </w:rPr>
            </w:pPr>
          </w:p>
        </w:tc>
        <w:tc>
          <w:tcPr>
            <w:tcW w:w="1660" w:type="dxa"/>
            <w:vAlign w:val="bottom"/>
            <w:tcBorders>
              <w:bottom w:val="single" w:sz="8" w:color="auto"/>
              <w:right w:val="single" w:sz="8" w:color="auto"/>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r>
      <w:tr>
        <w:trPr>
          <w:trHeight w:val="221"/>
        </w:trPr>
        <w:tc>
          <w:tcPr>
            <w:tcW w:w="518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6"/>
                <w:szCs w:val="16"/>
                <w:color w:val="auto"/>
              </w:rPr>
              <w:t>LGBTQ+</w:t>
            </w:r>
          </w:p>
        </w:tc>
        <w:tc>
          <w:tcPr>
            <w:tcW w:w="1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gridSpan w:val="2"/>
          </w:tcPr>
          <w:p>
            <w:pPr>
              <w:jc w:val="right"/>
              <w:ind w:right="1569"/>
              <w:spacing w:after="0"/>
              <w:rPr>
                <w:sz w:val="20"/>
                <w:szCs w:val="20"/>
                <w:color w:val="auto"/>
              </w:rPr>
            </w:pPr>
            <w:r>
              <w:rPr>
                <w:rFonts w:ascii="Arial" w:cs="Arial" w:eastAsia="Arial" w:hAnsi="Arial"/>
                <w:sz w:val="16"/>
                <w:szCs w:val="16"/>
                <w:color w:val="auto"/>
              </w:rPr>
              <w:t>0</w:t>
            </w:r>
          </w:p>
        </w:tc>
        <w:tc>
          <w:tcPr>
            <w:tcW w:w="14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r>
      <w:tr>
        <w:trPr>
          <w:trHeight w:val="221"/>
        </w:trPr>
        <w:tc>
          <w:tcPr>
            <w:tcW w:w="518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6"/>
                <w:szCs w:val="16"/>
                <w:color w:val="auto"/>
              </w:rPr>
              <w:t>Did Not Disclose Demographic Background</w:t>
            </w:r>
          </w:p>
        </w:tc>
        <w:tc>
          <w:tcPr>
            <w:tcW w:w="1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gridSpan w:val="2"/>
          </w:tcPr>
          <w:p>
            <w:pPr>
              <w:jc w:val="right"/>
              <w:ind w:right="1569"/>
              <w:spacing w:after="0"/>
              <w:rPr>
                <w:sz w:val="20"/>
                <w:szCs w:val="20"/>
                <w:color w:val="auto"/>
              </w:rPr>
            </w:pPr>
            <w:r>
              <w:rPr>
                <w:rFonts w:ascii="Arial" w:cs="Arial" w:eastAsia="Arial" w:hAnsi="Arial"/>
                <w:sz w:val="16"/>
                <w:szCs w:val="16"/>
                <w:color w:val="auto"/>
              </w:rPr>
              <w:t>0</w:t>
            </w:r>
          </w:p>
        </w:tc>
        <w:tc>
          <w:tcPr>
            <w:tcW w:w="14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r>
    </w:tbl>
    <w:p>
      <w:pPr>
        <w:spacing w:after="0" w:line="19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Diversity</w:t>
      </w:r>
    </w:p>
    <w:p>
      <w:pPr>
        <w:spacing w:after="0" w:line="208" w:lineRule="exact"/>
        <w:rPr>
          <w:sz w:val="20"/>
          <w:szCs w:val="20"/>
          <w:color w:val="auto"/>
        </w:rPr>
      </w:pPr>
    </w:p>
    <w:p>
      <w:pPr>
        <w:jc w:val="both"/>
        <w:ind w:left="160"/>
        <w:spacing w:after="0" w:line="236" w:lineRule="auto"/>
        <w:rPr>
          <w:sz w:val="20"/>
          <w:szCs w:val="20"/>
          <w:color w:val="auto"/>
        </w:rPr>
      </w:pPr>
      <w:r>
        <w:rPr>
          <w:rFonts w:ascii="Arial" w:cs="Arial" w:eastAsia="Arial" w:hAnsi="Arial"/>
          <w:sz w:val="18"/>
          <w:szCs w:val="18"/>
          <w:color w:val="auto"/>
        </w:rPr>
        <w:t>We endeavor to have a Board representing diverse experiences in areas that are relevant to the Company’s global activities. In particular, we value international business experience and, as such, our directorship mix reflects that emphasis. With respect to traditional diversity concepts, two of our Board members self-identify as women and two Board members self-identify as Asian. Our non-employee directors (the “Outside Directors”) who have been nominated for re-election to the Board have a balance of tenure (average tenure of 5 years), age (average age of 62 years) and racial, ethnic and gender diversity (approximately 33.3% of the Outside Directors) that provides our Board with an effective mix of experience and fresh perspectives. The Board will continue to evaluate from time to time the addition to the Board of any Director candidate that may complement the knowledge, skills and experience possessed by the nominees for Director to ensure that the composition of the Board appropriately reflects changes in the Company’s evolving business. The Board’s self-evaluations and desire to act on this ability to enhance the composition of the Board through the consideration of additional members have resulted in a refreshment of 50% of the Board over the last 18 months.</w:t>
      </w:r>
    </w:p>
    <w:p>
      <w:pPr>
        <w:spacing w:after="0" w:line="127"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F75E14"/>
        </w:rPr>
        <w:t>onsemi 2022 Proxy Statement</w:t>
        <w:tab/>
        <w:t>13</w:t>
      </w:r>
    </w:p>
    <w:p>
      <w:pPr>
        <w:sectPr>
          <w:pgSz w:w="11900" w:h="16838" w:orient="portrait"/>
          <w:cols w:equalWidth="0" w:num="1">
            <w:col w:w="11080"/>
          </w:cols>
          <w:pgMar w:left="320" w:top="454" w:right="49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2" w:lineRule="exact"/>
        <w:rPr>
          <w:sz w:val="20"/>
          <w:szCs w:val="20"/>
          <w:color w:val="auto"/>
        </w:rPr>
      </w:pPr>
    </w:p>
    <w:p>
      <w:pPr>
        <w:ind w:left="160"/>
        <w:spacing w:after="0"/>
        <w:rPr>
          <w:sz w:val="20"/>
          <w:szCs w:val="20"/>
          <w:color w:val="auto"/>
        </w:rPr>
      </w:pPr>
      <w:r>
        <w:rPr>
          <w:rFonts w:ascii="Arial" w:cs="Arial" w:eastAsia="Arial" w:hAnsi="Arial"/>
          <w:sz w:val="18"/>
          <w:szCs w:val="18"/>
          <w:color w:val="F75E14"/>
        </w:rPr>
        <w:t>The Board of Directors and Corporate Governance</w:t>
      </w:r>
    </w:p>
    <w:p>
      <w:pPr>
        <w:spacing w:after="0" w:line="141" w:lineRule="exact"/>
        <w:rPr>
          <w:sz w:val="20"/>
          <w:szCs w:val="20"/>
          <w:color w:val="auto"/>
        </w:rPr>
      </w:pPr>
    </w:p>
    <w:p>
      <w:pPr>
        <w:jc w:val="both"/>
        <w:ind w:left="160"/>
        <w:spacing w:after="0" w:line="243" w:lineRule="auto"/>
        <w:rPr>
          <w:sz w:val="20"/>
          <w:szCs w:val="20"/>
          <w:color w:val="auto"/>
        </w:rPr>
      </w:pPr>
      <w:r>
        <w:rPr>
          <w:rFonts w:ascii="Arial" w:cs="Arial" w:eastAsia="Arial" w:hAnsi="Arial"/>
          <w:sz w:val="18"/>
          <w:szCs w:val="18"/>
          <w:color w:val="auto"/>
        </w:rPr>
        <w:t>The GS Committee is required to develop and periodically review criteria for nominees for Director. When the GS Committee considers diversity, as it did in connection with the Board’s 2021 self-evaluation process, it considers diversity of experience, thought, skills and viewpoints, as well as traditional diversity concepts, such as race, ethnicity or gender, as it deems appropriate. Among other matters, the GS Committee may consider the following nomination criteria regarding Board membership:</w:t>
      </w:r>
    </w:p>
    <w:p>
      <w:pPr>
        <w:spacing w:after="0" w:line="205" w:lineRule="exact"/>
        <w:rPr>
          <w:sz w:val="20"/>
          <w:szCs w:val="20"/>
          <w:color w:val="auto"/>
        </w:rPr>
      </w:pPr>
    </w:p>
    <w:p>
      <w:pPr>
        <w:ind w:left="1020" w:hanging="425"/>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appropriate size of the Board;</w:t>
      </w:r>
    </w:p>
    <w:p>
      <w:pPr>
        <w:spacing w:after="0" w:line="11" w:lineRule="exact"/>
        <w:rPr>
          <w:rFonts w:ascii="Arial" w:cs="Arial" w:eastAsia="Arial" w:hAnsi="Arial"/>
          <w:sz w:val="18"/>
          <w:szCs w:val="18"/>
          <w:color w:val="auto"/>
        </w:rPr>
      </w:pPr>
    </w:p>
    <w:p>
      <w:pPr>
        <w:jc w:val="both"/>
        <w:ind w:left="1020" w:hanging="425"/>
        <w:spacing w:after="0" w:line="232"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nominee’s knowledge, skills and experience, including, without limitation, experience in finance and accounting, general business management, the semiconductor industry and semiconductor technology, international business, sales and marketing, corporate governance and compliance and intellectual property;</w:t>
      </w:r>
    </w:p>
    <w:p>
      <w:pPr>
        <w:spacing w:after="0" w:line="1" w:lineRule="exact"/>
        <w:rPr>
          <w:rFonts w:ascii="Arial" w:cs="Arial" w:eastAsia="Arial" w:hAnsi="Arial"/>
          <w:sz w:val="18"/>
          <w:szCs w:val="18"/>
          <w:color w:val="auto"/>
        </w:rPr>
      </w:pPr>
    </w:p>
    <w:p>
      <w:pPr>
        <w:ind w:left="1020" w:hanging="425"/>
        <w:spacing w:after="0" w:line="232"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needs of the Company with respect to particular skills and experience;</w:t>
      </w:r>
    </w:p>
    <w:p>
      <w:pPr>
        <w:ind w:left="1020" w:hanging="425"/>
        <w:spacing w:after="0" w:line="232"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nominee’s experience leading and supporting ESG criteria and civic responsibility;</w:t>
      </w:r>
    </w:p>
    <w:p>
      <w:pPr>
        <w:ind w:left="1020" w:hanging="425"/>
        <w:spacing w:after="0" w:line="232"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nominee’s independence as defined in Nasdaq and SEC rules and regulations;</w:t>
      </w:r>
    </w:p>
    <w:p>
      <w:pPr>
        <w:ind w:left="1020" w:hanging="425"/>
        <w:spacing w:after="0" w:line="232"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diversity, which fosters diversity of thinking;</w:t>
      </w:r>
    </w:p>
    <w:p>
      <w:pPr>
        <w:ind w:left="1020" w:hanging="425"/>
        <w:spacing w:after="0" w:line="232"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nominee’s age and tenure; and</w:t>
      </w:r>
    </w:p>
    <w:p>
      <w:pPr>
        <w:ind w:left="1020" w:hanging="425"/>
        <w:spacing w:after="0"/>
        <w:tabs>
          <w:tab w:leader="none" w:pos="10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desire to balance the benefit of continuity with the periodic injection of fresh perspectives provided by new Board members.</w:t>
      </w:r>
    </w:p>
    <w:p>
      <w:pPr>
        <w:spacing w:after="0" w:line="201" w:lineRule="exact"/>
        <w:rPr>
          <w:sz w:val="20"/>
          <w:szCs w:val="20"/>
          <w:color w:val="auto"/>
        </w:rPr>
      </w:pPr>
    </w:p>
    <w:p>
      <w:pPr>
        <w:jc w:val="both"/>
        <w:ind w:left="160"/>
        <w:spacing w:after="0" w:line="236" w:lineRule="auto"/>
        <w:rPr>
          <w:sz w:val="20"/>
          <w:szCs w:val="20"/>
          <w:color w:val="auto"/>
        </w:rPr>
      </w:pPr>
      <w:r>
        <w:rPr>
          <w:rFonts w:ascii="Arial" w:cs="Arial" w:eastAsia="Arial" w:hAnsi="Arial"/>
          <w:sz w:val="18"/>
          <w:szCs w:val="18"/>
          <w:color w:val="auto"/>
        </w:rPr>
        <w:t>The Board’s goal is to assemble a diverse set of directors who bring together a variety of perspectives and skills derived from high-quality business, professional and personal experiences. Directors must be willing to devote sufficient time to carrying out their duties and responsibilities effectively and should be committed to serve on the Board for an extended period of time. The GS Committee believes that it is appropriate for more than one member of the Board to meet the criteria for an “audit committee financial expert,” as defined by SEC rules, and for the Chief Executive Officer of the Company (the “CEO”) to participate as a member of the Board. Current members of the Board with skills and experience that are relevant to the Company’s business and who are willing to continue in service are considered for re-nomination. If any member of the Board does not wish to continue in service, if the GS Committee decides not to re-nominate a member for re-election or determines to replace that Director or if the Board considers increasing the size of the Board, the Board then identifies the desired skills and experience for a new nominee in light of the criteria described above. Pursuant to its charter, if a stockholder nominates a director in accordance with the Director nomination procedures described in the Bylaws, the GS Committee will consider that nomination and evaluate such stockholder nomination in the same manner as it evaluates other nominees.</w:t>
      </w:r>
    </w:p>
    <w:p>
      <w:pPr>
        <w:spacing w:after="0" w:line="176"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2B4772"/>
        </w:rPr>
        <w:t>Considerations for Independence Determinations</w:t>
      </w:r>
    </w:p>
    <w:p>
      <w:pPr>
        <w:spacing w:after="0" w:line="22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Independence Determination</w:t>
      </w:r>
    </w:p>
    <w:p>
      <w:pPr>
        <w:spacing w:after="0" w:line="208" w:lineRule="exact"/>
        <w:rPr>
          <w:sz w:val="20"/>
          <w:szCs w:val="20"/>
          <w:color w:val="auto"/>
        </w:rPr>
      </w:pPr>
    </w:p>
    <w:p>
      <w:pPr>
        <w:jc w:val="both"/>
        <w:ind w:left="160"/>
        <w:spacing w:after="0" w:line="249" w:lineRule="auto"/>
        <w:rPr>
          <w:sz w:val="20"/>
          <w:szCs w:val="20"/>
          <w:color w:val="auto"/>
        </w:rPr>
      </w:pPr>
      <w:r>
        <w:rPr>
          <w:rFonts w:ascii="Arial" w:cs="Arial" w:eastAsia="Arial" w:hAnsi="Arial"/>
          <w:sz w:val="18"/>
          <w:szCs w:val="18"/>
          <w:color w:val="auto"/>
        </w:rPr>
        <w:t>The Board has determined that the following Directors serving on the Board during all or any portion of 2021 are independent according to the applicable rules of the SEC and the listing standards of Nasdaq: Atsushi Abe, Alan Campbell, Susan K. Carter, Thomas L. Deitrich, Gilles Delfassy, Emmanuel T. Hernandez, Bruce E. Kiddoo, Paul A. Mascarenas, Gregory L. Waters and Christine Y. Yan.</w:t>
      </w:r>
    </w:p>
    <w:p>
      <w:pPr>
        <w:spacing w:after="0" w:line="114" w:lineRule="exact"/>
        <w:rPr>
          <w:sz w:val="20"/>
          <w:szCs w:val="20"/>
          <w:color w:val="auto"/>
        </w:rPr>
      </w:pPr>
    </w:p>
    <w:p>
      <w:pPr>
        <w:ind w:left="160"/>
        <w:spacing w:after="0"/>
        <w:tabs>
          <w:tab w:leader="none" w:pos="500" w:val="left"/>
        </w:tabs>
        <w:rPr>
          <w:sz w:val="20"/>
          <w:szCs w:val="20"/>
          <w:color w:val="auto"/>
        </w:rPr>
      </w:pPr>
      <w:r>
        <w:rPr>
          <w:rFonts w:ascii="Arial" w:cs="Arial" w:eastAsia="Arial" w:hAnsi="Arial"/>
          <w:sz w:val="14"/>
          <w:szCs w:val="14"/>
          <w:color w:val="F75E14"/>
        </w:rPr>
        <w:t>14</w:t>
        <w:tab/>
        <w:t>onsemi 2022 Proxy Statement</w:t>
      </w:r>
    </w:p>
    <w:p>
      <w:pPr>
        <w:sectPr>
          <w:pgSz w:w="11900" w:h="16838" w:orient="portrait"/>
          <w:cols w:equalWidth="0" w:num="1">
            <w:col w:w="11080"/>
          </w:cols>
          <w:pgMar w:left="320" w:top="454" w:right="49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2" w:lineRule="exact"/>
        <w:rPr>
          <w:sz w:val="20"/>
          <w:szCs w:val="20"/>
          <w:color w:val="auto"/>
        </w:rPr>
      </w:pPr>
    </w:p>
    <w:p>
      <w:pPr>
        <w:ind w:left="7080"/>
        <w:spacing w:after="0"/>
        <w:rPr>
          <w:sz w:val="20"/>
          <w:szCs w:val="20"/>
          <w:color w:val="auto"/>
        </w:rPr>
      </w:pPr>
      <w:r>
        <w:rPr>
          <w:rFonts w:ascii="Arial" w:cs="Arial" w:eastAsia="Arial" w:hAnsi="Arial"/>
          <w:sz w:val="17"/>
          <w:szCs w:val="17"/>
          <w:color w:val="F75E14"/>
        </w:rPr>
        <w:t>The Board of Directors and Corporate Governance</w:t>
      </w:r>
    </w:p>
    <w:p>
      <w:pPr>
        <w:spacing w:after="0" w:line="152"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Transactions and Relationships Considered in Independence Determinations</w:t>
      </w:r>
    </w:p>
    <w:p>
      <w:pPr>
        <w:spacing w:after="0" w:line="208" w:lineRule="exact"/>
        <w:rPr>
          <w:sz w:val="20"/>
          <w:szCs w:val="20"/>
          <w:color w:val="auto"/>
        </w:rPr>
      </w:pPr>
    </w:p>
    <w:p>
      <w:pPr>
        <w:jc w:val="both"/>
        <w:ind w:left="160"/>
        <w:spacing w:after="0" w:line="243" w:lineRule="auto"/>
        <w:rPr>
          <w:sz w:val="20"/>
          <w:szCs w:val="20"/>
          <w:color w:val="auto"/>
        </w:rPr>
      </w:pPr>
      <w:r>
        <w:rPr>
          <w:rFonts w:ascii="Arial" w:cs="Arial" w:eastAsia="Arial" w:hAnsi="Arial"/>
          <w:sz w:val="18"/>
          <w:szCs w:val="18"/>
          <w:color w:val="auto"/>
        </w:rPr>
        <w:t>Consistent with Nasdaq listing standards, in making its independence determinations, the Board considered transactions occurring since the beginning of 2019 between the Company and the Directors, members of their immediate families and entities associated with the Directors or members of their immediate families. The following table contains the transactions occurring since January 1, 2019 that the Board considered in determining the independence of the current Outside Directors, each of whom is a nominee for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250825</wp:posOffset>
            </wp:positionH>
            <wp:positionV relativeFrom="paragraph">
              <wp:posOffset>142240</wp:posOffset>
            </wp:positionV>
            <wp:extent cx="1256665" cy="1612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56665" cy="161290"/>
                    </a:xfrm>
                    <a:prstGeom prst="rect">
                      <a:avLst/>
                    </a:prstGeom>
                    <a:noFill/>
                  </pic:spPr>
                </pic:pic>
              </a:graphicData>
            </a:graphic>
          </wp:anchor>
        </w:drawing>
      </w:r>
    </w:p>
    <w:p>
      <w:pPr>
        <w:sectPr>
          <w:pgSz w:w="11900" w:h="16838" w:orient="portrait"/>
          <w:cols w:equalWidth="0" w:num="1">
            <w:col w:w="11080"/>
          </w:cols>
          <w:pgMar w:left="320" w:top="454" w:right="499" w:bottom="1440" w:gutter="0" w:footer="0" w:header="0"/>
        </w:sectPr>
      </w:pPr>
    </w:p>
    <w:p>
      <w:pPr>
        <w:spacing w:after="0" w:line="236" w:lineRule="exact"/>
        <w:rPr>
          <w:sz w:val="20"/>
          <w:szCs w:val="20"/>
          <w:color w:val="auto"/>
        </w:rPr>
      </w:pPr>
    </w:p>
    <w:p>
      <w:pPr>
        <w:ind w:left="480"/>
        <w:spacing w:after="0"/>
        <w:rPr>
          <w:sz w:val="20"/>
          <w:szCs w:val="20"/>
          <w:color w:val="auto"/>
        </w:rPr>
      </w:pPr>
      <w:r>
        <w:rPr>
          <w:rFonts w:ascii="Arial" w:cs="Arial" w:eastAsia="Arial" w:hAnsi="Arial"/>
          <w:sz w:val="16"/>
          <w:szCs w:val="16"/>
          <w:b w:val="1"/>
          <w:bCs w:val="1"/>
          <w:color w:val="FFFFFF"/>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250825</wp:posOffset>
            </wp:positionH>
            <wp:positionV relativeFrom="paragraph">
              <wp:posOffset>36195</wp:posOffset>
            </wp:positionV>
            <wp:extent cx="1256665" cy="7556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56665" cy="755650"/>
                    </a:xfrm>
                    <a:prstGeom prst="rect">
                      <a:avLst/>
                    </a:prstGeom>
                    <a:noFill/>
                  </pic:spPr>
                </pic:pic>
              </a:graphicData>
            </a:graphic>
          </wp:anchor>
        </w:drawing>
      </w:r>
    </w:p>
    <w:p>
      <w:pPr>
        <w:spacing w:after="0" w:line="200" w:lineRule="exact"/>
        <w:rPr>
          <w:sz w:val="20"/>
          <w:szCs w:val="20"/>
          <w:color w:val="auto"/>
        </w:rPr>
      </w:pPr>
    </w:p>
    <w:p>
      <w:pPr>
        <w:spacing w:after="0" w:line="318"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auto"/>
        </w:rPr>
        <w:t>Atsushi Abe</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auto"/>
        </w:rPr>
        <w:t>Alan Campbell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250825</wp:posOffset>
            </wp:positionH>
            <wp:positionV relativeFrom="paragraph">
              <wp:posOffset>104140</wp:posOffset>
            </wp:positionV>
            <wp:extent cx="1256665" cy="3994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56665" cy="399415"/>
                    </a:xfrm>
                    <a:prstGeom prst="rect">
                      <a:avLst/>
                    </a:prstGeom>
                    <a:noFill/>
                  </pic:spPr>
                </pic:pic>
              </a:graphicData>
            </a:graphic>
          </wp:anchor>
        </w:drawing>
      </w:r>
    </w:p>
    <w:p>
      <w:pPr>
        <w:spacing w:after="0" w:line="344"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auto"/>
        </w:rPr>
        <w:t>Susan K. Carter</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auto"/>
        </w:rPr>
        <w:t>Thomas L. Deitrich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250825</wp:posOffset>
            </wp:positionH>
            <wp:positionV relativeFrom="paragraph">
              <wp:posOffset>334010</wp:posOffset>
            </wp:positionV>
            <wp:extent cx="1256665" cy="280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56665" cy="280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auto"/>
        </w:rPr>
        <w:t>Gilles Delfassy</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left="440"/>
        <w:spacing w:after="0"/>
        <w:rPr>
          <w:sz w:val="20"/>
          <w:szCs w:val="20"/>
          <w:color w:val="auto"/>
        </w:rPr>
      </w:pPr>
      <w:r>
        <w:rPr>
          <w:rFonts w:ascii="Arial" w:cs="Arial" w:eastAsia="Arial" w:hAnsi="Arial"/>
          <w:sz w:val="15"/>
          <w:szCs w:val="15"/>
          <w:b w:val="1"/>
          <w:bCs w:val="1"/>
          <w:color w:val="auto"/>
        </w:rPr>
        <w:t>Paul A. Mascarenas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250825</wp:posOffset>
            </wp:positionH>
            <wp:positionV relativeFrom="paragraph">
              <wp:posOffset>400685</wp:posOffset>
            </wp:positionV>
            <wp:extent cx="1256665" cy="280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56665" cy="280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auto"/>
        </w:rPr>
        <w:t>Gregory L. Waters</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3540" w:type="dxa"/>
            <w:vAlign w:val="bottom"/>
            <w:shd w:val="clear" w:color="auto" w:fill="F75E14"/>
          </w:tcPr>
          <w:p>
            <w:pPr>
              <w:jc w:val="center"/>
              <w:ind w:left="180"/>
              <w:spacing w:after="0"/>
              <w:rPr>
                <w:sz w:val="20"/>
                <w:szCs w:val="20"/>
                <w:color w:val="auto"/>
              </w:rPr>
            </w:pPr>
            <w:r>
              <w:rPr>
                <w:rFonts w:ascii="Arial" w:cs="Arial" w:eastAsia="Arial" w:hAnsi="Arial"/>
                <w:sz w:val="16"/>
                <w:szCs w:val="16"/>
                <w:b w:val="1"/>
                <w:bCs w:val="1"/>
                <w:color w:val="FFFFFF"/>
              </w:rPr>
              <w:t>Outside Affiliation</w:t>
            </w:r>
          </w:p>
        </w:tc>
        <w:tc>
          <w:tcPr>
            <w:tcW w:w="4940" w:type="dxa"/>
            <w:vAlign w:val="bottom"/>
            <w:shd w:val="clear" w:color="auto" w:fill="F75E14"/>
          </w:tcPr>
          <w:p>
            <w:pPr>
              <w:ind w:left="2000"/>
              <w:spacing w:after="0"/>
              <w:rPr>
                <w:sz w:val="20"/>
                <w:szCs w:val="20"/>
                <w:color w:val="auto"/>
              </w:rPr>
            </w:pPr>
            <w:r>
              <w:rPr>
                <w:rFonts w:ascii="Arial" w:cs="Arial" w:eastAsia="Arial" w:hAnsi="Arial"/>
                <w:sz w:val="16"/>
                <w:szCs w:val="16"/>
                <w:b w:val="1"/>
                <w:bCs w:val="1"/>
                <w:color w:val="FFFFFF"/>
              </w:rPr>
              <w:t>Consideration</w:t>
            </w:r>
          </w:p>
        </w:tc>
        <w:tc>
          <w:tcPr>
            <w:tcW w:w="0" w:type="dxa"/>
            <w:vAlign w:val="bottom"/>
          </w:tcPr>
          <w:p>
            <w:pPr>
              <w:spacing w:after="0"/>
              <w:rPr>
                <w:sz w:val="1"/>
                <w:szCs w:val="1"/>
                <w:color w:val="auto"/>
              </w:rPr>
            </w:pPr>
          </w:p>
        </w:tc>
      </w:tr>
      <w:tr>
        <w:trPr>
          <w:trHeight w:val="200"/>
        </w:trPr>
        <w:tc>
          <w:tcPr>
            <w:tcW w:w="3540" w:type="dxa"/>
            <w:vAlign w:val="bottom"/>
            <w:shd w:val="clear" w:color="auto" w:fill="D8E8EF"/>
          </w:tcPr>
          <w:p>
            <w:pPr>
              <w:spacing w:after="0"/>
              <w:rPr>
                <w:sz w:val="17"/>
                <w:szCs w:val="17"/>
                <w:color w:val="auto"/>
              </w:rPr>
            </w:pPr>
          </w:p>
        </w:tc>
        <w:tc>
          <w:tcPr>
            <w:tcW w:w="4940" w:type="dxa"/>
            <w:vAlign w:val="bottom"/>
            <w:shd w:val="clear" w:color="auto" w:fill="D8E8EF"/>
          </w:tcPr>
          <w:p>
            <w:pPr>
              <w:ind w:left="280"/>
              <w:spacing w:after="0"/>
              <w:rPr>
                <w:sz w:val="20"/>
                <w:szCs w:val="20"/>
                <w:color w:val="auto"/>
              </w:rPr>
            </w:pPr>
            <w:r>
              <w:rPr>
                <w:rFonts w:ascii="Arial" w:cs="Arial" w:eastAsia="Arial" w:hAnsi="Arial"/>
                <w:sz w:val="16"/>
                <w:szCs w:val="16"/>
                <w:color w:val="auto"/>
              </w:rPr>
              <w:t>•   Sales of standard products, component semiconductor</w:t>
            </w:r>
          </w:p>
        </w:tc>
        <w:tc>
          <w:tcPr>
            <w:tcW w:w="0" w:type="dxa"/>
            <w:vAlign w:val="bottom"/>
          </w:tcPr>
          <w:p>
            <w:pPr>
              <w:spacing w:after="0"/>
              <w:rPr>
                <w:sz w:val="1"/>
                <w:szCs w:val="1"/>
                <w:color w:val="auto"/>
              </w:rPr>
            </w:pPr>
          </w:p>
        </w:tc>
      </w:tr>
      <w:tr>
        <w:trPr>
          <w:trHeight w:val="187"/>
        </w:trPr>
        <w:tc>
          <w:tcPr>
            <w:tcW w:w="3540" w:type="dxa"/>
            <w:vAlign w:val="bottom"/>
            <w:shd w:val="clear" w:color="auto" w:fill="D8E8EF"/>
          </w:tcPr>
          <w:p>
            <w:pPr>
              <w:spacing w:after="0"/>
              <w:rPr>
                <w:sz w:val="16"/>
                <w:szCs w:val="16"/>
                <w:color w:val="auto"/>
              </w:rPr>
            </w:pPr>
          </w:p>
        </w:tc>
        <w:tc>
          <w:tcPr>
            <w:tcW w:w="4940" w:type="dxa"/>
            <w:vAlign w:val="bottom"/>
            <w:shd w:val="clear" w:color="auto" w:fill="D8E8EF"/>
          </w:tcPr>
          <w:p>
            <w:pPr>
              <w:ind w:left="600"/>
              <w:spacing w:after="0"/>
              <w:rPr>
                <w:sz w:val="20"/>
                <w:szCs w:val="20"/>
                <w:color w:val="auto"/>
              </w:rPr>
            </w:pPr>
            <w:r>
              <w:rPr>
                <w:rFonts w:ascii="Arial" w:cs="Arial" w:eastAsia="Arial" w:hAnsi="Arial"/>
                <w:sz w:val="16"/>
                <w:szCs w:val="16"/>
                <w:color w:val="auto"/>
              </w:rPr>
              <w:t>devices and non-recurring engineering (“NRE”) charges</w:t>
            </w:r>
          </w:p>
        </w:tc>
        <w:tc>
          <w:tcPr>
            <w:tcW w:w="0" w:type="dxa"/>
            <w:vAlign w:val="bottom"/>
          </w:tcPr>
          <w:p>
            <w:pPr>
              <w:spacing w:after="0"/>
              <w:rPr>
                <w:sz w:val="1"/>
                <w:szCs w:val="1"/>
                <w:color w:val="auto"/>
              </w:rPr>
            </w:pPr>
          </w:p>
        </w:tc>
      </w:tr>
      <w:tr>
        <w:trPr>
          <w:trHeight w:val="187"/>
        </w:trPr>
        <w:tc>
          <w:tcPr>
            <w:tcW w:w="3540" w:type="dxa"/>
            <w:vAlign w:val="bottom"/>
            <w:shd w:val="clear" w:color="auto" w:fill="D8E8EF"/>
          </w:tcPr>
          <w:p>
            <w:pPr>
              <w:jc w:val="center"/>
              <w:ind w:left="180"/>
              <w:spacing w:after="0"/>
              <w:rPr>
                <w:sz w:val="20"/>
                <w:szCs w:val="20"/>
                <w:color w:val="auto"/>
              </w:rPr>
            </w:pPr>
            <w:r>
              <w:rPr>
                <w:rFonts w:ascii="Arial" w:cs="Arial" w:eastAsia="Arial" w:hAnsi="Arial"/>
                <w:sz w:val="16"/>
                <w:szCs w:val="16"/>
                <w:color w:val="auto"/>
              </w:rPr>
              <w:t>Fujitsu Ltd.</w:t>
            </w:r>
          </w:p>
        </w:tc>
        <w:tc>
          <w:tcPr>
            <w:tcW w:w="4940" w:type="dxa"/>
            <w:vAlign w:val="bottom"/>
            <w:shd w:val="clear" w:color="auto" w:fill="D8E8EF"/>
          </w:tcPr>
          <w:p>
            <w:pPr>
              <w:ind w:left="280"/>
              <w:spacing w:after="0"/>
              <w:rPr>
                <w:sz w:val="20"/>
                <w:szCs w:val="20"/>
                <w:color w:val="auto"/>
              </w:rPr>
            </w:pPr>
            <w:r>
              <w:rPr>
                <w:rFonts w:ascii="Arial" w:cs="Arial" w:eastAsia="Arial" w:hAnsi="Arial"/>
                <w:sz w:val="16"/>
                <w:szCs w:val="16"/>
                <w:color w:val="auto"/>
              </w:rPr>
              <w:t>•   Purchases  of  professional  and  manufacturing  support</w:t>
            </w:r>
          </w:p>
        </w:tc>
        <w:tc>
          <w:tcPr>
            <w:tcW w:w="0" w:type="dxa"/>
            <w:vAlign w:val="bottom"/>
          </w:tcPr>
          <w:p>
            <w:pPr>
              <w:spacing w:after="0"/>
              <w:rPr>
                <w:sz w:val="1"/>
                <w:szCs w:val="1"/>
                <w:color w:val="auto"/>
              </w:rPr>
            </w:pPr>
          </w:p>
        </w:tc>
      </w:tr>
      <w:tr>
        <w:trPr>
          <w:trHeight w:val="187"/>
        </w:trPr>
        <w:tc>
          <w:tcPr>
            <w:tcW w:w="3540" w:type="dxa"/>
            <w:vAlign w:val="bottom"/>
            <w:shd w:val="clear" w:color="auto" w:fill="D8E8EF"/>
          </w:tcPr>
          <w:p>
            <w:pPr>
              <w:jc w:val="center"/>
              <w:ind w:left="180"/>
              <w:spacing w:after="0"/>
              <w:rPr>
                <w:sz w:val="20"/>
                <w:szCs w:val="20"/>
                <w:color w:val="auto"/>
              </w:rPr>
            </w:pPr>
            <w:r>
              <w:rPr>
                <w:rFonts w:ascii="Arial" w:cs="Arial" w:eastAsia="Arial" w:hAnsi="Arial"/>
                <w:sz w:val="16"/>
                <w:szCs w:val="16"/>
                <w:color w:val="auto"/>
                <w:w w:val="99"/>
              </w:rPr>
              <w:t>(member of board of directors)</w:t>
            </w:r>
          </w:p>
        </w:tc>
        <w:tc>
          <w:tcPr>
            <w:tcW w:w="4940" w:type="dxa"/>
            <w:vAlign w:val="bottom"/>
            <w:shd w:val="clear" w:color="auto" w:fill="D8E8EF"/>
          </w:tcPr>
          <w:p>
            <w:pPr>
              <w:ind w:left="600"/>
              <w:spacing w:after="0"/>
              <w:rPr>
                <w:sz w:val="20"/>
                <w:szCs w:val="20"/>
                <w:color w:val="auto"/>
              </w:rPr>
            </w:pPr>
            <w:r>
              <w:rPr>
                <w:rFonts w:ascii="Arial" w:cs="Arial" w:eastAsia="Arial" w:hAnsi="Arial"/>
                <w:sz w:val="16"/>
                <w:szCs w:val="16"/>
                <w:color w:val="auto"/>
              </w:rPr>
              <w:t>services, spares, fab services, manufacturing equipment,</w:t>
            </w:r>
          </w:p>
        </w:tc>
        <w:tc>
          <w:tcPr>
            <w:tcW w:w="0" w:type="dxa"/>
            <w:vAlign w:val="bottom"/>
          </w:tcPr>
          <w:p>
            <w:pPr>
              <w:spacing w:after="0"/>
              <w:rPr>
                <w:sz w:val="1"/>
                <w:szCs w:val="1"/>
                <w:color w:val="auto"/>
              </w:rPr>
            </w:pPr>
          </w:p>
        </w:tc>
      </w:tr>
      <w:tr>
        <w:trPr>
          <w:trHeight w:val="187"/>
        </w:trPr>
        <w:tc>
          <w:tcPr>
            <w:tcW w:w="3540" w:type="dxa"/>
            <w:vAlign w:val="bottom"/>
            <w:shd w:val="clear" w:color="auto" w:fill="D8E8EF"/>
          </w:tcPr>
          <w:p>
            <w:pPr>
              <w:spacing w:after="0"/>
              <w:rPr>
                <w:sz w:val="16"/>
                <w:szCs w:val="16"/>
                <w:color w:val="auto"/>
              </w:rPr>
            </w:pPr>
          </w:p>
        </w:tc>
        <w:tc>
          <w:tcPr>
            <w:tcW w:w="4940" w:type="dxa"/>
            <w:vAlign w:val="bottom"/>
            <w:shd w:val="clear" w:color="auto" w:fill="D8E8EF"/>
          </w:tcPr>
          <w:p>
            <w:pPr>
              <w:ind w:left="600"/>
              <w:spacing w:after="0"/>
              <w:rPr>
                <w:sz w:val="20"/>
                <w:szCs w:val="20"/>
                <w:color w:val="auto"/>
              </w:rPr>
            </w:pPr>
            <w:r>
              <w:rPr>
                <w:rFonts w:ascii="Arial" w:cs="Arial" w:eastAsia="Arial" w:hAnsi="Arial"/>
                <w:sz w:val="16"/>
                <w:szCs w:val="16"/>
                <w:color w:val="auto"/>
              </w:rPr>
              <w:t>industrial supplies, hardware, software, assembly and test</w:t>
            </w:r>
          </w:p>
        </w:tc>
        <w:tc>
          <w:tcPr>
            <w:tcW w:w="0" w:type="dxa"/>
            <w:vAlign w:val="bottom"/>
          </w:tcPr>
          <w:p>
            <w:pPr>
              <w:spacing w:after="0"/>
              <w:rPr>
                <w:sz w:val="1"/>
                <w:szCs w:val="1"/>
                <w:color w:val="auto"/>
              </w:rPr>
            </w:pPr>
          </w:p>
        </w:tc>
      </w:tr>
      <w:tr>
        <w:trPr>
          <w:trHeight w:val="221"/>
        </w:trPr>
        <w:tc>
          <w:tcPr>
            <w:tcW w:w="3540" w:type="dxa"/>
            <w:vAlign w:val="bottom"/>
            <w:tcBorders>
              <w:bottom w:val="single" w:sz="8" w:color="D8E8EF"/>
            </w:tcBorders>
            <w:shd w:val="clear" w:color="auto" w:fill="D8E8EF"/>
          </w:tcPr>
          <w:p>
            <w:pPr>
              <w:spacing w:after="0"/>
              <w:rPr>
                <w:sz w:val="19"/>
                <w:szCs w:val="19"/>
                <w:color w:val="auto"/>
              </w:rPr>
            </w:pPr>
          </w:p>
        </w:tc>
        <w:tc>
          <w:tcPr>
            <w:tcW w:w="4940" w:type="dxa"/>
            <w:vAlign w:val="bottom"/>
            <w:tcBorders>
              <w:bottom w:val="single" w:sz="8" w:color="D8E8EF"/>
            </w:tcBorders>
            <w:shd w:val="clear" w:color="auto" w:fill="D8E8EF"/>
          </w:tcPr>
          <w:p>
            <w:pPr>
              <w:ind w:left="600"/>
              <w:spacing w:after="0"/>
              <w:rPr>
                <w:sz w:val="20"/>
                <w:szCs w:val="20"/>
                <w:color w:val="auto"/>
              </w:rPr>
            </w:pPr>
            <w:r>
              <w:rPr>
                <w:rFonts w:ascii="Arial" w:cs="Arial" w:eastAsia="Arial" w:hAnsi="Arial"/>
                <w:sz w:val="16"/>
                <w:szCs w:val="16"/>
                <w:color w:val="auto"/>
              </w:rPr>
              <w:t>services and other products and services</w:t>
            </w:r>
          </w:p>
        </w:tc>
        <w:tc>
          <w:tcPr>
            <w:tcW w:w="0" w:type="dxa"/>
            <w:vAlign w:val="bottom"/>
          </w:tcPr>
          <w:p>
            <w:pPr>
              <w:spacing w:after="0"/>
              <w:rPr>
                <w:sz w:val="1"/>
                <w:szCs w:val="1"/>
                <w:color w:val="auto"/>
              </w:rPr>
            </w:pPr>
          </w:p>
        </w:tc>
      </w:tr>
      <w:tr>
        <w:trPr>
          <w:trHeight w:val="200"/>
        </w:trPr>
        <w:tc>
          <w:tcPr>
            <w:tcW w:w="3540" w:type="dxa"/>
            <w:vAlign w:val="bottom"/>
          </w:tcPr>
          <w:p>
            <w:pPr>
              <w:jc w:val="center"/>
              <w:ind w:left="180"/>
              <w:spacing w:after="0"/>
              <w:rPr>
                <w:sz w:val="20"/>
                <w:szCs w:val="20"/>
                <w:color w:val="auto"/>
              </w:rPr>
            </w:pPr>
            <w:r>
              <w:rPr>
                <w:rFonts w:ascii="Arial" w:cs="Arial" w:eastAsia="Arial" w:hAnsi="Arial"/>
                <w:sz w:val="16"/>
                <w:szCs w:val="16"/>
                <w:color w:val="auto"/>
              </w:rPr>
              <w:t>Dialog Semiconductor Plc</w:t>
            </w:r>
          </w:p>
        </w:tc>
        <w:tc>
          <w:tcPr>
            <w:tcW w:w="4940" w:type="dxa"/>
            <w:vAlign w:val="bottom"/>
            <w:vMerge w:val="restart"/>
          </w:tcPr>
          <w:p>
            <w:pPr>
              <w:ind w:left="280"/>
              <w:spacing w:after="0"/>
              <w:rPr>
                <w:sz w:val="20"/>
                <w:szCs w:val="20"/>
                <w:color w:val="auto"/>
              </w:rPr>
            </w:pPr>
            <w:r>
              <w:rPr>
                <w:rFonts w:ascii="Arial" w:cs="Arial" w:eastAsia="Arial" w:hAnsi="Arial"/>
                <w:sz w:val="16"/>
                <w:szCs w:val="16"/>
                <w:color w:val="auto"/>
              </w:rPr>
              <w:t>•   Sales of standard products</w:t>
            </w:r>
          </w:p>
        </w:tc>
        <w:tc>
          <w:tcPr>
            <w:tcW w:w="0" w:type="dxa"/>
            <w:vAlign w:val="bottom"/>
          </w:tcPr>
          <w:p>
            <w:pPr>
              <w:spacing w:after="0"/>
              <w:rPr>
                <w:sz w:val="1"/>
                <w:szCs w:val="1"/>
                <w:color w:val="auto"/>
              </w:rPr>
            </w:pPr>
          </w:p>
        </w:tc>
      </w:tr>
      <w:tr>
        <w:trPr>
          <w:trHeight w:val="144"/>
        </w:trPr>
        <w:tc>
          <w:tcPr>
            <w:tcW w:w="3540" w:type="dxa"/>
            <w:vAlign w:val="bottom"/>
            <w:vMerge w:val="restart"/>
          </w:tcPr>
          <w:p>
            <w:pPr>
              <w:jc w:val="center"/>
              <w:ind w:left="180"/>
              <w:spacing w:after="0"/>
              <w:rPr>
                <w:sz w:val="20"/>
                <w:szCs w:val="20"/>
                <w:color w:val="auto"/>
              </w:rPr>
            </w:pPr>
            <w:r>
              <w:rPr>
                <w:rFonts w:ascii="Arial" w:cs="Arial" w:eastAsia="Arial" w:hAnsi="Arial"/>
                <w:sz w:val="16"/>
                <w:szCs w:val="16"/>
                <w:color w:val="auto"/>
              </w:rPr>
              <w:t>(former member of board of directors)</w:t>
            </w:r>
          </w:p>
        </w:tc>
        <w:tc>
          <w:tcPr>
            <w:tcW w:w="4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3540" w:type="dxa"/>
            <w:vAlign w:val="bottom"/>
            <w:vMerge w:val="continue"/>
          </w:tcPr>
          <w:p>
            <w:pPr>
              <w:spacing w:after="0"/>
              <w:rPr>
                <w:sz w:val="5"/>
                <w:szCs w:val="5"/>
                <w:color w:val="auto"/>
              </w:rPr>
            </w:pPr>
          </w:p>
        </w:tc>
        <w:tc>
          <w:tcPr>
            <w:tcW w:w="4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0"/>
        </w:trPr>
        <w:tc>
          <w:tcPr>
            <w:tcW w:w="3540" w:type="dxa"/>
            <w:vAlign w:val="bottom"/>
          </w:tcPr>
          <w:p>
            <w:pPr>
              <w:spacing w:after="0"/>
              <w:rPr>
                <w:sz w:val="6"/>
                <w:szCs w:val="6"/>
                <w:color w:val="auto"/>
              </w:rPr>
            </w:pPr>
          </w:p>
        </w:tc>
        <w:tc>
          <w:tcPr>
            <w:tcW w:w="49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0"/>
        </w:trPr>
        <w:tc>
          <w:tcPr>
            <w:tcW w:w="3540" w:type="dxa"/>
            <w:vAlign w:val="bottom"/>
            <w:vMerge w:val="restart"/>
            <w:shd w:val="clear" w:color="auto" w:fill="D8E8EF"/>
          </w:tcPr>
          <w:p>
            <w:pPr>
              <w:jc w:val="center"/>
              <w:ind w:left="180"/>
              <w:spacing w:after="0"/>
              <w:rPr>
                <w:sz w:val="20"/>
                <w:szCs w:val="20"/>
                <w:color w:val="auto"/>
              </w:rPr>
            </w:pPr>
            <w:r>
              <w:rPr>
                <w:rFonts w:ascii="Arial" w:cs="Arial" w:eastAsia="Arial" w:hAnsi="Arial"/>
                <w:sz w:val="16"/>
                <w:szCs w:val="16"/>
                <w:color w:val="auto"/>
                <w:w w:val="99"/>
              </w:rPr>
              <w:t>Air Products and Chemicals, Inc.</w:t>
            </w:r>
          </w:p>
        </w:tc>
        <w:tc>
          <w:tcPr>
            <w:tcW w:w="4940" w:type="dxa"/>
            <w:vAlign w:val="bottom"/>
            <w:shd w:val="clear" w:color="auto" w:fill="D8E8EF"/>
          </w:tcPr>
          <w:p>
            <w:pPr>
              <w:ind w:left="280"/>
              <w:spacing w:after="0"/>
              <w:rPr>
                <w:sz w:val="20"/>
                <w:szCs w:val="20"/>
                <w:color w:val="auto"/>
              </w:rPr>
            </w:pPr>
            <w:r>
              <w:rPr>
                <w:rFonts w:ascii="Arial" w:cs="Arial" w:eastAsia="Arial" w:hAnsi="Arial"/>
                <w:sz w:val="16"/>
                <w:szCs w:val="16"/>
                <w:color w:val="auto"/>
              </w:rPr>
              <w:t>•   Purchases of manfuacturing equipment, gases, chemicals,</w:t>
            </w:r>
          </w:p>
        </w:tc>
        <w:tc>
          <w:tcPr>
            <w:tcW w:w="0" w:type="dxa"/>
            <w:vAlign w:val="bottom"/>
          </w:tcPr>
          <w:p>
            <w:pPr>
              <w:spacing w:after="0"/>
              <w:rPr>
                <w:sz w:val="1"/>
                <w:szCs w:val="1"/>
                <w:color w:val="auto"/>
              </w:rPr>
            </w:pPr>
          </w:p>
        </w:tc>
      </w:tr>
      <w:tr>
        <w:trPr>
          <w:trHeight w:val="94"/>
        </w:trPr>
        <w:tc>
          <w:tcPr>
            <w:tcW w:w="3540" w:type="dxa"/>
            <w:vAlign w:val="bottom"/>
            <w:vMerge w:val="continue"/>
            <w:shd w:val="clear" w:color="auto" w:fill="D8E8EF"/>
          </w:tcPr>
          <w:p>
            <w:pPr>
              <w:spacing w:after="0"/>
              <w:rPr>
                <w:sz w:val="8"/>
                <w:szCs w:val="8"/>
                <w:color w:val="auto"/>
              </w:rPr>
            </w:pPr>
          </w:p>
        </w:tc>
        <w:tc>
          <w:tcPr>
            <w:tcW w:w="4940" w:type="dxa"/>
            <w:vAlign w:val="bottom"/>
            <w:vMerge w:val="restart"/>
            <w:shd w:val="clear" w:color="auto" w:fill="D8E8EF"/>
          </w:tcPr>
          <w:p>
            <w:pPr>
              <w:ind w:left="600"/>
              <w:spacing w:after="0"/>
              <w:rPr>
                <w:sz w:val="20"/>
                <w:szCs w:val="20"/>
                <w:color w:val="auto"/>
              </w:rPr>
            </w:pPr>
            <w:r>
              <w:rPr>
                <w:rFonts w:ascii="Arial" w:cs="Arial" w:eastAsia="Arial" w:hAnsi="Arial"/>
                <w:sz w:val="16"/>
                <w:szCs w:val="16"/>
                <w:color w:val="auto"/>
              </w:rPr>
              <w:t>manufacturing support and professional services, spares</w:t>
            </w:r>
          </w:p>
        </w:tc>
        <w:tc>
          <w:tcPr>
            <w:tcW w:w="0" w:type="dxa"/>
            <w:vAlign w:val="bottom"/>
          </w:tcPr>
          <w:p>
            <w:pPr>
              <w:spacing w:after="0"/>
              <w:rPr>
                <w:sz w:val="1"/>
                <w:szCs w:val="1"/>
                <w:color w:val="auto"/>
              </w:rPr>
            </w:pPr>
          </w:p>
        </w:tc>
      </w:tr>
      <w:tr>
        <w:trPr>
          <w:trHeight w:val="94"/>
        </w:trPr>
        <w:tc>
          <w:tcPr>
            <w:tcW w:w="3540" w:type="dxa"/>
            <w:vAlign w:val="bottom"/>
            <w:vMerge w:val="restart"/>
            <w:shd w:val="clear" w:color="auto" w:fill="D8E8EF"/>
          </w:tcPr>
          <w:p>
            <w:pPr>
              <w:jc w:val="center"/>
              <w:ind w:left="180"/>
              <w:spacing w:after="0"/>
              <w:rPr>
                <w:sz w:val="20"/>
                <w:szCs w:val="20"/>
                <w:color w:val="auto"/>
              </w:rPr>
            </w:pPr>
            <w:r>
              <w:rPr>
                <w:rFonts w:ascii="Arial" w:cs="Arial" w:eastAsia="Arial" w:hAnsi="Arial"/>
                <w:sz w:val="16"/>
                <w:szCs w:val="16"/>
                <w:color w:val="auto"/>
              </w:rPr>
              <w:t>(former member of board of directors)</w:t>
            </w:r>
          </w:p>
        </w:tc>
        <w:tc>
          <w:tcPr>
            <w:tcW w:w="4940" w:type="dxa"/>
            <w:vAlign w:val="bottom"/>
            <w:vMerge w:val="continue"/>
            <w:shd w:val="clear" w:color="auto" w:fill="D8E8EF"/>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3540" w:type="dxa"/>
            <w:vAlign w:val="bottom"/>
            <w:vMerge w:val="continue"/>
            <w:shd w:val="clear" w:color="auto" w:fill="D8E8EF"/>
          </w:tcPr>
          <w:p>
            <w:pPr>
              <w:spacing w:after="0"/>
              <w:rPr>
                <w:sz w:val="10"/>
                <w:szCs w:val="10"/>
                <w:color w:val="auto"/>
              </w:rPr>
            </w:pPr>
          </w:p>
        </w:tc>
        <w:tc>
          <w:tcPr>
            <w:tcW w:w="4940" w:type="dxa"/>
            <w:vAlign w:val="bottom"/>
            <w:vMerge w:val="restart"/>
            <w:shd w:val="clear" w:color="auto" w:fill="D8E8EF"/>
          </w:tcPr>
          <w:p>
            <w:pPr>
              <w:ind w:left="600"/>
              <w:spacing w:after="0"/>
              <w:rPr>
                <w:sz w:val="20"/>
                <w:szCs w:val="20"/>
                <w:color w:val="auto"/>
              </w:rPr>
            </w:pPr>
            <w:r>
              <w:rPr>
                <w:rFonts w:ascii="Arial" w:cs="Arial" w:eastAsia="Arial" w:hAnsi="Arial"/>
                <w:sz w:val="16"/>
                <w:szCs w:val="16"/>
                <w:color w:val="auto"/>
              </w:rPr>
              <w:t>and facility leases</w:t>
            </w:r>
          </w:p>
        </w:tc>
        <w:tc>
          <w:tcPr>
            <w:tcW w:w="0" w:type="dxa"/>
            <w:vAlign w:val="bottom"/>
          </w:tcPr>
          <w:p>
            <w:pPr>
              <w:spacing w:after="0"/>
              <w:rPr>
                <w:sz w:val="1"/>
                <w:szCs w:val="1"/>
                <w:color w:val="auto"/>
              </w:rPr>
            </w:pPr>
          </w:p>
        </w:tc>
      </w:tr>
      <w:tr>
        <w:trPr>
          <w:trHeight w:val="94"/>
        </w:trPr>
        <w:tc>
          <w:tcPr>
            <w:tcW w:w="3540" w:type="dxa"/>
            <w:vAlign w:val="bottom"/>
            <w:shd w:val="clear" w:color="auto" w:fill="D8E8EF"/>
          </w:tcPr>
          <w:p>
            <w:pPr>
              <w:spacing w:after="0"/>
              <w:rPr>
                <w:sz w:val="8"/>
                <w:szCs w:val="8"/>
                <w:color w:val="auto"/>
              </w:rPr>
            </w:pPr>
          </w:p>
        </w:tc>
        <w:tc>
          <w:tcPr>
            <w:tcW w:w="4940" w:type="dxa"/>
            <w:vAlign w:val="bottom"/>
            <w:vMerge w:val="continue"/>
            <w:shd w:val="clear" w:color="auto" w:fill="D8E8EF"/>
          </w:tcPr>
          <w:p>
            <w:pPr>
              <w:spacing w:after="0"/>
              <w:rPr>
                <w:sz w:val="8"/>
                <w:szCs w:val="8"/>
                <w:color w:val="auto"/>
              </w:rPr>
            </w:pPr>
          </w:p>
        </w:tc>
        <w:tc>
          <w:tcPr>
            <w:tcW w:w="0" w:type="dxa"/>
            <w:vAlign w:val="bottom"/>
          </w:tcPr>
          <w:p>
            <w:pPr>
              <w:spacing w:after="0"/>
              <w:rPr>
                <w:sz w:val="1"/>
                <w:szCs w:val="1"/>
                <w:color w:val="auto"/>
              </w:rPr>
            </w:pPr>
          </w:p>
        </w:tc>
      </w:tr>
      <w:tr>
        <w:trPr>
          <w:trHeight w:val="30"/>
        </w:trPr>
        <w:tc>
          <w:tcPr>
            <w:tcW w:w="3540" w:type="dxa"/>
            <w:vAlign w:val="bottom"/>
            <w:shd w:val="clear" w:color="auto" w:fill="D8E8EF"/>
          </w:tcPr>
          <w:p>
            <w:pPr>
              <w:spacing w:after="0"/>
              <w:rPr>
                <w:sz w:val="2"/>
                <w:szCs w:val="2"/>
                <w:color w:val="auto"/>
              </w:rPr>
            </w:pPr>
          </w:p>
        </w:tc>
        <w:tc>
          <w:tcPr>
            <w:tcW w:w="4940" w:type="dxa"/>
            <w:vAlign w:val="bottom"/>
            <w:shd w:val="clear" w:color="auto" w:fill="D8E8E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3" w:lineRule="exact"/>
        <w:rPr>
          <w:sz w:val="20"/>
          <w:szCs w:val="20"/>
          <w:color w:val="auto"/>
        </w:rPr>
      </w:pPr>
    </w:p>
    <w:p>
      <w:pPr>
        <w:ind w:left="4140" w:hanging="314"/>
        <w:spacing w:after="0"/>
        <w:tabs>
          <w:tab w:leader="none" w:pos="41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Sales  of  standard  products,  directly  and  through</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600" w:type="dxa"/>
            <w:vAlign w:val="bottom"/>
            <w:vMerge w:val="restart"/>
          </w:tcPr>
          <w:p>
            <w:pPr>
              <w:jc w:val="center"/>
              <w:ind w:left="120"/>
              <w:spacing w:after="0"/>
              <w:rPr>
                <w:sz w:val="20"/>
                <w:szCs w:val="20"/>
                <w:color w:val="auto"/>
              </w:rPr>
            </w:pPr>
            <w:r>
              <w:rPr>
                <w:rFonts w:ascii="Arial" w:cs="Arial" w:eastAsia="Arial" w:hAnsi="Arial"/>
                <w:sz w:val="16"/>
                <w:szCs w:val="16"/>
                <w:color w:val="auto"/>
              </w:rPr>
              <w:t>Itron, Inc.</w:t>
            </w:r>
          </w:p>
        </w:tc>
        <w:tc>
          <w:tcPr>
            <w:tcW w:w="1520" w:type="dxa"/>
            <w:vAlign w:val="bottom"/>
          </w:tcPr>
          <w:p>
            <w:pPr>
              <w:ind w:left="540"/>
              <w:spacing w:after="0"/>
              <w:rPr>
                <w:sz w:val="20"/>
                <w:szCs w:val="20"/>
                <w:color w:val="auto"/>
              </w:rPr>
            </w:pPr>
            <w:r>
              <w:rPr>
                <w:rFonts w:ascii="Arial" w:cs="Arial" w:eastAsia="Arial" w:hAnsi="Arial"/>
                <w:sz w:val="16"/>
                <w:szCs w:val="16"/>
                <w:color w:val="auto"/>
              </w:rPr>
              <w:t>distributors</w:t>
            </w:r>
          </w:p>
        </w:tc>
        <w:tc>
          <w:tcPr>
            <w:tcW w:w="102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4"/>
        </w:trPr>
        <w:tc>
          <w:tcPr>
            <w:tcW w:w="3600" w:type="dxa"/>
            <w:vAlign w:val="bottom"/>
            <w:vMerge w:val="continue"/>
          </w:tcPr>
          <w:p>
            <w:pPr>
              <w:spacing w:after="0"/>
              <w:rPr>
                <w:sz w:val="8"/>
                <w:szCs w:val="8"/>
                <w:color w:val="auto"/>
              </w:rPr>
            </w:pPr>
          </w:p>
        </w:tc>
        <w:tc>
          <w:tcPr>
            <w:tcW w:w="4880" w:type="dxa"/>
            <w:vAlign w:val="bottom"/>
            <w:gridSpan w:val="3"/>
            <w:vMerge w:val="restart"/>
          </w:tcPr>
          <w:p>
            <w:pPr>
              <w:ind w:left="220"/>
              <w:spacing w:after="0"/>
              <w:rPr>
                <w:sz w:val="20"/>
                <w:szCs w:val="20"/>
                <w:color w:val="auto"/>
              </w:rPr>
            </w:pPr>
            <w:r>
              <w:rPr>
                <w:rFonts w:ascii="Arial" w:cs="Arial" w:eastAsia="Arial" w:hAnsi="Arial"/>
                <w:sz w:val="16"/>
                <w:szCs w:val="16"/>
                <w:color w:val="auto"/>
              </w:rPr>
              <w:t>•   The Board determined that the above transactions were</w:t>
            </w:r>
          </w:p>
        </w:tc>
        <w:tc>
          <w:tcPr>
            <w:tcW w:w="0" w:type="dxa"/>
            <w:vAlign w:val="bottom"/>
          </w:tcPr>
          <w:p>
            <w:pPr>
              <w:spacing w:after="0"/>
              <w:rPr>
                <w:sz w:val="1"/>
                <w:szCs w:val="1"/>
                <w:color w:val="auto"/>
              </w:rPr>
            </w:pPr>
          </w:p>
        </w:tc>
      </w:tr>
      <w:tr>
        <w:trPr>
          <w:trHeight w:val="94"/>
        </w:trPr>
        <w:tc>
          <w:tcPr>
            <w:tcW w:w="3600" w:type="dxa"/>
            <w:vAlign w:val="bottom"/>
            <w:vMerge w:val="restart"/>
          </w:tcPr>
          <w:p>
            <w:pPr>
              <w:jc w:val="center"/>
              <w:ind w:left="120"/>
              <w:spacing w:after="0"/>
              <w:rPr>
                <w:sz w:val="20"/>
                <w:szCs w:val="20"/>
                <w:color w:val="auto"/>
              </w:rPr>
            </w:pPr>
            <w:r>
              <w:rPr>
                <w:rFonts w:ascii="Arial" w:cs="Arial" w:eastAsia="Arial" w:hAnsi="Arial"/>
                <w:sz w:val="16"/>
                <w:szCs w:val="16"/>
                <w:color w:val="auto"/>
              </w:rPr>
              <w:t>(president and chief executive officer and</w:t>
            </w:r>
          </w:p>
        </w:tc>
        <w:tc>
          <w:tcPr>
            <w:tcW w:w="488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3600" w:type="dxa"/>
            <w:vAlign w:val="bottom"/>
            <w:vMerge w:val="continue"/>
          </w:tcPr>
          <w:p>
            <w:pPr>
              <w:spacing w:after="0"/>
              <w:rPr>
                <w:sz w:val="8"/>
                <w:szCs w:val="8"/>
                <w:color w:val="auto"/>
              </w:rPr>
            </w:pPr>
          </w:p>
        </w:tc>
        <w:tc>
          <w:tcPr>
            <w:tcW w:w="4880" w:type="dxa"/>
            <w:vAlign w:val="bottom"/>
            <w:gridSpan w:val="3"/>
            <w:vMerge w:val="restart"/>
          </w:tcPr>
          <w:p>
            <w:pPr>
              <w:ind w:left="540"/>
              <w:spacing w:after="0"/>
              <w:rPr>
                <w:sz w:val="20"/>
                <w:szCs w:val="20"/>
                <w:color w:val="auto"/>
              </w:rPr>
            </w:pPr>
            <w:r>
              <w:rPr>
                <w:rFonts w:ascii="Arial" w:cs="Arial" w:eastAsia="Arial" w:hAnsi="Arial"/>
                <w:sz w:val="16"/>
                <w:szCs w:val="16"/>
                <w:color w:val="auto"/>
              </w:rPr>
              <w:t>made in the ordinary course of business at arm’s-length</w:t>
            </w:r>
          </w:p>
        </w:tc>
        <w:tc>
          <w:tcPr>
            <w:tcW w:w="0" w:type="dxa"/>
            <w:vAlign w:val="bottom"/>
          </w:tcPr>
          <w:p>
            <w:pPr>
              <w:spacing w:after="0"/>
              <w:rPr>
                <w:sz w:val="1"/>
                <w:szCs w:val="1"/>
                <w:color w:val="auto"/>
              </w:rPr>
            </w:pPr>
          </w:p>
        </w:tc>
      </w:tr>
      <w:tr>
        <w:trPr>
          <w:trHeight w:val="94"/>
        </w:trPr>
        <w:tc>
          <w:tcPr>
            <w:tcW w:w="3600" w:type="dxa"/>
            <w:vAlign w:val="bottom"/>
            <w:vMerge w:val="restart"/>
          </w:tcPr>
          <w:p>
            <w:pPr>
              <w:jc w:val="center"/>
              <w:ind w:left="120"/>
              <w:spacing w:after="0"/>
              <w:rPr>
                <w:sz w:val="20"/>
                <w:szCs w:val="20"/>
                <w:color w:val="auto"/>
              </w:rPr>
            </w:pPr>
            <w:r>
              <w:rPr>
                <w:rFonts w:ascii="Arial" w:cs="Arial" w:eastAsia="Arial" w:hAnsi="Arial"/>
                <w:sz w:val="16"/>
                <w:szCs w:val="16"/>
                <w:color w:val="auto"/>
              </w:rPr>
              <w:t>member of board of directors)</w:t>
            </w:r>
          </w:p>
        </w:tc>
        <w:tc>
          <w:tcPr>
            <w:tcW w:w="488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3600" w:type="dxa"/>
            <w:vAlign w:val="bottom"/>
            <w:vMerge w:val="continue"/>
          </w:tcPr>
          <w:p>
            <w:pPr>
              <w:spacing w:after="0"/>
              <w:rPr>
                <w:sz w:val="10"/>
                <w:szCs w:val="10"/>
                <w:color w:val="auto"/>
              </w:rPr>
            </w:pPr>
          </w:p>
        </w:tc>
        <w:tc>
          <w:tcPr>
            <w:tcW w:w="4880" w:type="dxa"/>
            <w:vAlign w:val="bottom"/>
            <w:gridSpan w:val="3"/>
            <w:vMerge w:val="restart"/>
          </w:tcPr>
          <w:p>
            <w:pPr>
              <w:ind w:left="540"/>
              <w:spacing w:after="0"/>
              <w:rPr>
                <w:sz w:val="20"/>
                <w:szCs w:val="20"/>
                <w:color w:val="auto"/>
              </w:rPr>
            </w:pPr>
            <w:r>
              <w:rPr>
                <w:rFonts w:ascii="Arial" w:cs="Arial" w:eastAsia="Arial" w:hAnsi="Arial"/>
                <w:sz w:val="16"/>
                <w:szCs w:val="16"/>
                <w:color w:val="auto"/>
              </w:rPr>
              <w:t>and that Mr. Deitrich did not have a material direct or</w:t>
            </w:r>
          </w:p>
        </w:tc>
        <w:tc>
          <w:tcPr>
            <w:tcW w:w="0" w:type="dxa"/>
            <w:vAlign w:val="bottom"/>
          </w:tcPr>
          <w:p>
            <w:pPr>
              <w:spacing w:after="0"/>
              <w:rPr>
                <w:sz w:val="1"/>
                <w:szCs w:val="1"/>
                <w:color w:val="auto"/>
              </w:rPr>
            </w:pPr>
          </w:p>
        </w:tc>
      </w:tr>
      <w:tr>
        <w:trPr>
          <w:trHeight w:val="70"/>
        </w:trPr>
        <w:tc>
          <w:tcPr>
            <w:tcW w:w="3600" w:type="dxa"/>
            <w:vAlign w:val="bottom"/>
          </w:tcPr>
          <w:p>
            <w:pPr>
              <w:spacing w:after="0"/>
              <w:rPr>
                <w:sz w:val="6"/>
                <w:szCs w:val="6"/>
                <w:color w:val="auto"/>
              </w:rPr>
            </w:pPr>
          </w:p>
        </w:tc>
        <w:tc>
          <w:tcPr>
            <w:tcW w:w="488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1"/>
        </w:trPr>
        <w:tc>
          <w:tcPr>
            <w:tcW w:w="3600" w:type="dxa"/>
            <w:vAlign w:val="bottom"/>
          </w:tcPr>
          <w:p>
            <w:pPr>
              <w:spacing w:after="0"/>
              <w:rPr>
                <w:sz w:val="18"/>
                <w:szCs w:val="18"/>
                <w:color w:val="auto"/>
              </w:rPr>
            </w:pPr>
          </w:p>
        </w:tc>
        <w:tc>
          <w:tcPr>
            <w:tcW w:w="4880" w:type="dxa"/>
            <w:vAlign w:val="bottom"/>
            <w:gridSpan w:val="3"/>
          </w:tcPr>
          <w:p>
            <w:pPr>
              <w:ind w:left="540"/>
              <w:spacing w:after="0"/>
              <w:rPr>
                <w:sz w:val="20"/>
                <w:szCs w:val="20"/>
                <w:color w:val="auto"/>
              </w:rPr>
            </w:pPr>
            <w:r>
              <w:rPr>
                <w:rFonts w:ascii="Arial" w:cs="Arial" w:eastAsia="Arial" w:hAnsi="Arial"/>
                <w:sz w:val="16"/>
                <w:szCs w:val="16"/>
                <w:color w:val="auto"/>
              </w:rPr>
              <w:t>indirect interest in any commercial transactions</w:t>
            </w:r>
          </w:p>
        </w:tc>
        <w:tc>
          <w:tcPr>
            <w:tcW w:w="0" w:type="dxa"/>
            <w:vAlign w:val="bottom"/>
          </w:tcPr>
          <w:p>
            <w:pPr>
              <w:spacing w:after="0"/>
              <w:rPr>
                <w:sz w:val="1"/>
                <w:szCs w:val="1"/>
                <w:color w:val="auto"/>
              </w:rPr>
            </w:pPr>
          </w:p>
        </w:tc>
      </w:tr>
      <w:tr>
        <w:trPr>
          <w:trHeight w:val="30"/>
        </w:trPr>
        <w:tc>
          <w:tcPr>
            <w:tcW w:w="3600" w:type="dxa"/>
            <w:vAlign w:val="bottom"/>
          </w:tcPr>
          <w:p>
            <w:pPr>
              <w:spacing w:after="0"/>
              <w:rPr>
                <w:sz w:val="2"/>
                <w:szCs w:val="2"/>
                <w:color w:val="auto"/>
              </w:rPr>
            </w:pPr>
          </w:p>
        </w:tc>
        <w:tc>
          <w:tcPr>
            <w:tcW w:w="4880" w:type="dxa"/>
            <w:vAlign w:val="bottom"/>
            <w:gridSpan w:val="3"/>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3600" w:type="dxa"/>
            <w:vAlign w:val="bottom"/>
            <w:shd w:val="clear" w:color="auto" w:fill="D8E8EF"/>
          </w:tcPr>
          <w:p>
            <w:pPr>
              <w:jc w:val="center"/>
              <w:ind w:left="120"/>
              <w:spacing w:after="0"/>
              <w:rPr>
                <w:sz w:val="20"/>
                <w:szCs w:val="20"/>
                <w:color w:val="auto"/>
              </w:rPr>
            </w:pPr>
            <w:r>
              <w:rPr>
                <w:rFonts w:ascii="Arial" w:cs="Arial" w:eastAsia="Arial" w:hAnsi="Arial"/>
                <w:sz w:val="16"/>
                <w:szCs w:val="16"/>
                <w:color w:val="auto"/>
                <w:w w:val="99"/>
              </w:rPr>
              <w:t>Cavendish Kinetics, Inc. (“Cavendish”)</w:t>
            </w:r>
          </w:p>
        </w:tc>
        <w:tc>
          <w:tcPr>
            <w:tcW w:w="4880" w:type="dxa"/>
            <w:vAlign w:val="bottom"/>
            <w:gridSpan w:val="3"/>
            <w:shd w:val="clear" w:color="auto" w:fill="D8E8EF"/>
          </w:tcPr>
          <w:p>
            <w:pPr>
              <w:ind w:left="220"/>
              <w:spacing w:after="0"/>
              <w:rPr>
                <w:sz w:val="20"/>
                <w:szCs w:val="20"/>
                <w:color w:val="auto"/>
              </w:rPr>
            </w:pPr>
            <w:r>
              <w:rPr>
                <w:rFonts w:ascii="Arial" w:cs="Arial" w:eastAsia="Arial" w:hAnsi="Arial"/>
                <w:sz w:val="16"/>
                <w:szCs w:val="16"/>
                <w:color w:val="auto"/>
              </w:rPr>
              <w:t>•   Sales of standard wafer products to Qorvo, Inc., which</w:t>
            </w:r>
          </w:p>
        </w:tc>
        <w:tc>
          <w:tcPr>
            <w:tcW w:w="0" w:type="dxa"/>
            <w:vAlign w:val="bottom"/>
          </w:tcPr>
          <w:p>
            <w:pPr>
              <w:spacing w:after="0"/>
              <w:rPr>
                <w:sz w:val="1"/>
                <w:szCs w:val="1"/>
                <w:color w:val="auto"/>
              </w:rPr>
            </w:pPr>
          </w:p>
        </w:tc>
      </w:tr>
      <w:tr>
        <w:trPr>
          <w:trHeight w:val="221"/>
        </w:trPr>
        <w:tc>
          <w:tcPr>
            <w:tcW w:w="3600" w:type="dxa"/>
            <w:vAlign w:val="bottom"/>
            <w:tcBorders>
              <w:bottom w:val="single" w:sz="8" w:color="D8E8EF"/>
            </w:tcBorders>
            <w:shd w:val="clear" w:color="auto" w:fill="D8E8EF"/>
          </w:tcPr>
          <w:p>
            <w:pPr>
              <w:jc w:val="center"/>
              <w:ind w:left="120"/>
              <w:spacing w:after="0"/>
              <w:rPr>
                <w:sz w:val="20"/>
                <w:szCs w:val="20"/>
                <w:color w:val="auto"/>
              </w:rPr>
            </w:pPr>
            <w:r>
              <w:rPr>
                <w:rFonts w:ascii="Arial" w:cs="Arial" w:eastAsia="Arial" w:hAnsi="Arial"/>
                <w:sz w:val="16"/>
                <w:szCs w:val="16"/>
                <w:color w:val="auto"/>
              </w:rPr>
              <w:t>(former member of board of directors)</w:t>
            </w:r>
          </w:p>
        </w:tc>
        <w:tc>
          <w:tcPr>
            <w:tcW w:w="2540" w:type="dxa"/>
            <w:vAlign w:val="bottom"/>
            <w:tcBorders>
              <w:bottom w:val="single" w:sz="8" w:color="D8E8EF"/>
            </w:tcBorders>
            <w:gridSpan w:val="2"/>
            <w:shd w:val="clear" w:color="auto" w:fill="D8E8EF"/>
          </w:tcPr>
          <w:p>
            <w:pPr>
              <w:ind w:left="540"/>
              <w:spacing w:after="0"/>
              <w:rPr>
                <w:sz w:val="20"/>
                <w:szCs w:val="20"/>
                <w:color w:val="auto"/>
              </w:rPr>
            </w:pPr>
            <w:r>
              <w:rPr>
                <w:rFonts w:ascii="Arial" w:cs="Arial" w:eastAsia="Arial" w:hAnsi="Arial"/>
                <w:sz w:val="16"/>
                <w:szCs w:val="16"/>
                <w:color w:val="auto"/>
                <w:w w:val="99"/>
              </w:rPr>
              <w:t>acquired Cavendish in 2019</w:t>
            </w:r>
          </w:p>
        </w:tc>
        <w:tc>
          <w:tcPr>
            <w:tcW w:w="2340" w:type="dxa"/>
            <w:vAlign w:val="bottom"/>
            <w:tcBorders>
              <w:bottom w:val="single" w:sz="8" w:color="D8E8EF"/>
            </w:tcBorders>
            <w:shd w:val="clear" w:color="auto" w:fill="D8E8EF"/>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3600" w:type="dxa"/>
            <w:vAlign w:val="bottom"/>
          </w:tcPr>
          <w:p>
            <w:pPr>
              <w:jc w:val="center"/>
              <w:ind w:left="120"/>
              <w:spacing w:after="0"/>
              <w:rPr>
                <w:sz w:val="20"/>
                <w:szCs w:val="20"/>
                <w:color w:val="auto"/>
              </w:rPr>
            </w:pPr>
            <w:r>
              <w:rPr>
                <w:rFonts w:ascii="Arial" w:cs="Arial" w:eastAsia="Arial" w:hAnsi="Arial"/>
                <w:sz w:val="16"/>
                <w:szCs w:val="16"/>
                <w:color w:val="auto"/>
                <w:w w:val="99"/>
              </w:rPr>
              <w:t>BorgWarner, Inc.</w:t>
            </w:r>
          </w:p>
        </w:tc>
        <w:tc>
          <w:tcPr>
            <w:tcW w:w="4880" w:type="dxa"/>
            <w:vAlign w:val="bottom"/>
            <w:gridSpan w:val="3"/>
            <w:vMerge w:val="restart"/>
          </w:tcPr>
          <w:p>
            <w:pPr>
              <w:ind w:left="220"/>
              <w:spacing w:after="0"/>
              <w:rPr>
                <w:sz w:val="20"/>
                <w:szCs w:val="20"/>
                <w:color w:val="auto"/>
              </w:rPr>
            </w:pPr>
            <w:r>
              <w:rPr>
                <w:rFonts w:ascii="Arial" w:cs="Arial" w:eastAsia="Arial" w:hAnsi="Arial"/>
                <w:sz w:val="16"/>
                <w:szCs w:val="16"/>
                <w:color w:val="auto"/>
              </w:rPr>
              <w:t>•   Sales of standard products and NRE charges made by the</w:t>
            </w:r>
          </w:p>
        </w:tc>
        <w:tc>
          <w:tcPr>
            <w:tcW w:w="0" w:type="dxa"/>
            <w:vAlign w:val="bottom"/>
          </w:tcPr>
          <w:p>
            <w:pPr>
              <w:spacing w:after="0"/>
              <w:rPr>
                <w:sz w:val="1"/>
                <w:szCs w:val="1"/>
                <w:color w:val="auto"/>
              </w:rPr>
            </w:pPr>
          </w:p>
        </w:tc>
      </w:tr>
      <w:tr>
        <w:trPr>
          <w:trHeight w:val="94"/>
        </w:trPr>
        <w:tc>
          <w:tcPr>
            <w:tcW w:w="3600" w:type="dxa"/>
            <w:vAlign w:val="bottom"/>
            <w:vMerge w:val="restart"/>
          </w:tcPr>
          <w:p>
            <w:pPr>
              <w:jc w:val="center"/>
              <w:ind w:left="120"/>
              <w:spacing w:after="0"/>
              <w:rPr>
                <w:sz w:val="20"/>
                <w:szCs w:val="20"/>
                <w:color w:val="auto"/>
              </w:rPr>
            </w:pPr>
            <w:r>
              <w:rPr>
                <w:rFonts w:ascii="Arial" w:cs="Arial" w:eastAsia="Arial" w:hAnsi="Arial"/>
                <w:sz w:val="16"/>
                <w:szCs w:val="16"/>
                <w:color w:val="auto"/>
              </w:rPr>
              <w:t>(“BorgWarner”)</w:t>
            </w:r>
          </w:p>
        </w:tc>
        <w:tc>
          <w:tcPr>
            <w:tcW w:w="488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3600" w:type="dxa"/>
            <w:vAlign w:val="bottom"/>
            <w:vMerge w:val="continue"/>
          </w:tcPr>
          <w:p>
            <w:pPr>
              <w:spacing w:after="0"/>
              <w:rPr>
                <w:sz w:val="8"/>
                <w:szCs w:val="8"/>
                <w:color w:val="auto"/>
              </w:rPr>
            </w:pPr>
          </w:p>
        </w:tc>
        <w:tc>
          <w:tcPr>
            <w:tcW w:w="1520" w:type="dxa"/>
            <w:vAlign w:val="bottom"/>
            <w:vMerge w:val="restart"/>
          </w:tcPr>
          <w:p>
            <w:pPr>
              <w:ind w:left="540"/>
              <w:spacing w:after="0"/>
              <w:rPr>
                <w:sz w:val="20"/>
                <w:szCs w:val="20"/>
                <w:color w:val="auto"/>
              </w:rPr>
            </w:pPr>
            <w:r>
              <w:rPr>
                <w:rFonts w:ascii="Arial" w:cs="Arial" w:eastAsia="Arial" w:hAnsi="Arial"/>
                <w:sz w:val="16"/>
                <w:szCs w:val="16"/>
                <w:color w:val="auto"/>
              </w:rPr>
              <w:t>Company  to</w:t>
            </w:r>
          </w:p>
        </w:tc>
        <w:tc>
          <w:tcPr>
            <w:tcW w:w="1020" w:type="dxa"/>
            <w:vAlign w:val="bottom"/>
            <w:vMerge w:val="restart"/>
          </w:tcPr>
          <w:p>
            <w:pPr>
              <w:ind w:left="80"/>
              <w:spacing w:after="0"/>
              <w:rPr>
                <w:sz w:val="20"/>
                <w:szCs w:val="20"/>
                <w:color w:val="auto"/>
              </w:rPr>
            </w:pPr>
            <w:r>
              <w:rPr>
                <w:rFonts w:ascii="Arial" w:cs="Arial" w:eastAsia="Arial" w:hAnsi="Arial"/>
                <w:sz w:val="16"/>
                <w:szCs w:val="16"/>
                <w:color w:val="auto"/>
              </w:rPr>
              <w:t>BorgWarner</w:t>
            </w:r>
          </w:p>
        </w:tc>
        <w:tc>
          <w:tcPr>
            <w:tcW w:w="2340" w:type="dxa"/>
            <w:vAlign w:val="bottom"/>
            <w:vMerge w:val="restart"/>
          </w:tcPr>
          <w:p>
            <w:pPr>
              <w:jc w:val="right"/>
              <w:ind w:right="80"/>
              <w:spacing w:after="0"/>
              <w:rPr>
                <w:sz w:val="20"/>
                <w:szCs w:val="20"/>
                <w:color w:val="auto"/>
              </w:rPr>
            </w:pPr>
            <w:r>
              <w:rPr>
                <w:rFonts w:ascii="Arial" w:cs="Arial" w:eastAsia="Arial" w:hAnsi="Arial"/>
                <w:sz w:val="16"/>
                <w:szCs w:val="16"/>
                <w:color w:val="auto"/>
              </w:rPr>
              <w:t>and  affiliates  and  to  Delphi</w:t>
            </w:r>
          </w:p>
        </w:tc>
        <w:tc>
          <w:tcPr>
            <w:tcW w:w="0" w:type="dxa"/>
            <w:vAlign w:val="bottom"/>
          </w:tcPr>
          <w:p>
            <w:pPr>
              <w:spacing w:after="0"/>
              <w:rPr>
                <w:sz w:val="1"/>
                <w:szCs w:val="1"/>
                <w:color w:val="auto"/>
              </w:rPr>
            </w:pPr>
          </w:p>
        </w:tc>
      </w:tr>
      <w:tr>
        <w:trPr>
          <w:trHeight w:val="94"/>
        </w:trPr>
        <w:tc>
          <w:tcPr>
            <w:tcW w:w="3600" w:type="dxa"/>
            <w:vAlign w:val="bottom"/>
            <w:vMerge w:val="restart"/>
          </w:tcPr>
          <w:p>
            <w:pPr>
              <w:jc w:val="center"/>
              <w:ind w:left="120"/>
              <w:spacing w:after="0"/>
              <w:rPr>
                <w:sz w:val="20"/>
                <w:szCs w:val="20"/>
                <w:color w:val="auto"/>
              </w:rPr>
            </w:pPr>
            <w:r>
              <w:rPr>
                <w:rFonts w:ascii="Arial" w:cs="Arial" w:eastAsia="Arial" w:hAnsi="Arial"/>
                <w:sz w:val="16"/>
                <w:szCs w:val="16"/>
                <w:color w:val="auto"/>
                <w:w w:val="99"/>
              </w:rPr>
              <w:t>(member of board of directors)</w:t>
            </w:r>
          </w:p>
        </w:tc>
        <w:tc>
          <w:tcPr>
            <w:tcW w:w="1520" w:type="dxa"/>
            <w:vAlign w:val="bottom"/>
            <w:vMerge w:val="continue"/>
          </w:tcPr>
          <w:p>
            <w:pPr>
              <w:spacing w:after="0"/>
              <w:rPr>
                <w:sz w:val="8"/>
                <w:szCs w:val="8"/>
                <w:color w:val="auto"/>
              </w:rPr>
            </w:pPr>
          </w:p>
        </w:tc>
        <w:tc>
          <w:tcPr>
            <w:tcW w:w="1020" w:type="dxa"/>
            <w:vAlign w:val="bottom"/>
            <w:vMerge w:val="continue"/>
          </w:tcPr>
          <w:p>
            <w:pPr>
              <w:spacing w:after="0"/>
              <w:rPr>
                <w:sz w:val="8"/>
                <w:szCs w:val="8"/>
                <w:color w:val="auto"/>
              </w:rPr>
            </w:pPr>
          </w:p>
        </w:tc>
        <w:tc>
          <w:tcPr>
            <w:tcW w:w="23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3600" w:type="dxa"/>
            <w:vAlign w:val="bottom"/>
            <w:vMerge w:val="continue"/>
          </w:tcPr>
          <w:p>
            <w:pPr>
              <w:spacing w:after="0"/>
              <w:rPr>
                <w:sz w:val="8"/>
                <w:szCs w:val="8"/>
                <w:color w:val="auto"/>
              </w:rPr>
            </w:pPr>
          </w:p>
        </w:tc>
        <w:tc>
          <w:tcPr>
            <w:tcW w:w="1520" w:type="dxa"/>
            <w:vAlign w:val="bottom"/>
            <w:vMerge w:val="restart"/>
          </w:tcPr>
          <w:p>
            <w:pPr>
              <w:ind w:left="540"/>
              <w:spacing w:after="0"/>
              <w:rPr>
                <w:sz w:val="20"/>
                <w:szCs w:val="20"/>
                <w:color w:val="auto"/>
              </w:rPr>
            </w:pPr>
            <w:r>
              <w:rPr>
                <w:rFonts w:ascii="Arial" w:cs="Arial" w:eastAsia="Arial" w:hAnsi="Arial"/>
                <w:sz w:val="16"/>
                <w:szCs w:val="16"/>
                <w:color w:val="auto"/>
              </w:rPr>
              <w:t>Technologies</w:t>
            </w:r>
          </w:p>
        </w:tc>
        <w:tc>
          <w:tcPr>
            <w:tcW w:w="1020" w:type="dxa"/>
            <w:vAlign w:val="bottom"/>
            <w:vMerge w:val="restart"/>
          </w:tcPr>
          <w:p>
            <w:pPr>
              <w:ind w:left="60"/>
              <w:spacing w:after="0"/>
              <w:rPr>
                <w:sz w:val="20"/>
                <w:szCs w:val="20"/>
                <w:color w:val="auto"/>
              </w:rPr>
            </w:pPr>
            <w:r>
              <w:rPr>
                <w:rFonts w:ascii="Arial" w:cs="Arial" w:eastAsia="Arial" w:hAnsi="Arial"/>
                <w:sz w:val="16"/>
                <w:szCs w:val="16"/>
                <w:color w:val="auto"/>
              </w:rPr>
              <w:t>PLC and its</w:t>
            </w:r>
          </w:p>
        </w:tc>
        <w:tc>
          <w:tcPr>
            <w:tcW w:w="2340" w:type="dxa"/>
            <w:vAlign w:val="bottom"/>
            <w:vMerge w:val="restart"/>
          </w:tcPr>
          <w:p>
            <w:pPr>
              <w:jc w:val="right"/>
              <w:ind w:right="80"/>
              <w:spacing w:after="0"/>
              <w:rPr>
                <w:sz w:val="20"/>
                <w:szCs w:val="20"/>
                <w:color w:val="auto"/>
              </w:rPr>
            </w:pPr>
            <w:r>
              <w:rPr>
                <w:rFonts w:ascii="Arial" w:cs="Arial" w:eastAsia="Arial" w:hAnsi="Arial"/>
                <w:sz w:val="16"/>
                <w:szCs w:val="16"/>
                <w:color w:val="auto"/>
              </w:rPr>
              <w:t>affiliates, which merged with</w:t>
            </w:r>
          </w:p>
        </w:tc>
        <w:tc>
          <w:tcPr>
            <w:tcW w:w="0" w:type="dxa"/>
            <w:vAlign w:val="bottom"/>
          </w:tcPr>
          <w:p>
            <w:pPr>
              <w:spacing w:after="0"/>
              <w:rPr>
                <w:sz w:val="1"/>
                <w:szCs w:val="1"/>
                <w:color w:val="auto"/>
              </w:rPr>
            </w:pPr>
          </w:p>
        </w:tc>
      </w:tr>
      <w:tr>
        <w:trPr>
          <w:trHeight w:val="94"/>
        </w:trPr>
        <w:tc>
          <w:tcPr>
            <w:tcW w:w="3600" w:type="dxa"/>
            <w:vAlign w:val="bottom"/>
            <w:vMerge w:val="restart"/>
          </w:tcPr>
          <w:p>
            <w:pPr>
              <w:jc w:val="center"/>
              <w:ind w:left="120"/>
              <w:spacing w:after="0"/>
              <w:rPr>
                <w:sz w:val="20"/>
                <w:szCs w:val="20"/>
                <w:color w:val="auto"/>
              </w:rPr>
            </w:pPr>
            <w:r>
              <w:rPr>
                <w:rFonts w:ascii="Arial" w:cs="Arial" w:eastAsia="Arial" w:hAnsi="Arial"/>
                <w:sz w:val="16"/>
                <w:szCs w:val="16"/>
                <w:color w:val="auto"/>
              </w:rPr>
              <w:t>Society of Automotive Engineers</w:t>
            </w:r>
          </w:p>
        </w:tc>
        <w:tc>
          <w:tcPr>
            <w:tcW w:w="1520" w:type="dxa"/>
            <w:vAlign w:val="bottom"/>
            <w:vMerge w:val="continue"/>
          </w:tcPr>
          <w:p>
            <w:pPr>
              <w:spacing w:after="0"/>
              <w:rPr>
                <w:sz w:val="8"/>
                <w:szCs w:val="8"/>
                <w:color w:val="auto"/>
              </w:rPr>
            </w:pPr>
          </w:p>
        </w:tc>
        <w:tc>
          <w:tcPr>
            <w:tcW w:w="1020" w:type="dxa"/>
            <w:vAlign w:val="bottom"/>
            <w:vMerge w:val="continue"/>
          </w:tcPr>
          <w:p>
            <w:pPr>
              <w:spacing w:after="0"/>
              <w:rPr>
                <w:sz w:val="8"/>
                <w:szCs w:val="8"/>
                <w:color w:val="auto"/>
              </w:rPr>
            </w:pPr>
          </w:p>
        </w:tc>
        <w:tc>
          <w:tcPr>
            <w:tcW w:w="23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3600" w:type="dxa"/>
            <w:vAlign w:val="bottom"/>
            <w:vMerge w:val="continue"/>
          </w:tcPr>
          <w:p>
            <w:pPr>
              <w:spacing w:after="0"/>
              <w:rPr>
                <w:sz w:val="8"/>
                <w:szCs w:val="8"/>
                <w:color w:val="auto"/>
              </w:rPr>
            </w:pPr>
          </w:p>
        </w:tc>
        <w:tc>
          <w:tcPr>
            <w:tcW w:w="4880" w:type="dxa"/>
            <w:vAlign w:val="bottom"/>
            <w:gridSpan w:val="3"/>
            <w:vMerge w:val="restart"/>
          </w:tcPr>
          <w:p>
            <w:pPr>
              <w:ind w:left="540"/>
              <w:spacing w:after="0"/>
              <w:rPr>
                <w:sz w:val="20"/>
                <w:szCs w:val="20"/>
                <w:color w:val="auto"/>
              </w:rPr>
            </w:pPr>
            <w:r>
              <w:rPr>
                <w:rFonts w:ascii="Arial" w:cs="Arial" w:eastAsia="Arial" w:hAnsi="Arial"/>
                <w:sz w:val="16"/>
                <w:szCs w:val="16"/>
                <w:color w:val="auto"/>
              </w:rPr>
              <w:t>BorgWarner in October 2020</w:t>
            </w:r>
          </w:p>
        </w:tc>
        <w:tc>
          <w:tcPr>
            <w:tcW w:w="0" w:type="dxa"/>
            <w:vAlign w:val="bottom"/>
          </w:tcPr>
          <w:p>
            <w:pPr>
              <w:spacing w:after="0"/>
              <w:rPr>
                <w:sz w:val="1"/>
                <w:szCs w:val="1"/>
                <w:color w:val="auto"/>
              </w:rPr>
            </w:pPr>
          </w:p>
        </w:tc>
      </w:tr>
      <w:tr>
        <w:trPr>
          <w:trHeight w:val="94"/>
        </w:trPr>
        <w:tc>
          <w:tcPr>
            <w:tcW w:w="3600" w:type="dxa"/>
            <w:vAlign w:val="bottom"/>
            <w:vMerge w:val="restart"/>
          </w:tcPr>
          <w:p>
            <w:pPr>
              <w:jc w:val="center"/>
              <w:ind w:left="120"/>
              <w:spacing w:after="0"/>
              <w:rPr>
                <w:sz w:val="20"/>
                <w:szCs w:val="20"/>
                <w:color w:val="auto"/>
              </w:rPr>
            </w:pPr>
            <w:r>
              <w:rPr>
                <w:rFonts w:ascii="Arial" w:cs="Arial" w:eastAsia="Arial" w:hAnsi="Arial"/>
                <w:sz w:val="16"/>
                <w:szCs w:val="16"/>
                <w:color w:val="auto"/>
              </w:rPr>
              <w:t>International (“SAE”)</w:t>
            </w:r>
          </w:p>
        </w:tc>
        <w:tc>
          <w:tcPr>
            <w:tcW w:w="488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3600" w:type="dxa"/>
            <w:vAlign w:val="bottom"/>
            <w:vMerge w:val="continue"/>
          </w:tcPr>
          <w:p>
            <w:pPr>
              <w:spacing w:after="0"/>
              <w:rPr>
                <w:sz w:val="8"/>
                <w:szCs w:val="8"/>
                <w:color w:val="auto"/>
              </w:rPr>
            </w:pPr>
          </w:p>
        </w:tc>
        <w:tc>
          <w:tcPr>
            <w:tcW w:w="4880" w:type="dxa"/>
            <w:vAlign w:val="bottom"/>
            <w:gridSpan w:val="3"/>
            <w:vMerge w:val="restart"/>
          </w:tcPr>
          <w:p>
            <w:pPr>
              <w:ind w:left="220"/>
              <w:spacing w:after="0"/>
              <w:rPr>
                <w:sz w:val="20"/>
                <w:szCs w:val="20"/>
                <w:color w:val="auto"/>
              </w:rPr>
            </w:pPr>
            <w:r>
              <w:rPr>
                <w:rFonts w:ascii="Arial" w:cs="Arial" w:eastAsia="Arial" w:hAnsi="Arial"/>
                <w:sz w:val="16"/>
                <w:szCs w:val="16"/>
                <w:color w:val="auto"/>
              </w:rPr>
              <w:t>•   Minor sponsorship of a design and technology challenge</w:t>
            </w:r>
          </w:p>
        </w:tc>
        <w:tc>
          <w:tcPr>
            <w:tcW w:w="0" w:type="dxa"/>
            <w:vAlign w:val="bottom"/>
          </w:tcPr>
          <w:p>
            <w:pPr>
              <w:spacing w:after="0"/>
              <w:rPr>
                <w:sz w:val="1"/>
                <w:szCs w:val="1"/>
                <w:color w:val="auto"/>
              </w:rPr>
            </w:pPr>
          </w:p>
        </w:tc>
      </w:tr>
      <w:tr>
        <w:trPr>
          <w:trHeight w:val="94"/>
        </w:trPr>
        <w:tc>
          <w:tcPr>
            <w:tcW w:w="3600" w:type="dxa"/>
            <w:vAlign w:val="bottom"/>
            <w:vMerge w:val="restart"/>
          </w:tcPr>
          <w:p>
            <w:pPr>
              <w:jc w:val="center"/>
              <w:ind w:left="120"/>
              <w:spacing w:after="0"/>
              <w:rPr>
                <w:sz w:val="20"/>
                <w:szCs w:val="20"/>
                <w:color w:val="auto"/>
              </w:rPr>
            </w:pPr>
            <w:r>
              <w:rPr>
                <w:rFonts w:ascii="Arial" w:cs="Arial" w:eastAsia="Arial" w:hAnsi="Arial"/>
                <w:sz w:val="16"/>
                <w:szCs w:val="16"/>
                <w:color w:val="auto"/>
                <w:w w:val="99"/>
              </w:rPr>
              <w:t>(former member of board of directors and</w:t>
            </w:r>
          </w:p>
        </w:tc>
        <w:tc>
          <w:tcPr>
            <w:tcW w:w="488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3600" w:type="dxa"/>
            <w:vAlign w:val="bottom"/>
            <w:vMerge w:val="continue"/>
          </w:tcPr>
          <w:p>
            <w:pPr>
              <w:spacing w:after="0"/>
              <w:rPr>
                <w:sz w:val="8"/>
                <w:szCs w:val="8"/>
                <w:color w:val="auto"/>
              </w:rPr>
            </w:pPr>
          </w:p>
        </w:tc>
        <w:tc>
          <w:tcPr>
            <w:tcW w:w="2540" w:type="dxa"/>
            <w:vAlign w:val="bottom"/>
            <w:gridSpan w:val="2"/>
            <w:vMerge w:val="restart"/>
          </w:tcPr>
          <w:p>
            <w:pPr>
              <w:ind w:left="540"/>
              <w:spacing w:after="0"/>
              <w:rPr>
                <w:sz w:val="20"/>
                <w:szCs w:val="20"/>
                <w:color w:val="auto"/>
              </w:rPr>
            </w:pPr>
            <w:r>
              <w:rPr>
                <w:rFonts w:ascii="Arial" w:cs="Arial" w:eastAsia="Arial" w:hAnsi="Arial"/>
                <w:sz w:val="16"/>
                <w:szCs w:val="16"/>
                <w:color w:val="auto"/>
              </w:rPr>
              <w:t>hosted by SAE</w:t>
            </w:r>
          </w:p>
        </w:tc>
        <w:tc>
          <w:tcPr>
            <w:tcW w:w="2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3600" w:type="dxa"/>
            <w:vAlign w:val="bottom"/>
            <w:vMerge w:val="restart"/>
          </w:tcPr>
          <w:p>
            <w:pPr>
              <w:jc w:val="center"/>
              <w:ind w:left="120"/>
              <w:spacing w:after="0"/>
              <w:rPr>
                <w:sz w:val="20"/>
                <w:szCs w:val="20"/>
                <w:color w:val="auto"/>
              </w:rPr>
            </w:pPr>
            <w:r>
              <w:rPr>
                <w:rFonts w:ascii="Arial" w:cs="Arial" w:eastAsia="Arial" w:hAnsi="Arial"/>
                <w:sz w:val="16"/>
                <w:szCs w:val="16"/>
                <w:color w:val="auto"/>
              </w:rPr>
              <w:t>former president)</w:t>
            </w:r>
          </w:p>
        </w:tc>
        <w:tc>
          <w:tcPr>
            <w:tcW w:w="2540" w:type="dxa"/>
            <w:vAlign w:val="bottom"/>
            <w:gridSpan w:val="2"/>
            <w:vMerge w:val="continue"/>
          </w:tcPr>
          <w:p>
            <w:pPr>
              <w:spacing w:after="0"/>
              <w:rPr>
                <w:sz w:val="10"/>
                <w:szCs w:val="10"/>
                <w:color w:val="auto"/>
              </w:rPr>
            </w:pPr>
          </w:p>
        </w:tc>
        <w:tc>
          <w:tcPr>
            <w:tcW w:w="2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3600" w:type="dxa"/>
            <w:vAlign w:val="bottom"/>
            <w:vMerge w:val="continue"/>
          </w:tcPr>
          <w:p>
            <w:pPr>
              <w:spacing w:after="0"/>
              <w:rPr>
                <w:sz w:val="8"/>
                <w:szCs w:val="8"/>
                <w:color w:val="auto"/>
              </w:rPr>
            </w:pPr>
          </w:p>
        </w:tc>
        <w:tc>
          <w:tcPr>
            <w:tcW w:w="15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
        </w:trPr>
        <w:tc>
          <w:tcPr>
            <w:tcW w:w="3600" w:type="dxa"/>
            <w:vAlign w:val="bottom"/>
          </w:tcPr>
          <w:p>
            <w:pPr>
              <w:spacing w:after="0"/>
              <w:rPr>
                <w:sz w:val="2"/>
                <w:szCs w:val="2"/>
                <w:color w:val="auto"/>
              </w:rPr>
            </w:pPr>
          </w:p>
        </w:tc>
        <w:tc>
          <w:tcPr>
            <w:tcW w:w="4880" w:type="dxa"/>
            <w:vAlign w:val="bottom"/>
            <w:gridSpan w:val="3"/>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3600" w:type="dxa"/>
            <w:vAlign w:val="bottom"/>
            <w:shd w:val="clear" w:color="auto" w:fill="D8E8EF"/>
          </w:tcPr>
          <w:p>
            <w:pPr>
              <w:jc w:val="center"/>
              <w:ind w:left="120"/>
              <w:spacing w:after="0"/>
              <w:rPr>
                <w:sz w:val="20"/>
                <w:szCs w:val="20"/>
                <w:color w:val="auto"/>
              </w:rPr>
            </w:pPr>
            <w:r>
              <w:rPr>
                <w:rFonts w:ascii="Arial" w:cs="Arial" w:eastAsia="Arial" w:hAnsi="Arial"/>
                <w:sz w:val="16"/>
                <w:szCs w:val="16"/>
                <w:color w:val="auto"/>
              </w:rPr>
              <w:t>Sierra Wireless, Inc.</w:t>
            </w:r>
          </w:p>
        </w:tc>
        <w:tc>
          <w:tcPr>
            <w:tcW w:w="4880" w:type="dxa"/>
            <w:vAlign w:val="bottom"/>
            <w:gridSpan w:val="3"/>
            <w:shd w:val="clear" w:color="auto" w:fill="D8E8EF"/>
          </w:tcPr>
          <w:p>
            <w:pPr>
              <w:ind w:left="220"/>
              <w:spacing w:after="0"/>
              <w:rPr>
                <w:sz w:val="20"/>
                <w:szCs w:val="20"/>
                <w:color w:val="auto"/>
              </w:rPr>
            </w:pPr>
            <w:r>
              <w:rPr>
                <w:rFonts w:ascii="Arial" w:cs="Arial" w:eastAsia="Arial" w:hAnsi="Arial"/>
                <w:sz w:val="16"/>
                <w:szCs w:val="16"/>
                <w:color w:val="auto"/>
              </w:rPr>
              <w:t>•   Sales of standard products and wireless hardware chips</w:t>
            </w:r>
          </w:p>
        </w:tc>
        <w:tc>
          <w:tcPr>
            <w:tcW w:w="0" w:type="dxa"/>
            <w:vAlign w:val="bottom"/>
          </w:tcPr>
          <w:p>
            <w:pPr>
              <w:spacing w:after="0"/>
              <w:rPr>
                <w:sz w:val="1"/>
                <w:szCs w:val="1"/>
                <w:color w:val="auto"/>
              </w:rPr>
            </w:pPr>
          </w:p>
        </w:tc>
      </w:tr>
      <w:tr>
        <w:trPr>
          <w:trHeight w:val="211"/>
        </w:trPr>
        <w:tc>
          <w:tcPr>
            <w:tcW w:w="3600" w:type="dxa"/>
            <w:vAlign w:val="bottom"/>
            <w:shd w:val="clear" w:color="auto" w:fill="D8E8EF"/>
          </w:tcPr>
          <w:p>
            <w:pPr>
              <w:jc w:val="center"/>
              <w:ind w:left="120"/>
              <w:spacing w:after="0"/>
              <w:rPr>
                <w:sz w:val="20"/>
                <w:szCs w:val="20"/>
                <w:color w:val="auto"/>
              </w:rPr>
            </w:pPr>
            <w:r>
              <w:rPr>
                <w:rFonts w:ascii="Arial" w:cs="Arial" w:eastAsia="Arial" w:hAnsi="Arial"/>
                <w:sz w:val="16"/>
                <w:szCs w:val="16"/>
                <w:color w:val="auto"/>
                <w:w w:val="99"/>
              </w:rPr>
              <w:t>(member of board of directors)</w:t>
            </w:r>
          </w:p>
        </w:tc>
        <w:tc>
          <w:tcPr>
            <w:tcW w:w="4880" w:type="dxa"/>
            <w:vAlign w:val="bottom"/>
            <w:gridSpan w:val="3"/>
            <w:shd w:val="clear" w:color="auto" w:fill="D8E8EF"/>
          </w:tcPr>
          <w:p>
            <w:pPr>
              <w:ind w:left="540"/>
              <w:spacing w:after="0"/>
              <w:rPr>
                <w:sz w:val="20"/>
                <w:szCs w:val="20"/>
                <w:color w:val="auto"/>
              </w:rPr>
            </w:pPr>
            <w:r>
              <w:rPr>
                <w:rFonts w:ascii="Arial" w:cs="Arial" w:eastAsia="Arial" w:hAnsi="Arial"/>
                <w:sz w:val="16"/>
                <w:szCs w:val="16"/>
                <w:color w:val="auto"/>
              </w:rPr>
              <w:t>made by the Company and NRE charges</w:t>
            </w:r>
          </w:p>
        </w:tc>
        <w:tc>
          <w:tcPr>
            <w:tcW w:w="0" w:type="dxa"/>
            <w:vAlign w:val="bottom"/>
          </w:tcPr>
          <w:p>
            <w:pPr>
              <w:spacing w:after="0"/>
              <w:rPr>
                <w:sz w:val="1"/>
                <w:szCs w:val="1"/>
                <w:color w:val="auto"/>
              </w:rPr>
            </w:pPr>
          </w:p>
        </w:tc>
      </w:tr>
      <w:tr>
        <w:trPr>
          <w:trHeight w:val="30"/>
        </w:trPr>
        <w:tc>
          <w:tcPr>
            <w:tcW w:w="3600" w:type="dxa"/>
            <w:vAlign w:val="bottom"/>
            <w:shd w:val="clear" w:color="auto" w:fill="D8E8EF"/>
          </w:tcPr>
          <w:p>
            <w:pPr>
              <w:spacing w:after="0"/>
              <w:rPr>
                <w:sz w:val="2"/>
                <w:szCs w:val="2"/>
                <w:color w:val="auto"/>
              </w:rPr>
            </w:pPr>
          </w:p>
        </w:tc>
        <w:tc>
          <w:tcPr>
            <w:tcW w:w="1520" w:type="dxa"/>
            <w:vAlign w:val="bottom"/>
            <w:shd w:val="clear" w:color="auto" w:fill="D8E8EF"/>
          </w:tcPr>
          <w:p>
            <w:pPr>
              <w:spacing w:after="0"/>
              <w:rPr>
                <w:sz w:val="2"/>
                <w:szCs w:val="2"/>
                <w:color w:val="auto"/>
              </w:rPr>
            </w:pPr>
          </w:p>
        </w:tc>
        <w:tc>
          <w:tcPr>
            <w:tcW w:w="1020" w:type="dxa"/>
            <w:vAlign w:val="bottom"/>
            <w:shd w:val="clear" w:color="auto" w:fill="D8E8EF"/>
          </w:tcPr>
          <w:p>
            <w:pPr>
              <w:spacing w:after="0"/>
              <w:rPr>
                <w:sz w:val="2"/>
                <w:szCs w:val="2"/>
                <w:color w:val="auto"/>
              </w:rPr>
            </w:pPr>
          </w:p>
        </w:tc>
        <w:tc>
          <w:tcPr>
            <w:tcW w:w="2340" w:type="dxa"/>
            <w:vAlign w:val="bottom"/>
            <w:shd w:val="clear" w:color="auto" w:fill="D8E8E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-1259840</wp:posOffset>
            </wp:positionH>
            <wp:positionV relativeFrom="paragraph">
              <wp:posOffset>0</wp:posOffset>
            </wp:positionV>
            <wp:extent cx="664972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6497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940" w:space="440"/>
            <w:col w:w="8700"/>
          </w:cols>
          <w:pgMar w:left="320" w:top="454" w:right="499" w:bottom="1440" w:gutter="0" w:footer="0" w:header="0"/>
          <w:type w:val="continuous"/>
        </w:sectPr>
      </w:pPr>
    </w:p>
    <w:p>
      <w:pPr>
        <w:spacing w:after="0" w:line="9" w:lineRule="exact"/>
        <w:rPr>
          <w:sz w:val="20"/>
          <w:szCs w:val="20"/>
          <w:color w:val="auto"/>
        </w:rPr>
      </w:pPr>
    </w:p>
    <w:p>
      <w:pPr>
        <w:jc w:val="both"/>
        <w:ind w:left="160"/>
        <w:spacing w:after="0"/>
        <w:rPr>
          <w:sz w:val="20"/>
          <w:szCs w:val="20"/>
          <w:color w:val="auto"/>
        </w:rPr>
      </w:pPr>
      <w:r>
        <w:rPr>
          <w:rFonts w:ascii="Arial" w:cs="Arial" w:eastAsia="Arial" w:hAnsi="Arial"/>
          <w:sz w:val="18"/>
          <w:szCs w:val="18"/>
          <w:color w:val="auto"/>
        </w:rPr>
        <w:t xml:space="preserve">In each applicable instance, the amounts paid to and/or received from each organization (and </w:t>
      </w:r>
      <w:r>
        <w:rPr>
          <w:rFonts w:ascii="Arial" w:cs="Arial" w:eastAsia="Arial" w:hAnsi="Arial"/>
          <w:sz w:val="18"/>
          <w:szCs w:val="18"/>
          <w:b w:val="1"/>
          <w:bCs w:val="1"/>
          <w:color w:val="auto"/>
        </w:rPr>
        <w:t>onsemi</w:t>
      </w:r>
      <w:r>
        <w:rPr>
          <w:rFonts w:ascii="Arial" w:cs="Arial" w:eastAsia="Arial" w:hAnsi="Arial"/>
          <w:sz w:val="18"/>
          <w:szCs w:val="18"/>
          <w:color w:val="auto"/>
        </w:rPr>
        <w:t>) were below the 5% of consolidated revenues of the recipient entity threshold set forth in Nasdaq listing standards. Upon considering the above transactions and associations certain of our Outside Directors have with other companies, including other companies in the semiconductor industry, the Board determined that no “categorical” bars to independence under Nasdaq listing standards applied to any of the Outside Directors and that no relationships exist that, in the opinion of the Board, would impair the independence of any of the Outside Directors.</w:t>
      </w:r>
    </w:p>
    <w:p>
      <w:pPr>
        <w:spacing w:after="0" w:line="125"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F75E14"/>
        </w:rPr>
        <w:t>onsemi 2022 Proxy Statement</w:t>
        <w:tab/>
        <w:t>15</w:t>
      </w:r>
    </w:p>
    <w:p>
      <w:pPr>
        <w:sectPr>
          <w:pgSz w:w="11900" w:h="16838" w:orient="portrait"/>
          <w:cols w:equalWidth="0" w:num="1">
            <w:col w:w="11080"/>
          </w:cols>
          <w:pgMar w:left="320" w:top="454" w:right="499" w:bottom="1440" w:gutter="0" w:footer="0" w:header="0"/>
          <w:type w:val="continuous"/>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2" w:lineRule="exact"/>
        <w:rPr>
          <w:sz w:val="20"/>
          <w:szCs w:val="20"/>
          <w:color w:val="auto"/>
        </w:rPr>
      </w:pPr>
    </w:p>
    <w:p>
      <w:pPr>
        <w:ind w:left="160"/>
        <w:spacing w:after="0"/>
        <w:rPr>
          <w:sz w:val="20"/>
          <w:szCs w:val="20"/>
          <w:color w:val="auto"/>
        </w:rPr>
      </w:pPr>
      <w:r>
        <w:rPr>
          <w:rFonts w:ascii="Arial" w:cs="Arial" w:eastAsia="Arial" w:hAnsi="Arial"/>
          <w:sz w:val="18"/>
          <w:szCs w:val="18"/>
          <w:color w:val="F75E14"/>
        </w:rPr>
        <w:t>The Board of Directors and Corporate Governance</w:t>
      </w:r>
    </w:p>
    <w:p>
      <w:pPr>
        <w:spacing w:after="0" w:line="135"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2B4772"/>
        </w:rPr>
        <w:t>Committees of the Board</w:t>
      </w:r>
    </w:p>
    <w:p>
      <w:pPr>
        <w:spacing w:after="0" w:line="11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Our standing Board committees and membership are as follows:</w:t>
      </w:r>
    </w:p>
    <w:p>
      <w:pPr>
        <w:spacing w:after="0" w:line="253" w:lineRule="exact"/>
        <w:rPr>
          <w:sz w:val="20"/>
          <w:szCs w:val="20"/>
          <w:color w:val="auto"/>
        </w:rPr>
      </w:pPr>
    </w:p>
    <w:tbl>
      <w:tblPr>
        <w:tblLayout w:type="fixed"/>
        <w:tblInd w:w="1160" w:type="dxa"/>
        <w:tblCellMar>
          <w:top w:w="0" w:type="dxa"/>
          <w:left w:w="0" w:type="dxa"/>
          <w:bottom w:w="0" w:type="dxa"/>
          <w:right w:w="0" w:type="dxa"/>
        </w:tblCellMar>
      </w:tblPr>
      <w:tr>
        <w:trPr>
          <w:trHeight w:val="227"/>
        </w:trPr>
        <w:tc>
          <w:tcPr>
            <w:tcW w:w="4000" w:type="dxa"/>
            <w:vAlign w:val="bottom"/>
            <w:shd w:val="clear" w:color="auto" w:fill="F75E14"/>
          </w:tcPr>
          <w:p>
            <w:pPr>
              <w:spacing w:after="0"/>
              <w:rPr>
                <w:sz w:val="19"/>
                <w:szCs w:val="19"/>
                <w:color w:val="auto"/>
              </w:rPr>
            </w:pPr>
          </w:p>
        </w:tc>
        <w:tc>
          <w:tcPr>
            <w:tcW w:w="1400" w:type="dxa"/>
            <w:vAlign w:val="bottom"/>
            <w:shd w:val="clear" w:color="auto" w:fill="F75E14"/>
          </w:tcPr>
          <w:p>
            <w:pPr>
              <w:jc w:val="center"/>
              <w:spacing w:after="0"/>
              <w:rPr>
                <w:sz w:val="20"/>
                <w:szCs w:val="20"/>
                <w:color w:val="auto"/>
              </w:rPr>
            </w:pPr>
            <w:r>
              <w:rPr>
                <w:rFonts w:ascii="Arial" w:cs="Arial" w:eastAsia="Arial" w:hAnsi="Arial"/>
                <w:sz w:val="16"/>
                <w:szCs w:val="16"/>
                <w:b w:val="1"/>
                <w:bCs w:val="1"/>
                <w:color w:val="FFFFFF"/>
              </w:rPr>
              <w:t>Governance and</w:t>
            </w:r>
          </w:p>
        </w:tc>
        <w:tc>
          <w:tcPr>
            <w:tcW w:w="940" w:type="dxa"/>
            <w:vAlign w:val="bottom"/>
            <w:shd w:val="clear" w:color="auto" w:fill="F75E14"/>
          </w:tcPr>
          <w:p>
            <w:pPr>
              <w:spacing w:after="0"/>
              <w:rPr>
                <w:sz w:val="19"/>
                <w:szCs w:val="19"/>
                <w:color w:val="auto"/>
              </w:rPr>
            </w:pPr>
          </w:p>
        </w:tc>
        <w:tc>
          <w:tcPr>
            <w:tcW w:w="1560" w:type="dxa"/>
            <w:vAlign w:val="bottom"/>
            <w:shd w:val="clear" w:color="auto" w:fill="F75E14"/>
          </w:tcPr>
          <w:p>
            <w:pPr>
              <w:jc w:val="center"/>
              <w:spacing w:after="0"/>
              <w:rPr>
                <w:sz w:val="20"/>
                <w:szCs w:val="20"/>
                <w:color w:val="auto"/>
              </w:rPr>
            </w:pPr>
            <w:r>
              <w:rPr>
                <w:rFonts w:ascii="Arial" w:cs="Arial" w:eastAsia="Arial" w:hAnsi="Arial"/>
                <w:sz w:val="16"/>
                <w:szCs w:val="16"/>
                <w:b w:val="1"/>
                <w:bCs w:val="1"/>
                <w:color w:val="FFFFFF"/>
              </w:rPr>
              <w:t>Human Capital and</w:t>
            </w:r>
          </w:p>
        </w:tc>
        <w:tc>
          <w:tcPr>
            <w:tcW w:w="1040" w:type="dxa"/>
            <w:vAlign w:val="bottom"/>
            <w:shd w:val="clear" w:color="auto" w:fill="F75E14"/>
          </w:tcPr>
          <w:p>
            <w:pPr>
              <w:spacing w:after="0"/>
              <w:rPr>
                <w:sz w:val="19"/>
                <w:szCs w:val="19"/>
                <w:color w:val="auto"/>
              </w:rPr>
            </w:pPr>
          </w:p>
        </w:tc>
      </w:tr>
      <w:tr>
        <w:trPr>
          <w:trHeight w:val="187"/>
        </w:trPr>
        <w:tc>
          <w:tcPr>
            <w:tcW w:w="4000" w:type="dxa"/>
            <w:vAlign w:val="bottom"/>
            <w:shd w:val="clear" w:color="auto" w:fill="F75E14"/>
          </w:tcPr>
          <w:p>
            <w:pPr>
              <w:spacing w:after="0"/>
              <w:rPr>
                <w:sz w:val="16"/>
                <w:szCs w:val="16"/>
                <w:color w:val="auto"/>
              </w:rPr>
            </w:pPr>
          </w:p>
        </w:tc>
        <w:tc>
          <w:tcPr>
            <w:tcW w:w="1400" w:type="dxa"/>
            <w:vAlign w:val="bottom"/>
            <w:shd w:val="clear" w:color="auto" w:fill="F75E14"/>
          </w:tcPr>
          <w:p>
            <w:pPr>
              <w:jc w:val="center"/>
              <w:spacing w:after="0"/>
              <w:rPr>
                <w:sz w:val="20"/>
                <w:szCs w:val="20"/>
                <w:color w:val="auto"/>
              </w:rPr>
            </w:pPr>
            <w:r>
              <w:rPr>
                <w:rFonts w:ascii="Arial" w:cs="Arial" w:eastAsia="Arial" w:hAnsi="Arial"/>
                <w:sz w:val="16"/>
                <w:szCs w:val="16"/>
                <w:b w:val="1"/>
                <w:bCs w:val="1"/>
                <w:color w:val="FFFFFF"/>
                <w:w w:val="99"/>
              </w:rPr>
              <w:t>Sustainability</w:t>
            </w:r>
          </w:p>
        </w:tc>
        <w:tc>
          <w:tcPr>
            <w:tcW w:w="940" w:type="dxa"/>
            <w:vAlign w:val="bottom"/>
            <w:shd w:val="clear" w:color="auto" w:fill="F75E14"/>
          </w:tcPr>
          <w:p>
            <w:pPr>
              <w:jc w:val="center"/>
              <w:spacing w:after="0"/>
              <w:rPr>
                <w:sz w:val="20"/>
                <w:szCs w:val="20"/>
                <w:color w:val="auto"/>
              </w:rPr>
            </w:pPr>
            <w:r>
              <w:rPr>
                <w:rFonts w:ascii="Arial" w:cs="Arial" w:eastAsia="Arial" w:hAnsi="Arial"/>
                <w:sz w:val="16"/>
                <w:szCs w:val="16"/>
                <w:b w:val="1"/>
                <w:bCs w:val="1"/>
                <w:color w:val="FFFFFF"/>
              </w:rPr>
              <w:t>Audit</w:t>
            </w:r>
          </w:p>
        </w:tc>
        <w:tc>
          <w:tcPr>
            <w:tcW w:w="1560" w:type="dxa"/>
            <w:vAlign w:val="bottom"/>
            <w:shd w:val="clear" w:color="auto" w:fill="F75E14"/>
          </w:tcPr>
          <w:p>
            <w:pPr>
              <w:jc w:val="center"/>
              <w:spacing w:after="0"/>
              <w:rPr>
                <w:sz w:val="20"/>
                <w:szCs w:val="20"/>
                <w:color w:val="auto"/>
              </w:rPr>
            </w:pPr>
            <w:r>
              <w:rPr>
                <w:rFonts w:ascii="Arial" w:cs="Arial" w:eastAsia="Arial" w:hAnsi="Arial"/>
                <w:sz w:val="16"/>
                <w:szCs w:val="16"/>
                <w:b w:val="1"/>
                <w:bCs w:val="1"/>
                <w:color w:val="FFFFFF"/>
                <w:w w:val="98"/>
              </w:rPr>
              <w:t>Compensation</w:t>
            </w:r>
          </w:p>
        </w:tc>
        <w:tc>
          <w:tcPr>
            <w:tcW w:w="1040" w:type="dxa"/>
            <w:vAlign w:val="bottom"/>
            <w:shd w:val="clear" w:color="auto" w:fill="F75E14"/>
          </w:tcPr>
          <w:p>
            <w:pPr>
              <w:jc w:val="center"/>
              <w:ind w:right="40"/>
              <w:spacing w:after="0"/>
              <w:rPr>
                <w:sz w:val="20"/>
                <w:szCs w:val="20"/>
                <w:color w:val="auto"/>
              </w:rPr>
            </w:pPr>
            <w:r>
              <w:rPr>
                <w:rFonts w:ascii="Arial" w:cs="Arial" w:eastAsia="Arial" w:hAnsi="Arial"/>
                <w:sz w:val="16"/>
                <w:szCs w:val="16"/>
                <w:b w:val="1"/>
                <w:bCs w:val="1"/>
                <w:color w:val="FFFFFF"/>
              </w:rPr>
              <w:t>Executive</w:t>
            </w:r>
          </w:p>
        </w:tc>
      </w:tr>
      <w:tr>
        <w:trPr>
          <w:trHeight w:val="235"/>
        </w:trPr>
        <w:tc>
          <w:tcPr>
            <w:tcW w:w="4000" w:type="dxa"/>
            <w:vAlign w:val="bottom"/>
            <w:tcBorders>
              <w:bottom w:val="single" w:sz="8" w:color="F75E14"/>
            </w:tcBorders>
            <w:shd w:val="clear" w:color="auto" w:fill="F75E14"/>
          </w:tcPr>
          <w:p>
            <w:pPr>
              <w:spacing w:after="0"/>
              <w:rPr>
                <w:sz w:val="20"/>
                <w:szCs w:val="20"/>
                <w:color w:val="auto"/>
              </w:rPr>
            </w:pPr>
          </w:p>
        </w:tc>
        <w:tc>
          <w:tcPr>
            <w:tcW w:w="1400" w:type="dxa"/>
            <w:vAlign w:val="bottom"/>
            <w:tcBorders>
              <w:bottom w:val="single" w:sz="8" w:color="F75E14"/>
            </w:tcBorders>
            <w:shd w:val="clear" w:color="auto" w:fill="F75E14"/>
          </w:tcPr>
          <w:p>
            <w:pPr>
              <w:jc w:val="center"/>
              <w:spacing w:after="0"/>
              <w:rPr>
                <w:sz w:val="20"/>
                <w:szCs w:val="20"/>
                <w:color w:val="auto"/>
              </w:rPr>
            </w:pPr>
            <w:r>
              <w:rPr>
                <w:rFonts w:ascii="Arial" w:cs="Arial" w:eastAsia="Arial" w:hAnsi="Arial"/>
                <w:sz w:val="16"/>
                <w:szCs w:val="16"/>
                <w:b w:val="1"/>
                <w:bCs w:val="1"/>
                <w:color w:val="FFFFFF"/>
              </w:rPr>
              <w:t>Committee</w:t>
            </w:r>
          </w:p>
        </w:tc>
        <w:tc>
          <w:tcPr>
            <w:tcW w:w="940" w:type="dxa"/>
            <w:vAlign w:val="bottom"/>
            <w:tcBorders>
              <w:bottom w:val="single" w:sz="8" w:color="F75E14"/>
            </w:tcBorders>
            <w:shd w:val="clear" w:color="auto" w:fill="F75E14"/>
          </w:tcPr>
          <w:p>
            <w:pPr>
              <w:jc w:val="center"/>
              <w:spacing w:after="0"/>
              <w:rPr>
                <w:sz w:val="20"/>
                <w:szCs w:val="20"/>
                <w:color w:val="auto"/>
              </w:rPr>
            </w:pPr>
            <w:r>
              <w:rPr>
                <w:rFonts w:ascii="Arial" w:cs="Arial" w:eastAsia="Arial" w:hAnsi="Arial"/>
                <w:sz w:val="16"/>
                <w:szCs w:val="16"/>
                <w:b w:val="1"/>
                <w:bCs w:val="1"/>
                <w:color w:val="FFFFFF"/>
                <w:w w:val="99"/>
              </w:rPr>
              <w:t>Committee</w:t>
            </w:r>
          </w:p>
        </w:tc>
        <w:tc>
          <w:tcPr>
            <w:tcW w:w="1560" w:type="dxa"/>
            <w:vAlign w:val="bottom"/>
            <w:tcBorders>
              <w:bottom w:val="single" w:sz="8" w:color="F75E14"/>
            </w:tcBorders>
            <w:shd w:val="clear" w:color="auto" w:fill="F75E14"/>
          </w:tcPr>
          <w:p>
            <w:pPr>
              <w:jc w:val="center"/>
              <w:spacing w:after="0"/>
              <w:rPr>
                <w:sz w:val="20"/>
                <w:szCs w:val="20"/>
                <w:color w:val="auto"/>
              </w:rPr>
            </w:pPr>
            <w:r>
              <w:rPr>
                <w:rFonts w:ascii="Arial" w:cs="Arial" w:eastAsia="Arial" w:hAnsi="Arial"/>
                <w:sz w:val="16"/>
                <w:szCs w:val="16"/>
                <w:b w:val="1"/>
                <w:bCs w:val="1"/>
                <w:color w:val="FFFFFF"/>
                <w:w w:val="99"/>
              </w:rPr>
              <w:t>Committee</w:t>
            </w:r>
          </w:p>
        </w:tc>
        <w:tc>
          <w:tcPr>
            <w:tcW w:w="1040" w:type="dxa"/>
            <w:vAlign w:val="bottom"/>
            <w:tcBorders>
              <w:bottom w:val="single" w:sz="8" w:color="F75E14"/>
            </w:tcBorders>
            <w:shd w:val="clear" w:color="auto" w:fill="F75E14"/>
          </w:tcPr>
          <w:p>
            <w:pPr>
              <w:jc w:val="center"/>
              <w:ind w:right="40"/>
              <w:spacing w:after="0"/>
              <w:rPr>
                <w:sz w:val="20"/>
                <w:szCs w:val="20"/>
                <w:color w:val="auto"/>
              </w:rPr>
            </w:pPr>
            <w:r>
              <w:rPr>
                <w:rFonts w:ascii="Arial" w:cs="Arial" w:eastAsia="Arial" w:hAnsi="Arial"/>
                <w:sz w:val="16"/>
                <w:szCs w:val="16"/>
                <w:b w:val="1"/>
                <w:bCs w:val="1"/>
                <w:color w:val="FFFFFF"/>
              </w:rPr>
              <w:t>Committee</w:t>
            </w:r>
          </w:p>
        </w:tc>
      </w:tr>
      <w:tr>
        <w:trPr>
          <w:trHeight w:val="299"/>
        </w:trPr>
        <w:tc>
          <w:tcPr>
            <w:tcW w:w="4000" w:type="dxa"/>
            <w:vAlign w:val="bottom"/>
            <w:tcBorders>
              <w:bottom w:val="single" w:sz="8" w:color="D8E8EF"/>
            </w:tcBorders>
            <w:shd w:val="clear" w:color="auto" w:fill="D8E8EF"/>
          </w:tcPr>
          <w:p>
            <w:pPr>
              <w:ind w:left="40"/>
              <w:spacing w:after="0"/>
              <w:rPr>
                <w:sz w:val="20"/>
                <w:szCs w:val="20"/>
                <w:color w:val="auto"/>
              </w:rPr>
            </w:pPr>
            <w:r>
              <w:rPr>
                <w:rFonts w:ascii="Arial" w:cs="Arial" w:eastAsia="Arial" w:hAnsi="Arial"/>
                <w:sz w:val="16"/>
                <w:szCs w:val="16"/>
                <w:color w:val="auto"/>
              </w:rPr>
              <w:t>Atsushi Abe</w:t>
            </w:r>
          </w:p>
        </w:tc>
        <w:tc>
          <w:tcPr>
            <w:tcW w:w="1400" w:type="dxa"/>
            <w:vAlign w:val="bottom"/>
            <w:tcBorders>
              <w:bottom w:val="single" w:sz="8" w:color="D8E8EF"/>
            </w:tcBorders>
            <w:shd w:val="clear" w:color="auto" w:fill="D8E8EF"/>
          </w:tcPr>
          <w:p>
            <w:pPr>
              <w:spacing w:after="0"/>
              <w:rPr>
                <w:sz w:val="24"/>
                <w:szCs w:val="24"/>
                <w:color w:val="auto"/>
              </w:rPr>
            </w:pPr>
          </w:p>
        </w:tc>
        <w:tc>
          <w:tcPr>
            <w:tcW w:w="940" w:type="dxa"/>
            <w:vAlign w:val="bottom"/>
            <w:tcBorders>
              <w:bottom w:val="single" w:sz="8" w:color="D8E8EF"/>
            </w:tcBorders>
            <w:shd w:val="clear" w:color="auto" w:fill="D8E8EF"/>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560" w:type="dxa"/>
            <w:vAlign w:val="bottom"/>
            <w:tcBorders>
              <w:bottom w:val="single" w:sz="8" w:color="D8E8EF"/>
            </w:tcBorders>
            <w:shd w:val="clear" w:color="auto" w:fill="D8E8EF"/>
          </w:tcPr>
          <w:p>
            <w:pPr>
              <w:spacing w:after="0"/>
              <w:rPr>
                <w:sz w:val="24"/>
                <w:szCs w:val="24"/>
                <w:color w:val="auto"/>
              </w:rPr>
            </w:pPr>
          </w:p>
        </w:tc>
        <w:tc>
          <w:tcPr>
            <w:tcW w:w="1040" w:type="dxa"/>
            <w:vAlign w:val="bottom"/>
            <w:tcBorders>
              <w:bottom w:val="single" w:sz="8" w:color="D8E8EF"/>
            </w:tcBorders>
            <w:shd w:val="clear" w:color="auto" w:fill="D8E8EF"/>
          </w:tcPr>
          <w:p>
            <w:pPr>
              <w:spacing w:after="0"/>
              <w:rPr>
                <w:sz w:val="24"/>
                <w:szCs w:val="24"/>
                <w:color w:val="auto"/>
              </w:rPr>
            </w:pPr>
          </w:p>
        </w:tc>
      </w:tr>
      <w:tr>
        <w:trPr>
          <w:trHeight w:val="246"/>
        </w:trPr>
        <w:tc>
          <w:tcPr>
            <w:tcW w:w="400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Alan Campbell</w:t>
            </w:r>
          </w:p>
        </w:tc>
        <w:tc>
          <w:tcPr>
            <w:tcW w:w="1400" w:type="dxa"/>
            <w:vAlign w:val="bottom"/>
            <w:tcBorders>
              <w:top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74"/>
              </w:rPr>
              <w:t>✓</w:t>
            </w:r>
          </w:p>
        </w:tc>
        <w:tc>
          <w:tcPr>
            <w:tcW w:w="940" w:type="dxa"/>
            <w:vAlign w:val="bottom"/>
            <w:tcBorders>
              <w:top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56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jc w:val="center"/>
              <w:ind w:right="60"/>
              <w:spacing w:after="0"/>
              <w:rPr>
                <w:sz w:val="20"/>
                <w:szCs w:val="20"/>
                <w:color w:val="auto"/>
              </w:rPr>
            </w:pPr>
            <w:r>
              <w:rPr>
                <w:rFonts w:ascii="Arial" w:cs="Arial" w:eastAsia="Arial" w:hAnsi="Arial"/>
                <w:sz w:val="16"/>
                <w:szCs w:val="16"/>
                <w:color w:val="auto"/>
                <w:w w:val="99"/>
              </w:rPr>
              <w:t>Chair</w:t>
            </w:r>
          </w:p>
        </w:tc>
      </w:tr>
      <w:tr>
        <w:trPr>
          <w:trHeight w:val="28"/>
        </w:trPr>
        <w:tc>
          <w:tcPr>
            <w:tcW w:w="40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79"/>
        </w:trPr>
        <w:tc>
          <w:tcPr>
            <w:tcW w:w="4000" w:type="dxa"/>
            <w:vAlign w:val="bottom"/>
            <w:tcBorders>
              <w:bottom w:val="single" w:sz="8" w:color="D8E8EF"/>
            </w:tcBorders>
            <w:shd w:val="clear" w:color="auto" w:fill="D8E8EF"/>
          </w:tcPr>
          <w:p>
            <w:pPr>
              <w:ind w:left="40"/>
              <w:spacing w:after="0"/>
              <w:rPr>
                <w:sz w:val="20"/>
                <w:szCs w:val="20"/>
                <w:color w:val="auto"/>
              </w:rPr>
            </w:pPr>
            <w:r>
              <w:rPr>
                <w:rFonts w:ascii="Arial" w:cs="Arial" w:eastAsia="Arial" w:hAnsi="Arial"/>
                <w:sz w:val="16"/>
                <w:szCs w:val="16"/>
                <w:color w:val="auto"/>
              </w:rPr>
              <w:t>Susan K. Carter</w:t>
            </w:r>
          </w:p>
        </w:tc>
        <w:tc>
          <w:tcPr>
            <w:tcW w:w="1400" w:type="dxa"/>
            <w:vAlign w:val="bottom"/>
            <w:tcBorders>
              <w:bottom w:val="single" w:sz="8" w:color="D8E8EF"/>
            </w:tcBorders>
            <w:shd w:val="clear" w:color="auto" w:fill="D8E8EF"/>
          </w:tcPr>
          <w:p>
            <w:pPr>
              <w:jc w:val="center"/>
              <w:spacing w:after="0" w:line="161" w:lineRule="exact"/>
              <w:rPr>
                <w:sz w:val="20"/>
                <w:szCs w:val="20"/>
                <w:color w:val="auto"/>
              </w:rPr>
            </w:pPr>
            <w:r>
              <w:rPr>
                <w:rFonts w:ascii="MS PGothic" w:cs="MS PGothic" w:eastAsia="MS PGothic" w:hAnsi="MS PGothic"/>
                <w:sz w:val="16"/>
                <w:szCs w:val="16"/>
                <w:color w:val="auto"/>
                <w:w w:val="74"/>
              </w:rPr>
              <w:t>✓</w:t>
            </w:r>
          </w:p>
        </w:tc>
        <w:tc>
          <w:tcPr>
            <w:tcW w:w="940" w:type="dxa"/>
            <w:vAlign w:val="bottom"/>
            <w:tcBorders>
              <w:bottom w:val="single" w:sz="8" w:color="D8E8EF"/>
            </w:tcBorders>
            <w:shd w:val="clear" w:color="auto" w:fill="D8E8EF"/>
          </w:tcPr>
          <w:p>
            <w:pPr>
              <w:jc w:val="center"/>
              <w:spacing w:after="0"/>
              <w:rPr>
                <w:sz w:val="20"/>
                <w:szCs w:val="20"/>
                <w:color w:val="auto"/>
              </w:rPr>
            </w:pPr>
            <w:r>
              <w:rPr>
                <w:rFonts w:ascii="Arial" w:cs="Arial" w:eastAsia="Arial" w:hAnsi="Arial"/>
                <w:sz w:val="16"/>
                <w:szCs w:val="16"/>
                <w:color w:val="auto"/>
                <w:w w:val="99"/>
              </w:rPr>
              <w:t>Chair</w:t>
            </w:r>
          </w:p>
        </w:tc>
        <w:tc>
          <w:tcPr>
            <w:tcW w:w="1560" w:type="dxa"/>
            <w:vAlign w:val="bottom"/>
            <w:tcBorders>
              <w:bottom w:val="single" w:sz="8" w:color="D8E8EF"/>
            </w:tcBorders>
            <w:shd w:val="clear" w:color="auto" w:fill="D8E8EF"/>
          </w:tcPr>
          <w:p>
            <w:pPr>
              <w:spacing w:after="0"/>
              <w:rPr>
                <w:sz w:val="23"/>
                <w:szCs w:val="23"/>
                <w:color w:val="auto"/>
              </w:rPr>
            </w:pPr>
          </w:p>
        </w:tc>
        <w:tc>
          <w:tcPr>
            <w:tcW w:w="1040" w:type="dxa"/>
            <w:vAlign w:val="bottom"/>
            <w:tcBorders>
              <w:bottom w:val="single" w:sz="8" w:color="D8E8EF"/>
            </w:tcBorders>
            <w:shd w:val="clear" w:color="auto" w:fill="D8E8EF"/>
          </w:tcPr>
          <w:p>
            <w:pPr>
              <w:spacing w:after="0"/>
              <w:rPr>
                <w:sz w:val="23"/>
                <w:szCs w:val="23"/>
                <w:color w:val="auto"/>
              </w:rPr>
            </w:pPr>
          </w:p>
        </w:tc>
      </w:tr>
      <w:tr>
        <w:trPr>
          <w:trHeight w:val="246"/>
        </w:trPr>
        <w:tc>
          <w:tcPr>
            <w:tcW w:w="400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Thomas L. Deitrich</w:t>
            </w:r>
          </w:p>
        </w:tc>
        <w:tc>
          <w:tcPr>
            <w:tcW w:w="1400" w:type="dxa"/>
            <w:vAlign w:val="bottom"/>
            <w:tcBorders>
              <w:top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74"/>
              </w:rPr>
              <w:t>✓</w:t>
            </w:r>
          </w:p>
        </w:tc>
        <w:tc>
          <w:tcPr>
            <w:tcW w:w="940" w:type="dxa"/>
            <w:vAlign w:val="bottom"/>
            <w:tcBorders>
              <w:top w:val="single" w:sz="8" w:color="auto"/>
            </w:tcBorders>
          </w:tcPr>
          <w:p>
            <w:pPr>
              <w:spacing w:after="0"/>
              <w:rPr>
                <w:sz w:val="21"/>
                <w:szCs w:val="21"/>
                <w:color w:val="auto"/>
              </w:rPr>
            </w:pPr>
          </w:p>
        </w:tc>
        <w:tc>
          <w:tcPr>
            <w:tcW w:w="156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r>
      <w:tr>
        <w:trPr>
          <w:trHeight w:val="28"/>
        </w:trPr>
        <w:tc>
          <w:tcPr>
            <w:tcW w:w="40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79"/>
        </w:trPr>
        <w:tc>
          <w:tcPr>
            <w:tcW w:w="4000" w:type="dxa"/>
            <w:vAlign w:val="bottom"/>
            <w:tcBorders>
              <w:bottom w:val="single" w:sz="8" w:color="D8E8EF"/>
            </w:tcBorders>
            <w:shd w:val="clear" w:color="auto" w:fill="D8E8EF"/>
          </w:tcPr>
          <w:p>
            <w:pPr>
              <w:ind w:left="40"/>
              <w:spacing w:after="0"/>
              <w:rPr>
                <w:sz w:val="20"/>
                <w:szCs w:val="20"/>
                <w:color w:val="auto"/>
              </w:rPr>
            </w:pPr>
            <w:r>
              <w:rPr>
                <w:rFonts w:ascii="Arial" w:cs="Arial" w:eastAsia="Arial" w:hAnsi="Arial"/>
                <w:sz w:val="16"/>
                <w:szCs w:val="16"/>
                <w:color w:val="auto"/>
              </w:rPr>
              <w:t>Gilles Delfassy</w:t>
            </w:r>
          </w:p>
        </w:tc>
        <w:tc>
          <w:tcPr>
            <w:tcW w:w="1400" w:type="dxa"/>
            <w:vAlign w:val="bottom"/>
            <w:tcBorders>
              <w:bottom w:val="single" w:sz="8" w:color="D8E8EF"/>
            </w:tcBorders>
            <w:shd w:val="clear" w:color="auto" w:fill="D8E8EF"/>
          </w:tcPr>
          <w:p>
            <w:pPr>
              <w:spacing w:after="0"/>
              <w:rPr>
                <w:sz w:val="23"/>
                <w:szCs w:val="23"/>
                <w:color w:val="auto"/>
              </w:rPr>
            </w:pPr>
          </w:p>
        </w:tc>
        <w:tc>
          <w:tcPr>
            <w:tcW w:w="940" w:type="dxa"/>
            <w:vAlign w:val="bottom"/>
            <w:tcBorders>
              <w:bottom w:val="single" w:sz="8" w:color="D8E8EF"/>
            </w:tcBorders>
            <w:shd w:val="clear" w:color="auto" w:fill="D8E8EF"/>
          </w:tcPr>
          <w:p>
            <w:pPr>
              <w:spacing w:after="0"/>
              <w:rPr>
                <w:sz w:val="23"/>
                <w:szCs w:val="23"/>
                <w:color w:val="auto"/>
              </w:rPr>
            </w:pPr>
          </w:p>
        </w:tc>
        <w:tc>
          <w:tcPr>
            <w:tcW w:w="1560" w:type="dxa"/>
            <w:vAlign w:val="bottom"/>
            <w:tcBorders>
              <w:bottom w:val="single" w:sz="8" w:color="D8E8EF"/>
            </w:tcBorders>
            <w:shd w:val="clear" w:color="auto" w:fill="D8E8EF"/>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040" w:type="dxa"/>
            <w:vAlign w:val="bottom"/>
            <w:tcBorders>
              <w:bottom w:val="single" w:sz="8" w:color="D8E8EF"/>
            </w:tcBorders>
            <w:shd w:val="clear" w:color="auto" w:fill="D8E8EF"/>
          </w:tcPr>
          <w:p>
            <w:pPr>
              <w:spacing w:after="0"/>
              <w:rPr>
                <w:sz w:val="23"/>
                <w:szCs w:val="23"/>
                <w:color w:val="auto"/>
              </w:rPr>
            </w:pPr>
          </w:p>
        </w:tc>
      </w:tr>
      <w:tr>
        <w:trPr>
          <w:trHeight w:val="246"/>
        </w:trPr>
        <w:tc>
          <w:tcPr>
            <w:tcW w:w="400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Hassane El-Khoury</w:t>
            </w:r>
          </w:p>
        </w:tc>
        <w:tc>
          <w:tcPr>
            <w:tcW w:w="140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156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jc w:val="center"/>
              <w:ind w:right="6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8"/>
        </w:trPr>
        <w:tc>
          <w:tcPr>
            <w:tcW w:w="40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79"/>
        </w:trPr>
        <w:tc>
          <w:tcPr>
            <w:tcW w:w="4000" w:type="dxa"/>
            <w:vAlign w:val="bottom"/>
            <w:tcBorders>
              <w:bottom w:val="single" w:sz="8" w:color="D8E8EF"/>
            </w:tcBorders>
            <w:shd w:val="clear" w:color="auto" w:fill="D8E8EF"/>
          </w:tcPr>
          <w:p>
            <w:pPr>
              <w:ind w:left="40"/>
              <w:spacing w:after="0"/>
              <w:rPr>
                <w:sz w:val="20"/>
                <w:szCs w:val="20"/>
                <w:color w:val="auto"/>
              </w:rPr>
            </w:pPr>
            <w:r>
              <w:rPr>
                <w:rFonts w:ascii="Arial" w:cs="Arial" w:eastAsia="Arial" w:hAnsi="Arial"/>
                <w:sz w:val="16"/>
                <w:szCs w:val="16"/>
                <w:color w:val="auto"/>
              </w:rPr>
              <w:t>Bruce E. Kiddoo</w:t>
            </w:r>
          </w:p>
        </w:tc>
        <w:tc>
          <w:tcPr>
            <w:tcW w:w="1400" w:type="dxa"/>
            <w:vAlign w:val="bottom"/>
            <w:tcBorders>
              <w:bottom w:val="single" w:sz="8" w:color="D8E8EF"/>
            </w:tcBorders>
            <w:shd w:val="clear" w:color="auto" w:fill="D8E8EF"/>
          </w:tcPr>
          <w:p>
            <w:pPr>
              <w:spacing w:after="0"/>
              <w:rPr>
                <w:sz w:val="23"/>
                <w:szCs w:val="23"/>
                <w:color w:val="auto"/>
              </w:rPr>
            </w:pPr>
          </w:p>
        </w:tc>
        <w:tc>
          <w:tcPr>
            <w:tcW w:w="940" w:type="dxa"/>
            <w:vAlign w:val="bottom"/>
            <w:tcBorders>
              <w:bottom w:val="single" w:sz="8" w:color="D8E8EF"/>
            </w:tcBorders>
            <w:shd w:val="clear" w:color="auto" w:fill="D8E8EF"/>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560" w:type="dxa"/>
            <w:vAlign w:val="bottom"/>
            <w:tcBorders>
              <w:bottom w:val="single" w:sz="8" w:color="D8E8EF"/>
            </w:tcBorders>
            <w:shd w:val="clear" w:color="auto" w:fill="D8E8EF"/>
          </w:tcPr>
          <w:p>
            <w:pPr>
              <w:spacing w:after="0"/>
              <w:rPr>
                <w:sz w:val="23"/>
                <w:szCs w:val="23"/>
                <w:color w:val="auto"/>
              </w:rPr>
            </w:pPr>
          </w:p>
        </w:tc>
        <w:tc>
          <w:tcPr>
            <w:tcW w:w="1040" w:type="dxa"/>
            <w:vAlign w:val="bottom"/>
            <w:tcBorders>
              <w:bottom w:val="single" w:sz="8" w:color="D8E8EF"/>
            </w:tcBorders>
            <w:shd w:val="clear" w:color="auto" w:fill="D8E8EF"/>
          </w:tcPr>
          <w:p>
            <w:pPr>
              <w:spacing w:after="0"/>
              <w:rPr>
                <w:sz w:val="23"/>
                <w:szCs w:val="23"/>
                <w:color w:val="auto"/>
              </w:rPr>
            </w:pPr>
          </w:p>
        </w:tc>
      </w:tr>
      <w:tr>
        <w:trPr>
          <w:trHeight w:val="246"/>
        </w:trPr>
        <w:tc>
          <w:tcPr>
            <w:tcW w:w="400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Paul A. Mascarenas</w:t>
            </w:r>
          </w:p>
        </w:tc>
        <w:tc>
          <w:tcPr>
            <w:tcW w:w="140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9"/>
              </w:rPr>
              <w:t>Chair</w:t>
            </w:r>
          </w:p>
        </w:tc>
        <w:tc>
          <w:tcPr>
            <w:tcW w:w="940" w:type="dxa"/>
            <w:vAlign w:val="bottom"/>
            <w:tcBorders>
              <w:top w:val="single" w:sz="8" w:color="auto"/>
            </w:tcBorders>
          </w:tcPr>
          <w:p>
            <w:pPr>
              <w:spacing w:after="0"/>
              <w:rPr>
                <w:sz w:val="21"/>
                <w:szCs w:val="21"/>
                <w:color w:val="auto"/>
              </w:rPr>
            </w:pPr>
          </w:p>
        </w:tc>
        <w:tc>
          <w:tcPr>
            <w:tcW w:w="1560" w:type="dxa"/>
            <w:vAlign w:val="bottom"/>
            <w:tcBorders>
              <w:top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040" w:type="dxa"/>
            <w:vAlign w:val="bottom"/>
            <w:tcBorders>
              <w:top w:val="single" w:sz="8" w:color="auto"/>
            </w:tcBorders>
          </w:tcPr>
          <w:p>
            <w:pPr>
              <w:jc w:val="center"/>
              <w:ind w:right="6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8"/>
        </w:trPr>
        <w:tc>
          <w:tcPr>
            <w:tcW w:w="40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79"/>
        </w:trPr>
        <w:tc>
          <w:tcPr>
            <w:tcW w:w="4000" w:type="dxa"/>
            <w:vAlign w:val="bottom"/>
            <w:tcBorders>
              <w:bottom w:val="single" w:sz="8" w:color="D8E8EF"/>
            </w:tcBorders>
            <w:shd w:val="clear" w:color="auto" w:fill="D8E8EF"/>
          </w:tcPr>
          <w:p>
            <w:pPr>
              <w:ind w:left="40"/>
              <w:spacing w:after="0"/>
              <w:rPr>
                <w:sz w:val="20"/>
                <w:szCs w:val="20"/>
                <w:color w:val="auto"/>
              </w:rPr>
            </w:pPr>
            <w:r>
              <w:rPr>
                <w:rFonts w:ascii="Arial" w:cs="Arial" w:eastAsia="Arial" w:hAnsi="Arial"/>
                <w:sz w:val="16"/>
                <w:szCs w:val="16"/>
                <w:color w:val="auto"/>
              </w:rPr>
              <w:t>Gregory L. Waters</w:t>
            </w:r>
          </w:p>
        </w:tc>
        <w:tc>
          <w:tcPr>
            <w:tcW w:w="1400" w:type="dxa"/>
            <w:vAlign w:val="bottom"/>
            <w:tcBorders>
              <w:bottom w:val="single" w:sz="8" w:color="D8E8EF"/>
            </w:tcBorders>
            <w:shd w:val="clear" w:color="auto" w:fill="D8E8EF"/>
          </w:tcPr>
          <w:p>
            <w:pPr>
              <w:spacing w:after="0"/>
              <w:rPr>
                <w:sz w:val="23"/>
                <w:szCs w:val="23"/>
                <w:color w:val="auto"/>
              </w:rPr>
            </w:pPr>
          </w:p>
        </w:tc>
        <w:tc>
          <w:tcPr>
            <w:tcW w:w="940" w:type="dxa"/>
            <w:vAlign w:val="bottom"/>
            <w:tcBorders>
              <w:bottom w:val="single" w:sz="8" w:color="D8E8EF"/>
            </w:tcBorders>
            <w:shd w:val="clear" w:color="auto" w:fill="D8E8EF"/>
          </w:tcPr>
          <w:p>
            <w:pPr>
              <w:spacing w:after="0"/>
              <w:rPr>
                <w:sz w:val="23"/>
                <w:szCs w:val="23"/>
                <w:color w:val="auto"/>
              </w:rPr>
            </w:pPr>
          </w:p>
        </w:tc>
        <w:tc>
          <w:tcPr>
            <w:tcW w:w="1560" w:type="dxa"/>
            <w:vAlign w:val="bottom"/>
            <w:tcBorders>
              <w:bottom w:val="single" w:sz="8" w:color="D8E8EF"/>
            </w:tcBorders>
            <w:shd w:val="clear" w:color="auto" w:fill="D8E8EF"/>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040" w:type="dxa"/>
            <w:vAlign w:val="bottom"/>
            <w:tcBorders>
              <w:bottom w:val="single" w:sz="8" w:color="D8E8EF"/>
            </w:tcBorders>
            <w:shd w:val="clear" w:color="auto" w:fill="D8E8EF"/>
          </w:tcPr>
          <w:p>
            <w:pPr>
              <w:jc w:val="center"/>
              <w:ind w:right="6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05"/>
        </w:trPr>
        <w:tc>
          <w:tcPr>
            <w:tcW w:w="400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Christine Y. Yan</w:t>
            </w:r>
          </w:p>
        </w:tc>
        <w:tc>
          <w:tcPr>
            <w:tcW w:w="14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9"/>
              </w:rPr>
              <w:t>Chair</w:t>
            </w:r>
          </w:p>
        </w:tc>
        <w:tc>
          <w:tcPr>
            <w:tcW w:w="1040" w:type="dxa"/>
            <w:vAlign w:val="bottom"/>
            <w:tcBorders>
              <w:top w:val="single" w:sz="8" w:color="auto"/>
            </w:tcBorders>
          </w:tcPr>
          <w:p>
            <w:pPr>
              <w:spacing w:after="0"/>
              <w:rPr>
                <w:sz w:val="17"/>
                <w:szCs w:val="17"/>
                <w:color w:val="auto"/>
              </w:rPr>
            </w:pPr>
          </w:p>
        </w:tc>
      </w:tr>
      <w:tr>
        <w:trPr>
          <w:trHeight w:val="56"/>
        </w:trPr>
        <w:tc>
          <w:tcPr>
            <w:tcW w:w="400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r>
    </w:tbl>
    <w:p>
      <w:pPr>
        <w:spacing w:after="0" w:line="195" w:lineRule="exact"/>
        <w:rPr>
          <w:sz w:val="20"/>
          <w:szCs w:val="20"/>
          <w:color w:val="auto"/>
        </w:rPr>
      </w:pPr>
    </w:p>
    <w:p>
      <w:pPr>
        <w:jc w:val="both"/>
        <w:ind w:left="160"/>
        <w:spacing w:after="0" w:line="238" w:lineRule="auto"/>
        <w:rPr>
          <w:sz w:val="20"/>
          <w:szCs w:val="20"/>
          <w:color w:val="auto"/>
        </w:rPr>
      </w:pPr>
      <w:r>
        <w:rPr>
          <w:rFonts w:ascii="Arial" w:cs="Arial" w:eastAsia="Arial" w:hAnsi="Arial"/>
          <w:sz w:val="18"/>
          <w:szCs w:val="18"/>
          <w:color w:val="auto"/>
        </w:rPr>
        <w:t xml:space="preserve">Each of our standing Board committees has a formal written charter, a copy of which is available on the Investor Relations section of our website at </w:t>
      </w:r>
      <w:r>
        <w:rPr>
          <w:rFonts w:ascii="Arial" w:cs="Arial" w:eastAsia="Arial" w:hAnsi="Arial"/>
          <w:sz w:val="18"/>
          <w:szCs w:val="18"/>
          <w:u w:val="single" w:color="auto"/>
          <w:color w:val="auto"/>
        </w:rPr>
        <w:t>www.onsemi.com</w:t>
      </w:r>
      <w:r>
        <w:rPr>
          <w:rFonts w:ascii="Arial" w:cs="Arial" w:eastAsia="Arial" w:hAnsi="Arial"/>
          <w:sz w:val="18"/>
          <w:szCs w:val="18"/>
          <w:color w:val="auto"/>
        </w:rPr>
        <w:t>. During 2021, as part of its review of the standing committee structure, the Board undertook a review of the charters for each of the standing committees and refreshed them in light of the Company’s evolving business, recent developments in corporate governance (including the Board’s focus on ESG initiatives) and an effort to streamline governance processes within the Company. The adequacy of the charters for each of the Audit Committee, HCC Committee and GS Committee is reviewed at least annually. Below is an overview of the functions served by each standing committee, which contains highlights of the charters available on our website.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144145</wp:posOffset>
            </wp:positionV>
            <wp:extent cx="6938010" cy="762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938010" cy="76200"/>
                    </a:xfrm>
                    <a:prstGeom prst="rect">
                      <a:avLst/>
                    </a:prstGeom>
                    <a:noFill/>
                  </pic:spPr>
                </pic:pic>
              </a:graphicData>
            </a:graphic>
          </wp:anchor>
        </w:drawing>
      </w:r>
    </w:p>
    <w:p>
      <w:pPr>
        <w:sectPr>
          <w:pgSz w:w="11900" w:h="16838" w:orient="portrait"/>
          <w:cols w:equalWidth="0" w:num="1">
            <w:col w:w="11080"/>
          </w:cols>
          <w:pgMar w:left="320" w:top="454" w:right="499" w:bottom="1440" w:gutter="0" w:footer="0" w:header="0"/>
        </w:sectPr>
      </w:pPr>
    </w:p>
    <w:p>
      <w:pPr>
        <w:spacing w:after="0" w:line="200" w:lineRule="exact"/>
        <w:rPr>
          <w:sz w:val="20"/>
          <w:szCs w:val="20"/>
          <w:color w:val="auto"/>
        </w:rPr>
      </w:pPr>
    </w:p>
    <w:p>
      <w:pPr>
        <w:spacing w:after="0" w:line="222"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2B4772"/>
        </w:rPr>
        <w:t>AUDIT COMMITTEE</w:t>
      </w:r>
    </w:p>
    <w:p>
      <w:pPr>
        <w:spacing w:after="0" w:line="186" w:lineRule="exact"/>
        <w:rPr>
          <w:sz w:val="20"/>
          <w:szCs w:val="20"/>
          <w:color w:val="auto"/>
        </w:rPr>
      </w:pPr>
    </w:p>
    <w:p>
      <w:pPr>
        <w:ind w:left="320"/>
        <w:spacing w:after="0"/>
        <w:rPr>
          <w:sz w:val="20"/>
          <w:szCs w:val="20"/>
          <w:color w:val="auto"/>
        </w:rPr>
      </w:pPr>
      <w:r>
        <w:rPr>
          <w:rFonts w:ascii="Arial" w:cs="Arial" w:eastAsia="Arial" w:hAnsi="Arial"/>
          <w:sz w:val="16"/>
          <w:szCs w:val="16"/>
          <w:color w:val="auto"/>
        </w:rPr>
        <w:t xml:space="preserve">10 meetings </w:t>
      </w:r>
      <w:r>
        <w:rPr>
          <w:rFonts w:ascii="Arial" w:cs="Arial" w:eastAsia="Arial" w:hAnsi="Arial"/>
          <w:sz w:val="16"/>
          <w:szCs w:val="16"/>
          <w:b w:val="1"/>
          <w:bCs w:val="1"/>
          <w:color w:val="2B4772"/>
        </w:rPr>
        <w:t>in 2021</w:t>
      </w:r>
    </w:p>
    <w:p>
      <w:pPr>
        <w:spacing w:after="0" w:line="124" w:lineRule="exact"/>
        <w:rPr>
          <w:sz w:val="20"/>
          <w:szCs w:val="20"/>
          <w:color w:val="auto"/>
        </w:rPr>
      </w:pPr>
    </w:p>
    <w:p>
      <w:pPr>
        <w:ind w:left="320"/>
        <w:spacing w:after="0"/>
        <w:rPr>
          <w:sz w:val="20"/>
          <w:szCs w:val="20"/>
          <w:color w:val="auto"/>
        </w:rPr>
      </w:pPr>
      <w:r>
        <w:rPr>
          <w:rFonts w:ascii="Arial" w:cs="Arial" w:eastAsia="Arial" w:hAnsi="Arial"/>
          <w:sz w:val="16"/>
          <w:szCs w:val="16"/>
          <w:b w:val="1"/>
          <w:bCs w:val="1"/>
          <w:color w:val="2B4772"/>
        </w:rPr>
        <w:t>Members:</w:t>
      </w:r>
    </w:p>
    <w:p>
      <w:pPr>
        <w:spacing w:after="0" w:line="19" w:lineRule="exact"/>
        <w:rPr>
          <w:sz w:val="20"/>
          <w:szCs w:val="20"/>
          <w:color w:val="auto"/>
        </w:rPr>
      </w:pPr>
    </w:p>
    <w:p>
      <w:pPr>
        <w:ind w:left="320" w:right="520"/>
        <w:spacing w:after="0" w:line="249" w:lineRule="auto"/>
        <w:rPr>
          <w:sz w:val="20"/>
          <w:szCs w:val="20"/>
          <w:color w:val="auto"/>
        </w:rPr>
      </w:pPr>
      <w:r>
        <w:rPr>
          <w:rFonts w:ascii="Arial" w:cs="Arial" w:eastAsia="Arial" w:hAnsi="Arial"/>
          <w:sz w:val="16"/>
          <w:szCs w:val="16"/>
          <w:color w:val="auto"/>
        </w:rPr>
        <w:t>Susan K. Carter, Chair Atsushi Abe Alan Campbell Bruce E. Kiddoo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60"/>
        <w:spacing w:after="0"/>
        <w:tabs>
          <w:tab w:leader="none" w:pos="500" w:val="left"/>
        </w:tabs>
        <w:rPr>
          <w:sz w:val="20"/>
          <w:szCs w:val="20"/>
          <w:color w:val="auto"/>
        </w:rPr>
      </w:pPr>
      <w:r>
        <w:rPr>
          <w:rFonts w:ascii="Arial" w:cs="Arial" w:eastAsia="Arial" w:hAnsi="Arial"/>
          <w:sz w:val="14"/>
          <w:szCs w:val="14"/>
          <w:color w:val="F75E14"/>
        </w:rPr>
        <w:t>16</w:t>
        <w:tab/>
        <w:t>onsemi 2022 Proxy Statement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6"/>
          <w:szCs w:val="16"/>
          <w:b w:val="1"/>
          <w:bCs w:val="1"/>
          <w:color w:val="2B4772"/>
        </w:rPr>
        <w:t>Primary Responsibilities</w:t>
      </w:r>
    </w:p>
    <w:p>
      <w:pPr>
        <w:spacing w:after="0" w:line="16" w:lineRule="exact"/>
        <w:rPr>
          <w:sz w:val="20"/>
          <w:szCs w:val="20"/>
          <w:color w:val="auto"/>
        </w:rPr>
      </w:pPr>
    </w:p>
    <w:p>
      <w:pPr>
        <w:ind w:left="260" w:hanging="258"/>
        <w:spacing w:after="0" w:line="255" w:lineRule="auto"/>
        <w:tabs>
          <w:tab w:leader="none" w:pos="261" w:val="left"/>
        </w:tabs>
        <w:numPr>
          <w:ilvl w:val="0"/>
          <w:numId w:val="30"/>
        </w:numPr>
        <w:rPr>
          <w:rFonts w:ascii="MS PGothic" w:cs="MS PGothic" w:eastAsia="MS PGothic" w:hAnsi="MS PGothic"/>
          <w:sz w:val="16"/>
          <w:szCs w:val="16"/>
          <w:color w:val="2A5597"/>
        </w:rPr>
      </w:pPr>
      <w:r>
        <w:rPr>
          <w:rFonts w:ascii="Arial" w:cs="Arial" w:eastAsia="Arial" w:hAnsi="Arial"/>
          <w:sz w:val="16"/>
          <w:szCs w:val="16"/>
          <w:color w:val="auto"/>
        </w:rPr>
        <w:t>Monitor the integrity of the Company’s corporate accounting and financial reporting processes and the audits of financial statements</w:t>
      </w:r>
    </w:p>
    <w:p>
      <w:pPr>
        <w:ind w:left="240" w:hanging="238"/>
        <w:spacing w:after="0"/>
        <w:tabs>
          <w:tab w:leader="none" w:pos="240" w:val="left"/>
        </w:tabs>
        <w:numPr>
          <w:ilvl w:val="0"/>
          <w:numId w:val="30"/>
        </w:numPr>
        <w:rPr>
          <w:rFonts w:ascii="MS PGothic" w:cs="MS PGothic" w:eastAsia="MS PGothic" w:hAnsi="MS PGothic"/>
          <w:sz w:val="16"/>
          <w:szCs w:val="16"/>
          <w:color w:val="2A5597"/>
        </w:rPr>
      </w:pPr>
      <w:r>
        <w:rPr>
          <w:rFonts w:ascii="Arial" w:cs="Arial" w:eastAsia="Arial" w:hAnsi="Arial"/>
          <w:sz w:val="16"/>
          <w:szCs w:val="16"/>
          <w:color w:val="auto"/>
        </w:rPr>
        <w:t>Appoint, determine funding for and oversee our independent registered public accounting firm</w:t>
      </w:r>
    </w:p>
    <w:p>
      <w:pPr>
        <w:spacing w:after="0" w:line="16" w:lineRule="exact"/>
        <w:rPr>
          <w:rFonts w:ascii="MS PGothic" w:cs="MS PGothic" w:eastAsia="MS PGothic" w:hAnsi="MS PGothic"/>
          <w:sz w:val="16"/>
          <w:szCs w:val="16"/>
          <w:color w:val="2A5597"/>
        </w:rPr>
      </w:pPr>
    </w:p>
    <w:p>
      <w:pPr>
        <w:ind w:left="260" w:hanging="258"/>
        <w:spacing w:after="0"/>
        <w:tabs>
          <w:tab w:leader="none" w:pos="260" w:val="left"/>
        </w:tabs>
        <w:numPr>
          <w:ilvl w:val="0"/>
          <w:numId w:val="30"/>
        </w:numPr>
        <w:rPr>
          <w:rFonts w:ascii="MS PGothic" w:cs="MS PGothic" w:eastAsia="MS PGothic" w:hAnsi="MS PGothic"/>
          <w:sz w:val="16"/>
          <w:szCs w:val="16"/>
          <w:color w:val="2A5597"/>
        </w:rPr>
      </w:pPr>
      <w:r>
        <w:rPr>
          <w:rFonts w:ascii="Arial" w:cs="Arial" w:eastAsia="Arial" w:hAnsi="Arial"/>
          <w:sz w:val="16"/>
          <w:szCs w:val="16"/>
          <w:color w:val="auto"/>
        </w:rPr>
        <w:t>Review the independence, qualifications and performance of our internal and independent auditors</w:t>
      </w:r>
    </w:p>
    <w:p>
      <w:pPr>
        <w:spacing w:after="0" w:line="16" w:lineRule="exact"/>
        <w:rPr>
          <w:rFonts w:ascii="MS PGothic" w:cs="MS PGothic" w:eastAsia="MS PGothic" w:hAnsi="MS PGothic"/>
          <w:sz w:val="16"/>
          <w:szCs w:val="16"/>
          <w:color w:val="2A5597"/>
        </w:rPr>
      </w:pPr>
    </w:p>
    <w:p>
      <w:pPr>
        <w:jc w:val="both"/>
        <w:ind w:left="260" w:hanging="258"/>
        <w:spacing w:after="0" w:line="248" w:lineRule="auto"/>
        <w:tabs>
          <w:tab w:leader="none" w:pos="261" w:val="left"/>
        </w:tabs>
        <w:numPr>
          <w:ilvl w:val="0"/>
          <w:numId w:val="30"/>
        </w:numPr>
        <w:rPr>
          <w:rFonts w:ascii="MS PGothic" w:cs="MS PGothic" w:eastAsia="MS PGothic" w:hAnsi="MS PGothic"/>
          <w:sz w:val="16"/>
          <w:szCs w:val="16"/>
          <w:color w:val="2A5597"/>
        </w:rPr>
      </w:pPr>
      <w:r>
        <w:rPr>
          <w:rFonts w:ascii="Arial" w:cs="Arial" w:eastAsia="Arial" w:hAnsi="Arial"/>
          <w:sz w:val="16"/>
          <w:szCs w:val="16"/>
          <w:color w:val="auto"/>
        </w:rPr>
        <w:t>Pursuant to SEC rules, establish procedures for: (i) the receipt, retention and treatment of complaints received by the Company regarding accounting, internal accounting controls or auditing matters; and (ii) the confidential, anonymous submission by employees of the Company of concerns regarding questionable accounting or auditing matters</w:t>
      </w:r>
    </w:p>
    <w:p>
      <w:pPr>
        <w:spacing w:after="0" w:line="1" w:lineRule="exact"/>
        <w:rPr>
          <w:rFonts w:ascii="MS PGothic" w:cs="MS PGothic" w:eastAsia="MS PGothic" w:hAnsi="MS PGothic"/>
          <w:sz w:val="16"/>
          <w:szCs w:val="16"/>
          <w:color w:val="2A5597"/>
        </w:rPr>
      </w:pPr>
    </w:p>
    <w:p>
      <w:pPr>
        <w:ind w:left="260" w:hanging="258"/>
        <w:spacing w:after="0" w:line="252" w:lineRule="auto"/>
        <w:tabs>
          <w:tab w:leader="none" w:pos="261" w:val="left"/>
        </w:tabs>
        <w:numPr>
          <w:ilvl w:val="0"/>
          <w:numId w:val="30"/>
        </w:numPr>
        <w:rPr>
          <w:rFonts w:ascii="MS PGothic" w:cs="MS PGothic" w:eastAsia="MS PGothic" w:hAnsi="MS PGothic"/>
          <w:sz w:val="16"/>
          <w:szCs w:val="16"/>
          <w:color w:val="2A5597"/>
        </w:rPr>
      </w:pPr>
      <w:r>
        <w:rPr>
          <w:rFonts w:ascii="Arial" w:cs="Arial" w:eastAsia="Arial" w:hAnsi="Arial"/>
          <w:sz w:val="16"/>
          <w:szCs w:val="16"/>
          <w:color w:val="auto"/>
        </w:rPr>
        <w:t>Discuss with management the Company’s major financial risk exposures and processes in place to monitor and control such exposures</w:t>
      </w:r>
    </w:p>
    <w:p>
      <w:pPr>
        <w:spacing w:after="0" w:line="1" w:lineRule="exact"/>
        <w:rPr>
          <w:rFonts w:ascii="MS PGothic" w:cs="MS PGothic" w:eastAsia="MS PGothic" w:hAnsi="MS PGothic"/>
          <w:sz w:val="16"/>
          <w:szCs w:val="16"/>
          <w:color w:val="2A5597"/>
        </w:rPr>
      </w:pPr>
    </w:p>
    <w:p>
      <w:pPr>
        <w:ind w:left="260" w:hanging="258"/>
        <w:spacing w:after="0" w:line="252" w:lineRule="auto"/>
        <w:tabs>
          <w:tab w:leader="none" w:pos="261" w:val="left"/>
        </w:tabs>
        <w:numPr>
          <w:ilvl w:val="0"/>
          <w:numId w:val="30"/>
        </w:numPr>
        <w:rPr>
          <w:rFonts w:ascii="MS PGothic" w:cs="MS PGothic" w:eastAsia="MS PGothic" w:hAnsi="MS PGothic"/>
          <w:sz w:val="16"/>
          <w:szCs w:val="16"/>
          <w:color w:val="2A5597"/>
        </w:rPr>
      </w:pPr>
      <w:r>
        <w:rPr>
          <w:rFonts w:ascii="Arial" w:cs="Arial" w:eastAsia="Arial" w:hAnsi="Arial"/>
          <w:sz w:val="16"/>
          <w:szCs w:val="16"/>
          <w:color w:val="auto"/>
        </w:rPr>
        <w:t>Review insurance coverage for Directors and officers, and make recommendations to the Board with respect to such insurance</w:t>
      </w:r>
    </w:p>
    <w:p>
      <w:pPr>
        <w:spacing w:after="0" w:line="1" w:lineRule="exact"/>
        <w:rPr>
          <w:rFonts w:ascii="MS PGothic" w:cs="MS PGothic" w:eastAsia="MS PGothic" w:hAnsi="MS PGothic"/>
          <w:sz w:val="16"/>
          <w:szCs w:val="16"/>
          <w:color w:val="2A5597"/>
        </w:rPr>
      </w:pPr>
    </w:p>
    <w:p>
      <w:pPr>
        <w:ind w:left="260" w:hanging="258"/>
        <w:spacing w:after="0" w:line="252" w:lineRule="auto"/>
        <w:tabs>
          <w:tab w:leader="none" w:pos="261" w:val="left"/>
        </w:tabs>
        <w:numPr>
          <w:ilvl w:val="0"/>
          <w:numId w:val="30"/>
        </w:numPr>
        <w:rPr>
          <w:rFonts w:ascii="MS PGothic" w:cs="MS PGothic" w:eastAsia="MS PGothic" w:hAnsi="MS PGothic"/>
          <w:sz w:val="16"/>
          <w:szCs w:val="16"/>
          <w:color w:val="2A5597"/>
        </w:rPr>
      </w:pPr>
      <w:r>
        <w:rPr>
          <w:rFonts w:ascii="Arial" w:cs="Arial" w:eastAsia="Arial" w:hAnsi="Arial"/>
          <w:sz w:val="16"/>
          <w:szCs w:val="16"/>
          <w:color w:val="auto"/>
        </w:rPr>
        <w:t>Oversee the Company’s cybersecurity posture and actions remediating any issues related to the protection or privacy of the Company’s data</w:t>
      </w:r>
    </w:p>
    <w:p>
      <w:pPr>
        <w:spacing w:after="0" w:line="1" w:lineRule="exact"/>
        <w:rPr>
          <w:rFonts w:ascii="MS PGothic" w:cs="MS PGothic" w:eastAsia="MS PGothic" w:hAnsi="MS PGothic"/>
          <w:sz w:val="16"/>
          <w:szCs w:val="16"/>
          <w:color w:val="2A5597"/>
        </w:rPr>
      </w:pPr>
    </w:p>
    <w:p>
      <w:pPr>
        <w:ind w:left="260" w:hanging="258"/>
        <w:spacing w:after="0"/>
        <w:tabs>
          <w:tab w:leader="none" w:pos="260" w:val="left"/>
        </w:tabs>
        <w:numPr>
          <w:ilvl w:val="0"/>
          <w:numId w:val="30"/>
        </w:numPr>
        <w:rPr>
          <w:rFonts w:ascii="MS PGothic" w:cs="MS PGothic" w:eastAsia="MS PGothic" w:hAnsi="MS PGothic"/>
          <w:sz w:val="16"/>
          <w:szCs w:val="16"/>
          <w:color w:val="2A5597"/>
        </w:rPr>
      </w:pPr>
      <w:r>
        <w:rPr>
          <w:rFonts w:ascii="Arial" w:cs="Arial" w:eastAsia="Arial" w:hAnsi="Arial"/>
          <w:sz w:val="16"/>
          <w:szCs w:val="16"/>
          <w:color w:val="auto"/>
        </w:rPr>
        <w:t>Review and oversee related party transactions in accordance with applicable securities laws</w:t>
      </w:r>
    </w:p>
    <w:p>
      <w:pPr>
        <w:spacing w:after="0" w:line="16" w:lineRule="exact"/>
        <w:rPr>
          <w:rFonts w:ascii="MS PGothic" w:cs="MS PGothic" w:eastAsia="MS PGothic" w:hAnsi="MS PGothic"/>
          <w:sz w:val="16"/>
          <w:szCs w:val="16"/>
          <w:color w:val="2A5597"/>
        </w:rPr>
      </w:pPr>
    </w:p>
    <w:p>
      <w:pPr>
        <w:ind w:left="260" w:hanging="258"/>
        <w:spacing w:after="0" w:line="252" w:lineRule="auto"/>
        <w:tabs>
          <w:tab w:leader="none" w:pos="261" w:val="left"/>
        </w:tabs>
        <w:numPr>
          <w:ilvl w:val="0"/>
          <w:numId w:val="30"/>
        </w:numPr>
        <w:rPr>
          <w:rFonts w:ascii="MS PGothic" w:cs="MS PGothic" w:eastAsia="MS PGothic" w:hAnsi="MS PGothic"/>
          <w:sz w:val="16"/>
          <w:szCs w:val="16"/>
          <w:color w:val="2A5597"/>
        </w:rPr>
      </w:pPr>
      <w:r>
        <w:rPr>
          <w:rFonts w:ascii="Arial" w:cs="Arial" w:eastAsia="Arial" w:hAnsi="Arial"/>
          <w:sz w:val="16"/>
          <w:szCs w:val="16"/>
          <w:color w:val="auto"/>
        </w:rPr>
        <w:t>Review, discuss and recommend the Company’s quarterly and annual audited financial statements for inclusion in the Company’s quarterly reports and annual report, respectively</w:t>
      </w:r>
    </w:p>
    <w:p>
      <w:pPr>
        <w:spacing w:after="0" w:line="1" w:lineRule="exact"/>
        <w:rPr>
          <w:rFonts w:ascii="MS PGothic" w:cs="MS PGothic" w:eastAsia="MS PGothic" w:hAnsi="MS PGothic"/>
          <w:sz w:val="16"/>
          <w:szCs w:val="16"/>
          <w:color w:val="2A5597"/>
        </w:rPr>
      </w:pPr>
    </w:p>
    <w:p>
      <w:pPr>
        <w:ind w:left="260" w:hanging="258"/>
        <w:spacing w:after="0"/>
        <w:tabs>
          <w:tab w:leader="none" w:pos="260" w:val="left"/>
        </w:tabs>
        <w:numPr>
          <w:ilvl w:val="0"/>
          <w:numId w:val="30"/>
        </w:numPr>
        <w:rPr>
          <w:rFonts w:ascii="MS PGothic" w:cs="MS PGothic" w:eastAsia="MS PGothic" w:hAnsi="MS PGothic"/>
          <w:sz w:val="16"/>
          <w:szCs w:val="16"/>
          <w:color w:val="2A5597"/>
        </w:rPr>
      </w:pPr>
      <w:r>
        <w:rPr>
          <w:rFonts w:ascii="Arial" w:cs="Arial" w:eastAsia="Arial" w:hAnsi="Arial"/>
          <w:sz w:val="16"/>
          <w:szCs w:val="16"/>
          <w:color w:val="auto"/>
        </w:rPr>
        <w:t>Periodically review the tax strategy of the Company</w:t>
      </w:r>
    </w:p>
    <w:p>
      <w:pPr>
        <w:spacing w:after="0" w:line="16" w:lineRule="exact"/>
        <w:rPr>
          <w:rFonts w:ascii="MS PGothic" w:cs="MS PGothic" w:eastAsia="MS PGothic" w:hAnsi="MS PGothic"/>
          <w:sz w:val="16"/>
          <w:szCs w:val="16"/>
          <w:color w:val="2A5597"/>
        </w:rPr>
      </w:pPr>
    </w:p>
    <w:p>
      <w:pPr>
        <w:ind w:left="260" w:hanging="258"/>
        <w:spacing w:after="0"/>
        <w:tabs>
          <w:tab w:leader="none" w:pos="260" w:val="left"/>
        </w:tabs>
        <w:numPr>
          <w:ilvl w:val="0"/>
          <w:numId w:val="30"/>
        </w:numPr>
        <w:rPr>
          <w:rFonts w:ascii="MS PGothic" w:cs="MS PGothic" w:eastAsia="MS PGothic" w:hAnsi="MS PGothic"/>
          <w:sz w:val="16"/>
          <w:szCs w:val="16"/>
          <w:color w:val="2A5597"/>
        </w:rPr>
      </w:pPr>
      <w:r>
        <w:rPr>
          <w:rFonts w:ascii="Arial" w:cs="Arial" w:eastAsia="Arial" w:hAnsi="Arial"/>
          <w:sz w:val="16"/>
          <w:szCs w:val="16"/>
          <w:color w:val="auto"/>
        </w:rPr>
        <w:t>Oversee the effectiveness of the Company’s legal compliance policies and programs, as well as the handling of</w:t>
      </w:r>
    </w:p>
    <w:p>
      <w:pPr>
        <w:spacing w:after="0" w:line="16" w:lineRule="exact"/>
        <w:rPr>
          <w:rFonts w:ascii="MS PGothic" w:cs="MS PGothic" w:eastAsia="MS PGothic" w:hAnsi="MS PGothic"/>
          <w:sz w:val="16"/>
          <w:szCs w:val="16"/>
          <w:color w:val="2A5597"/>
        </w:rPr>
      </w:pPr>
    </w:p>
    <w:p>
      <w:pPr>
        <w:ind w:left="260"/>
        <w:spacing w:after="0" w:line="258" w:lineRule="auto"/>
        <w:rPr>
          <w:rFonts w:ascii="MS PGothic" w:cs="MS PGothic" w:eastAsia="MS PGothic" w:hAnsi="MS PGothic"/>
          <w:sz w:val="16"/>
          <w:szCs w:val="16"/>
          <w:color w:val="2A5597"/>
        </w:rPr>
      </w:pPr>
      <w:r>
        <w:rPr>
          <w:rFonts w:ascii="Arial" w:cs="Arial" w:eastAsia="Arial" w:hAnsi="Arial"/>
          <w:sz w:val="16"/>
          <w:szCs w:val="16"/>
          <w:color w:val="auto"/>
        </w:rPr>
        <w:t>(i) any known material non-compliance with applicable regulations; or (ii) other legal and regulatory matters that may have a material impact on the Company’s finances or compliance policies</w:t>
      </w:r>
    </w:p>
    <w:p>
      <w:pPr>
        <w:sectPr>
          <w:pgSz w:w="11900" w:h="16838" w:orient="portrait"/>
          <w:cols w:equalWidth="0" w:num="2">
            <w:col w:w="2440" w:space="240"/>
            <w:col w:w="8400"/>
          </w:cols>
          <w:pgMar w:left="320" w:top="454" w:right="499" w:bottom="1440" w:gutter="0" w:footer="0" w:header="0"/>
          <w:type w:val="continuous"/>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2" w:lineRule="exact"/>
        <w:rPr>
          <w:sz w:val="20"/>
          <w:szCs w:val="20"/>
          <w:color w:val="auto"/>
        </w:rPr>
      </w:pPr>
    </w:p>
    <w:p>
      <w:pPr>
        <w:ind w:left="7080"/>
        <w:spacing w:after="0"/>
        <w:rPr>
          <w:sz w:val="20"/>
          <w:szCs w:val="20"/>
          <w:color w:val="auto"/>
        </w:rPr>
      </w:pPr>
      <w:r>
        <w:rPr>
          <w:rFonts w:ascii="Arial" w:cs="Arial" w:eastAsia="Arial" w:hAnsi="Arial"/>
          <w:sz w:val="17"/>
          <w:szCs w:val="17"/>
          <w:color w:val="F75E14"/>
        </w:rPr>
        <w:t>The Board of Directors and Corporate Governance</w:t>
      </w:r>
    </w:p>
    <w:p>
      <w:pPr>
        <w:spacing w:after="0" w:line="152" w:lineRule="exact"/>
        <w:rPr>
          <w:sz w:val="20"/>
          <w:szCs w:val="20"/>
          <w:color w:val="auto"/>
        </w:rPr>
      </w:pPr>
    </w:p>
    <w:p>
      <w:pPr>
        <w:jc w:val="both"/>
        <w:ind w:left="160"/>
        <w:spacing w:after="0" w:line="239" w:lineRule="auto"/>
        <w:rPr>
          <w:sz w:val="20"/>
          <w:szCs w:val="20"/>
          <w:color w:val="auto"/>
        </w:rPr>
      </w:pPr>
      <w:r>
        <w:rPr>
          <w:rFonts w:ascii="Arial" w:cs="Arial" w:eastAsia="Arial" w:hAnsi="Arial"/>
          <w:sz w:val="18"/>
          <w:szCs w:val="18"/>
          <w:color w:val="auto"/>
        </w:rPr>
        <w:t>The Board has determined that each member of the Audit Committee during 2021 and each current member of the Audit Committee is independent within the meaning of applicable SEC rules and Nasdaq listing standards and that each current member of the Audit Committee is financially competent under the current Nasdaq listing standards. The Board has also determined that each of Alan Campbell, Susan K. Carter and Bruce E. Kiddoo, all of whom are independent members of the Audit Committee, meet the qualifications of an “audit committee financial expert” in accordance with SEC rules and similar financial sophistication rules under Nasdaq listing standards.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143510</wp:posOffset>
            </wp:positionV>
            <wp:extent cx="6938010" cy="762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938010" cy="7620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2B4772"/>
        </w:rPr>
        <w:t>GOVERNANCE AND SUSTAINABILITY COMMITTEE</w:t>
      </w:r>
    </w:p>
    <w:p>
      <w:pPr>
        <w:sectPr>
          <w:pgSz w:w="11900" w:h="16838" w:orient="portrait"/>
          <w:cols w:equalWidth="0" w:num="1">
            <w:col w:w="11080"/>
          </w:cols>
          <w:pgMar w:left="320" w:top="454" w:right="499" w:bottom="1440" w:gutter="0" w:footer="0" w:header="0"/>
        </w:sectPr>
      </w:pPr>
    </w:p>
    <w:p>
      <w:pPr>
        <w:spacing w:after="0" w:line="186" w:lineRule="exact"/>
        <w:rPr>
          <w:sz w:val="20"/>
          <w:szCs w:val="20"/>
          <w:color w:val="auto"/>
        </w:rPr>
      </w:pPr>
    </w:p>
    <w:p>
      <w:pPr>
        <w:ind w:left="320"/>
        <w:spacing w:after="0"/>
        <w:rPr>
          <w:sz w:val="20"/>
          <w:szCs w:val="20"/>
          <w:color w:val="auto"/>
        </w:rPr>
      </w:pPr>
      <w:r>
        <w:rPr>
          <w:rFonts w:ascii="Arial" w:cs="Arial" w:eastAsia="Arial" w:hAnsi="Arial"/>
          <w:sz w:val="16"/>
          <w:szCs w:val="16"/>
          <w:color w:val="auto"/>
        </w:rPr>
        <w:t xml:space="preserve">5 meetings </w:t>
      </w:r>
      <w:r>
        <w:rPr>
          <w:rFonts w:ascii="Arial" w:cs="Arial" w:eastAsia="Arial" w:hAnsi="Arial"/>
          <w:sz w:val="16"/>
          <w:szCs w:val="16"/>
          <w:b w:val="1"/>
          <w:bCs w:val="1"/>
          <w:color w:val="2B4772"/>
        </w:rPr>
        <w:t>in 2021</w:t>
      </w:r>
    </w:p>
    <w:p>
      <w:pPr>
        <w:spacing w:after="0" w:line="124" w:lineRule="exact"/>
        <w:rPr>
          <w:sz w:val="20"/>
          <w:szCs w:val="20"/>
          <w:color w:val="auto"/>
        </w:rPr>
      </w:pPr>
    </w:p>
    <w:p>
      <w:pPr>
        <w:ind w:left="320"/>
        <w:spacing w:after="0"/>
        <w:rPr>
          <w:sz w:val="20"/>
          <w:szCs w:val="20"/>
          <w:color w:val="auto"/>
        </w:rPr>
      </w:pPr>
      <w:r>
        <w:rPr>
          <w:rFonts w:ascii="Arial" w:cs="Arial" w:eastAsia="Arial" w:hAnsi="Arial"/>
          <w:sz w:val="16"/>
          <w:szCs w:val="16"/>
          <w:b w:val="1"/>
          <w:bCs w:val="1"/>
          <w:color w:val="2B4772"/>
        </w:rPr>
        <w:t>Members:</w:t>
      </w:r>
    </w:p>
    <w:p>
      <w:pPr>
        <w:spacing w:after="0" w:line="19" w:lineRule="exact"/>
        <w:rPr>
          <w:sz w:val="20"/>
          <w:szCs w:val="20"/>
          <w:color w:val="auto"/>
        </w:rPr>
      </w:pPr>
    </w:p>
    <w:p>
      <w:pPr>
        <w:ind w:left="320"/>
        <w:spacing w:after="0" w:line="249" w:lineRule="auto"/>
        <w:rPr>
          <w:sz w:val="20"/>
          <w:szCs w:val="20"/>
          <w:color w:val="auto"/>
        </w:rPr>
      </w:pPr>
      <w:r>
        <w:rPr>
          <w:rFonts w:ascii="Arial" w:cs="Arial" w:eastAsia="Arial" w:hAnsi="Arial"/>
          <w:sz w:val="16"/>
          <w:szCs w:val="16"/>
          <w:color w:val="auto"/>
        </w:rPr>
        <w:t>Paul A. Mascarenas, Chair Alan Campbell Susan K. Carter Thomas L. Deitrich</w:t>
      </w:r>
    </w:p>
    <w:p>
      <w:pPr>
        <w:spacing w:after="0" w:line="20" w:lineRule="exact"/>
        <w:rPr>
          <w:sz w:val="20"/>
          <w:szCs w:val="20"/>
          <w:color w:val="auto"/>
        </w:rPr>
      </w:pPr>
      <w:r>
        <w:rPr>
          <w:sz w:val="20"/>
          <w:szCs w:val="20"/>
          <w:color w:val="auto"/>
        </w:rPr>
        <w:br w:type="column"/>
      </w: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b w:val="1"/>
          <w:bCs w:val="1"/>
          <w:color w:val="2B4772"/>
        </w:rPr>
        <w:t>Primary Responsibilities</w:t>
      </w:r>
    </w:p>
    <w:p>
      <w:pPr>
        <w:spacing w:after="0" w:line="16" w:lineRule="exact"/>
        <w:rPr>
          <w:sz w:val="20"/>
          <w:szCs w:val="20"/>
          <w:color w:val="auto"/>
        </w:rPr>
      </w:pPr>
    </w:p>
    <w:p>
      <w:pPr>
        <w:ind w:left="260" w:hanging="251"/>
        <w:spacing w:after="0"/>
        <w:tabs>
          <w:tab w:leader="none" w:pos="260" w:val="left"/>
        </w:tabs>
        <w:numPr>
          <w:ilvl w:val="0"/>
          <w:numId w:val="31"/>
        </w:numPr>
        <w:rPr>
          <w:rFonts w:ascii="MS PGothic" w:cs="MS PGothic" w:eastAsia="MS PGothic" w:hAnsi="MS PGothic"/>
          <w:sz w:val="16"/>
          <w:szCs w:val="16"/>
          <w:color w:val="2A5597"/>
        </w:rPr>
      </w:pPr>
      <w:r>
        <w:rPr>
          <w:rFonts w:ascii="Arial" w:cs="Arial" w:eastAsia="Arial" w:hAnsi="Arial"/>
          <w:sz w:val="16"/>
          <w:szCs w:val="16"/>
          <w:color w:val="auto"/>
        </w:rPr>
        <w:t>Identify qualified individuals to become Board members</w:t>
      </w:r>
    </w:p>
    <w:p>
      <w:pPr>
        <w:spacing w:after="0" w:line="20" w:lineRule="exact"/>
        <w:rPr>
          <w:rFonts w:ascii="MS PGothic" w:cs="MS PGothic" w:eastAsia="MS PGothic" w:hAnsi="MS PGothic"/>
          <w:sz w:val="16"/>
          <w:szCs w:val="16"/>
          <w:color w:val="2A5597"/>
        </w:rPr>
      </w:pPr>
    </w:p>
    <w:p>
      <w:pPr>
        <w:ind w:left="260" w:hanging="251"/>
        <w:spacing w:after="0"/>
        <w:tabs>
          <w:tab w:leader="none" w:pos="260" w:val="left"/>
        </w:tabs>
        <w:numPr>
          <w:ilvl w:val="0"/>
          <w:numId w:val="31"/>
        </w:numPr>
        <w:rPr>
          <w:rFonts w:ascii="MS PGothic" w:cs="MS PGothic" w:eastAsia="MS PGothic" w:hAnsi="MS PGothic"/>
          <w:sz w:val="16"/>
          <w:szCs w:val="16"/>
          <w:color w:val="2A5597"/>
        </w:rPr>
      </w:pPr>
      <w:r>
        <w:rPr>
          <w:rFonts w:ascii="Arial" w:cs="Arial" w:eastAsia="Arial" w:hAnsi="Arial"/>
          <w:sz w:val="16"/>
          <w:szCs w:val="16"/>
          <w:color w:val="auto"/>
        </w:rPr>
        <w:t>Consider and make recommendations with respect to Board composition and committees</w:t>
      </w:r>
    </w:p>
    <w:p>
      <w:pPr>
        <w:spacing w:after="0" w:line="16" w:lineRule="exact"/>
        <w:rPr>
          <w:rFonts w:ascii="MS PGothic" w:cs="MS PGothic" w:eastAsia="MS PGothic" w:hAnsi="MS PGothic"/>
          <w:sz w:val="16"/>
          <w:szCs w:val="16"/>
          <w:color w:val="2A5597"/>
        </w:rPr>
      </w:pPr>
    </w:p>
    <w:p>
      <w:pPr>
        <w:ind w:left="260" w:hanging="251"/>
        <w:spacing w:after="0"/>
        <w:tabs>
          <w:tab w:leader="none" w:pos="260" w:val="left"/>
        </w:tabs>
        <w:numPr>
          <w:ilvl w:val="0"/>
          <w:numId w:val="31"/>
        </w:numPr>
        <w:rPr>
          <w:rFonts w:ascii="MS PGothic" w:cs="MS PGothic" w:eastAsia="MS PGothic" w:hAnsi="MS PGothic"/>
          <w:sz w:val="16"/>
          <w:szCs w:val="16"/>
          <w:color w:val="2A5597"/>
        </w:rPr>
      </w:pPr>
      <w:r>
        <w:rPr>
          <w:rFonts w:ascii="Arial" w:cs="Arial" w:eastAsia="Arial" w:hAnsi="Arial"/>
          <w:sz w:val="16"/>
          <w:szCs w:val="16"/>
          <w:color w:val="auto"/>
        </w:rPr>
        <w:t>Monitor the process to assess Board effectiveness</w:t>
      </w:r>
    </w:p>
    <w:p>
      <w:pPr>
        <w:spacing w:after="0" w:line="16" w:lineRule="exact"/>
        <w:rPr>
          <w:rFonts w:ascii="MS PGothic" w:cs="MS PGothic" w:eastAsia="MS PGothic" w:hAnsi="MS PGothic"/>
          <w:sz w:val="16"/>
          <w:szCs w:val="16"/>
          <w:color w:val="2A5597"/>
        </w:rPr>
      </w:pPr>
    </w:p>
    <w:p>
      <w:pPr>
        <w:ind w:left="260" w:hanging="251"/>
        <w:spacing w:after="0"/>
        <w:tabs>
          <w:tab w:leader="none" w:pos="260" w:val="left"/>
        </w:tabs>
        <w:numPr>
          <w:ilvl w:val="0"/>
          <w:numId w:val="31"/>
        </w:numPr>
        <w:rPr>
          <w:rFonts w:ascii="MS PGothic" w:cs="MS PGothic" w:eastAsia="MS PGothic" w:hAnsi="MS PGothic"/>
          <w:sz w:val="16"/>
          <w:szCs w:val="16"/>
          <w:color w:val="2A5597"/>
        </w:rPr>
      </w:pPr>
      <w:r>
        <w:rPr>
          <w:rFonts w:ascii="Arial" w:cs="Arial" w:eastAsia="Arial" w:hAnsi="Arial"/>
          <w:sz w:val="16"/>
          <w:szCs w:val="16"/>
          <w:color w:val="auto"/>
        </w:rPr>
        <w:t>Develop and implement the Company’s corporate governance principles</w:t>
      </w:r>
    </w:p>
    <w:p>
      <w:pPr>
        <w:spacing w:after="0" w:line="16" w:lineRule="exact"/>
        <w:rPr>
          <w:rFonts w:ascii="MS PGothic" w:cs="MS PGothic" w:eastAsia="MS PGothic" w:hAnsi="MS PGothic"/>
          <w:sz w:val="16"/>
          <w:szCs w:val="16"/>
          <w:color w:val="2A5597"/>
        </w:rPr>
      </w:pPr>
    </w:p>
    <w:p>
      <w:pPr>
        <w:ind w:left="260" w:hanging="251"/>
        <w:spacing w:after="0"/>
        <w:tabs>
          <w:tab w:leader="none" w:pos="260" w:val="left"/>
        </w:tabs>
        <w:numPr>
          <w:ilvl w:val="0"/>
          <w:numId w:val="31"/>
        </w:numPr>
        <w:rPr>
          <w:rFonts w:ascii="MS PGothic" w:cs="MS PGothic" w:eastAsia="MS PGothic" w:hAnsi="MS PGothic"/>
          <w:sz w:val="16"/>
          <w:szCs w:val="16"/>
          <w:color w:val="2A5597"/>
        </w:rPr>
      </w:pPr>
      <w:r>
        <w:rPr>
          <w:rFonts w:ascii="Arial" w:cs="Arial" w:eastAsia="Arial" w:hAnsi="Arial"/>
          <w:sz w:val="16"/>
          <w:szCs w:val="16"/>
          <w:color w:val="auto"/>
        </w:rPr>
        <w:t>Develop and periodically review criteria for nominees for Director</w:t>
      </w:r>
    </w:p>
    <w:p>
      <w:pPr>
        <w:spacing w:after="0" w:line="16" w:lineRule="exact"/>
        <w:rPr>
          <w:rFonts w:ascii="MS PGothic" w:cs="MS PGothic" w:eastAsia="MS PGothic" w:hAnsi="MS PGothic"/>
          <w:sz w:val="16"/>
          <w:szCs w:val="16"/>
          <w:color w:val="2A5597"/>
        </w:rPr>
      </w:pPr>
    </w:p>
    <w:p>
      <w:pPr>
        <w:ind w:left="260" w:hanging="251"/>
        <w:spacing w:after="0"/>
        <w:tabs>
          <w:tab w:leader="none" w:pos="260" w:val="left"/>
        </w:tabs>
        <w:numPr>
          <w:ilvl w:val="0"/>
          <w:numId w:val="31"/>
        </w:numPr>
        <w:rPr>
          <w:rFonts w:ascii="MS PGothic" w:cs="MS PGothic" w:eastAsia="MS PGothic" w:hAnsi="MS PGothic"/>
          <w:sz w:val="16"/>
          <w:szCs w:val="16"/>
          <w:color w:val="2A5597"/>
        </w:rPr>
      </w:pPr>
      <w:r>
        <w:rPr>
          <w:rFonts w:ascii="Arial" w:cs="Arial" w:eastAsia="Arial" w:hAnsi="Arial"/>
          <w:sz w:val="16"/>
          <w:szCs w:val="16"/>
          <w:color w:val="auto"/>
        </w:rPr>
        <w:t>Oversee Director orientation program and others designed to improve Directors’ understanding of the Company</w:t>
      </w:r>
    </w:p>
    <w:p>
      <w:pPr>
        <w:spacing w:after="0" w:line="16" w:lineRule="exact"/>
        <w:rPr>
          <w:rFonts w:ascii="MS PGothic" w:cs="MS PGothic" w:eastAsia="MS PGothic" w:hAnsi="MS PGothic"/>
          <w:sz w:val="16"/>
          <w:szCs w:val="16"/>
          <w:color w:val="2A5597"/>
        </w:rPr>
      </w:pPr>
    </w:p>
    <w:p>
      <w:pPr>
        <w:ind w:left="260" w:hanging="251"/>
        <w:spacing w:after="0"/>
        <w:tabs>
          <w:tab w:leader="none" w:pos="260" w:val="left"/>
        </w:tabs>
        <w:numPr>
          <w:ilvl w:val="0"/>
          <w:numId w:val="31"/>
        </w:numPr>
        <w:rPr>
          <w:rFonts w:ascii="MS PGothic" w:cs="MS PGothic" w:eastAsia="MS PGothic" w:hAnsi="MS PGothic"/>
          <w:sz w:val="16"/>
          <w:szCs w:val="16"/>
          <w:color w:val="2A5597"/>
        </w:rPr>
      </w:pPr>
      <w:r>
        <w:rPr>
          <w:rFonts w:ascii="Arial" w:cs="Arial" w:eastAsia="Arial" w:hAnsi="Arial"/>
          <w:sz w:val="16"/>
          <w:szCs w:val="16"/>
          <w:color w:val="auto"/>
        </w:rPr>
        <w:t>Oversee climate-related initiatives and other Company actions associated with the environment</w:t>
      </w:r>
    </w:p>
    <w:p>
      <w:pPr>
        <w:spacing w:after="0" w:line="16" w:lineRule="exact"/>
        <w:rPr>
          <w:rFonts w:ascii="MS PGothic" w:cs="MS PGothic" w:eastAsia="MS PGothic" w:hAnsi="MS PGothic"/>
          <w:sz w:val="16"/>
          <w:szCs w:val="16"/>
          <w:color w:val="2A5597"/>
        </w:rPr>
      </w:pPr>
    </w:p>
    <w:p>
      <w:pPr>
        <w:ind w:left="260" w:hanging="251"/>
        <w:spacing w:after="0" w:line="252" w:lineRule="auto"/>
        <w:tabs>
          <w:tab w:leader="none" w:pos="261" w:val="left"/>
        </w:tabs>
        <w:numPr>
          <w:ilvl w:val="0"/>
          <w:numId w:val="31"/>
        </w:numPr>
        <w:rPr>
          <w:rFonts w:ascii="MS PGothic" w:cs="MS PGothic" w:eastAsia="MS PGothic" w:hAnsi="MS PGothic"/>
          <w:sz w:val="16"/>
          <w:szCs w:val="16"/>
          <w:color w:val="2A5597"/>
        </w:rPr>
      </w:pPr>
      <w:r>
        <w:rPr>
          <w:rFonts w:ascii="Arial" w:cs="Arial" w:eastAsia="Arial" w:hAnsi="Arial"/>
          <w:sz w:val="16"/>
          <w:szCs w:val="16"/>
          <w:color w:val="auto"/>
        </w:rPr>
        <w:t>Review and oversee matters related to environmental, health and safety, ethics and ESG topics and related Code of Business Conduct (as defined below) provisions</w:t>
      </w:r>
    </w:p>
    <w:p>
      <w:pPr>
        <w:spacing w:after="0" w:line="1" w:lineRule="exact"/>
        <w:rPr>
          <w:rFonts w:ascii="MS PGothic" w:cs="MS PGothic" w:eastAsia="MS PGothic" w:hAnsi="MS PGothic"/>
          <w:sz w:val="16"/>
          <w:szCs w:val="16"/>
          <w:color w:val="2A5597"/>
        </w:rPr>
      </w:pPr>
    </w:p>
    <w:p>
      <w:pPr>
        <w:ind w:left="260" w:hanging="251"/>
        <w:spacing w:after="0" w:line="252" w:lineRule="auto"/>
        <w:tabs>
          <w:tab w:leader="none" w:pos="261" w:val="left"/>
        </w:tabs>
        <w:numPr>
          <w:ilvl w:val="0"/>
          <w:numId w:val="31"/>
        </w:numPr>
        <w:rPr>
          <w:rFonts w:ascii="MS PGothic" w:cs="MS PGothic" w:eastAsia="MS PGothic" w:hAnsi="MS PGothic"/>
          <w:sz w:val="16"/>
          <w:szCs w:val="16"/>
          <w:color w:val="2A5597"/>
        </w:rPr>
      </w:pPr>
      <w:r>
        <w:rPr>
          <w:rFonts w:ascii="Arial" w:cs="Arial" w:eastAsia="Arial" w:hAnsi="Arial"/>
          <w:sz w:val="16"/>
          <w:szCs w:val="16"/>
          <w:color w:val="auto"/>
        </w:rPr>
        <w:t>Provide guidance for the Company’s enterprise risk management (“ERM”) program (the “ERM Program”) and review and oversee the Company’s ethics program</w:t>
      </w:r>
    </w:p>
    <w:p>
      <w:pPr>
        <w:spacing w:after="0" w:line="1" w:lineRule="exact"/>
        <w:rPr>
          <w:rFonts w:ascii="MS PGothic" w:cs="MS PGothic" w:eastAsia="MS PGothic" w:hAnsi="MS PGothic"/>
          <w:sz w:val="16"/>
          <w:szCs w:val="16"/>
          <w:color w:val="2A5597"/>
        </w:rPr>
      </w:pPr>
    </w:p>
    <w:p>
      <w:pPr>
        <w:ind w:left="260" w:right="20" w:hanging="251"/>
        <w:spacing w:after="0" w:line="252" w:lineRule="auto"/>
        <w:tabs>
          <w:tab w:leader="none" w:pos="261" w:val="left"/>
        </w:tabs>
        <w:numPr>
          <w:ilvl w:val="0"/>
          <w:numId w:val="31"/>
        </w:numPr>
        <w:rPr>
          <w:rFonts w:ascii="MS PGothic" w:cs="MS PGothic" w:eastAsia="MS PGothic" w:hAnsi="MS PGothic"/>
          <w:sz w:val="16"/>
          <w:szCs w:val="16"/>
          <w:color w:val="2A5597"/>
        </w:rPr>
      </w:pPr>
      <w:r>
        <w:rPr>
          <w:rFonts w:ascii="Arial" w:cs="Arial" w:eastAsia="Arial" w:hAnsi="Arial"/>
          <w:sz w:val="16"/>
          <w:szCs w:val="16"/>
          <w:color w:val="auto"/>
        </w:rPr>
        <w:t>Oversee succession planning for the CEO and coordinate with the HCC Committee regarding potential succession candidates identified internally</w:t>
      </w:r>
    </w:p>
    <w:p>
      <w:pPr>
        <w:spacing w:after="0" w:line="1" w:lineRule="exact"/>
        <w:rPr>
          <w:rFonts w:ascii="MS PGothic" w:cs="MS PGothic" w:eastAsia="MS PGothic" w:hAnsi="MS PGothic"/>
          <w:sz w:val="16"/>
          <w:szCs w:val="16"/>
          <w:color w:val="2A5597"/>
        </w:rPr>
      </w:pPr>
    </w:p>
    <w:p>
      <w:pPr>
        <w:ind w:left="260" w:right="20" w:hanging="251"/>
        <w:spacing w:after="0" w:line="276" w:lineRule="auto"/>
        <w:tabs>
          <w:tab w:leader="none" w:pos="261" w:val="left"/>
        </w:tabs>
        <w:numPr>
          <w:ilvl w:val="0"/>
          <w:numId w:val="31"/>
        </w:numPr>
        <w:rPr>
          <w:rFonts w:ascii="MS PGothic" w:cs="MS PGothic" w:eastAsia="MS PGothic" w:hAnsi="MS PGothic"/>
          <w:sz w:val="16"/>
          <w:szCs w:val="16"/>
          <w:color w:val="2A5597"/>
        </w:rPr>
      </w:pPr>
      <w:r>
        <w:rPr>
          <w:rFonts w:ascii="Arial" w:cs="Arial" w:eastAsia="Arial" w:hAnsi="Arial"/>
          <w:sz w:val="16"/>
          <w:szCs w:val="16"/>
          <w:color w:val="auto"/>
        </w:rPr>
        <w:t>Review and make recommendations to the Board regarding matters of corporate governance as requested by the Board or as otherwise deemed appropriate</w:t>
      </w:r>
    </w:p>
    <w:p>
      <w:pPr>
        <w:spacing w:after="0" w:line="171" w:lineRule="exact"/>
        <w:rPr>
          <w:sz w:val="20"/>
          <w:szCs w:val="20"/>
          <w:color w:val="auto"/>
        </w:rPr>
      </w:pPr>
    </w:p>
    <w:p>
      <w:pPr>
        <w:sectPr>
          <w:pgSz w:w="11900" w:h="16838" w:orient="portrait"/>
          <w:cols w:equalWidth="0" w:num="2">
            <w:col w:w="2220" w:space="560"/>
            <w:col w:w="8300"/>
          </w:cols>
          <w:pgMar w:left="320" w:top="454" w:right="499" w:bottom="1440" w:gutter="0" w:footer="0" w:header="0"/>
          <w:type w:val="continuous"/>
        </w:sectPr>
      </w:pPr>
    </w:p>
    <w:p>
      <w:pPr>
        <w:jc w:val="both"/>
        <w:ind w:left="160"/>
        <w:spacing w:after="0" w:line="243" w:lineRule="auto"/>
        <w:rPr>
          <w:sz w:val="20"/>
          <w:szCs w:val="20"/>
          <w:color w:val="auto"/>
        </w:rPr>
      </w:pPr>
      <w:r>
        <w:rPr>
          <w:rFonts w:ascii="Arial" w:cs="Arial" w:eastAsia="Arial" w:hAnsi="Arial"/>
          <w:sz w:val="18"/>
          <w:szCs w:val="18"/>
          <w:color w:val="auto"/>
        </w:rPr>
        <w:t>During 2021, the Board, in conjunction with the members of the GS Committee, took on a more active role in the oversight of the Company’s climate- and sustainability-related initiatives, recognizing the increasing importance of ESG oversight and of the threat presented by climate change. As a reflection of the Board’s enhanced focus on ESG matters, the “Corporate Governance and Nominating Committee” was renamed as the “Governance and Sustainability Committee” in 2021.</w:t>
      </w:r>
    </w:p>
    <w:p>
      <w:pPr>
        <w:spacing w:after="0" w:line="178" w:lineRule="exact"/>
        <w:rPr>
          <w:sz w:val="20"/>
          <w:szCs w:val="20"/>
          <w:color w:val="auto"/>
        </w:rPr>
      </w:pPr>
    </w:p>
    <w:p>
      <w:pPr>
        <w:jc w:val="both"/>
        <w:ind w:left="160"/>
        <w:spacing w:after="0" w:line="265" w:lineRule="auto"/>
        <w:rPr>
          <w:sz w:val="20"/>
          <w:szCs w:val="20"/>
          <w:color w:val="auto"/>
        </w:rPr>
      </w:pPr>
      <w:r>
        <w:rPr>
          <w:rFonts w:ascii="Arial" w:cs="Arial" w:eastAsia="Arial" w:hAnsi="Arial"/>
          <w:sz w:val="18"/>
          <w:szCs w:val="18"/>
          <w:color w:val="auto"/>
        </w:rPr>
        <w:t>The GS Committee may engage in research to identify qualified individuals, which may include engaging a professional search firm from time to time.</w:t>
      </w:r>
    </w:p>
    <w:p>
      <w:pPr>
        <w:spacing w:after="0" w:line="158" w:lineRule="exact"/>
        <w:rPr>
          <w:sz w:val="20"/>
          <w:szCs w:val="20"/>
          <w:color w:val="auto"/>
        </w:rPr>
      </w:pPr>
    </w:p>
    <w:p>
      <w:pPr>
        <w:jc w:val="both"/>
        <w:ind w:left="160"/>
        <w:spacing w:after="0" w:line="265" w:lineRule="auto"/>
        <w:rPr>
          <w:sz w:val="20"/>
          <w:szCs w:val="20"/>
          <w:color w:val="auto"/>
        </w:rPr>
      </w:pPr>
      <w:r>
        <w:rPr>
          <w:rFonts w:ascii="Arial" w:cs="Arial" w:eastAsia="Arial" w:hAnsi="Arial"/>
          <w:sz w:val="18"/>
          <w:szCs w:val="18"/>
          <w:color w:val="auto"/>
        </w:rPr>
        <w:t>The Board has determined that each member of the GS Committee during 2021 and each current member is independent within the meaning of applicable SEC rules and Nasdaq listing standards.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129540</wp:posOffset>
            </wp:positionV>
            <wp:extent cx="6938010" cy="762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938010" cy="76200"/>
                    </a:xfrm>
                    <a:prstGeom prst="rect">
                      <a:avLst/>
                    </a:prstGeom>
                    <a:noFill/>
                  </pic:spPr>
                </pic:pic>
              </a:graphicData>
            </a:graphic>
          </wp:anchor>
        </w:drawing>
      </w:r>
    </w:p>
    <w:p>
      <w:pPr>
        <w:spacing w:after="0" w:line="37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2B4772"/>
        </w:rPr>
        <w:t>HUMAN CAPITAL AND COMPENSATION COMMITTEE</w:t>
      </w:r>
    </w:p>
    <w:p>
      <w:pPr>
        <w:sectPr>
          <w:pgSz w:w="11900" w:h="16838" w:orient="portrait"/>
          <w:cols w:equalWidth="0" w:num="1">
            <w:col w:w="11080"/>
          </w:cols>
          <w:pgMar w:left="320" w:top="454" w:right="499" w:bottom="1440" w:gutter="0" w:footer="0" w:header="0"/>
          <w:type w:val="continuous"/>
        </w:sectPr>
      </w:pPr>
    </w:p>
    <w:p>
      <w:pPr>
        <w:spacing w:after="0" w:line="186" w:lineRule="exact"/>
        <w:rPr>
          <w:sz w:val="20"/>
          <w:szCs w:val="20"/>
          <w:color w:val="auto"/>
        </w:rPr>
      </w:pPr>
    </w:p>
    <w:p>
      <w:pPr>
        <w:ind w:left="320"/>
        <w:spacing w:after="0"/>
        <w:rPr>
          <w:sz w:val="20"/>
          <w:szCs w:val="20"/>
          <w:color w:val="auto"/>
        </w:rPr>
      </w:pPr>
      <w:r>
        <w:rPr>
          <w:rFonts w:ascii="Arial" w:cs="Arial" w:eastAsia="Arial" w:hAnsi="Arial"/>
          <w:sz w:val="16"/>
          <w:szCs w:val="16"/>
          <w:color w:val="auto"/>
        </w:rPr>
        <w:t xml:space="preserve">6 meetings </w:t>
      </w:r>
      <w:r>
        <w:rPr>
          <w:rFonts w:ascii="Arial" w:cs="Arial" w:eastAsia="Arial" w:hAnsi="Arial"/>
          <w:sz w:val="16"/>
          <w:szCs w:val="16"/>
          <w:b w:val="1"/>
          <w:bCs w:val="1"/>
          <w:color w:val="2B4772"/>
        </w:rPr>
        <w:t>in 2021</w:t>
      </w:r>
    </w:p>
    <w:p>
      <w:pPr>
        <w:spacing w:after="0" w:line="124" w:lineRule="exact"/>
        <w:rPr>
          <w:sz w:val="20"/>
          <w:szCs w:val="20"/>
          <w:color w:val="auto"/>
        </w:rPr>
      </w:pPr>
    </w:p>
    <w:p>
      <w:pPr>
        <w:ind w:left="320"/>
        <w:spacing w:after="0"/>
        <w:rPr>
          <w:sz w:val="20"/>
          <w:szCs w:val="20"/>
          <w:color w:val="auto"/>
        </w:rPr>
      </w:pPr>
      <w:r>
        <w:rPr>
          <w:rFonts w:ascii="Arial" w:cs="Arial" w:eastAsia="Arial" w:hAnsi="Arial"/>
          <w:sz w:val="16"/>
          <w:szCs w:val="16"/>
          <w:b w:val="1"/>
          <w:bCs w:val="1"/>
          <w:color w:val="2B4772"/>
        </w:rPr>
        <w:t>Members:</w:t>
      </w:r>
    </w:p>
    <w:p>
      <w:pPr>
        <w:spacing w:after="0" w:line="19" w:lineRule="exact"/>
        <w:rPr>
          <w:sz w:val="20"/>
          <w:szCs w:val="20"/>
          <w:color w:val="auto"/>
        </w:rPr>
      </w:pPr>
    </w:p>
    <w:p>
      <w:pPr>
        <w:ind w:left="320" w:right="160"/>
        <w:spacing w:after="0" w:line="249" w:lineRule="auto"/>
        <w:rPr>
          <w:sz w:val="20"/>
          <w:szCs w:val="20"/>
          <w:color w:val="auto"/>
        </w:rPr>
      </w:pPr>
      <w:r>
        <w:rPr>
          <w:rFonts w:ascii="Arial" w:cs="Arial" w:eastAsia="Arial" w:hAnsi="Arial"/>
          <w:sz w:val="16"/>
          <w:szCs w:val="16"/>
          <w:color w:val="auto"/>
        </w:rPr>
        <w:t>Christine Y. Yan, Chair Gilles Delfassy Paul A. Mascarenas Gregory L. Waters</w:t>
      </w:r>
    </w:p>
    <w:p>
      <w:pPr>
        <w:spacing w:after="0" w:line="20" w:lineRule="exact"/>
        <w:rPr>
          <w:sz w:val="20"/>
          <w:szCs w:val="20"/>
          <w:color w:val="auto"/>
        </w:rPr>
      </w:pPr>
      <w:r>
        <w:rPr>
          <w:sz w:val="20"/>
          <w:szCs w:val="20"/>
          <w:color w:val="auto"/>
        </w:rPr>
        <w:br w:type="column"/>
      </w: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b w:val="1"/>
          <w:bCs w:val="1"/>
          <w:color w:val="2B4772"/>
        </w:rPr>
        <w:t>Primary Responsibilities</w:t>
      </w:r>
    </w:p>
    <w:p>
      <w:pPr>
        <w:spacing w:after="0" w:line="16" w:lineRule="exact"/>
        <w:rPr>
          <w:sz w:val="20"/>
          <w:szCs w:val="20"/>
          <w:color w:val="auto"/>
        </w:rPr>
      </w:pPr>
    </w:p>
    <w:p>
      <w:pPr>
        <w:ind w:left="260" w:hanging="251"/>
        <w:spacing w:after="0" w:line="255" w:lineRule="auto"/>
        <w:tabs>
          <w:tab w:leader="none" w:pos="261" w:val="left"/>
        </w:tabs>
        <w:numPr>
          <w:ilvl w:val="0"/>
          <w:numId w:val="32"/>
        </w:numPr>
        <w:rPr>
          <w:rFonts w:ascii="MS PGothic" w:cs="MS PGothic" w:eastAsia="MS PGothic" w:hAnsi="MS PGothic"/>
          <w:sz w:val="16"/>
          <w:szCs w:val="16"/>
          <w:color w:val="2A5597"/>
        </w:rPr>
      </w:pPr>
      <w:r>
        <w:rPr>
          <w:rFonts w:ascii="Arial" w:cs="Arial" w:eastAsia="Arial" w:hAnsi="Arial"/>
          <w:sz w:val="16"/>
          <w:szCs w:val="16"/>
          <w:color w:val="auto"/>
        </w:rPr>
        <w:t>Discharge the Board’s responsibilities relating to the application of compensation policies and all elements of the compensation of our Outside Directors, CEO and other key officers</w:t>
      </w:r>
    </w:p>
    <w:p>
      <w:pPr>
        <w:ind w:left="260" w:hanging="251"/>
        <w:spacing w:after="0" w:line="252" w:lineRule="auto"/>
        <w:tabs>
          <w:tab w:leader="none" w:pos="252" w:val="left"/>
        </w:tabs>
        <w:numPr>
          <w:ilvl w:val="0"/>
          <w:numId w:val="32"/>
        </w:numPr>
        <w:rPr>
          <w:rFonts w:ascii="MS PGothic" w:cs="MS PGothic" w:eastAsia="MS PGothic" w:hAnsi="MS PGothic"/>
          <w:sz w:val="16"/>
          <w:szCs w:val="16"/>
          <w:color w:val="2A5597"/>
        </w:rPr>
      </w:pPr>
      <w:r>
        <w:rPr>
          <w:rFonts w:ascii="Arial" w:cs="Arial" w:eastAsia="Arial" w:hAnsi="Arial"/>
          <w:sz w:val="16"/>
          <w:szCs w:val="16"/>
          <w:color w:val="auto"/>
        </w:rPr>
        <w:t>Administer the Company’s equity-based plans, all other short-term and long-term incentive plans and all deferred compensation programs</w:t>
      </w:r>
    </w:p>
    <w:p>
      <w:pPr>
        <w:spacing w:after="0" w:line="1" w:lineRule="exact"/>
        <w:rPr>
          <w:rFonts w:ascii="MS PGothic" w:cs="MS PGothic" w:eastAsia="MS PGothic" w:hAnsi="MS PGothic"/>
          <w:sz w:val="16"/>
          <w:szCs w:val="16"/>
          <w:color w:val="2A5597"/>
        </w:rPr>
      </w:pPr>
    </w:p>
    <w:p>
      <w:pPr>
        <w:ind w:left="260" w:hanging="251"/>
        <w:spacing w:after="0" w:line="252" w:lineRule="auto"/>
        <w:tabs>
          <w:tab w:leader="none" w:pos="261" w:val="left"/>
        </w:tabs>
        <w:numPr>
          <w:ilvl w:val="0"/>
          <w:numId w:val="32"/>
        </w:numPr>
        <w:rPr>
          <w:rFonts w:ascii="MS PGothic" w:cs="MS PGothic" w:eastAsia="MS PGothic" w:hAnsi="MS PGothic"/>
          <w:sz w:val="16"/>
          <w:szCs w:val="16"/>
          <w:color w:val="2A5597"/>
        </w:rPr>
      </w:pPr>
      <w:r>
        <w:rPr>
          <w:rFonts w:ascii="Arial" w:cs="Arial" w:eastAsia="Arial" w:hAnsi="Arial"/>
          <w:sz w:val="16"/>
          <w:szCs w:val="16"/>
          <w:color w:val="auto"/>
        </w:rPr>
        <w:t>Review and approve, or recommend to the Board for approval, any employment agreement with the CEO or any other senior executive</w:t>
      </w:r>
    </w:p>
    <w:p>
      <w:pPr>
        <w:spacing w:after="0" w:line="1" w:lineRule="exact"/>
        <w:rPr>
          <w:rFonts w:ascii="MS PGothic" w:cs="MS PGothic" w:eastAsia="MS PGothic" w:hAnsi="MS PGothic"/>
          <w:sz w:val="16"/>
          <w:szCs w:val="16"/>
          <w:color w:val="2A5597"/>
        </w:rPr>
      </w:pPr>
    </w:p>
    <w:p>
      <w:pPr>
        <w:jc w:val="both"/>
        <w:ind w:left="260" w:hanging="251"/>
        <w:spacing w:after="0" w:line="250" w:lineRule="auto"/>
        <w:tabs>
          <w:tab w:leader="none" w:pos="261" w:val="left"/>
        </w:tabs>
        <w:numPr>
          <w:ilvl w:val="0"/>
          <w:numId w:val="32"/>
        </w:numPr>
        <w:rPr>
          <w:rFonts w:ascii="MS PGothic" w:cs="MS PGothic" w:eastAsia="MS PGothic" w:hAnsi="MS PGothic"/>
          <w:sz w:val="16"/>
          <w:szCs w:val="16"/>
          <w:color w:val="2A5597"/>
        </w:rPr>
      </w:pPr>
      <w:r>
        <w:rPr>
          <w:rFonts w:ascii="Arial" w:cs="Arial" w:eastAsia="Arial" w:hAnsi="Arial"/>
          <w:sz w:val="16"/>
          <w:szCs w:val="16"/>
          <w:color w:val="auto"/>
        </w:rPr>
        <w:t>Retain or terminate any compensation consultants or other advisors, or obtain the advice of such persons in accordance with applicable securities laws and Nasdaq rules, to assist in the discharge of its duties; and approve the fees paid to such consultants or advisors</w:t>
      </w:r>
    </w:p>
    <w:p>
      <w:pPr>
        <w:ind w:left="260" w:hanging="251"/>
        <w:spacing w:after="0" w:line="252" w:lineRule="auto"/>
        <w:tabs>
          <w:tab w:leader="none" w:pos="261" w:val="left"/>
        </w:tabs>
        <w:numPr>
          <w:ilvl w:val="0"/>
          <w:numId w:val="32"/>
        </w:numPr>
        <w:rPr>
          <w:rFonts w:ascii="MS PGothic" w:cs="MS PGothic" w:eastAsia="MS PGothic" w:hAnsi="MS PGothic"/>
          <w:sz w:val="16"/>
          <w:szCs w:val="16"/>
          <w:color w:val="2A5597"/>
        </w:rPr>
      </w:pPr>
      <w:r>
        <w:rPr>
          <w:rFonts w:ascii="Arial" w:cs="Arial" w:eastAsia="Arial" w:hAnsi="Arial"/>
          <w:sz w:val="16"/>
          <w:szCs w:val="16"/>
          <w:color w:val="auto"/>
        </w:rPr>
        <w:t>Consider and discuss with management whether compensation arrangements for Company employees incentivize unnecessary or excessive risk-taking</w:t>
      </w:r>
    </w:p>
    <w:p>
      <w:pPr>
        <w:spacing w:after="0" w:line="1" w:lineRule="exact"/>
        <w:rPr>
          <w:rFonts w:ascii="MS PGothic" w:cs="MS PGothic" w:eastAsia="MS PGothic" w:hAnsi="MS PGothic"/>
          <w:sz w:val="16"/>
          <w:szCs w:val="16"/>
          <w:color w:val="2A5597"/>
        </w:rPr>
      </w:pPr>
    </w:p>
    <w:p>
      <w:pPr>
        <w:ind w:left="260" w:hanging="251"/>
        <w:spacing w:after="0" w:line="276" w:lineRule="auto"/>
        <w:tabs>
          <w:tab w:leader="none" w:pos="261" w:val="left"/>
        </w:tabs>
        <w:numPr>
          <w:ilvl w:val="0"/>
          <w:numId w:val="32"/>
        </w:numPr>
        <w:rPr>
          <w:rFonts w:ascii="MS PGothic" w:cs="MS PGothic" w:eastAsia="MS PGothic" w:hAnsi="MS PGothic"/>
          <w:sz w:val="16"/>
          <w:szCs w:val="16"/>
          <w:color w:val="2A5597"/>
        </w:rPr>
      </w:pPr>
      <w:r>
        <w:rPr>
          <w:rFonts w:ascii="Arial" w:cs="Arial" w:eastAsia="Arial" w:hAnsi="Arial"/>
          <w:sz w:val="16"/>
          <w:szCs w:val="16"/>
          <w:color w:val="auto"/>
        </w:rPr>
        <w:t>Develop policies and procedures for (i) succession planning for senior executives aside from the CEO; and (ii) the development of certain senior executives identified as potential CEO succession candidates</w:t>
      </w:r>
    </w:p>
    <w:p>
      <w:pPr>
        <w:spacing w:after="0" w:line="114"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F75E14"/>
        </w:rPr>
        <w:t>onsemi 2022 Proxy Statement</w:t>
        <w:tab/>
        <w:t>17</w:t>
      </w:r>
    </w:p>
    <w:p>
      <w:pPr>
        <w:sectPr>
          <w:pgSz w:w="11900" w:h="16838" w:orient="portrait"/>
          <w:cols w:equalWidth="0" w:num="2">
            <w:col w:w="2060" w:space="720"/>
            <w:col w:w="8300"/>
          </w:cols>
          <w:pgMar w:left="320" w:top="454" w:right="499" w:bottom="1440" w:gutter="0" w:footer="0" w:header="0"/>
          <w:type w:val="continuous"/>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2" w:lineRule="exact"/>
        <w:rPr>
          <w:sz w:val="20"/>
          <w:szCs w:val="20"/>
          <w:color w:val="auto"/>
        </w:rPr>
      </w:pPr>
    </w:p>
    <w:p>
      <w:pPr>
        <w:ind w:left="160"/>
        <w:spacing w:after="0"/>
        <w:rPr>
          <w:sz w:val="20"/>
          <w:szCs w:val="20"/>
          <w:color w:val="auto"/>
        </w:rPr>
      </w:pPr>
      <w:r>
        <w:rPr>
          <w:rFonts w:ascii="Arial" w:cs="Arial" w:eastAsia="Arial" w:hAnsi="Arial"/>
          <w:sz w:val="18"/>
          <w:szCs w:val="18"/>
          <w:color w:val="F75E14"/>
        </w:rPr>
        <w:t>The Board of Directors and Corporate Governance</w:t>
      </w:r>
    </w:p>
    <w:p>
      <w:pPr>
        <w:spacing w:after="0" w:line="141" w:lineRule="exact"/>
        <w:rPr>
          <w:sz w:val="20"/>
          <w:szCs w:val="20"/>
          <w:color w:val="auto"/>
        </w:rPr>
      </w:pPr>
    </w:p>
    <w:p>
      <w:pPr>
        <w:jc w:val="both"/>
        <w:ind w:left="160"/>
        <w:spacing w:after="0" w:line="265" w:lineRule="auto"/>
        <w:rPr>
          <w:sz w:val="20"/>
          <w:szCs w:val="20"/>
          <w:color w:val="auto"/>
        </w:rPr>
      </w:pPr>
      <w:r>
        <w:rPr>
          <w:rFonts w:ascii="Arial" w:cs="Arial" w:eastAsia="Arial" w:hAnsi="Arial"/>
          <w:sz w:val="18"/>
          <w:szCs w:val="18"/>
          <w:color w:val="auto"/>
        </w:rPr>
        <w:t>Pursuant to its charter, the HCC Committee also prepares a report required by SEC rules for inclusion in our proxy statement. This report is included in this proxy statement immediately following the CD&amp;A.</w:t>
      </w:r>
    </w:p>
    <w:p>
      <w:pPr>
        <w:spacing w:after="0" w:line="158" w:lineRule="exact"/>
        <w:rPr>
          <w:sz w:val="20"/>
          <w:szCs w:val="20"/>
          <w:color w:val="auto"/>
        </w:rPr>
      </w:pPr>
    </w:p>
    <w:p>
      <w:pPr>
        <w:jc w:val="both"/>
        <w:ind w:left="160"/>
        <w:spacing w:after="0" w:line="243" w:lineRule="auto"/>
        <w:rPr>
          <w:sz w:val="20"/>
          <w:szCs w:val="20"/>
          <w:color w:val="auto"/>
        </w:rPr>
      </w:pPr>
      <w:r>
        <w:rPr>
          <w:rFonts w:ascii="Arial" w:cs="Arial" w:eastAsia="Arial" w:hAnsi="Arial"/>
          <w:sz w:val="18"/>
          <w:szCs w:val="18"/>
          <w:color w:val="auto"/>
        </w:rPr>
        <w:t>During 2021, the Board, in conjunction with the members of the HCC Committee, expanded the formal oversight in managing the Company’s approach to human capital management, recognizing the vital role that the Company’s workforce plays in generating its financial and operational success. In turn, the former “Compensation Committee” was expressly tasked with oversight of the Company’s policies and strategies with respect to human capital and was renamed as the “Human Capital and Compensation Committee.”</w:t>
      </w:r>
    </w:p>
    <w:p>
      <w:pPr>
        <w:spacing w:after="0" w:line="178" w:lineRule="exact"/>
        <w:rPr>
          <w:sz w:val="20"/>
          <w:szCs w:val="20"/>
          <w:color w:val="auto"/>
        </w:rPr>
      </w:pPr>
    </w:p>
    <w:p>
      <w:pPr>
        <w:jc w:val="both"/>
        <w:ind w:left="160"/>
        <w:spacing w:after="0" w:line="265" w:lineRule="auto"/>
        <w:rPr>
          <w:sz w:val="20"/>
          <w:szCs w:val="20"/>
          <w:color w:val="auto"/>
        </w:rPr>
      </w:pPr>
      <w:r>
        <w:rPr>
          <w:rFonts w:ascii="Arial" w:cs="Arial" w:eastAsia="Arial" w:hAnsi="Arial"/>
          <w:sz w:val="18"/>
          <w:szCs w:val="18"/>
          <w:color w:val="auto"/>
        </w:rPr>
        <w:t>The Board has determined that each member of the HCC Committee during 2021 and each current member of the HCC Committee is independent within the meaning of applicable SEC rules and Nasdaq listing standards.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129540</wp:posOffset>
            </wp:positionV>
            <wp:extent cx="6938010" cy="762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938010" cy="76200"/>
                    </a:xfrm>
                    <a:prstGeom prst="rect">
                      <a:avLst/>
                    </a:prstGeom>
                    <a:noFill/>
                  </pic:spPr>
                </pic:pic>
              </a:graphicData>
            </a:graphic>
          </wp:anchor>
        </w:drawing>
      </w:r>
    </w:p>
    <w:p>
      <w:pPr>
        <w:sectPr>
          <w:pgSz w:w="11900" w:h="16838" w:orient="portrait"/>
          <w:cols w:equalWidth="0" w:num="1">
            <w:col w:w="11080"/>
          </w:cols>
          <w:pgMar w:left="320" w:top="454" w:right="499" w:bottom="1440" w:gutter="0" w:footer="0" w:header="0"/>
        </w:sectPr>
      </w:pPr>
    </w:p>
    <w:p>
      <w:pPr>
        <w:spacing w:after="0" w:line="399" w:lineRule="exact"/>
        <w:rPr>
          <w:sz w:val="20"/>
          <w:szCs w:val="20"/>
          <w:color w:val="auto"/>
        </w:rPr>
      </w:pPr>
    </w:p>
    <w:p>
      <w:pPr>
        <w:ind w:left="160"/>
        <w:spacing w:after="0"/>
        <w:rPr>
          <w:sz w:val="20"/>
          <w:szCs w:val="20"/>
          <w:color w:val="auto"/>
        </w:rPr>
      </w:pPr>
      <w:r>
        <w:rPr>
          <w:rFonts w:ascii="Arial" w:cs="Arial" w:eastAsia="Arial" w:hAnsi="Arial"/>
          <w:sz w:val="17"/>
          <w:szCs w:val="17"/>
          <w:b w:val="1"/>
          <w:bCs w:val="1"/>
          <w:color w:val="2B4772"/>
        </w:rPr>
        <w:t>EXECUTIVE COMMITTEE</w:t>
      </w:r>
    </w:p>
    <w:p>
      <w:pPr>
        <w:spacing w:after="0" w:line="197" w:lineRule="exact"/>
        <w:rPr>
          <w:sz w:val="20"/>
          <w:szCs w:val="20"/>
          <w:color w:val="auto"/>
        </w:rPr>
      </w:pPr>
    </w:p>
    <w:p>
      <w:pPr>
        <w:ind w:left="320"/>
        <w:spacing w:after="0"/>
        <w:rPr>
          <w:sz w:val="20"/>
          <w:szCs w:val="20"/>
          <w:color w:val="auto"/>
        </w:rPr>
      </w:pPr>
      <w:r>
        <w:rPr>
          <w:rFonts w:ascii="Arial" w:cs="Arial" w:eastAsia="Arial" w:hAnsi="Arial"/>
          <w:sz w:val="16"/>
          <w:szCs w:val="16"/>
          <w:color w:val="auto"/>
        </w:rPr>
        <w:t xml:space="preserve">1 meeting </w:t>
      </w:r>
      <w:r>
        <w:rPr>
          <w:rFonts w:ascii="Arial" w:cs="Arial" w:eastAsia="Arial" w:hAnsi="Arial"/>
          <w:sz w:val="16"/>
          <w:szCs w:val="16"/>
          <w:b w:val="1"/>
          <w:bCs w:val="1"/>
          <w:color w:val="2B4772"/>
        </w:rPr>
        <w:t>in 2021</w:t>
      </w:r>
    </w:p>
    <w:p>
      <w:pPr>
        <w:spacing w:after="0" w:line="124" w:lineRule="exact"/>
        <w:rPr>
          <w:sz w:val="20"/>
          <w:szCs w:val="20"/>
          <w:color w:val="auto"/>
        </w:rPr>
      </w:pPr>
    </w:p>
    <w:p>
      <w:pPr>
        <w:ind w:left="320"/>
        <w:spacing w:after="0"/>
        <w:rPr>
          <w:sz w:val="20"/>
          <w:szCs w:val="20"/>
          <w:color w:val="auto"/>
        </w:rPr>
      </w:pPr>
      <w:r>
        <w:rPr>
          <w:rFonts w:ascii="Arial" w:cs="Arial" w:eastAsia="Arial" w:hAnsi="Arial"/>
          <w:sz w:val="16"/>
          <w:szCs w:val="16"/>
          <w:b w:val="1"/>
          <w:bCs w:val="1"/>
          <w:color w:val="2B4772"/>
        </w:rPr>
        <w:t>Members:</w:t>
      </w:r>
    </w:p>
    <w:p>
      <w:pPr>
        <w:spacing w:after="0" w:line="19" w:lineRule="exact"/>
        <w:rPr>
          <w:sz w:val="20"/>
          <w:szCs w:val="20"/>
          <w:color w:val="auto"/>
        </w:rPr>
      </w:pPr>
    </w:p>
    <w:p>
      <w:pPr>
        <w:ind w:left="320" w:right="480"/>
        <w:spacing w:after="0" w:line="271" w:lineRule="auto"/>
        <w:rPr>
          <w:sz w:val="20"/>
          <w:szCs w:val="20"/>
          <w:color w:val="auto"/>
        </w:rPr>
      </w:pPr>
      <w:r>
        <w:rPr>
          <w:rFonts w:ascii="Arial" w:cs="Arial" w:eastAsia="Arial" w:hAnsi="Arial"/>
          <w:sz w:val="15"/>
          <w:szCs w:val="15"/>
          <w:color w:val="auto"/>
        </w:rPr>
        <w:t>Alan Campbell, Chair Hassane El-Khoury Paul A. Mascarenas Gregory L. Waters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b w:val="1"/>
          <w:bCs w:val="1"/>
          <w:color w:val="2B4772"/>
        </w:rPr>
        <w:t>Primary Responsibility</w:t>
      </w:r>
    </w:p>
    <w:p>
      <w:pPr>
        <w:spacing w:after="0" w:line="16" w:lineRule="exact"/>
        <w:rPr>
          <w:sz w:val="20"/>
          <w:szCs w:val="20"/>
          <w:color w:val="auto"/>
        </w:rPr>
      </w:pPr>
    </w:p>
    <w:p>
      <w:pPr>
        <w:jc w:val="both"/>
        <w:ind w:left="260" w:hanging="251"/>
        <w:spacing w:after="0" w:line="251" w:lineRule="auto"/>
        <w:tabs>
          <w:tab w:leader="none" w:pos="261" w:val="left"/>
        </w:tabs>
        <w:numPr>
          <w:ilvl w:val="0"/>
          <w:numId w:val="33"/>
        </w:numPr>
        <w:rPr>
          <w:rFonts w:ascii="MS PGothic" w:cs="MS PGothic" w:eastAsia="MS PGothic" w:hAnsi="MS PGothic"/>
          <w:sz w:val="16"/>
          <w:szCs w:val="16"/>
          <w:color w:val="2A5597"/>
        </w:rPr>
      </w:pPr>
      <w:r>
        <w:rPr>
          <w:rFonts w:ascii="Arial" w:cs="Arial" w:eastAsia="Arial" w:hAnsi="Arial"/>
          <w:sz w:val="16"/>
          <w:szCs w:val="16"/>
          <w:color w:val="auto"/>
        </w:rPr>
        <w:t>Exercise between meetings of the Board all the delegable powers and authority of the Board regarding the management of the business and affairs of the Company (subject to legal limitations), excluding the following matters:</w:t>
      </w:r>
    </w:p>
    <w:p>
      <w:pPr>
        <w:spacing w:after="0" w:line="1" w:lineRule="exact"/>
        <w:rPr>
          <w:rFonts w:ascii="MS PGothic" w:cs="MS PGothic" w:eastAsia="MS PGothic" w:hAnsi="MS PGothic"/>
          <w:sz w:val="16"/>
          <w:szCs w:val="16"/>
          <w:color w:val="2A5597"/>
        </w:rPr>
      </w:pPr>
    </w:p>
    <w:p>
      <w:pPr>
        <w:ind w:left="500" w:hanging="243"/>
        <w:spacing w:after="0"/>
        <w:tabs>
          <w:tab w:leader="none" w:pos="500" w:val="left"/>
        </w:tabs>
        <w:numPr>
          <w:ilvl w:val="1"/>
          <w:numId w:val="33"/>
        </w:numPr>
        <w:rPr>
          <w:rFonts w:ascii="MS PGothic" w:cs="MS PGothic" w:eastAsia="MS PGothic" w:hAnsi="MS PGothic"/>
          <w:sz w:val="16"/>
          <w:szCs w:val="16"/>
          <w:color w:val="2A5597"/>
        </w:rPr>
      </w:pPr>
      <w:r>
        <w:rPr>
          <w:rFonts w:ascii="Arial" w:cs="Arial" w:eastAsia="Arial" w:hAnsi="Arial"/>
          <w:sz w:val="16"/>
          <w:szCs w:val="16"/>
          <w:color w:val="auto"/>
        </w:rPr>
        <w:t>Any matters expressly delegated to other committees</w:t>
      </w:r>
    </w:p>
    <w:p>
      <w:pPr>
        <w:spacing w:after="0" w:line="16" w:lineRule="exact"/>
        <w:rPr>
          <w:rFonts w:ascii="MS PGothic" w:cs="MS PGothic" w:eastAsia="MS PGothic" w:hAnsi="MS PGothic"/>
          <w:sz w:val="16"/>
          <w:szCs w:val="16"/>
          <w:color w:val="2A5597"/>
        </w:rPr>
      </w:pPr>
    </w:p>
    <w:p>
      <w:pPr>
        <w:ind w:left="500" w:hanging="243"/>
        <w:spacing w:after="0"/>
        <w:tabs>
          <w:tab w:leader="none" w:pos="500" w:val="left"/>
        </w:tabs>
        <w:numPr>
          <w:ilvl w:val="1"/>
          <w:numId w:val="33"/>
        </w:numPr>
        <w:rPr>
          <w:rFonts w:ascii="MS PGothic" w:cs="MS PGothic" w:eastAsia="MS PGothic" w:hAnsi="MS PGothic"/>
          <w:sz w:val="16"/>
          <w:szCs w:val="16"/>
          <w:color w:val="2A5597"/>
        </w:rPr>
      </w:pPr>
      <w:r>
        <w:rPr>
          <w:rFonts w:ascii="Arial" w:cs="Arial" w:eastAsia="Arial" w:hAnsi="Arial"/>
          <w:sz w:val="16"/>
          <w:szCs w:val="16"/>
          <w:color w:val="auto"/>
        </w:rPr>
        <w:t>Making any changes to the Company’s Certificate of Incorporation or Bylaws</w:t>
      </w:r>
    </w:p>
    <w:p>
      <w:pPr>
        <w:spacing w:after="0" w:line="16" w:lineRule="exact"/>
        <w:rPr>
          <w:rFonts w:ascii="MS PGothic" w:cs="MS PGothic" w:eastAsia="MS PGothic" w:hAnsi="MS PGothic"/>
          <w:sz w:val="16"/>
          <w:szCs w:val="16"/>
          <w:color w:val="2A5597"/>
        </w:rPr>
      </w:pPr>
    </w:p>
    <w:p>
      <w:pPr>
        <w:ind w:left="500" w:hanging="243"/>
        <w:spacing w:after="0"/>
        <w:tabs>
          <w:tab w:leader="none" w:pos="500" w:val="left"/>
        </w:tabs>
        <w:numPr>
          <w:ilvl w:val="1"/>
          <w:numId w:val="33"/>
        </w:numPr>
        <w:rPr>
          <w:rFonts w:ascii="MS PGothic" w:cs="MS PGothic" w:eastAsia="MS PGothic" w:hAnsi="MS PGothic"/>
          <w:sz w:val="16"/>
          <w:szCs w:val="16"/>
          <w:color w:val="2A5597"/>
        </w:rPr>
      </w:pPr>
      <w:r>
        <w:rPr>
          <w:rFonts w:ascii="Arial" w:cs="Arial" w:eastAsia="Arial" w:hAnsi="Arial"/>
          <w:sz w:val="16"/>
          <w:szCs w:val="16"/>
          <w:color w:val="auto"/>
        </w:rPr>
        <w:t>Approving the merger, consolidation, or dissolution of the Company or the sale of substantially all of its assets</w:t>
      </w:r>
    </w:p>
    <w:p>
      <w:pPr>
        <w:spacing w:after="0" w:line="16" w:lineRule="exact"/>
        <w:rPr>
          <w:rFonts w:ascii="MS PGothic" w:cs="MS PGothic" w:eastAsia="MS PGothic" w:hAnsi="MS PGothic"/>
          <w:sz w:val="16"/>
          <w:szCs w:val="16"/>
          <w:color w:val="2A5597"/>
        </w:rPr>
      </w:pPr>
    </w:p>
    <w:p>
      <w:pPr>
        <w:ind w:left="500" w:hanging="243"/>
        <w:spacing w:after="0"/>
        <w:tabs>
          <w:tab w:leader="none" w:pos="500" w:val="left"/>
        </w:tabs>
        <w:numPr>
          <w:ilvl w:val="1"/>
          <w:numId w:val="33"/>
        </w:numPr>
        <w:rPr>
          <w:rFonts w:ascii="MS PGothic" w:cs="MS PGothic" w:eastAsia="MS PGothic" w:hAnsi="MS PGothic"/>
          <w:sz w:val="16"/>
          <w:szCs w:val="16"/>
          <w:color w:val="2A5597"/>
        </w:rPr>
      </w:pPr>
      <w:r>
        <w:rPr>
          <w:rFonts w:ascii="Arial" w:cs="Arial" w:eastAsia="Arial" w:hAnsi="Arial"/>
          <w:sz w:val="16"/>
          <w:szCs w:val="16"/>
          <w:color w:val="auto"/>
        </w:rPr>
        <w:t>Causing the Company to declare any dividends</w:t>
      </w:r>
    </w:p>
    <w:p>
      <w:pPr>
        <w:spacing w:after="0" w:line="16" w:lineRule="exact"/>
        <w:rPr>
          <w:rFonts w:ascii="MS PGothic" w:cs="MS PGothic" w:eastAsia="MS PGothic" w:hAnsi="MS PGothic"/>
          <w:sz w:val="16"/>
          <w:szCs w:val="16"/>
          <w:color w:val="2A5597"/>
        </w:rPr>
      </w:pPr>
    </w:p>
    <w:p>
      <w:pPr>
        <w:ind w:left="500" w:hanging="243"/>
        <w:spacing w:after="0" w:line="252" w:lineRule="auto"/>
        <w:tabs>
          <w:tab w:leader="none" w:pos="492" w:val="left"/>
        </w:tabs>
        <w:numPr>
          <w:ilvl w:val="1"/>
          <w:numId w:val="33"/>
        </w:numPr>
        <w:rPr>
          <w:rFonts w:ascii="MS PGothic" w:cs="MS PGothic" w:eastAsia="MS PGothic" w:hAnsi="MS PGothic"/>
          <w:sz w:val="16"/>
          <w:szCs w:val="16"/>
          <w:color w:val="2A5597"/>
        </w:rPr>
      </w:pPr>
      <w:r>
        <w:rPr>
          <w:rFonts w:ascii="Arial" w:cs="Arial" w:eastAsia="Arial" w:hAnsi="Arial"/>
          <w:sz w:val="16"/>
          <w:szCs w:val="16"/>
          <w:color w:val="auto"/>
        </w:rPr>
        <w:t>Amending or repealing any resolution of the Board which, by its express terms, is not so amendable or repealable</w:t>
      </w:r>
    </w:p>
    <w:p>
      <w:pPr>
        <w:spacing w:after="0" w:line="1" w:lineRule="exact"/>
        <w:rPr>
          <w:rFonts w:ascii="MS PGothic" w:cs="MS PGothic" w:eastAsia="MS PGothic" w:hAnsi="MS PGothic"/>
          <w:sz w:val="16"/>
          <w:szCs w:val="16"/>
          <w:color w:val="2A5597"/>
        </w:rPr>
      </w:pPr>
    </w:p>
    <w:p>
      <w:pPr>
        <w:jc w:val="both"/>
        <w:ind w:left="500" w:hanging="243"/>
        <w:spacing w:after="0" w:line="250" w:lineRule="auto"/>
        <w:tabs>
          <w:tab w:leader="none" w:pos="492" w:val="left"/>
        </w:tabs>
        <w:numPr>
          <w:ilvl w:val="1"/>
          <w:numId w:val="33"/>
        </w:numPr>
        <w:rPr>
          <w:rFonts w:ascii="MS PGothic" w:cs="MS PGothic" w:eastAsia="MS PGothic" w:hAnsi="MS PGothic"/>
          <w:sz w:val="16"/>
          <w:szCs w:val="16"/>
          <w:color w:val="2A5597"/>
        </w:rPr>
      </w:pPr>
      <w:r>
        <w:rPr>
          <w:rFonts w:ascii="Arial" w:cs="Arial" w:eastAsia="Arial" w:hAnsi="Arial"/>
          <w:sz w:val="16"/>
          <w:szCs w:val="16"/>
          <w:color w:val="auto"/>
        </w:rPr>
        <w:t>Appointing other committees of the Board or the members of such committees or amending or revising their duties and responsibilities or their charters (the Executive Committee may, however, appoint and delegate to subcommittees as permitted under applicable law)</w:t>
      </w:r>
    </w:p>
    <w:p>
      <w:pPr>
        <w:ind w:left="500" w:hanging="243"/>
        <w:spacing w:after="0"/>
        <w:tabs>
          <w:tab w:leader="none" w:pos="500" w:val="left"/>
        </w:tabs>
        <w:numPr>
          <w:ilvl w:val="1"/>
          <w:numId w:val="33"/>
        </w:numPr>
        <w:rPr>
          <w:rFonts w:ascii="MS PGothic" w:cs="MS PGothic" w:eastAsia="MS PGothic" w:hAnsi="MS PGothic"/>
          <w:sz w:val="16"/>
          <w:szCs w:val="16"/>
          <w:color w:val="2A5597"/>
        </w:rPr>
      </w:pPr>
      <w:r>
        <w:rPr>
          <w:rFonts w:ascii="Arial" w:cs="Arial" w:eastAsia="Arial" w:hAnsi="Arial"/>
          <w:sz w:val="16"/>
          <w:szCs w:val="16"/>
          <w:color w:val="auto"/>
        </w:rPr>
        <w:t>Appointing or removing the Chair of the Board, the President or the CEO</w:t>
      </w:r>
    </w:p>
    <w:p>
      <w:pPr>
        <w:spacing w:after="0" w:line="16" w:lineRule="exact"/>
        <w:rPr>
          <w:rFonts w:ascii="MS PGothic" w:cs="MS PGothic" w:eastAsia="MS PGothic" w:hAnsi="MS PGothic"/>
          <w:sz w:val="16"/>
          <w:szCs w:val="16"/>
          <w:color w:val="2A5597"/>
        </w:rPr>
      </w:pPr>
    </w:p>
    <w:p>
      <w:pPr>
        <w:jc w:val="both"/>
        <w:ind w:left="500" w:hanging="243"/>
        <w:spacing w:after="0" w:line="254" w:lineRule="auto"/>
        <w:tabs>
          <w:tab w:leader="none" w:pos="492" w:val="left"/>
        </w:tabs>
        <w:numPr>
          <w:ilvl w:val="1"/>
          <w:numId w:val="33"/>
        </w:numPr>
        <w:rPr>
          <w:rFonts w:ascii="MS PGothic" w:cs="MS PGothic" w:eastAsia="MS PGothic" w:hAnsi="MS PGothic"/>
          <w:sz w:val="16"/>
          <w:szCs w:val="16"/>
          <w:color w:val="2A5597"/>
        </w:rPr>
      </w:pPr>
      <w:r>
        <w:rPr>
          <w:rFonts w:ascii="Arial" w:cs="Arial" w:eastAsia="Arial" w:hAnsi="Arial"/>
          <w:sz w:val="16"/>
          <w:szCs w:val="16"/>
          <w:color w:val="auto"/>
        </w:rPr>
        <w:t>Authorizing (i) any single purchase or related series of transactions relating to an acquisition, (ii) any single sale or related series of transactions relating to a disposition, or (iii) any investment transactions or other strategic Company actions, in which the consideration expended or received by the Company exceeds $100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-1658620</wp:posOffset>
            </wp:positionH>
            <wp:positionV relativeFrom="paragraph">
              <wp:posOffset>64770</wp:posOffset>
            </wp:positionV>
            <wp:extent cx="6938010" cy="762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938010" cy="7620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300" w:space="480"/>
            <w:col w:w="8300"/>
          </w:cols>
          <w:pgMar w:left="320" w:top="454" w:right="499" w:bottom="1440" w:gutter="0" w:footer="0" w:header="0"/>
          <w:type w:val="continuous"/>
        </w:sectPr>
      </w:pPr>
    </w:p>
    <w:p>
      <w:pPr>
        <w:spacing w:after="0" w:line="21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Other Committees</w:t>
      </w:r>
    </w:p>
    <w:p>
      <w:pPr>
        <w:spacing w:after="0" w:line="208" w:lineRule="exact"/>
        <w:rPr>
          <w:sz w:val="20"/>
          <w:szCs w:val="20"/>
          <w:color w:val="auto"/>
        </w:rPr>
      </w:pPr>
    </w:p>
    <w:p>
      <w:pPr>
        <w:jc w:val="both"/>
        <w:ind w:left="160"/>
        <w:spacing w:after="0" w:line="265" w:lineRule="auto"/>
        <w:rPr>
          <w:sz w:val="20"/>
          <w:szCs w:val="20"/>
          <w:color w:val="auto"/>
        </w:rPr>
      </w:pPr>
      <w:r>
        <w:rPr>
          <w:rFonts w:ascii="Arial" w:cs="Arial" w:eastAsia="Arial" w:hAnsi="Arial"/>
          <w:sz w:val="18"/>
          <w:szCs w:val="18"/>
          <w:color w:val="auto"/>
        </w:rPr>
        <w:t>The Board, from time to time, has deemed it desirable and in the best interest of the Company to form and/or dissolve various special committees and other independent committees.</w:t>
      </w:r>
    </w:p>
    <w:p>
      <w:pPr>
        <w:spacing w:after="0" w:line="158" w:lineRule="exact"/>
        <w:rPr>
          <w:sz w:val="20"/>
          <w:szCs w:val="20"/>
          <w:color w:val="auto"/>
        </w:rPr>
      </w:pPr>
    </w:p>
    <w:p>
      <w:pPr>
        <w:jc w:val="both"/>
        <w:ind w:left="160"/>
        <w:spacing w:after="0" w:line="258" w:lineRule="auto"/>
        <w:rPr>
          <w:sz w:val="20"/>
          <w:szCs w:val="20"/>
          <w:color w:val="auto"/>
        </w:rPr>
      </w:pPr>
      <w:r>
        <w:rPr>
          <w:rFonts w:ascii="Arial" w:cs="Arial" w:eastAsia="Arial" w:hAnsi="Arial"/>
          <w:sz w:val="17"/>
          <w:szCs w:val="17"/>
          <w:color w:val="auto"/>
        </w:rPr>
        <w:t>The Science and Technology Committee had been responsible for advising the Board as to the scope, health, direction, quality, investment levels and execution of the Company’s technology and innovation strategies. The Science and Technology Committee, which included Ms. Yan and Messrs. Abe, Deitrich, Delfassy and Waters as members, did not meet in 2021. In August 2021, the Board, in consultation with the GS Committee, determined that there was overlap in the roles served by certain of the committees of the Board and, accordingly, dissolved the Science and Technology Committee as part of an effort to streamline the Company’s governance processes.</w:t>
      </w:r>
    </w:p>
    <w:p>
      <w:pPr>
        <w:spacing w:after="0" w:line="109" w:lineRule="exact"/>
        <w:rPr>
          <w:sz w:val="20"/>
          <w:szCs w:val="20"/>
          <w:color w:val="auto"/>
        </w:rPr>
      </w:pPr>
    </w:p>
    <w:p>
      <w:pPr>
        <w:ind w:left="160"/>
        <w:spacing w:after="0"/>
        <w:tabs>
          <w:tab w:leader="none" w:pos="500" w:val="left"/>
        </w:tabs>
        <w:rPr>
          <w:sz w:val="20"/>
          <w:szCs w:val="20"/>
          <w:color w:val="auto"/>
        </w:rPr>
      </w:pPr>
      <w:r>
        <w:rPr>
          <w:rFonts w:ascii="Arial" w:cs="Arial" w:eastAsia="Arial" w:hAnsi="Arial"/>
          <w:sz w:val="14"/>
          <w:szCs w:val="14"/>
          <w:color w:val="F75E14"/>
        </w:rPr>
        <w:t>18</w:t>
        <w:tab/>
        <w:t>onsemi 2022 Proxy Statement</w:t>
      </w:r>
    </w:p>
    <w:p>
      <w:pPr>
        <w:sectPr>
          <w:pgSz w:w="11900" w:h="16838" w:orient="portrait"/>
          <w:cols w:equalWidth="0" w:num="1">
            <w:col w:w="11080"/>
          </w:cols>
          <w:pgMar w:left="320" w:top="454" w:right="499" w:bottom="1440" w:gutter="0" w:footer="0" w:header="0"/>
          <w:type w:val="continuous"/>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2" w:lineRule="exact"/>
        <w:rPr>
          <w:sz w:val="20"/>
          <w:szCs w:val="20"/>
          <w:color w:val="auto"/>
        </w:rPr>
      </w:pPr>
    </w:p>
    <w:p>
      <w:pPr>
        <w:ind w:left="7080"/>
        <w:spacing w:after="0"/>
        <w:rPr>
          <w:sz w:val="20"/>
          <w:szCs w:val="20"/>
          <w:color w:val="auto"/>
        </w:rPr>
      </w:pPr>
      <w:r>
        <w:rPr>
          <w:rFonts w:ascii="Arial" w:cs="Arial" w:eastAsia="Arial" w:hAnsi="Arial"/>
          <w:sz w:val="17"/>
          <w:szCs w:val="17"/>
          <w:color w:val="F75E14"/>
        </w:rPr>
        <w:t>The Board of Directors and Corporate Governance</w:t>
      </w:r>
    </w:p>
    <w:p>
      <w:pPr>
        <w:spacing w:after="0" w:line="152"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Annual Board and Committee Self-Evaluations</w:t>
      </w:r>
    </w:p>
    <w:p>
      <w:pPr>
        <w:spacing w:after="0" w:line="208" w:lineRule="exact"/>
        <w:rPr>
          <w:sz w:val="20"/>
          <w:szCs w:val="20"/>
          <w:color w:val="auto"/>
        </w:rPr>
      </w:pPr>
    </w:p>
    <w:p>
      <w:pPr>
        <w:jc w:val="both"/>
        <w:ind w:left="160"/>
        <w:spacing w:after="0" w:line="243" w:lineRule="auto"/>
        <w:rPr>
          <w:sz w:val="20"/>
          <w:szCs w:val="20"/>
          <w:color w:val="auto"/>
        </w:rPr>
      </w:pPr>
      <w:r>
        <w:rPr>
          <w:rFonts w:ascii="Arial" w:cs="Arial" w:eastAsia="Arial" w:hAnsi="Arial"/>
          <w:sz w:val="18"/>
          <w:szCs w:val="18"/>
          <w:color w:val="auto"/>
        </w:rPr>
        <w:t>The Board believes that having good governance principles and practices improves the effectiveness of the Board and correlates to the creation of stockholder value. To measure its own operation against such principles and practices and to identify and act on areas for improvement, each of the Board and its committees performs an annual self-evaluation. The GS Committee is charged with overseeing the self-evaluations, and in 2021, the GS Committee used the following process to conduct the Board’s self-evaluation: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760095</wp:posOffset>
            </wp:positionH>
            <wp:positionV relativeFrom="paragraph">
              <wp:posOffset>218440</wp:posOffset>
            </wp:positionV>
            <wp:extent cx="5630545" cy="114617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630545" cy="1146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In the Board self-evaluation process, topics and questions for 2021 were grouped into seven categories:</w:t>
      </w:r>
    </w:p>
    <w:tbl>
      <w:tblPr>
        <w:tblLayout w:type="fixed"/>
        <w:tblInd w:w="640" w:type="dxa"/>
        <w:tblCellMar>
          <w:top w:w="0" w:type="dxa"/>
          <w:left w:w="0" w:type="dxa"/>
          <w:bottom w:w="0" w:type="dxa"/>
          <w:right w:w="0" w:type="dxa"/>
        </w:tblCellMar>
      </w:tblPr>
      <w:tr>
        <w:trPr>
          <w:trHeight w:val="194"/>
        </w:trPr>
        <w:tc>
          <w:tcPr>
            <w:tcW w:w="180" w:type="dxa"/>
            <w:vAlign w:val="bottom"/>
          </w:tcPr>
          <w:p>
            <w:pPr>
              <w:spacing w:after="0" w:line="195" w:lineRule="exact"/>
              <w:rPr>
                <w:sz w:val="20"/>
                <w:szCs w:val="20"/>
                <w:color w:val="auto"/>
              </w:rPr>
            </w:pPr>
            <w:r>
              <w:rPr>
                <w:rFonts w:ascii="Arial" w:cs="Arial" w:eastAsia="Arial" w:hAnsi="Arial"/>
                <w:sz w:val="18"/>
                <w:szCs w:val="18"/>
                <w:color w:val="auto"/>
              </w:rPr>
              <w:t>•</w:t>
            </w:r>
          </w:p>
        </w:tc>
        <w:tc>
          <w:tcPr>
            <w:tcW w:w="4440" w:type="dxa"/>
            <w:vAlign w:val="bottom"/>
          </w:tcPr>
          <w:p>
            <w:pPr>
              <w:ind w:left="120"/>
              <w:spacing w:after="0" w:line="195" w:lineRule="exact"/>
              <w:rPr>
                <w:sz w:val="20"/>
                <w:szCs w:val="20"/>
                <w:color w:val="auto"/>
              </w:rPr>
            </w:pPr>
            <w:r>
              <w:rPr>
                <w:rFonts w:ascii="Arial" w:cs="Arial" w:eastAsia="Arial" w:hAnsi="Arial"/>
                <w:sz w:val="18"/>
                <w:szCs w:val="18"/>
                <w:color w:val="auto"/>
              </w:rPr>
              <w:t>Strategy</w:t>
            </w:r>
          </w:p>
        </w:tc>
        <w:tc>
          <w:tcPr>
            <w:tcW w:w="780" w:type="dxa"/>
            <w:vAlign w:val="bottom"/>
          </w:tcPr>
          <w:p>
            <w:pPr>
              <w:ind w:left="600"/>
              <w:spacing w:after="0" w:line="195" w:lineRule="exact"/>
              <w:rPr>
                <w:sz w:val="20"/>
                <w:szCs w:val="20"/>
                <w:color w:val="auto"/>
              </w:rPr>
            </w:pPr>
            <w:r>
              <w:rPr>
                <w:rFonts w:ascii="Arial" w:cs="Arial" w:eastAsia="Arial" w:hAnsi="Arial"/>
                <w:sz w:val="18"/>
                <w:szCs w:val="18"/>
                <w:color w:val="auto"/>
              </w:rPr>
              <w:t>•</w:t>
            </w:r>
          </w:p>
        </w:tc>
        <w:tc>
          <w:tcPr>
            <w:tcW w:w="3380" w:type="dxa"/>
            <w:vAlign w:val="bottom"/>
          </w:tcPr>
          <w:p>
            <w:pPr>
              <w:ind w:left="120"/>
              <w:spacing w:after="0" w:line="195" w:lineRule="exact"/>
              <w:rPr>
                <w:sz w:val="20"/>
                <w:szCs w:val="20"/>
                <w:color w:val="auto"/>
              </w:rPr>
            </w:pPr>
            <w:r>
              <w:rPr>
                <w:rFonts w:ascii="Arial" w:cs="Arial" w:eastAsia="Arial" w:hAnsi="Arial"/>
                <w:sz w:val="18"/>
                <w:szCs w:val="18"/>
                <w:color w:val="auto"/>
              </w:rPr>
              <w:t>ERM</w:t>
            </w:r>
          </w:p>
        </w:tc>
      </w:tr>
      <w:tr>
        <w:trPr>
          <w:trHeight w:val="201"/>
        </w:trPr>
        <w:tc>
          <w:tcPr>
            <w:tcW w:w="4620" w:type="dxa"/>
            <w:vAlign w:val="bottom"/>
            <w:gridSpan w:val="2"/>
          </w:tcPr>
          <w:p>
            <w:pPr>
              <w:spacing w:after="0" w:line="201" w:lineRule="exact"/>
              <w:rPr>
                <w:sz w:val="20"/>
                <w:szCs w:val="20"/>
                <w:color w:val="auto"/>
              </w:rPr>
            </w:pPr>
            <w:r>
              <w:rPr>
                <w:rFonts w:ascii="Arial" w:cs="Arial" w:eastAsia="Arial" w:hAnsi="Arial"/>
                <w:sz w:val="18"/>
                <w:szCs w:val="18"/>
                <w:color w:val="auto"/>
              </w:rPr>
              <w:t>•   Culture of Compliance and Ethics</w:t>
            </w:r>
          </w:p>
        </w:tc>
        <w:tc>
          <w:tcPr>
            <w:tcW w:w="780" w:type="dxa"/>
            <w:vAlign w:val="bottom"/>
          </w:tcPr>
          <w:p>
            <w:pPr>
              <w:ind w:left="600"/>
              <w:spacing w:after="0" w:line="201" w:lineRule="exact"/>
              <w:rPr>
                <w:sz w:val="20"/>
                <w:szCs w:val="20"/>
                <w:color w:val="auto"/>
              </w:rPr>
            </w:pPr>
            <w:r>
              <w:rPr>
                <w:rFonts w:ascii="Arial" w:cs="Arial" w:eastAsia="Arial" w:hAnsi="Arial"/>
                <w:sz w:val="18"/>
                <w:szCs w:val="18"/>
                <w:color w:val="auto"/>
              </w:rPr>
              <w:t>•</w:t>
            </w:r>
          </w:p>
        </w:tc>
        <w:tc>
          <w:tcPr>
            <w:tcW w:w="3380" w:type="dxa"/>
            <w:vAlign w:val="bottom"/>
          </w:tcPr>
          <w:p>
            <w:pPr>
              <w:ind w:left="120"/>
              <w:spacing w:after="0" w:line="201" w:lineRule="exact"/>
              <w:rPr>
                <w:sz w:val="20"/>
                <w:szCs w:val="20"/>
                <w:color w:val="auto"/>
              </w:rPr>
            </w:pPr>
            <w:r>
              <w:rPr>
                <w:rFonts w:ascii="Arial" w:cs="Arial" w:eastAsia="Arial" w:hAnsi="Arial"/>
                <w:sz w:val="18"/>
                <w:szCs w:val="18"/>
                <w:color w:val="auto"/>
              </w:rPr>
              <w:t>Mergers and Acquisitions</w:t>
            </w:r>
          </w:p>
        </w:tc>
      </w:tr>
      <w:tr>
        <w:trPr>
          <w:trHeight w:val="219"/>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4440" w:type="dxa"/>
            <w:vAlign w:val="bottom"/>
          </w:tcPr>
          <w:p>
            <w:pPr>
              <w:ind w:left="120"/>
              <w:spacing w:after="0"/>
              <w:rPr>
                <w:sz w:val="20"/>
                <w:szCs w:val="20"/>
                <w:color w:val="auto"/>
              </w:rPr>
            </w:pPr>
            <w:r>
              <w:rPr>
                <w:rFonts w:ascii="Arial" w:cs="Arial" w:eastAsia="Arial" w:hAnsi="Arial"/>
                <w:sz w:val="18"/>
                <w:szCs w:val="18"/>
                <w:color w:val="auto"/>
              </w:rPr>
              <w:t>Executive Evaluation and Succession Planning</w:t>
            </w:r>
          </w:p>
        </w:tc>
        <w:tc>
          <w:tcPr>
            <w:tcW w:w="4160" w:type="dxa"/>
            <w:vAlign w:val="bottom"/>
            <w:gridSpan w:val="2"/>
          </w:tcPr>
          <w:p>
            <w:pPr>
              <w:ind w:left="600"/>
              <w:spacing w:after="0"/>
              <w:rPr>
                <w:sz w:val="20"/>
                <w:szCs w:val="20"/>
                <w:color w:val="auto"/>
              </w:rPr>
            </w:pPr>
            <w:r>
              <w:rPr>
                <w:rFonts w:ascii="Arial" w:cs="Arial" w:eastAsia="Arial" w:hAnsi="Arial"/>
                <w:sz w:val="18"/>
                <w:szCs w:val="18"/>
                <w:color w:val="auto"/>
              </w:rPr>
              <w:t>•   Financial Reporting and Other Disclosure</w:t>
            </w:r>
          </w:p>
        </w:tc>
      </w:tr>
    </w:tbl>
    <w:p>
      <w:pPr>
        <w:ind w:left="940" w:hanging="309"/>
        <w:spacing w:after="0"/>
        <w:tabs>
          <w:tab w:leader="none" w:pos="9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Corporate Governance</w:t>
      </w:r>
    </w:p>
    <w:p>
      <w:pPr>
        <w:spacing w:after="0" w:line="190" w:lineRule="exact"/>
        <w:rPr>
          <w:sz w:val="20"/>
          <w:szCs w:val="20"/>
          <w:color w:val="auto"/>
        </w:rPr>
      </w:pPr>
    </w:p>
    <w:p>
      <w:pPr>
        <w:jc w:val="both"/>
        <w:ind w:left="160"/>
        <w:spacing w:after="0"/>
        <w:rPr>
          <w:sz w:val="20"/>
          <w:szCs w:val="20"/>
          <w:color w:val="auto"/>
        </w:rPr>
      </w:pPr>
      <w:r>
        <w:rPr>
          <w:rFonts w:ascii="Arial" w:cs="Arial" w:eastAsia="Arial" w:hAnsi="Arial"/>
          <w:sz w:val="18"/>
          <w:szCs w:val="18"/>
          <w:color w:val="auto"/>
        </w:rPr>
        <w:t>The GS Committee and the Board consider the tools, processes, topics and questions for the self-evaluation as warranted, including consideration of whether to retain an independent third party to facilitate the Board’s self-evaluation. The Board and its committees may perform the annual self-evaluations using different tools and processes in future years. In 2021, the self-evaluation of the committees generally followed the process used by the Board, except that results were sent to committee chairs (as opposed to the Chair of the GS Committee), and committee chairs led the discussions for their respective committees with the Board in executive session.</w:t>
      </w:r>
    </w:p>
    <w:p>
      <w:pPr>
        <w:spacing w:after="0" w:line="182"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Annual Director Individual Evaluations</w:t>
      </w:r>
    </w:p>
    <w:p>
      <w:pPr>
        <w:spacing w:after="0" w:line="208" w:lineRule="exact"/>
        <w:rPr>
          <w:sz w:val="20"/>
          <w:szCs w:val="20"/>
          <w:color w:val="auto"/>
        </w:rPr>
      </w:pPr>
    </w:p>
    <w:p>
      <w:pPr>
        <w:jc w:val="both"/>
        <w:ind w:left="160"/>
        <w:spacing w:after="0" w:line="243" w:lineRule="auto"/>
        <w:rPr>
          <w:sz w:val="20"/>
          <w:szCs w:val="20"/>
          <w:color w:val="auto"/>
        </w:rPr>
      </w:pPr>
      <w:r>
        <w:rPr>
          <w:rFonts w:ascii="Arial" w:cs="Arial" w:eastAsia="Arial" w:hAnsi="Arial"/>
          <w:sz w:val="18"/>
          <w:szCs w:val="18"/>
          <w:color w:val="auto"/>
        </w:rPr>
        <w:t>We believe that each of our Directors can and does benefit from candid feedback received from other Board members about his or her individual performance. Accordingly, we conduct annual individual evaluations to obtain information about each Director’s individual performance, contributions and effectiveness. These Director individual evaluations are critical tools that promote more authentic board collaboration, improve the skills and perspectives of our Directors and allow them to receive guidance from esteemed colleagues.</w:t>
      </w:r>
    </w:p>
    <w:p>
      <w:pPr>
        <w:spacing w:after="0" w:line="121"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F75E14"/>
        </w:rPr>
        <w:t>onsemi 2022 Proxy Statement</w:t>
        <w:tab/>
        <w:t>19</w:t>
      </w:r>
    </w:p>
    <w:p>
      <w:pPr>
        <w:sectPr>
          <w:pgSz w:w="11900" w:h="16838" w:orient="portrait"/>
          <w:cols w:equalWidth="0" w:num="1">
            <w:col w:w="11080"/>
          </w:cols>
          <w:pgMar w:left="320" w:top="454" w:right="49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2" w:lineRule="exact"/>
        <w:rPr>
          <w:sz w:val="20"/>
          <w:szCs w:val="20"/>
          <w:color w:val="auto"/>
        </w:rPr>
      </w:pPr>
    </w:p>
    <w:p>
      <w:pPr>
        <w:ind w:left="160"/>
        <w:spacing w:after="0"/>
        <w:rPr>
          <w:sz w:val="20"/>
          <w:szCs w:val="20"/>
          <w:color w:val="auto"/>
        </w:rPr>
      </w:pPr>
      <w:r>
        <w:rPr>
          <w:rFonts w:ascii="Arial" w:cs="Arial" w:eastAsia="Arial" w:hAnsi="Arial"/>
          <w:sz w:val="18"/>
          <w:szCs w:val="18"/>
          <w:color w:val="F75E14"/>
        </w:rPr>
        <w:t>The Board of Directors and Corporate Governance</w:t>
      </w:r>
    </w:p>
    <w:p>
      <w:pPr>
        <w:spacing w:after="0" w:line="135"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2B4772"/>
        </w:rPr>
        <w:t>2021 Compensation of Directors</w:t>
      </w:r>
    </w:p>
    <w:p>
      <w:pPr>
        <w:spacing w:after="0" w:line="235"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2900" w:type="dxa"/>
            <w:vAlign w:val="bottom"/>
            <w:shd w:val="clear" w:color="auto" w:fill="F75E14"/>
          </w:tcPr>
          <w:p>
            <w:pPr>
              <w:spacing w:after="0"/>
              <w:rPr>
                <w:sz w:val="14"/>
                <w:szCs w:val="14"/>
                <w:color w:val="auto"/>
              </w:rPr>
            </w:pPr>
          </w:p>
        </w:tc>
        <w:tc>
          <w:tcPr>
            <w:tcW w:w="1160" w:type="dxa"/>
            <w:vAlign w:val="bottom"/>
            <w:shd w:val="clear" w:color="auto" w:fill="F75E14"/>
          </w:tcPr>
          <w:p>
            <w:pPr>
              <w:spacing w:after="0"/>
              <w:rPr>
                <w:sz w:val="14"/>
                <w:szCs w:val="14"/>
                <w:color w:val="auto"/>
              </w:rPr>
            </w:pPr>
          </w:p>
        </w:tc>
        <w:tc>
          <w:tcPr>
            <w:tcW w:w="980" w:type="dxa"/>
            <w:vAlign w:val="bottom"/>
            <w:shd w:val="clear" w:color="auto" w:fill="F75E14"/>
          </w:tcPr>
          <w:p>
            <w:pPr>
              <w:spacing w:after="0"/>
              <w:rPr>
                <w:sz w:val="14"/>
                <w:szCs w:val="14"/>
                <w:color w:val="auto"/>
              </w:rPr>
            </w:pPr>
          </w:p>
        </w:tc>
        <w:tc>
          <w:tcPr>
            <w:tcW w:w="900" w:type="dxa"/>
            <w:vAlign w:val="bottom"/>
            <w:shd w:val="clear" w:color="auto" w:fill="F75E14"/>
          </w:tcPr>
          <w:p>
            <w:pPr>
              <w:spacing w:after="0"/>
              <w:rPr>
                <w:sz w:val="14"/>
                <w:szCs w:val="14"/>
                <w:color w:val="auto"/>
              </w:rPr>
            </w:pPr>
          </w:p>
        </w:tc>
        <w:tc>
          <w:tcPr>
            <w:tcW w:w="1380" w:type="dxa"/>
            <w:vAlign w:val="bottom"/>
            <w:shd w:val="clear" w:color="auto" w:fill="F75E14"/>
          </w:tcPr>
          <w:p>
            <w:pPr>
              <w:spacing w:after="0"/>
              <w:rPr>
                <w:sz w:val="14"/>
                <w:szCs w:val="14"/>
                <w:color w:val="auto"/>
              </w:rPr>
            </w:pPr>
          </w:p>
        </w:tc>
        <w:tc>
          <w:tcPr>
            <w:tcW w:w="1380" w:type="dxa"/>
            <w:vAlign w:val="bottom"/>
            <w:shd w:val="clear" w:color="auto" w:fill="F75E14"/>
          </w:tcPr>
          <w:p>
            <w:pPr>
              <w:jc w:val="center"/>
              <w:spacing w:after="0"/>
              <w:rPr>
                <w:sz w:val="20"/>
                <w:szCs w:val="20"/>
                <w:color w:val="auto"/>
              </w:rPr>
            </w:pPr>
            <w:r>
              <w:rPr>
                <w:rFonts w:ascii="Arial" w:cs="Arial" w:eastAsia="Arial" w:hAnsi="Arial"/>
                <w:sz w:val="14"/>
                <w:szCs w:val="14"/>
                <w:b w:val="1"/>
                <w:bCs w:val="1"/>
                <w:color w:val="FFFFFF"/>
              </w:rPr>
              <w:t>Change in</w:t>
            </w:r>
          </w:p>
        </w:tc>
        <w:tc>
          <w:tcPr>
            <w:tcW w:w="1320" w:type="dxa"/>
            <w:vAlign w:val="bottom"/>
            <w:shd w:val="clear" w:color="auto" w:fill="F75E14"/>
          </w:tcPr>
          <w:p>
            <w:pPr>
              <w:spacing w:after="0"/>
              <w:rPr>
                <w:sz w:val="14"/>
                <w:szCs w:val="14"/>
                <w:color w:val="auto"/>
              </w:rPr>
            </w:pPr>
          </w:p>
        </w:tc>
        <w:tc>
          <w:tcPr>
            <w:tcW w:w="900" w:type="dxa"/>
            <w:vAlign w:val="bottom"/>
            <w:shd w:val="clear" w:color="auto" w:fill="F75E14"/>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900" w:type="dxa"/>
            <w:vAlign w:val="bottom"/>
            <w:shd w:val="clear" w:color="auto" w:fill="F75E14"/>
          </w:tcPr>
          <w:p>
            <w:pPr>
              <w:spacing w:after="0"/>
              <w:rPr>
                <w:sz w:val="13"/>
                <w:szCs w:val="13"/>
                <w:color w:val="auto"/>
              </w:rPr>
            </w:pPr>
          </w:p>
        </w:tc>
        <w:tc>
          <w:tcPr>
            <w:tcW w:w="1160" w:type="dxa"/>
            <w:vAlign w:val="bottom"/>
            <w:shd w:val="clear" w:color="auto" w:fill="F75E14"/>
          </w:tcPr>
          <w:p>
            <w:pPr>
              <w:spacing w:after="0"/>
              <w:rPr>
                <w:sz w:val="13"/>
                <w:szCs w:val="13"/>
                <w:color w:val="auto"/>
              </w:rPr>
            </w:pPr>
          </w:p>
        </w:tc>
        <w:tc>
          <w:tcPr>
            <w:tcW w:w="980" w:type="dxa"/>
            <w:vAlign w:val="bottom"/>
            <w:shd w:val="clear" w:color="auto" w:fill="F75E14"/>
          </w:tcPr>
          <w:p>
            <w:pPr>
              <w:spacing w:after="0"/>
              <w:rPr>
                <w:sz w:val="13"/>
                <w:szCs w:val="13"/>
                <w:color w:val="auto"/>
              </w:rPr>
            </w:pPr>
          </w:p>
        </w:tc>
        <w:tc>
          <w:tcPr>
            <w:tcW w:w="900" w:type="dxa"/>
            <w:vAlign w:val="bottom"/>
            <w:shd w:val="clear" w:color="auto" w:fill="F75E14"/>
          </w:tcPr>
          <w:p>
            <w:pPr>
              <w:spacing w:after="0"/>
              <w:rPr>
                <w:sz w:val="13"/>
                <w:szCs w:val="13"/>
                <w:color w:val="auto"/>
              </w:rPr>
            </w:pPr>
          </w:p>
        </w:tc>
        <w:tc>
          <w:tcPr>
            <w:tcW w:w="1380" w:type="dxa"/>
            <w:vAlign w:val="bottom"/>
            <w:shd w:val="clear" w:color="auto" w:fill="F75E14"/>
          </w:tcPr>
          <w:p>
            <w:pPr>
              <w:spacing w:after="0"/>
              <w:rPr>
                <w:sz w:val="13"/>
                <w:szCs w:val="13"/>
                <w:color w:val="auto"/>
              </w:rPr>
            </w:pPr>
          </w:p>
        </w:tc>
        <w:tc>
          <w:tcPr>
            <w:tcW w:w="1380" w:type="dxa"/>
            <w:vAlign w:val="bottom"/>
            <w:shd w:val="clear" w:color="auto" w:fill="F75E14"/>
          </w:tcPr>
          <w:p>
            <w:pPr>
              <w:jc w:val="center"/>
              <w:spacing w:after="0"/>
              <w:rPr>
                <w:sz w:val="20"/>
                <w:szCs w:val="20"/>
                <w:color w:val="auto"/>
              </w:rPr>
            </w:pPr>
            <w:r>
              <w:rPr>
                <w:rFonts w:ascii="Arial" w:cs="Arial" w:eastAsia="Arial" w:hAnsi="Arial"/>
                <w:sz w:val="14"/>
                <w:szCs w:val="14"/>
                <w:b w:val="1"/>
                <w:bCs w:val="1"/>
                <w:color w:val="FFFFFF"/>
              </w:rPr>
              <w:t>Pension Value</w:t>
            </w:r>
          </w:p>
        </w:tc>
        <w:tc>
          <w:tcPr>
            <w:tcW w:w="1320" w:type="dxa"/>
            <w:vAlign w:val="bottom"/>
            <w:shd w:val="clear" w:color="auto" w:fill="F75E14"/>
          </w:tcPr>
          <w:p>
            <w:pPr>
              <w:spacing w:after="0"/>
              <w:rPr>
                <w:sz w:val="13"/>
                <w:szCs w:val="13"/>
                <w:color w:val="auto"/>
              </w:rPr>
            </w:pPr>
          </w:p>
        </w:tc>
        <w:tc>
          <w:tcPr>
            <w:tcW w:w="900" w:type="dxa"/>
            <w:vAlign w:val="bottom"/>
            <w:shd w:val="clear" w:color="auto" w:fill="F75E14"/>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900" w:type="dxa"/>
            <w:vAlign w:val="bottom"/>
            <w:shd w:val="clear" w:color="auto" w:fill="F75E14"/>
          </w:tcPr>
          <w:p>
            <w:pPr>
              <w:spacing w:after="0"/>
              <w:rPr>
                <w:sz w:val="13"/>
                <w:szCs w:val="13"/>
                <w:color w:val="auto"/>
              </w:rPr>
            </w:pPr>
          </w:p>
        </w:tc>
        <w:tc>
          <w:tcPr>
            <w:tcW w:w="1160" w:type="dxa"/>
            <w:vAlign w:val="bottom"/>
            <w:shd w:val="clear" w:color="auto" w:fill="F75E14"/>
          </w:tcPr>
          <w:p>
            <w:pPr>
              <w:jc w:val="center"/>
              <w:ind w:left="89"/>
              <w:spacing w:after="0"/>
              <w:rPr>
                <w:sz w:val="20"/>
                <w:szCs w:val="20"/>
                <w:color w:val="auto"/>
              </w:rPr>
            </w:pPr>
            <w:r>
              <w:rPr>
                <w:rFonts w:ascii="Arial" w:cs="Arial" w:eastAsia="Arial" w:hAnsi="Arial"/>
                <w:sz w:val="14"/>
                <w:szCs w:val="14"/>
                <w:b w:val="1"/>
                <w:bCs w:val="1"/>
                <w:color w:val="FFFFFF"/>
              </w:rPr>
              <w:t>Fees</w:t>
            </w:r>
          </w:p>
        </w:tc>
        <w:tc>
          <w:tcPr>
            <w:tcW w:w="980" w:type="dxa"/>
            <w:vAlign w:val="bottom"/>
            <w:shd w:val="clear" w:color="auto" w:fill="F75E14"/>
          </w:tcPr>
          <w:p>
            <w:pPr>
              <w:spacing w:after="0"/>
              <w:rPr>
                <w:sz w:val="13"/>
                <w:szCs w:val="13"/>
                <w:color w:val="auto"/>
              </w:rPr>
            </w:pPr>
          </w:p>
        </w:tc>
        <w:tc>
          <w:tcPr>
            <w:tcW w:w="900" w:type="dxa"/>
            <w:vAlign w:val="bottom"/>
            <w:shd w:val="clear" w:color="auto" w:fill="F75E14"/>
          </w:tcPr>
          <w:p>
            <w:pPr>
              <w:spacing w:after="0"/>
              <w:rPr>
                <w:sz w:val="13"/>
                <w:szCs w:val="13"/>
                <w:color w:val="auto"/>
              </w:rPr>
            </w:pPr>
          </w:p>
        </w:tc>
        <w:tc>
          <w:tcPr>
            <w:tcW w:w="1380" w:type="dxa"/>
            <w:vAlign w:val="bottom"/>
            <w:vMerge w:val="restart"/>
            <w:shd w:val="clear" w:color="auto" w:fill="F75E14"/>
          </w:tcPr>
          <w:p>
            <w:pPr>
              <w:jc w:val="center"/>
              <w:spacing w:after="0"/>
              <w:rPr>
                <w:sz w:val="20"/>
                <w:szCs w:val="20"/>
                <w:color w:val="auto"/>
              </w:rPr>
            </w:pPr>
            <w:r>
              <w:rPr>
                <w:rFonts w:ascii="Arial" w:cs="Arial" w:eastAsia="Arial" w:hAnsi="Arial"/>
                <w:sz w:val="14"/>
                <w:szCs w:val="14"/>
                <w:b w:val="1"/>
                <w:bCs w:val="1"/>
                <w:color w:val="FFFFFF"/>
              </w:rPr>
              <w:t>Non-Equity</w:t>
            </w:r>
          </w:p>
        </w:tc>
        <w:tc>
          <w:tcPr>
            <w:tcW w:w="1380" w:type="dxa"/>
            <w:vAlign w:val="bottom"/>
            <w:shd w:val="clear" w:color="auto" w:fill="F75E14"/>
          </w:tcPr>
          <w:p>
            <w:pPr>
              <w:jc w:val="center"/>
              <w:spacing w:after="0"/>
              <w:rPr>
                <w:sz w:val="20"/>
                <w:szCs w:val="20"/>
                <w:color w:val="auto"/>
              </w:rPr>
            </w:pPr>
            <w:r>
              <w:rPr>
                <w:rFonts w:ascii="Arial" w:cs="Arial" w:eastAsia="Arial" w:hAnsi="Arial"/>
                <w:sz w:val="14"/>
                <w:szCs w:val="14"/>
                <w:b w:val="1"/>
                <w:bCs w:val="1"/>
                <w:color w:val="FFFFFF"/>
              </w:rPr>
              <w:t>and</w:t>
            </w:r>
          </w:p>
        </w:tc>
        <w:tc>
          <w:tcPr>
            <w:tcW w:w="1320" w:type="dxa"/>
            <w:vAlign w:val="bottom"/>
            <w:shd w:val="clear" w:color="auto" w:fill="F75E14"/>
          </w:tcPr>
          <w:p>
            <w:pPr>
              <w:spacing w:after="0"/>
              <w:rPr>
                <w:sz w:val="13"/>
                <w:szCs w:val="13"/>
                <w:color w:val="auto"/>
              </w:rPr>
            </w:pPr>
          </w:p>
        </w:tc>
        <w:tc>
          <w:tcPr>
            <w:tcW w:w="900" w:type="dxa"/>
            <w:vAlign w:val="bottom"/>
            <w:shd w:val="clear" w:color="auto" w:fill="F75E14"/>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2900" w:type="dxa"/>
            <w:vAlign w:val="bottom"/>
            <w:shd w:val="clear" w:color="auto" w:fill="F75E14"/>
          </w:tcPr>
          <w:p>
            <w:pPr>
              <w:spacing w:after="0"/>
              <w:rPr>
                <w:sz w:val="12"/>
                <w:szCs w:val="12"/>
                <w:color w:val="auto"/>
              </w:rPr>
            </w:pPr>
          </w:p>
        </w:tc>
        <w:tc>
          <w:tcPr>
            <w:tcW w:w="1160" w:type="dxa"/>
            <w:vAlign w:val="bottom"/>
            <w:shd w:val="clear" w:color="auto" w:fill="F75E14"/>
          </w:tcPr>
          <w:p>
            <w:pPr>
              <w:jc w:val="center"/>
              <w:ind w:left="89"/>
              <w:spacing w:after="0" w:line="147" w:lineRule="exact"/>
              <w:rPr>
                <w:sz w:val="20"/>
                <w:szCs w:val="20"/>
                <w:color w:val="auto"/>
              </w:rPr>
            </w:pPr>
            <w:r>
              <w:rPr>
                <w:rFonts w:ascii="Arial" w:cs="Arial" w:eastAsia="Arial" w:hAnsi="Arial"/>
                <w:sz w:val="14"/>
                <w:szCs w:val="14"/>
                <w:b w:val="1"/>
                <w:bCs w:val="1"/>
                <w:color w:val="FFFFFF"/>
              </w:rPr>
              <w:t>Earned</w:t>
            </w:r>
          </w:p>
        </w:tc>
        <w:tc>
          <w:tcPr>
            <w:tcW w:w="980" w:type="dxa"/>
            <w:vAlign w:val="bottom"/>
            <w:shd w:val="clear" w:color="auto" w:fill="F75E14"/>
          </w:tcPr>
          <w:p>
            <w:pPr>
              <w:spacing w:after="0"/>
              <w:rPr>
                <w:sz w:val="12"/>
                <w:szCs w:val="12"/>
                <w:color w:val="auto"/>
              </w:rPr>
            </w:pPr>
          </w:p>
        </w:tc>
        <w:tc>
          <w:tcPr>
            <w:tcW w:w="900" w:type="dxa"/>
            <w:vAlign w:val="bottom"/>
            <w:shd w:val="clear" w:color="auto" w:fill="F75E14"/>
          </w:tcPr>
          <w:p>
            <w:pPr>
              <w:spacing w:after="0"/>
              <w:rPr>
                <w:sz w:val="12"/>
                <w:szCs w:val="12"/>
                <w:color w:val="auto"/>
              </w:rPr>
            </w:pPr>
          </w:p>
        </w:tc>
        <w:tc>
          <w:tcPr>
            <w:tcW w:w="1380" w:type="dxa"/>
            <w:vAlign w:val="bottom"/>
            <w:vMerge w:val="continue"/>
            <w:shd w:val="clear" w:color="auto" w:fill="F75E14"/>
          </w:tcPr>
          <w:p>
            <w:pPr>
              <w:spacing w:after="0"/>
              <w:rPr>
                <w:sz w:val="12"/>
                <w:szCs w:val="12"/>
                <w:color w:val="auto"/>
              </w:rPr>
            </w:pPr>
          </w:p>
        </w:tc>
        <w:tc>
          <w:tcPr>
            <w:tcW w:w="1380" w:type="dxa"/>
            <w:vAlign w:val="bottom"/>
            <w:shd w:val="clear" w:color="auto" w:fill="F75E14"/>
          </w:tcPr>
          <w:p>
            <w:pPr>
              <w:jc w:val="center"/>
              <w:spacing w:after="0" w:line="147" w:lineRule="exact"/>
              <w:rPr>
                <w:sz w:val="20"/>
                <w:szCs w:val="20"/>
                <w:color w:val="auto"/>
              </w:rPr>
            </w:pPr>
            <w:r>
              <w:rPr>
                <w:rFonts w:ascii="Arial" w:cs="Arial" w:eastAsia="Arial" w:hAnsi="Arial"/>
                <w:sz w:val="14"/>
                <w:szCs w:val="14"/>
                <w:b w:val="1"/>
                <w:bCs w:val="1"/>
                <w:color w:val="FFFFFF"/>
              </w:rPr>
              <w:t>Non-qualified</w:t>
            </w:r>
          </w:p>
        </w:tc>
        <w:tc>
          <w:tcPr>
            <w:tcW w:w="1320" w:type="dxa"/>
            <w:vAlign w:val="bottom"/>
            <w:shd w:val="clear" w:color="auto" w:fill="F75E14"/>
          </w:tcPr>
          <w:p>
            <w:pPr>
              <w:spacing w:after="0"/>
              <w:rPr>
                <w:sz w:val="12"/>
                <w:szCs w:val="12"/>
                <w:color w:val="auto"/>
              </w:rPr>
            </w:pPr>
          </w:p>
        </w:tc>
        <w:tc>
          <w:tcPr>
            <w:tcW w:w="900" w:type="dxa"/>
            <w:vAlign w:val="bottom"/>
            <w:shd w:val="clear" w:color="auto" w:fill="F75E14"/>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900" w:type="dxa"/>
            <w:vAlign w:val="bottom"/>
            <w:shd w:val="clear" w:color="auto" w:fill="F75E14"/>
          </w:tcPr>
          <w:p>
            <w:pPr>
              <w:spacing w:after="0"/>
              <w:rPr>
                <w:sz w:val="13"/>
                <w:szCs w:val="13"/>
                <w:color w:val="auto"/>
              </w:rPr>
            </w:pPr>
          </w:p>
        </w:tc>
        <w:tc>
          <w:tcPr>
            <w:tcW w:w="1160" w:type="dxa"/>
            <w:vAlign w:val="bottom"/>
            <w:shd w:val="clear" w:color="auto" w:fill="F75E14"/>
          </w:tcPr>
          <w:p>
            <w:pPr>
              <w:jc w:val="center"/>
              <w:ind w:left="89"/>
              <w:spacing w:after="0"/>
              <w:rPr>
                <w:sz w:val="20"/>
                <w:szCs w:val="20"/>
                <w:color w:val="auto"/>
              </w:rPr>
            </w:pPr>
            <w:r>
              <w:rPr>
                <w:rFonts w:ascii="Arial" w:cs="Arial" w:eastAsia="Arial" w:hAnsi="Arial"/>
                <w:sz w:val="14"/>
                <w:szCs w:val="14"/>
                <w:b w:val="1"/>
                <w:bCs w:val="1"/>
                <w:color w:val="FFFFFF"/>
              </w:rPr>
              <w:t>or Paid</w:t>
            </w:r>
          </w:p>
        </w:tc>
        <w:tc>
          <w:tcPr>
            <w:tcW w:w="980" w:type="dxa"/>
            <w:vAlign w:val="bottom"/>
            <w:shd w:val="clear" w:color="auto" w:fill="F75E14"/>
          </w:tcPr>
          <w:p>
            <w:pPr>
              <w:jc w:val="center"/>
              <w:spacing w:after="0"/>
              <w:rPr>
                <w:sz w:val="20"/>
                <w:szCs w:val="20"/>
                <w:color w:val="auto"/>
              </w:rPr>
            </w:pPr>
            <w:r>
              <w:rPr>
                <w:rFonts w:ascii="Arial" w:cs="Arial" w:eastAsia="Arial" w:hAnsi="Arial"/>
                <w:sz w:val="14"/>
                <w:szCs w:val="14"/>
                <w:b w:val="1"/>
                <w:bCs w:val="1"/>
                <w:color w:val="FFFFFF"/>
              </w:rPr>
              <w:t>Stock</w:t>
            </w:r>
          </w:p>
        </w:tc>
        <w:tc>
          <w:tcPr>
            <w:tcW w:w="900" w:type="dxa"/>
            <w:vAlign w:val="bottom"/>
            <w:shd w:val="clear" w:color="auto" w:fill="F75E14"/>
          </w:tcPr>
          <w:p>
            <w:pPr>
              <w:jc w:val="center"/>
              <w:spacing w:after="0"/>
              <w:rPr>
                <w:sz w:val="20"/>
                <w:szCs w:val="20"/>
                <w:color w:val="auto"/>
              </w:rPr>
            </w:pPr>
            <w:r>
              <w:rPr>
                <w:rFonts w:ascii="Arial" w:cs="Arial" w:eastAsia="Arial" w:hAnsi="Arial"/>
                <w:sz w:val="14"/>
                <w:szCs w:val="14"/>
                <w:b w:val="1"/>
                <w:bCs w:val="1"/>
                <w:color w:val="FFFFFF"/>
              </w:rPr>
              <w:t>Option</w:t>
            </w:r>
          </w:p>
        </w:tc>
        <w:tc>
          <w:tcPr>
            <w:tcW w:w="1380" w:type="dxa"/>
            <w:vAlign w:val="bottom"/>
            <w:shd w:val="clear" w:color="auto" w:fill="F75E14"/>
          </w:tcPr>
          <w:p>
            <w:pPr>
              <w:jc w:val="center"/>
              <w:spacing w:after="0"/>
              <w:rPr>
                <w:sz w:val="20"/>
                <w:szCs w:val="20"/>
                <w:color w:val="auto"/>
              </w:rPr>
            </w:pPr>
            <w:r>
              <w:rPr>
                <w:rFonts w:ascii="Arial" w:cs="Arial" w:eastAsia="Arial" w:hAnsi="Arial"/>
                <w:sz w:val="14"/>
                <w:szCs w:val="14"/>
                <w:b w:val="1"/>
                <w:bCs w:val="1"/>
                <w:color w:val="FFFFFF"/>
              </w:rPr>
              <w:t>Incentive Plan</w:t>
            </w:r>
          </w:p>
        </w:tc>
        <w:tc>
          <w:tcPr>
            <w:tcW w:w="1380" w:type="dxa"/>
            <w:vAlign w:val="bottom"/>
            <w:shd w:val="clear" w:color="auto" w:fill="F75E14"/>
          </w:tcPr>
          <w:p>
            <w:pPr>
              <w:jc w:val="center"/>
              <w:spacing w:after="0"/>
              <w:rPr>
                <w:sz w:val="20"/>
                <w:szCs w:val="20"/>
                <w:color w:val="auto"/>
              </w:rPr>
            </w:pPr>
            <w:r>
              <w:rPr>
                <w:rFonts w:ascii="Arial" w:cs="Arial" w:eastAsia="Arial" w:hAnsi="Arial"/>
                <w:sz w:val="14"/>
                <w:szCs w:val="14"/>
                <w:b w:val="1"/>
                <w:bCs w:val="1"/>
                <w:color w:val="FFFFFF"/>
              </w:rPr>
              <w:t>Deferred</w:t>
            </w:r>
          </w:p>
        </w:tc>
        <w:tc>
          <w:tcPr>
            <w:tcW w:w="1320" w:type="dxa"/>
            <w:vAlign w:val="bottom"/>
            <w:shd w:val="clear" w:color="auto" w:fill="F75E14"/>
          </w:tcPr>
          <w:p>
            <w:pPr>
              <w:jc w:val="center"/>
              <w:spacing w:after="0"/>
              <w:rPr>
                <w:sz w:val="20"/>
                <w:szCs w:val="20"/>
                <w:color w:val="auto"/>
              </w:rPr>
            </w:pPr>
            <w:r>
              <w:rPr>
                <w:rFonts w:ascii="Arial" w:cs="Arial" w:eastAsia="Arial" w:hAnsi="Arial"/>
                <w:sz w:val="14"/>
                <w:szCs w:val="14"/>
                <w:b w:val="1"/>
                <w:bCs w:val="1"/>
                <w:color w:val="FFFFFF"/>
              </w:rPr>
              <w:t>All Other</w:t>
            </w:r>
          </w:p>
        </w:tc>
        <w:tc>
          <w:tcPr>
            <w:tcW w:w="900" w:type="dxa"/>
            <w:vAlign w:val="bottom"/>
            <w:shd w:val="clear" w:color="auto" w:fill="F75E14"/>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900" w:type="dxa"/>
            <w:vAlign w:val="bottom"/>
            <w:shd w:val="clear" w:color="auto" w:fill="F75E14"/>
          </w:tcPr>
          <w:p>
            <w:pPr>
              <w:spacing w:after="0"/>
              <w:rPr>
                <w:sz w:val="13"/>
                <w:szCs w:val="13"/>
                <w:color w:val="auto"/>
              </w:rPr>
            </w:pPr>
          </w:p>
        </w:tc>
        <w:tc>
          <w:tcPr>
            <w:tcW w:w="1160" w:type="dxa"/>
            <w:vAlign w:val="bottom"/>
            <w:shd w:val="clear" w:color="auto" w:fill="F75E14"/>
          </w:tcPr>
          <w:p>
            <w:pPr>
              <w:jc w:val="center"/>
              <w:ind w:left="89"/>
              <w:spacing w:after="0"/>
              <w:rPr>
                <w:sz w:val="20"/>
                <w:szCs w:val="20"/>
                <w:color w:val="auto"/>
              </w:rPr>
            </w:pPr>
            <w:r>
              <w:rPr>
                <w:rFonts w:ascii="Arial" w:cs="Arial" w:eastAsia="Arial" w:hAnsi="Arial"/>
                <w:sz w:val="14"/>
                <w:szCs w:val="14"/>
                <w:b w:val="1"/>
                <w:bCs w:val="1"/>
                <w:color w:val="FFFFFF"/>
              </w:rPr>
              <w:t>in Cash</w:t>
            </w:r>
          </w:p>
        </w:tc>
        <w:tc>
          <w:tcPr>
            <w:tcW w:w="980" w:type="dxa"/>
            <w:vAlign w:val="bottom"/>
            <w:shd w:val="clear" w:color="auto" w:fill="F75E14"/>
          </w:tcPr>
          <w:p>
            <w:pPr>
              <w:jc w:val="center"/>
              <w:spacing w:after="0"/>
              <w:rPr>
                <w:sz w:val="20"/>
                <w:szCs w:val="20"/>
                <w:color w:val="auto"/>
              </w:rPr>
            </w:pPr>
            <w:r>
              <w:rPr>
                <w:rFonts w:ascii="Arial" w:cs="Arial" w:eastAsia="Arial" w:hAnsi="Arial"/>
                <w:sz w:val="14"/>
                <w:szCs w:val="14"/>
                <w:b w:val="1"/>
                <w:bCs w:val="1"/>
                <w:color w:val="FFFFFF"/>
              </w:rPr>
              <w:t>Awards</w:t>
            </w:r>
          </w:p>
        </w:tc>
        <w:tc>
          <w:tcPr>
            <w:tcW w:w="900" w:type="dxa"/>
            <w:vAlign w:val="bottom"/>
            <w:shd w:val="clear" w:color="auto" w:fill="F75E14"/>
          </w:tcPr>
          <w:p>
            <w:pPr>
              <w:jc w:val="center"/>
              <w:spacing w:after="0"/>
              <w:rPr>
                <w:sz w:val="20"/>
                <w:szCs w:val="20"/>
                <w:color w:val="auto"/>
              </w:rPr>
            </w:pPr>
            <w:r>
              <w:rPr>
                <w:rFonts w:ascii="Arial" w:cs="Arial" w:eastAsia="Arial" w:hAnsi="Arial"/>
                <w:sz w:val="14"/>
                <w:szCs w:val="14"/>
                <w:b w:val="1"/>
                <w:bCs w:val="1"/>
                <w:color w:val="FFFFFF"/>
              </w:rPr>
              <w:t>Awards</w:t>
            </w:r>
          </w:p>
        </w:tc>
        <w:tc>
          <w:tcPr>
            <w:tcW w:w="1380" w:type="dxa"/>
            <w:vAlign w:val="bottom"/>
            <w:shd w:val="clear" w:color="auto" w:fill="F75E14"/>
          </w:tcPr>
          <w:p>
            <w:pPr>
              <w:jc w:val="center"/>
              <w:spacing w:after="0"/>
              <w:rPr>
                <w:sz w:val="20"/>
                <w:szCs w:val="20"/>
                <w:color w:val="auto"/>
              </w:rPr>
            </w:pPr>
            <w:r>
              <w:rPr>
                <w:rFonts w:ascii="Arial" w:cs="Arial" w:eastAsia="Arial" w:hAnsi="Arial"/>
                <w:sz w:val="14"/>
                <w:szCs w:val="14"/>
                <w:b w:val="1"/>
                <w:bCs w:val="1"/>
                <w:color w:val="FFFFFF"/>
              </w:rPr>
              <w:t>Compensation</w:t>
            </w:r>
          </w:p>
        </w:tc>
        <w:tc>
          <w:tcPr>
            <w:tcW w:w="1380" w:type="dxa"/>
            <w:vAlign w:val="bottom"/>
            <w:shd w:val="clear" w:color="auto" w:fill="F75E14"/>
          </w:tcPr>
          <w:p>
            <w:pPr>
              <w:jc w:val="center"/>
              <w:spacing w:after="0"/>
              <w:rPr>
                <w:sz w:val="20"/>
                <w:szCs w:val="20"/>
                <w:color w:val="auto"/>
              </w:rPr>
            </w:pPr>
            <w:r>
              <w:rPr>
                <w:rFonts w:ascii="Arial" w:cs="Arial" w:eastAsia="Arial" w:hAnsi="Arial"/>
                <w:sz w:val="14"/>
                <w:szCs w:val="14"/>
                <w:b w:val="1"/>
                <w:bCs w:val="1"/>
                <w:color w:val="FFFFFF"/>
              </w:rPr>
              <w:t>Compensation</w:t>
            </w:r>
          </w:p>
        </w:tc>
        <w:tc>
          <w:tcPr>
            <w:tcW w:w="1320" w:type="dxa"/>
            <w:vAlign w:val="bottom"/>
            <w:shd w:val="clear" w:color="auto" w:fill="F75E14"/>
          </w:tcPr>
          <w:p>
            <w:pPr>
              <w:jc w:val="center"/>
              <w:spacing w:after="0"/>
              <w:rPr>
                <w:sz w:val="20"/>
                <w:szCs w:val="20"/>
                <w:color w:val="auto"/>
              </w:rPr>
            </w:pPr>
            <w:r>
              <w:rPr>
                <w:rFonts w:ascii="Arial" w:cs="Arial" w:eastAsia="Arial" w:hAnsi="Arial"/>
                <w:sz w:val="14"/>
                <w:szCs w:val="14"/>
                <w:b w:val="1"/>
                <w:bCs w:val="1"/>
                <w:color w:val="FFFFFF"/>
              </w:rPr>
              <w:t>Compensation</w:t>
            </w:r>
          </w:p>
        </w:tc>
        <w:tc>
          <w:tcPr>
            <w:tcW w:w="900" w:type="dxa"/>
            <w:vAlign w:val="bottom"/>
            <w:shd w:val="clear" w:color="auto" w:fill="F75E14"/>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900" w:type="dxa"/>
            <w:vAlign w:val="bottom"/>
            <w:shd w:val="clear" w:color="auto" w:fill="F75E14"/>
          </w:tcPr>
          <w:p>
            <w:pPr>
              <w:ind w:left="1160"/>
              <w:spacing w:after="0"/>
              <w:rPr>
                <w:sz w:val="20"/>
                <w:szCs w:val="20"/>
                <w:color w:val="auto"/>
              </w:rPr>
            </w:pPr>
            <w:r>
              <w:rPr>
                <w:rFonts w:ascii="Arial" w:cs="Arial" w:eastAsia="Arial" w:hAnsi="Arial"/>
                <w:sz w:val="14"/>
                <w:szCs w:val="14"/>
                <w:b w:val="1"/>
                <w:bCs w:val="1"/>
                <w:color w:val="FFFFFF"/>
              </w:rPr>
              <w:t>Name (1)</w:t>
            </w:r>
          </w:p>
        </w:tc>
        <w:tc>
          <w:tcPr>
            <w:tcW w:w="1160" w:type="dxa"/>
            <w:vAlign w:val="bottom"/>
            <w:shd w:val="clear" w:color="auto" w:fill="F75E14"/>
          </w:tcPr>
          <w:p>
            <w:pPr>
              <w:jc w:val="center"/>
              <w:ind w:left="109"/>
              <w:spacing w:after="0"/>
              <w:rPr>
                <w:sz w:val="20"/>
                <w:szCs w:val="20"/>
                <w:color w:val="auto"/>
              </w:rPr>
            </w:pPr>
            <w:r>
              <w:rPr>
                <w:rFonts w:ascii="Arial" w:cs="Arial" w:eastAsia="Arial" w:hAnsi="Arial"/>
                <w:sz w:val="14"/>
                <w:szCs w:val="14"/>
                <w:b w:val="1"/>
                <w:bCs w:val="1"/>
                <w:color w:val="FFFFFF"/>
                <w:w w:val="99"/>
              </w:rPr>
              <w:t>($) (2)</w:t>
            </w:r>
          </w:p>
        </w:tc>
        <w:tc>
          <w:tcPr>
            <w:tcW w:w="980" w:type="dxa"/>
            <w:vAlign w:val="bottom"/>
            <w:shd w:val="clear" w:color="auto" w:fill="F75E14"/>
          </w:tcPr>
          <w:p>
            <w:pPr>
              <w:jc w:val="center"/>
              <w:spacing w:after="0"/>
              <w:rPr>
                <w:sz w:val="20"/>
                <w:szCs w:val="20"/>
                <w:color w:val="auto"/>
              </w:rPr>
            </w:pPr>
            <w:r>
              <w:rPr>
                <w:rFonts w:ascii="Arial" w:cs="Arial" w:eastAsia="Arial" w:hAnsi="Arial"/>
                <w:sz w:val="14"/>
                <w:szCs w:val="14"/>
                <w:b w:val="1"/>
                <w:bCs w:val="1"/>
                <w:color w:val="FFFFFF"/>
              </w:rPr>
              <w:t>($) (3)</w:t>
            </w:r>
          </w:p>
        </w:tc>
        <w:tc>
          <w:tcPr>
            <w:tcW w:w="900" w:type="dxa"/>
            <w:vAlign w:val="bottom"/>
            <w:shd w:val="clear" w:color="auto" w:fill="F75E14"/>
          </w:tcPr>
          <w:p>
            <w:pPr>
              <w:jc w:val="center"/>
              <w:spacing w:after="0"/>
              <w:rPr>
                <w:sz w:val="20"/>
                <w:szCs w:val="20"/>
                <w:color w:val="auto"/>
              </w:rPr>
            </w:pPr>
            <w:r>
              <w:rPr>
                <w:rFonts w:ascii="Arial" w:cs="Arial" w:eastAsia="Arial" w:hAnsi="Arial"/>
                <w:sz w:val="14"/>
                <w:szCs w:val="14"/>
                <w:b w:val="1"/>
                <w:bCs w:val="1"/>
                <w:color w:val="FFFFFF"/>
                <w:w w:val="93"/>
              </w:rPr>
              <w:t>($)</w:t>
            </w:r>
          </w:p>
        </w:tc>
        <w:tc>
          <w:tcPr>
            <w:tcW w:w="1380" w:type="dxa"/>
            <w:vAlign w:val="bottom"/>
            <w:shd w:val="clear" w:color="auto" w:fill="F75E14"/>
          </w:tcPr>
          <w:p>
            <w:pPr>
              <w:jc w:val="center"/>
              <w:spacing w:after="0"/>
              <w:rPr>
                <w:sz w:val="20"/>
                <w:szCs w:val="20"/>
                <w:color w:val="auto"/>
              </w:rPr>
            </w:pPr>
            <w:r>
              <w:rPr>
                <w:rFonts w:ascii="Arial" w:cs="Arial" w:eastAsia="Arial" w:hAnsi="Arial"/>
                <w:sz w:val="14"/>
                <w:szCs w:val="14"/>
                <w:b w:val="1"/>
                <w:bCs w:val="1"/>
                <w:color w:val="FFFFFF"/>
              </w:rPr>
              <w:t>($)</w:t>
            </w:r>
          </w:p>
        </w:tc>
        <w:tc>
          <w:tcPr>
            <w:tcW w:w="1380" w:type="dxa"/>
            <w:vAlign w:val="bottom"/>
            <w:shd w:val="clear" w:color="auto" w:fill="F75E14"/>
          </w:tcPr>
          <w:p>
            <w:pPr>
              <w:jc w:val="center"/>
              <w:spacing w:after="0"/>
              <w:rPr>
                <w:sz w:val="20"/>
                <w:szCs w:val="20"/>
                <w:color w:val="auto"/>
              </w:rPr>
            </w:pPr>
            <w:r>
              <w:rPr>
                <w:rFonts w:ascii="Arial" w:cs="Arial" w:eastAsia="Arial" w:hAnsi="Arial"/>
                <w:sz w:val="14"/>
                <w:szCs w:val="14"/>
                <w:b w:val="1"/>
                <w:bCs w:val="1"/>
                <w:color w:val="FFFFFF"/>
              </w:rPr>
              <w:t>Earnings ($)</w:t>
            </w:r>
          </w:p>
        </w:tc>
        <w:tc>
          <w:tcPr>
            <w:tcW w:w="1320" w:type="dxa"/>
            <w:vAlign w:val="bottom"/>
            <w:shd w:val="clear" w:color="auto" w:fill="F75E14"/>
          </w:tcPr>
          <w:p>
            <w:pPr>
              <w:jc w:val="center"/>
              <w:spacing w:after="0"/>
              <w:rPr>
                <w:sz w:val="20"/>
                <w:szCs w:val="20"/>
                <w:color w:val="auto"/>
              </w:rPr>
            </w:pPr>
            <w:r>
              <w:rPr>
                <w:rFonts w:ascii="Arial" w:cs="Arial" w:eastAsia="Arial" w:hAnsi="Arial"/>
                <w:sz w:val="14"/>
                <w:szCs w:val="14"/>
                <w:b w:val="1"/>
                <w:bCs w:val="1"/>
                <w:color w:val="FFFFFF"/>
              </w:rPr>
              <w:t>($)</w:t>
            </w:r>
          </w:p>
        </w:tc>
        <w:tc>
          <w:tcPr>
            <w:tcW w:w="900" w:type="dxa"/>
            <w:vAlign w:val="bottom"/>
            <w:shd w:val="clear" w:color="auto" w:fill="F75E14"/>
          </w:tcPr>
          <w:p>
            <w:pPr>
              <w:jc w:val="right"/>
              <w:ind w:right="169"/>
              <w:spacing w:after="0"/>
              <w:rPr>
                <w:sz w:val="20"/>
                <w:szCs w:val="20"/>
                <w:color w:val="auto"/>
              </w:rPr>
            </w:pPr>
            <w:r>
              <w:rPr>
                <w:rFonts w:ascii="Arial" w:cs="Arial" w:eastAsia="Arial" w:hAnsi="Arial"/>
                <w:sz w:val="14"/>
                <w:szCs w:val="14"/>
                <w:b w:val="1"/>
                <w:bCs w:val="1"/>
                <w:color w:val="FFFFFF"/>
              </w:rPr>
              <w:t>Total ($)</w:t>
            </w:r>
          </w:p>
        </w:tc>
        <w:tc>
          <w:tcPr>
            <w:tcW w:w="0" w:type="dxa"/>
            <w:vAlign w:val="bottom"/>
          </w:tcPr>
          <w:p>
            <w:pPr>
              <w:spacing w:after="0"/>
              <w:rPr>
                <w:sz w:val="1"/>
                <w:szCs w:val="1"/>
                <w:color w:val="auto"/>
              </w:rPr>
            </w:pPr>
          </w:p>
        </w:tc>
      </w:tr>
      <w:tr>
        <w:trPr>
          <w:trHeight w:val="210"/>
        </w:trPr>
        <w:tc>
          <w:tcPr>
            <w:tcW w:w="2900" w:type="dxa"/>
            <w:vAlign w:val="bottom"/>
            <w:shd w:val="clear" w:color="auto" w:fill="F75E14"/>
          </w:tcPr>
          <w:p>
            <w:pPr>
              <w:ind w:left="1380"/>
              <w:spacing w:after="0"/>
              <w:rPr>
                <w:sz w:val="20"/>
                <w:szCs w:val="20"/>
                <w:color w:val="auto"/>
              </w:rPr>
            </w:pPr>
            <w:r>
              <w:rPr>
                <w:rFonts w:ascii="Arial" w:cs="Arial" w:eastAsia="Arial" w:hAnsi="Arial"/>
                <w:sz w:val="14"/>
                <w:szCs w:val="14"/>
                <w:b w:val="1"/>
                <w:bCs w:val="1"/>
                <w:color w:val="FFFFFF"/>
              </w:rPr>
              <w:t>(a)</w:t>
            </w:r>
          </w:p>
        </w:tc>
        <w:tc>
          <w:tcPr>
            <w:tcW w:w="1160" w:type="dxa"/>
            <w:vAlign w:val="bottom"/>
            <w:shd w:val="clear" w:color="auto" w:fill="F75E14"/>
          </w:tcPr>
          <w:p>
            <w:pPr>
              <w:jc w:val="center"/>
              <w:ind w:left="109"/>
              <w:spacing w:after="0"/>
              <w:rPr>
                <w:sz w:val="20"/>
                <w:szCs w:val="20"/>
                <w:color w:val="auto"/>
              </w:rPr>
            </w:pPr>
            <w:r>
              <w:rPr>
                <w:rFonts w:ascii="Arial" w:cs="Arial" w:eastAsia="Arial" w:hAnsi="Arial"/>
                <w:sz w:val="14"/>
                <w:szCs w:val="14"/>
                <w:b w:val="1"/>
                <w:bCs w:val="1"/>
                <w:color w:val="FFFFFF"/>
              </w:rPr>
              <w:t>(b)</w:t>
            </w:r>
          </w:p>
        </w:tc>
        <w:tc>
          <w:tcPr>
            <w:tcW w:w="980" w:type="dxa"/>
            <w:vAlign w:val="bottom"/>
            <w:shd w:val="clear" w:color="auto" w:fill="F75E14"/>
          </w:tcPr>
          <w:p>
            <w:pPr>
              <w:jc w:val="center"/>
              <w:spacing w:after="0"/>
              <w:rPr>
                <w:sz w:val="20"/>
                <w:szCs w:val="20"/>
                <w:color w:val="auto"/>
              </w:rPr>
            </w:pPr>
            <w:r>
              <w:rPr>
                <w:rFonts w:ascii="Arial" w:cs="Arial" w:eastAsia="Arial" w:hAnsi="Arial"/>
                <w:sz w:val="14"/>
                <w:szCs w:val="14"/>
                <w:b w:val="1"/>
                <w:bCs w:val="1"/>
                <w:color w:val="FFFFFF"/>
                <w:w w:val="93"/>
              </w:rPr>
              <w:t>(c)</w:t>
            </w:r>
          </w:p>
        </w:tc>
        <w:tc>
          <w:tcPr>
            <w:tcW w:w="900" w:type="dxa"/>
            <w:vAlign w:val="bottom"/>
            <w:shd w:val="clear" w:color="auto" w:fill="F75E14"/>
          </w:tcPr>
          <w:p>
            <w:pPr>
              <w:jc w:val="center"/>
              <w:spacing w:after="0"/>
              <w:rPr>
                <w:sz w:val="20"/>
                <w:szCs w:val="20"/>
                <w:color w:val="auto"/>
              </w:rPr>
            </w:pPr>
            <w:r>
              <w:rPr>
                <w:rFonts w:ascii="Arial" w:cs="Arial" w:eastAsia="Arial" w:hAnsi="Arial"/>
                <w:sz w:val="14"/>
                <w:szCs w:val="14"/>
                <w:b w:val="1"/>
                <w:bCs w:val="1"/>
                <w:color w:val="FFFFFF"/>
              </w:rPr>
              <w:t>(d)</w:t>
            </w:r>
          </w:p>
        </w:tc>
        <w:tc>
          <w:tcPr>
            <w:tcW w:w="1380" w:type="dxa"/>
            <w:vAlign w:val="bottom"/>
            <w:shd w:val="clear" w:color="auto" w:fill="F75E14"/>
          </w:tcPr>
          <w:p>
            <w:pPr>
              <w:jc w:val="center"/>
              <w:spacing w:after="0"/>
              <w:rPr>
                <w:sz w:val="20"/>
                <w:szCs w:val="20"/>
                <w:color w:val="auto"/>
              </w:rPr>
            </w:pPr>
            <w:r>
              <w:rPr>
                <w:rFonts w:ascii="Arial" w:cs="Arial" w:eastAsia="Arial" w:hAnsi="Arial"/>
                <w:sz w:val="14"/>
                <w:szCs w:val="14"/>
                <w:b w:val="1"/>
                <w:bCs w:val="1"/>
                <w:color w:val="FFFFFF"/>
              </w:rPr>
              <w:t>(e)</w:t>
            </w:r>
          </w:p>
        </w:tc>
        <w:tc>
          <w:tcPr>
            <w:tcW w:w="1380" w:type="dxa"/>
            <w:vAlign w:val="bottom"/>
            <w:shd w:val="clear" w:color="auto" w:fill="F75E14"/>
          </w:tcPr>
          <w:p>
            <w:pPr>
              <w:jc w:val="center"/>
              <w:spacing w:after="0"/>
              <w:rPr>
                <w:sz w:val="20"/>
                <w:szCs w:val="20"/>
                <w:color w:val="auto"/>
              </w:rPr>
            </w:pPr>
            <w:r>
              <w:rPr>
                <w:rFonts w:ascii="Arial" w:cs="Arial" w:eastAsia="Arial" w:hAnsi="Arial"/>
                <w:sz w:val="14"/>
                <w:szCs w:val="14"/>
                <w:b w:val="1"/>
                <w:bCs w:val="1"/>
                <w:color w:val="FFFFFF"/>
                <w:w w:val="99"/>
              </w:rPr>
              <w:t>(f)</w:t>
            </w:r>
          </w:p>
        </w:tc>
        <w:tc>
          <w:tcPr>
            <w:tcW w:w="1320" w:type="dxa"/>
            <w:vAlign w:val="bottom"/>
            <w:shd w:val="clear" w:color="auto" w:fill="F75E14"/>
          </w:tcPr>
          <w:p>
            <w:pPr>
              <w:jc w:val="center"/>
              <w:spacing w:after="0"/>
              <w:rPr>
                <w:sz w:val="20"/>
                <w:szCs w:val="20"/>
                <w:color w:val="auto"/>
              </w:rPr>
            </w:pPr>
            <w:r>
              <w:rPr>
                <w:rFonts w:ascii="Arial" w:cs="Arial" w:eastAsia="Arial" w:hAnsi="Arial"/>
                <w:sz w:val="14"/>
                <w:szCs w:val="14"/>
                <w:b w:val="1"/>
                <w:bCs w:val="1"/>
                <w:color w:val="FFFFFF"/>
              </w:rPr>
              <w:t>(g)</w:t>
            </w:r>
          </w:p>
        </w:tc>
        <w:tc>
          <w:tcPr>
            <w:tcW w:w="900" w:type="dxa"/>
            <w:vAlign w:val="bottom"/>
            <w:shd w:val="clear" w:color="auto" w:fill="F75E14"/>
          </w:tcPr>
          <w:p>
            <w:pPr>
              <w:jc w:val="right"/>
              <w:ind w:right="349"/>
              <w:spacing w:after="0"/>
              <w:rPr>
                <w:sz w:val="20"/>
                <w:szCs w:val="20"/>
                <w:color w:val="auto"/>
              </w:rPr>
            </w:pPr>
            <w:r>
              <w:rPr>
                <w:rFonts w:ascii="Arial" w:cs="Arial" w:eastAsia="Arial" w:hAnsi="Arial"/>
                <w:sz w:val="14"/>
                <w:szCs w:val="14"/>
                <w:b w:val="1"/>
                <w:bCs w:val="1"/>
                <w:color w:val="FFFFFF"/>
              </w:rPr>
              <w:t>(h)</w:t>
            </w:r>
          </w:p>
        </w:tc>
        <w:tc>
          <w:tcPr>
            <w:tcW w:w="0" w:type="dxa"/>
            <w:vAlign w:val="bottom"/>
          </w:tcPr>
          <w:p>
            <w:pPr>
              <w:spacing w:after="0"/>
              <w:rPr>
                <w:sz w:val="1"/>
                <w:szCs w:val="1"/>
                <w:color w:val="auto"/>
              </w:rPr>
            </w:pPr>
          </w:p>
        </w:tc>
      </w:tr>
      <w:tr>
        <w:trPr>
          <w:trHeight w:val="214"/>
        </w:trPr>
        <w:tc>
          <w:tcPr>
            <w:tcW w:w="2900" w:type="dxa"/>
            <w:vAlign w:val="bottom"/>
            <w:shd w:val="clear" w:color="auto" w:fill="D8E8EF"/>
          </w:tcPr>
          <w:p>
            <w:pPr>
              <w:ind w:left="100"/>
              <w:spacing w:after="0"/>
              <w:rPr>
                <w:sz w:val="20"/>
                <w:szCs w:val="20"/>
                <w:color w:val="auto"/>
              </w:rPr>
            </w:pPr>
            <w:r>
              <w:rPr>
                <w:rFonts w:ascii="Arial" w:cs="Arial" w:eastAsia="Arial" w:hAnsi="Arial"/>
                <w:sz w:val="14"/>
                <w:szCs w:val="14"/>
                <w:color w:val="auto"/>
              </w:rPr>
              <w:t>Atsushi Abe</w:t>
            </w:r>
          </w:p>
        </w:tc>
        <w:tc>
          <w:tcPr>
            <w:tcW w:w="1160" w:type="dxa"/>
            <w:vAlign w:val="bottom"/>
            <w:shd w:val="clear" w:color="auto" w:fill="D8E8EF"/>
          </w:tcPr>
          <w:p>
            <w:pPr>
              <w:jc w:val="right"/>
              <w:ind w:right="149"/>
              <w:spacing w:after="0"/>
              <w:rPr>
                <w:sz w:val="20"/>
                <w:szCs w:val="20"/>
                <w:color w:val="auto"/>
              </w:rPr>
            </w:pPr>
            <w:r>
              <w:rPr>
                <w:rFonts w:ascii="Arial" w:cs="Arial" w:eastAsia="Arial" w:hAnsi="Arial"/>
                <w:sz w:val="14"/>
                <w:szCs w:val="14"/>
                <w:color w:val="auto"/>
              </w:rPr>
              <w:t>92,847</w:t>
            </w:r>
          </w:p>
        </w:tc>
        <w:tc>
          <w:tcPr>
            <w:tcW w:w="980" w:type="dxa"/>
            <w:vAlign w:val="bottom"/>
            <w:shd w:val="clear" w:color="auto" w:fill="D8E8EF"/>
          </w:tcPr>
          <w:p>
            <w:pPr>
              <w:jc w:val="right"/>
              <w:ind w:right="149"/>
              <w:spacing w:after="0"/>
              <w:rPr>
                <w:sz w:val="20"/>
                <w:szCs w:val="20"/>
                <w:color w:val="auto"/>
              </w:rPr>
            </w:pPr>
            <w:r>
              <w:rPr>
                <w:rFonts w:ascii="Arial" w:cs="Arial" w:eastAsia="Arial" w:hAnsi="Arial"/>
                <w:sz w:val="14"/>
                <w:szCs w:val="14"/>
                <w:color w:val="auto"/>
              </w:rPr>
              <w:t>205,018</w:t>
            </w:r>
          </w:p>
        </w:tc>
        <w:tc>
          <w:tcPr>
            <w:tcW w:w="900" w:type="dxa"/>
            <w:vAlign w:val="bottom"/>
            <w:shd w:val="clear" w:color="auto" w:fill="D8E8EF"/>
          </w:tcPr>
          <w:p>
            <w:pPr>
              <w:jc w:val="center"/>
              <w:spacing w:after="0"/>
              <w:rPr>
                <w:sz w:val="20"/>
                <w:szCs w:val="20"/>
                <w:color w:val="auto"/>
              </w:rPr>
            </w:pPr>
            <w:r>
              <w:rPr>
                <w:rFonts w:ascii="Arial" w:cs="Arial" w:eastAsia="Arial" w:hAnsi="Arial"/>
                <w:sz w:val="14"/>
                <w:szCs w:val="14"/>
                <w:color w:val="auto"/>
              </w:rPr>
              <w:t>0</w:t>
            </w:r>
          </w:p>
        </w:tc>
        <w:tc>
          <w:tcPr>
            <w:tcW w:w="1380" w:type="dxa"/>
            <w:vAlign w:val="bottom"/>
            <w:shd w:val="clear" w:color="auto" w:fill="D8E8EF"/>
          </w:tcPr>
          <w:p>
            <w:pPr>
              <w:jc w:val="center"/>
              <w:spacing w:after="0"/>
              <w:rPr>
                <w:sz w:val="20"/>
                <w:szCs w:val="20"/>
                <w:color w:val="auto"/>
              </w:rPr>
            </w:pPr>
            <w:r>
              <w:rPr>
                <w:rFonts w:ascii="Arial" w:cs="Arial" w:eastAsia="Arial" w:hAnsi="Arial"/>
                <w:sz w:val="14"/>
                <w:szCs w:val="14"/>
                <w:color w:val="auto"/>
              </w:rPr>
              <w:t>0</w:t>
            </w:r>
          </w:p>
        </w:tc>
        <w:tc>
          <w:tcPr>
            <w:tcW w:w="1380" w:type="dxa"/>
            <w:vAlign w:val="bottom"/>
            <w:shd w:val="clear" w:color="auto" w:fill="D8E8EF"/>
          </w:tcPr>
          <w:p>
            <w:pPr>
              <w:jc w:val="center"/>
              <w:spacing w:after="0"/>
              <w:rPr>
                <w:sz w:val="20"/>
                <w:szCs w:val="20"/>
                <w:color w:val="auto"/>
              </w:rPr>
            </w:pPr>
            <w:r>
              <w:rPr>
                <w:rFonts w:ascii="Arial" w:cs="Arial" w:eastAsia="Arial" w:hAnsi="Arial"/>
                <w:sz w:val="14"/>
                <w:szCs w:val="14"/>
                <w:color w:val="auto"/>
              </w:rPr>
              <w:t>0</w:t>
            </w:r>
          </w:p>
        </w:tc>
        <w:tc>
          <w:tcPr>
            <w:tcW w:w="1320" w:type="dxa"/>
            <w:vAlign w:val="bottom"/>
            <w:shd w:val="clear" w:color="auto" w:fill="D8E8EF"/>
          </w:tcPr>
          <w:p>
            <w:pPr>
              <w:jc w:val="center"/>
              <w:spacing w:after="0"/>
              <w:rPr>
                <w:sz w:val="20"/>
                <w:szCs w:val="20"/>
                <w:color w:val="auto"/>
              </w:rPr>
            </w:pPr>
            <w:r>
              <w:rPr>
                <w:rFonts w:ascii="Arial" w:cs="Arial" w:eastAsia="Arial" w:hAnsi="Arial"/>
                <w:sz w:val="14"/>
                <w:szCs w:val="14"/>
                <w:color w:val="auto"/>
              </w:rPr>
              <w:t>0</w:t>
            </w:r>
          </w:p>
        </w:tc>
        <w:tc>
          <w:tcPr>
            <w:tcW w:w="900" w:type="dxa"/>
            <w:vAlign w:val="bottom"/>
            <w:shd w:val="clear" w:color="auto" w:fill="D8E8EF"/>
          </w:tcPr>
          <w:p>
            <w:pPr>
              <w:jc w:val="right"/>
              <w:ind w:right="149"/>
              <w:spacing w:after="0"/>
              <w:rPr>
                <w:sz w:val="20"/>
                <w:szCs w:val="20"/>
                <w:color w:val="auto"/>
              </w:rPr>
            </w:pPr>
            <w:r>
              <w:rPr>
                <w:rFonts w:ascii="Arial" w:cs="Arial" w:eastAsia="Arial" w:hAnsi="Arial"/>
                <w:sz w:val="14"/>
                <w:szCs w:val="14"/>
                <w:color w:val="auto"/>
              </w:rPr>
              <w:t>297,865</w:t>
            </w:r>
          </w:p>
        </w:tc>
        <w:tc>
          <w:tcPr>
            <w:tcW w:w="0" w:type="dxa"/>
            <w:vAlign w:val="bottom"/>
          </w:tcPr>
          <w:p>
            <w:pPr>
              <w:spacing w:after="0"/>
              <w:rPr>
                <w:sz w:val="1"/>
                <w:szCs w:val="1"/>
                <w:color w:val="auto"/>
              </w:rPr>
            </w:pPr>
          </w:p>
        </w:tc>
      </w:tr>
      <w:tr>
        <w:trPr>
          <w:trHeight w:val="210"/>
        </w:trPr>
        <w:tc>
          <w:tcPr>
            <w:tcW w:w="2900" w:type="dxa"/>
            <w:vAlign w:val="bottom"/>
          </w:tcPr>
          <w:p>
            <w:pPr>
              <w:ind w:left="100"/>
              <w:spacing w:after="0"/>
              <w:rPr>
                <w:sz w:val="20"/>
                <w:szCs w:val="20"/>
                <w:color w:val="auto"/>
              </w:rPr>
            </w:pPr>
            <w:r>
              <w:rPr>
                <w:rFonts w:ascii="Arial" w:cs="Arial" w:eastAsia="Arial" w:hAnsi="Arial"/>
                <w:sz w:val="14"/>
                <w:szCs w:val="14"/>
                <w:color w:val="auto"/>
              </w:rPr>
              <w:t>Alan Campbell</w:t>
            </w:r>
          </w:p>
        </w:tc>
        <w:tc>
          <w:tcPr>
            <w:tcW w:w="1160" w:type="dxa"/>
            <w:vAlign w:val="bottom"/>
          </w:tcPr>
          <w:p>
            <w:pPr>
              <w:jc w:val="right"/>
              <w:ind w:right="149"/>
              <w:spacing w:after="0"/>
              <w:rPr>
                <w:sz w:val="20"/>
                <w:szCs w:val="20"/>
                <w:color w:val="auto"/>
              </w:rPr>
            </w:pPr>
            <w:r>
              <w:rPr>
                <w:rFonts w:ascii="Arial" w:cs="Arial" w:eastAsia="Arial" w:hAnsi="Arial"/>
                <w:sz w:val="14"/>
                <w:szCs w:val="14"/>
                <w:color w:val="auto"/>
              </w:rPr>
              <w:t>207,885</w:t>
            </w:r>
          </w:p>
        </w:tc>
        <w:tc>
          <w:tcPr>
            <w:tcW w:w="980" w:type="dxa"/>
            <w:vAlign w:val="bottom"/>
          </w:tcPr>
          <w:p>
            <w:pPr>
              <w:jc w:val="right"/>
              <w:ind w:right="149"/>
              <w:spacing w:after="0"/>
              <w:rPr>
                <w:sz w:val="20"/>
                <w:szCs w:val="20"/>
                <w:color w:val="auto"/>
              </w:rPr>
            </w:pPr>
            <w:r>
              <w:rPr>
                <w:rFonts w:ascii="Arial" w:cs="Arial" w:eastAsia="Arial" w:hAnsi="Arial"/>
                <w:sz w:val="14"/>
                <w:szCs w:val="14"/>
                <w:color w:val="auto"/>
              </w:rPr>
              <w:t>205,018</w:t>
            </w:r>
          </w:p>
        </w:tc>
        <w:tc>
          <w:tcPr>
            <w:tcW w:w="900" w:type="dxa"/>
            <w:vAlign w:val="bottom"/>
          </w:tcPr>
          <w:p>
            <w:pPr>
              <w:jc w:val="center"/>
              <w:spacing w:after="0"/>
              <w:rPr>
                <w:sz w:val="20"/>
                <w:szCs w:val="20"/>
                <w:color w:val="auto"/>
              </w:rPr>
            </w:pPr>
            <w:r>
              <w:rPr>
                <w:rFonts w:ascii="Arial" w:cs="Arial" w:eastAsia="Arial" w:hAnsi="Arial"/>
                <w:sz w:val="14"/>
                <w:szCs w:val="14"/>
                <w:color w:val="auto"/>
              </w:rPr>
              <w:t>0</w:t>
            </w:r>
          </w:p>
        </w:tc>
        <w:tc>
          <w:tcPr>
            <w:tcW w:w="1380" w:type="dxa"/>
            <w:vAlign w:val="bottom"/>
          </w:tcPr>
          <w:p>
            <w:pPr>
              <w:jc w:val="center"/>
              <w:spacing w:after="0"/>
              <w:rPr>
                <w:sz w:val="20"/>
                <w:szCs w:val="20"/>
                <w:color w:val="auto"/>
              </w:rPr>
            </w:pPr>
            <w:r>
              <w:rPr>
                <w:rFonts w:ascii="Arial" w:cs="Arial" w:eastAsia="Arial" w:hAnsi="Arial"/>
                <w:sz w:val="14"/>
                <w:szCs w:val="14"/>
                <w:color w:val="auto"/>
              </w:rPr>
              <w:t>0</w:t>
            </w:r>
          </w:p>
        </w:tc>
        <w:tc>
          <w:tcPr>
            <w:tcW w:w="1380" w:type="dxa"/>
            <w:vAlign w:val="bottom"/>
          </w:tcPr>
          <w:p>
            <w:pPr>
              <w:jc w:val="center"/>
              <w:spacing w:after="0"/>
              <w:rPr>
                <w:sz w:val="20"/>
                <w:szCs w:val="20"/>
                <w:color w:val="auto"/>
              </w:rPr>
            </w:pPr>
            <w:r>
              <w:rPr>
                <w:rFonts w:ascii="Arial" w:cs="Arial" w:eastAsia="Arial" w:hAnsi="Arial"/>
                <w:sz w:val="14"/>
                <w:szCs w:val="14"/>
                <w:color w:val="auto"/>
              </w:rPr>
              <w:t>0</w:t>
            </w:r>
          </w:p>
        </w:tc>
        <w:tc>
          <w:tcPr>
            <w:tcW w:w="1320" w:type="dxa"/>
            <w:vAlign w:val="bottom"/>
          </w:tcPr>
          <w:p>
            <w:pPr>
              <w:jc w:val="center"/>
              <w:spacing w:after="0"/>
              <w:rPr>
                <w:sz w:val="20"/>
                <w:szCs w:val="20"/>
                <w:color w:val="auto"/>
              </w:rPr>
            </w:pPr>
            <w:r>
              <w:rPr>
                <w:rFonts w:ascii="Arial" w:cs="Arial" w:eastAsia="Arial" w:hAnsi="Arial"/>
                <w:sz w:val="14"/>
                <w:szCs w:val="14"/>
                <w:color w:val="auto"/>
              </w:rPr>
              <w:t>0</w:t>
            </w:r>
          </w:p>
        </w:tc>
        <w:tc>
          <w:tcPr>
            <w:tcW w:w="900" w:type="dxa"/>
            <w:vAlign w:val="bottom"/>
          </w:tcPr>
          <w:p>
            <w:pPr>
              <w:jc w:val="right"/>
              <w:ind w:right="149"/>
              <w:spacing w:after="0"/>
              <w:rPr>
                <w:sz w:val="20"/>
                <w:szCs w:val="20"/>
                <w:color w:val="auto"/>
              </w:rPr>
            </w:pPr>
            <w:r>
              <w:rPr>
                <w:rFonts w:ascii="Arial" w:cs="Arial" w:eastAsia="Arial" w:hAnsi="Arial"/>
                <w:sz w:val="14"/>
                <w:szCs w:val="14"/>
                <w:color w:val="auto"/>
              </w:rPr>
              <w:t>412,903</w:t>
            </w:r>
          </w:p>
        </w:tc>
        <w:tc>
          <w:tcPr>
            <w:tcW w:w="0" w:type="dxa"/>
            <w:vAlign w:val="bottom"/>
          </w:tcPr>
          <w:p>
            <w:pPr>
              <w:spacing w:after="0"/>
              <w:rPr>
                <w:sz w:val="1"/>
                <w:szCs w:val="1"/>
                <w:color w:val="auto"/>
              </w:rPr>
            </w:pPr>
          </w:p>
        </w:tc>
      </w:tr>
      <w:tr>
        <w:trPr>
          <w:trHeight w:val="218"/>
        </w:trPr>
        <w:tc>
          <w:tcPr>
            <w:tcW w:w="2900" w:type="dxa"/>
            <w:vAlign w:val="bottom"/>
            <w:shd w:val="clear" w:color="auto" w:fill="D8E8EF"/>
          </w:tcPr>
          <w:p>
            <w:pPr>
              <w:ind w:left="100"/>
              <w:spacing w:after="0"/>
              <w:rPr>
                <w:sz w:val="20"/>
                <w:szCs w:val="20"/>
                <w:color w:val="auto"/>
              </w:rPr>
            </w:pPr>
            <w:r>
              <w:rPr>
                <w:rFonts w:ascii="Arial" w:cs="Arial" w:eastAsia="Arial" w:hAnsi="Arial"/>
                <w:sz w:val="14"/>
                <w:szCs w:val="14"/>
                <w:color w:val="auto"/>
              </w:rPr>
              <w:t>Susan K. Carter</w:t>
            </w:r>
          </w:p>
        </w:tc>
        <w:tc>
          <w:tcPr>
            <w:tcW w:w="1160" w:type="dxa"/>
            <w:vAlign w:val="bottom"/>
            <w:shd w:val="clear" w:color="auto" w:fill="D8E8EF"/>
          </w:tcPr>
          <w:p>
            <w:pPr>
              <w:jc w:val="right"/>
              <w:ind w:right="149"/>
              <w:spacing w:after="0"/>
              <w:rPr>
                <w:sz w:val="20"/>
                <w:szCs w:val="20"/>
                <w:color w:val="auto"/>
              </w:rPr>
            </w:pPr>
            <w:r>
              <w:rPr>
                <w:rFonts w:ascii="Arial" w:cs="Arial" w:eastAsia="Arial" w:hAnsi="Arial"/>
                <w:sz w:val="14"/>
                <w:szCs w:val="14"/>
                <w:color w:val="auto"/>
              </w:rPr>
              <w:t>104,828</w:t>
            </w:r>
          </w:p>
        </w:tc>
        <w:tc>
          <w:tcPr>
            <w:tcW w:w="980" w:type="dxa"/>
            <w:vAlign w:val="bottom"/>
            <w:shd w:val="clear" w:color="auto" w:fill="D8E8EF"/>
          </w:tcPr>
          <w:p>
            <w:pPr>
              <w:jc w:val="right"/>
              <w:ind w:right="149"/>
              <w:spacing w:after="0"/>
              <w:rPr>
                <w:sz w:val="20"/>
                <w:szCs w:val="20"/>
                <w:color w:val="auto"/>
              </w:rPr>
            </w:pPr>
            <w:r>
              <w:rPr>
                <w:rFonts w:ascii="Arial" w:cs="Arial" w:eastAsia="Arial" w:hAnsi="Arial"/>
                <w:sz w:val="14"/>
                <w:szCs w:val="14"/>
                <w:color w:val="auto"/>
              </w:rPr>
              <w:t>205,018</w:t>
            </w:r>
          </w:p>
        </w:tc>
        <w:tc>
          <w:tcPr>
            <w:tcW w:w="900" w:type="dxa"/>
            <w:vAlign w:val="bottom"/>
            <w:shd w:val="clear" w:color="auto" w:fill="D8E8EF"/>
          </w:tcPr>
          <w:p>
            <w:pPr>
              <w:jc w:val="center"/>
              <w:spacing w:after="0"/>
              <w:rPr>
                <w:sz w:val="20"/>
                <w:szCs w:val="20"/>
                <w:color w:val="auto"/>
              </w:rPr>
            </w:pPr>
            <w:r>
              <w:rPr>
                <w:rFonts w:ascii="Arial" w:cs="Arial" w:eastAsia="Arial" w:hAnsi="Arial"/>
                <w:sz w:val="14"/>
                <w:szCs w:val="14"/>
                <w:color w:val="auto"/>
              </w:rPr>
              <w:t>0</w:t>
            </w:r>
          </w:p>
        </w:tc>
        <w:tc>
          <w:tcPr>
            <w:tcW w:w="1380" w:type="dxa"/>
            <w:vAlign w:val="bottom"/>
            <w:shd w:val="clear" w:color="auto" w:fill="D8E8EF"/>
          </w:tcPr>
          <w:p>
            <w:pPr>
              <w:jc w:val="center"/>
              <w:spacing w:after="0"/>
              <w:rPr>
                <w:sz w:val="20"/>
                <w:szCs w:val="20"/>
                <w:color w:val="auto"/>
              </w:rPr>
            </w:pPr>
            <w:r>
              <w:rPr>
                <w:rFonts w:ascii="Arial" w:cs="Arial" w:eastAsia="Arial" w:hAnsi="Arial"/>
                <w:sz w:val="14"/>
                <w:szCs w:val="14"/>
                <w:color w:val="auto"/>
              </w:rPr>
              <w:t>0</w:t>
            </w:r>
          </w:p>
        </w:tc>
        <w:tc>
          <w:tcPr>
            <w:tcW w:w="1380" w:type="dxa"/>
            <w:vAlign w:val="bottom"/>
            <w:shd w:val="clear" w:color="auto" w:fill="D8E8EF"/>
          </w:tcPr>
          <w:p>
            <w:pPr>
              <w:jc w:val="center"/>
              <w:spacing w:after="0"/>
              <w:rPr>
                <w:sz w:val="20"/>
                <w:szCs w:val="20"/>
                <w:color w:val="auto"/>
              </w:rPr>
            </w:pPr>
            <w:r>
              <w:rPr>
                <w:rFonts w:ascii="Arial" w:cs="Arial" w:eastAsia="Arial" w:hAnsi="Arial"/>
                <w:sz w:val="14"/>
                <w:szCs w:val="14"/>
                <w:color w:val="auto"/>
              </w:rPr>
              <w:t>0</w:t>
            </w:r>
          </w:p>
        </w:tc>
        <w:tc>
          <w:tcPr>
            <w:tcW w:w="1320" w:type="dxa"/>
            <w:vAlign w:val="bottom"/>
            <w:shd w:val="clear" w:color="auto" w:fill="D8E8EF"/>
          </w:tcPr>
          <w:p>
            <w:pPr>
              <w:jc w:val="center"/>
              <w:spacing w:after="0"/>
              <w:rPr>
                <w:sz w:val="20"/>
                <w:szCs w:val="20"/>
                <w:color w:val="auto"/>
              </w:rPr>
            </w:pPr>
            <w:r>
              <w:rPr>
                <w:rFonts w:ascii="Arial" w:cs="Arial" w:eastAsia="Arial" w:hAnsi="Arial"/>
                <w:sz w:val="14"/>
                <w:szCs w:val="14"/>
                <w:color w:val="auto"/>
              </w:rPr>
              <w:t>0</w:t>
            </w:r>
          </w:p>
        </w:tc>
        <w:tc>
          <w:tcPr>
            <w:tcW w:w="900" w:type="dxa"/>
            <w:vAlign w:val="bottom"/>
            <w:shd w:val="clear" w:color="auto" w:fill="D8E8EF"/>
          </w:tcPr>
          <w:p>
            <w:pPr>
              <w:jc w:val="right"/>
              <w:ind w:right="149"/>
              <w:spacing w:after="0"/>
              <w:rPr>
                <w:sz w:val="20"/>
                <w:szCs w:val="20"/>
                <w:color w:val="auto"/>
              </w:rPr>
            </w:pPr>
            <w:r>
              <w:rPr>
                <w:rFonts w:ascii="Arial" w:cs="Arial" w:eastAsia="Arial" w:hAnsi="Arial"/>
                <w:sz w:val="14"/>
                <w:szCs w:val="14"/>
                <w:color w:val="auto"/>
              </w:rPr>
              <w:t>309,846</w:t>
            </w:r>
          </w:p>
        </w:tc>
        <w:tc>
          <w:tcPr>
            <w:tcW w:w="0" w:type="dxa"/>
            <w:vAlign w:val="bottom"/>
          </w:tcPr>
          <w:p>
            <w:pPr>
              <w:spacing w:after="0"/>
              <w:rPr>
                <w:sz w:val="1"/>
                <w:szCs w:val="1"/>
                <w:color w:val="auto"/>
              </w:rPr>
            </w:pPr>
          </w:p>
        </w:tc>
      </w:tr>
      <w:tr>
        <w:trPr>
          <w:trHeight w:val="210"/>
        </w:trPr>
        <w:tc>
          <w:tcPr>
            <w:tcW w:w="2900" w:type="dxa"/>
            <w:vAlign w:val="bottom"/>
          </w:tcPr>
          <w:p>
            <w:pPr>
              <w:ind w:left="100"/>
              <w:spacing w:after="0"/>
              <w:rPr>
                <w:sz w:val="20"/>
                <w:szCs w:val="20"/>
                <w:color w:val="auto"/>
              </w:rPr>
            </w:pPr>
            <w:r>
              <w:rPr>
                <w:rFonts w:ascii="Arial" w:cs="Arial" w:eastAsia="Arial" w:hAnsi="Arial"/>
                <w:sz w:val="14"/>
                <w:szCs w:val="14"/>
                <w:color w:val="auto"/>
              </w:rPr>
              <w:t>Thomas L. Deitrich</w:t>
            </w:r>
          </w:p>
        </w:tc>
        <w:tc>
          <w:tcPr>
            <w:tcW w:w="1160" w:type="dxa"/>
            <w:vAlign w:val="bottom"/>
          </w:tcPr>
          <w:p>
            <w:pPr>
              <w:jc w:val="right"/>
              <w:ind w:right="149"/>
              <w:spacing w:after="0"/>
              <w:rPr>
                <w:sz w:val="20"/>
                <w:szCs w:val="20"/>
                <w:color w:val="auto"/>
              </w:rPr>
            </w:pPr>
            <w:r>
              <w:rPr>
                <w:rFonts w:ascii="Arial" w:cs="Arial" w:eastAsia="Arial" w:hAnsi="Arial"/>
                <w:sz w:val="14"/>
                <w:szCs w:val="14"/>
                <w:color w:val="auto"/>
              </w:rPr>
              <w:t>80,577</w:t>
            </w:r>
          </w:p>
        </w:tc>
        <w:tc>
          <w:tcPr>
            <w:tcW w:w="980" w:type="dxa"/>
            <w:vAlign w:val="bottom"/>
          </w:tcPr>
          <w:p>
            <w:pPr>
              <w:jc w:val="right"/>
              <w:ind w:right="149"/>
              <w:spacing w:after="0"/>
              <w:rPr>
                <w:sz w:val="20"/>
                <w:szCs w:val="20"/>
                <w:color w:val="auto"/>
              </w:rPr>
            </w:pPr>
            <w:r>
              <w:rPr>
                <w:rFonts w:ascii="Arial" w:cs="Arial" w:eastAsia="Arial" w:hAnsi="Arial"/>
                <w:sz w:val="14"/>
                <w:szCs w:val="14"/>
                <w:color w:val="auto"/>
              </w:rPr>
              <w:t>205,018</w:t>
            </w:r>
          </w:p>
        </w:tc>
        <w:tc>
          <w:tcPr>
            <w:tcW w:w="900" w:type="dxa"/>
            <w:vAlign w:val="bottom"/>
          </w:tcPr>
          <w:p>
            <w:pPr>
              <w:jc w:val="center"/>
              <w:spacing w:after="0"/>
              <w:rPr>
                <w:sz w:val="20"/>
                <w:szCs w:val="20"/>
                <w:color w:val="auto"/>
              </w:rPr>
            </w:pPr>
            <w:r>
              <w:rPr>
                <w:rFonts w:ascii="Arial" w:cs="Arial" w:eastAsia="Arial" w:hAnsi="Arial"/>
                <w:sz w:val="14"/>
                <w:szCs w:val="14"/>
                <w:color w:val="auto"/>
              </w:rPr>
              <w:t>0</w:t>
            </w:r>
          </w:p>
        </w:tc>
        <w:tc>
          <w:tcPr>
            <w:tcW w:w="1380" w:type="dxa"/>
            <w:vAlign w:val="bottom"/>
          </w:tcPr>
          <w:p>
            <w:pPr>
              <w:jc w:val="center"/>
              <w:spacing w:after="0"/>
              <w:rPr>
                <w:sz w:val="20"/>
                <w:szCs w:val="20"/>
                <w:color w:val="auto"/>
              </w:rPr>
            </w:pPr>
            <w:r>
              <w:rPr>
                <w:rFonts w:ascii="Arial" w:cs="Arial" w:eastAsia="Arial" w:hAnsi="Arial"/>
                <w:sz w:val="14"/>
                <w:szCs w:val="14"/>
                <w:color w:val="auto"/>
              </w:rPr>
              <w:t>0</w:t>
            </w:r>
          </w:p>
        </w:tc>
        <w:tc>
          <w:tcPr>
            <w:tcW w:w="1380" w:type="dxa"/>
            <w:vAlign w:val="bottom"/>
          </w:tcPr>
          <w:p>
            <w:pPr>
              <w:jc w:val="center"/>
              <w:spacing w:after="0"/>
              <w:rPr>
                <w:sz w:val="20"/>
                <w:szCs w:val="20"/>
                <w:color w:val="auto"/>
              </w:rPr>
            </w:pPr>
            <w:r>
              <w:rPr>
                <w:rFonts w:ascii="Arial" w:cs="Arial" w:eastAsia="Arial" w:hAnsi="Arial"/>
                <w:sz w:val="14"/>
                <w:szCs w:val="14"/>
                <w:color w:val="auto"/>
              </w:rPr>
              <w:t>0</w:t>
            </w:r>
          </w:p>
        </w:tc>
        <w:tc>
          <w:tcPr>
            <w:tcW w:w="1320" w:type="dxa"/>
            <w:vAlign w:val="bottom"/>
          </w:tcPr>
          <w:p>
            <w:pPr>
              <w:jc w:val="center"/>
              <w:spacing w:after="0"/>
              <w:rPr>
                <w:sz w:val="20"/>
                <w:szCs w:val="20"/>
                <w:color w:val="auto"/>
              </w:rPr>
            </w:pPr>
            <w:r>
              <w:rPr>
                <w:rFonts w:ascii="Arial" w:cs="Arial" w:eastAsia="Arial" w:hAnsi="Arial"/>
                <w:sz w:val="14"/>
                <w:szCs w:val="14"/>
                <w:color w:val="auto"/>
              </w:rPr>
              <w:t>0</w:t>
            </w:r>
          </w:p>
        </w:tc>
        <w:tc>
          <w:tcPr>
            <w:tcW w:w="900" w:type="dxa"/>
            <w:vAlign w:val="bottom"/>
          </w:tcPr>
          <w:p>
            <w:pPr>
              <w:jc w:val="right"/>
              <w:ind w:right="149"/>
              <w:spacing w:after="0"/>
              <w:rPr>
                <w:sz w:val="20"/>
                <w:szCs w:val="20"/>
                <w:color w:val="auto"/>
              </w:rPr>
            </w:pPr>
            <w:r>
              <w:rPr>
                <w:rFonts w:ascii="Arial" w:cs="Arial" w:eastAsia="Arial" w:hAnsi="Arial"/>
                <w:sz w:val="14"/>
                <w:szCs w:val="14"/>
                <w:color w:val="auto"/>
              </w:rPr>
              <w:t>285,595</w:t>
            </w:r>
          </w:p>
        </w:tc>
        <w:tc>
          <w:tcPr>
            <w:tcW w:w="0" w:type="dxa"/>
            <w:vAlign w:val="bottom"/>
          </w:tcPr>
          <w:p>
            <w:pPr>
              <w:spacing w:after="0"/>
              <w:rPr>
                <w:sz w:val="1"/>
                <w:szCs w:val="1"/>
                <w:color w:val="auto"/>
              </w:rPr>
            </w:pPr>
          </w:p>
        </w:tc>
      </w:tr>
      <w:tr>
        <w:trPr>
          <w:trHeight w:val="218"/>
        </w:trPr>
        <w:tc>
          <w:tcPr>
            <w:tcW w:w="2900" w:type="dxa"/>
            <w:vAlign w:val="bottom"/>
            <w:shd w:val="clear" w:color="auto" w:fill="D8E8EF"/>
          </w:tcPr>
          <w:p>
            <w:pPr>
              <w:ind w:left="100"/>
              <w:spacing w:after="0"/>
              <w:rPr>
                <w:sz w:val="20"/>
                <w:szCs w:val="20"/>
                <w:color w:val="auto"/>
              </w:rPr>
            </w:pPr>
            <w:r>
              <w:rPr>
                <w:rFonts w:ascii="Arial" w:cs="Arial" w:eastAsia="Arial" w:hAnsi="Arial"/>
                <w:sz w:val="14"/>
                <w:szCs w:val="14"/>
                <w:color w:val="auto"/>
              </w:rPr>
              <w:t>Gilles Delfassy</w:t>
            </w:r>
          </w:p>
        </w:tc>
        <w:tc>
          <w:tcPr>
            <w:tcW w:w="1160" w:type="dxa"/>
            <w:vAlign w:val="bottom"/>
            <w:shd w:val="clear" w:color="auto" w:fill="D8E8EF"/>
          </w:tcPr>
          <w:p>
            <w:pPr>
              <w:jc w:val="right"/>
              <w:ind w:right="149"/>
              <w:spacing w:after="0"/>
              <w:rPr>
                <w:sz w:val="20"/>
                <w:szCs w:val="20"/>
                <w:color w:val="auto"/>
              </w:rPr>
            </w:pPr>
            <w:r>
              <w:rPr>
                <w:rFonts w:ascii="Arial" w:cs="Arial" w:eastAsia="Arial" w:hAnsi="Arial"/>
                <w:sz w:val="14"/>
                <w:szCs w:val="14"/>
                <w:color w:val="auto"/>
              </w:rPr>
              <w:t>92,615</w:t>
            </w:r>
          </w:p>
        </w:tc>
        <w:tc>
          <w:tcPr>
            <w:tcW w:w="980" w:type="dxa"/>
            <w:vAlign w:val="bottom"/>
            <w:shd w:val="clear" w:color="auto" w:fill="D8E8EF"/>
          </w:tcPr>
          <w:p>
            <w:pPr>
              <w:jc w:val="right"/>
              <w:ind w:right="149"/>
              <w:spacing w:after="0"/>
              <w:rPr>
                <w:sz w:val="20"/>
                <w:szCs w:val="20"/>
                <w:color w:val="auto"/>
              </w:rPr>
            </w:pPr>
            <w:r>
              <w:rPr>
                <w:rFonts w:ascii="Arial" w:cs="Arial" w:eastAsia="Arial" w:hAnsi="Arial"/>
                <w:sz w:val="14"/>
                <w:szCs w:val="14"/>
                <w:color w:val="auto"/>
              </w:rPr>
              <w:t>205,018</w:t>
            </w:r>
          </w:p>
        </w:tc>
        <w:tc>
          <w:tcPr>
            <w:tcW w:w="900" w:type="dxa"/>
            <w:vAlign w:val="bottom"/>
            <w:shd w:val="clear" w:color="auto" w:fill="D8E8EF"/>
          </w:tcPr>
          <w:p>
            <w:pPr>
              <w:jc w:val="center"/>
              <w:spacing w:after="0"/>
              <w:rPr>
                <w:sz w:val="20"/>
                <w:szCs w:val="20"/>
                <w:color w:val="auto"/>
              </w:rPr>
            </w:pPr>
            <w:r>
              <w:rPr>
                <w:rFonts w:ascii="Arial" w:cs="Arial" w:eastAsia="Arial" w:hAnsi="Arial"/>
                <w:sz w:val="14"/>
                <w:szCs w:val="14"/>
                <w:color w:val="auto"/>
              </w:rPr>
              <w:t>0</w:t>
            </w:r>
          </w:p>
        </w:tc>
        <w:tc>
          <w:tcPr>
            <w:tcW w:w="1380" w:type="dxa"/>
            <w:vAlign w:val="bottom"/>
            <w:shd w:val="clear" w:color="auto" w:fill="D8E8EF"/>
          </w:tcPr>
          <w:p>
            <w:pPr>
              <w:jc w:val="center"/>
              <w:spacing w:after="0"/>
              <w:rPr>
                <w:sz w:val="20"/>
                <w:szCs w:val="20"/>
                <w:color w:val="auto"/>
              </w:rPr>
            </w:pPr>
            <w:r>
              <w:rPr>
                <w:rFonts w:ascii="Arial" w:cs="Arial" w:eastAsia="Arial" w:hAnsi="Arial"/>
                <w:sz w:val="14"/>
                <w:szCs w:val="14"/>
                <w:color w:val="auto"/>
              </w:rPr>
              <w:t>0</w:t>
            </w:r>
          </w:p>
        </w:tc>
        <w:tc>
          <w:tcPr>
            <w:tcW w:w="1380" w:type="dxa"/>
            <w:vAlign w:val="bottom"/>
            <w:shd w:val="clear" w:color="auto" w:fill="D8E8EF"/>
          </w:tcPr>
          <w:p>
            <w:pPr>
              <w:jc w:val="center"/>
              <w:spacing w:after="0"/>
              <w:rPr>
                <w:sz w:val="20"/>
                <w:szCs w:val="20"/>
                <w:color w:val="auto"/>
              </w:rPr>
            </w:pPr>
            <w:r>
              <w:rPr>
                <w:rFonts w:ascii="Arial" w:cs="Arial" w:eastAsia="Arial" w:hAnsi="Arial"/>
                <w:sz w:val="14"/>
                <w:szCs w:val="14"/>
                <w:color w:val="auto"/>
              </w:rPr>
              <w:t>0</w:t>
            </w:r>
          </w:p>
        </w:tc>
        <w:tc>
          <w:tcPr>
            <w:tcW w:w="1320" w:type="dxa"/>
            <w:vAlign w:val="bottom"/>
            <w:shd w:val="clear" w:color="auto" w:fill="D8E8EF"/>
          </w:tcPr>
          <w:p>
            <w:pPr>
              <w:jc w:val="center"/>
              <w:spacing w:after="0"/>
              <w:rPr>
                <w:sz w:val="20"/>
                <w:szCs w:val="20"/>
                <w:color w:val="auto"/>
              </w:rPr>
            </w:pPr>
            <w:r>
              <w:rPr>
                <w:rFonts w:ascii="Arial" w:cs="Arial" w:eastAsia="Arial" w:hAnsi="Arial"/>
                <w:sz w:val="14"/>
                <w:szCs w:val="14"/>
                <w:color w:val="auto"/>
              </w:rPr>
              <w:t>0</w:t>
            </w:r>
          </w:p>
        </w:tc>
        <w:tc>
          <w:tcPr>
            <w:tcW w:w="900" w:type="dxa"/>
            <w:vAlign w:val="bottom"/>
            <w:shd w:val="clear" w:color="auto" w:fill="D8E8EF"/>
          </w:tcPr>
          <w:p>
            <w:pPr>
              <w:jc w:val="right"/>
              <w:ind w:right="149"/>
              <w:spacing w:after="0"/>
              <w:rPr>
                <w:sz w:val="20"/>
                <w:szCs w:val="20"/>
                <w:color w:val="auto"/>
              </w:rPr>
            </w:pPr>
            <w:r>
              <w:rPr>
                <w:rFonts w:ascii="Arial" w:cs="Arial" w:eastAsia="Arial" w:hAnsi="Arial"/>
                <w:sz w:val="14"/>
                <w:szCs w:val="14"/>
                <w:color w:val="auto"/>
              </w:rPr>
              <w:t>297,633</w:t>
            </w:r>
          </w:p>
        </w:tc>
        <w:tc>
          <w:tcPr>
            <w:tcW w:w="0" w:type="dxa"/>
            <w:vAlign w:val="bottom"/>
          </w:tcPr>
          <w:p>
            <w:pPr>
              <w:spacing w:after="0"/>
              <w:rPr>
                <w:sz w:val="1"/>
                <w:szCs w:val="1"/>
                <w:color w:val="auto"/>
              </w:rPr>
            </w:pPr>
          </w:p>
        </w:tc>
      </w:tr>
      <w:tr>
        <w:trPr>
          <w:trHeight w:val="210"/>
        </w:trPr>
        <w:tc>
          <w:tcPr>
            <w:tcW w:w="2900" w:type="dxa"/>
            <w:vAlign w:val="bottom"/>
          </w:tcPr>
          <w:p>
            <w:pPr>
              <w:ind w:left="100"/>
              <w:spacing w:after="0"/>
              <w:rPr>
                <w:sz w:val="20"/>
                <w:szCs w:val="20"/>
                <w:color w:val="auto"/>
              </w:rPr>
            </w:pPr>
            <w:r>
              <w:rPr>
                <w:rFonts w:ascii="Arial" w:cs="Arial" w:eastAsia="Arial" w:hAnsi="Arial"/>
                <w:sz w:val="14"/>
                <w:szCs w:val="14"/>
                <w:color w:val="auto"/>
              </w:rPr>
              <w:t>Hassane El-Khoury</w:t>
            </w:r>
          </w:p>
        </w:tc>
        <w:tc>
          <w:tcPr>
            <w:tcW w:w="1160" w:type="dxa"/>
            <w:vAlign w:val="bottom"/>
          </w:tcPr>
          <w:p>
            <w:pPr>
              <w:jc w:val="right"/>
              <w:ind w:right="149"/>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49"/>
              <w:spacing w:after="0"/>
              <w:rPr>
                <w:sz w:val="20"/>
                <w:szCs w:val="20"/>
                <w:color w:val="auto"/>
              </w:rPr>
            </w:pPr>
            <w:r>
              <w:rPr>
                <w:rFonts w:ascii="Arial" w:cs="Arial" w:eastAsia="Arial" w:hAnsi="Arial"/>
                <w:sz w:val="14"/>
                <w:szCs w:val="14"/>
                <w:color w:val="auto"/>
              </w:rPr>
              <w:t>—</w:t>
            </w:r>
          </w:p>
        </w:tc>
        <w:tc>
          <w:tcPr>
            <w:tcW w:w="9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3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3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3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900" w:type="dxa"/>
            <w:vAlign w:val="bottom"/>
          </w:tcPr>
          <w:p>
            <w:pPr>
              <w:jc w:val="right"/>
              <w:ind w:right="14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8"/>
        </w:trPr>
        <w:tc>
          <w:tcPr>
            <w:tcW w:w="2900" w:type="dxa"/>
            <w:vAlign w:val="bottom"/>
            <w:shd w:val="clear" w:color="auto" w:fill="D8E8EF"/>
          </w:tcPr>
          <w:p>
            <w:pPr>
              <w:ind w:left="100"/>
              <w:spacing w:after="0"/>
              <w:rPr>
                <w:sz w:val="20"/>
                <w:szCs w:val="20"/>
                <w:color w:val="auto"/>
              </w:rPr>
            </w:pPr>
            <w:r>
              <w:rPr>
                <w:rFonts w:ascii="Arial" w:cs="Arial" w:eastAsia="Arial" w:hAnsi="Arial"/>
                <w:sz w:val="14"/>
                <w:szCs w:val="14"/>
                <w:color w:val="auto"/>
              </w:rPr>
              <w:t>Emmanuel T. Hernandez (4)</w:t>
            </w:r>
          </w:p>
        </w:tc>
        <w:tc>
          <w:tcPr>
            <w:tcW w:w="1160" w:type="dxa"/>
            <w:vAlign w:val="bottom"/>
            <w:shd w:val="clear" w:color="auto" w:fill="D8E8EF"/>
          </w:tcPr>
          <w:p>
            <w:pPr>
              <w:jc w:val="right"/>
              <w:ind w:right="149"/>
              <w:spacing w:after="0"/>
              <w:rPr>
                <w:sz w:val="20"/>
                <w:szCs w:val="20"/>
                <w:color w:val="auto"/>
              </w:rPr>
            </w:pPr>
            <w:r>
              <w:rPr>
                <w:rFonts w:ascii="Arial" w:cs="Arial" w:eastAsia="Arial" w:hAnsi="Arial"/>
                <w:sz w:val="14"/>
                <w:szCs w:val="14"/>
                <w:color w:val="auto"/>
              </w:rPr>
              <w:t>27,466</w:t>
            </w:r>
          </w:p>
        </w:tc>
        <w:tc>
          <w:tcPr>
            <w:tcW w:w="980" w:type="dxa"/>
            <w:vAlign w:val="bottom"/>
            <w:shd w:val="clear" w:color="auto" w:fill="D8E8EF"/>
          </w:tcPr>
          <w:p>
            <w:pPr>
              <w:jc w:val="right"/>
              <w:ind w:right="149"/>
              <w:spacing w:after="0"/>
              <w:rPr>
                <w:sz w:val="20"/>
                <w:szCs w:val="20"/>
                <w:color w:val="auto"/>
              </w:rPr>
            </w:pPr>
            <w:r>
              <w:rPr>
                <w:rFonts w:ascii="Arial" w:cs="Arial" w:eastAsia="Arial" w:hAnsi="Arial"/>
                <w:sz w:val="14"/>
                <w:szCs w:val="14"/>
                <w:color w:val="auto"/>
              </w:rPr>
              <w:t>0</w:t>
            </w:r>
          </w:p>
        </w:tc>
        <w:tc>
          <w:tcPr>
            <w:tcW w:w="900" w:type="dxa"/>
            <w:vAlign w:val="bottom"/>
            <w:shd w:val="clear" w:color="auto" w:fill="D8E8EF"/>
          </w:tcPr>
          <w:p>
            <w:pPr>
              <w:jc w:val="center"/>
              <w:spacing w:after="0"/>
              <w:rPr>
                <w:sz w:val="20"/>
                <w:szCs w:val="20"/>
                <w:color w:val="auto"/>
              </w:rPr>
            </w:pPr>
            <w:r>
              <w:rPr>
                <w:rFonts w:ascii="Arial" w:cs="Arial" w:eastAsia="Arial" w:hAnsi="Arial"/>
                <w:sz w:val="14"/>
                <w:szCs w:val="14"/>
                <w:color w:val="auto"/>
              </w:rPr>
              <w:t>0</w:t>
            </w:r>
          </w:p>
        </w:tc>
        <w:tc>
          <w:tcPr>
            <w:tcW w:w="1380" w:type="dxa"/>
            <w:vAlign w:val="bottom"/>
            <w:shd w:val="clear" w:color="auto" w:fill="D8E8EF"/>
          </w:tcPr>
          <w:p>
            <w:pPr>
              <w:jc w:val="center"/>
              <w:spacing w:after="0"/>
              <w:rPr>
                <w:sz w:val="20"/>
                <w:szCs w:val="20"/>
                <w:color w:val="auto"/>
              </w:rPr>
            </w:pPr>
            <w:r>
              <w:rPr>
                <w:rFonts w:ascii="Arial" w:cs="Arial" w:eastAsia="Arial" w:hAnsi="Arial"/>
                <w:sz w:val="14"/>
                <w:szCs w:val="14"/>
                <w:color w:val="auto"/>
              </w:rPr>
              <w:t>0</w:t>
            </w:r>
          </w:p>
        </w:tc>
        <w:tc>
          <w:tcPr>
            <w:tcW w:w="1380" w:type="dxa"/>
            <w:vAlign w:val="bottom"/>
            <w:shd w:val="clear" w:color="auto" w:fill="D8E8EF"/>
          </w:tcPr>
          <w:p>
            <w:pPr>
              <w:jc w:val="center"/>
              <w:spacing w:after="0"/>
              <w:rPr>
                <w:sz w:val="20"/>
                <w:szCs w:val="20"/>
                <w:color w:val="auto"/>
              </w:rPr>
            </w:pPr>
            <w:r>
              <w:rPr>
                <w:rFonts w:ascii="Arial" w:cs="Arial" w:eastAsia="Arial" w:hAnsi="Arial"/>
                <w:sz w:val="14"/>
                <w:szCs w:val="14"/>
                <w:color w:val="auto"/>
              </w:rPr>
              <w:t>0</w:t>
            </w:r>
          </w:p>
        </w:tc>
        <w:tc>
          <w:tcPr>
            <w:tcW w:w="1320" w:type="dxa"/>
            <w:vAlign w:val="bottom"/>
            <w:shd w:val="clear" w:color="auto" w:fill="D8E8EF"/>
          </w:tcPr>
          <w:p>
            <w:pPr>
              <w:jc w:val="center"/>
              <w:spacing w:after="0"/>
              <w:rPr>
                <w:sz w:val="20"/>
                <w:szCs w:val="20"/>
                <w:color w:val="auto"/>
              </w:rPr>
            </w:pPr>
            <w:r>
              <w:rPr>
                <w:rFonts w:ascii="Arial" w:cs="Arial" w:eastAsia="Arial" w:hAnsi="Arial"/>
                <w:sz w:val="14"/>
                <w:szCs w:val="14"/>
                <w:color w:val="auto"/>
              </w:rPr>
              <w:t>0</w:t>
            </w:r>
          </w:p>
        </w:tc>
        <w:tc>
          <w:tcPr>
            <w:tcW w:w="900" w:type="dxa"/>
            <w:vAlign w:val="bottom"/>
            <w:shd w:val="clear" w:color="auto" w:fill="D8E8EF"/>
          </w:tcPr>
          <w:p>
            <w:pPr>
              <w:jc w:val="right"/>
              <w:ind w:right="149"/>
              <w:spacing w:after="0"/>
              <w:rPr>
                <w:sz w:val="20"/>
                <w:szCs w:val="20"/>
                <w:color w:val="auto"/>
              </w:rPr>
            </w:pPr>
            <w:r>
              <w:rPr>
                <w:rFonts w:ascii="Arial" w:cs="Arial" w:eastAsia="Arial" w:hAnsi="Arial"/>
                <w:sz w:val="14"/>
                <w:szCs w:val="14"/>
                <w:color w:val="auto"/>
              </w:rPr>
              <w:t>27,466</w:t>
            </w:r>
          </w:p>
        </w:tc>
        <w:tc>
          <w:tcPr>
            <w:tcW w:w="0" w:type="dxa"/>
            <w:vAlign w:val="bottom"/>
          </w:tcPr>
          <w:p>
            <w:pPr>
              <w:spacing w:after="0"/>
              <w:rPr>
                <w:sz w:val="1"/>
                <w:szCs w:val="1"/>
                <w:color w:val="auto"/>
              </w:rPr>
            </w:pPr>
          </w:p>
        </w:tc>
      </w:tr>
      <w:tr>
        <w:trPr>
          <w:trHeight w:val="210"/>
        </w:trPr>
        <w:tc>
          <w:tcPr>
            <w:tcW w:w="2900" w:type="dxa"/>
            <w:vAlign w:val="bottom"/>
          </w:tcPr>
          <w:p>
            <w:pPr>
              <w:ind w:left="100"/>
              <w:spacing w:after="0"/>
              <w:rPr>
                <w:sz w:val="20"/>
                <w:szCs w:val="20"/>
                <w:color w:val="auto"/>
              </w:rPr>
            </w:pPr>
            <w:r>
              <w:rPr>
                <w:rFonts w:ascii="Arial" w:cs="Arial" w:eastAsia="Arial" w:hAnsi="Arial"/>
                <w:sz w:val="14"/>
                <w:szCs w:val="14"/>
                <w:color w:val="auto"/>
              </w:rPr>
              <w:t>Bruce E. Kiddoo</w:t>
            </w:r>
          </w:p>
        </w:tc>
        <w:tc>
          <w:tcPr>
            <w:tcW w:w="1160" w:type="dxa"/>
            <w:vAlign w:val="bottom"/>
          </w:tcPr>
          <w:p>
            <w:pPr>
              <w:jc w:val="right"/>
              <w:ind w:right="149"/>
              <w:spacing w:after="0"/>
              <w:rPr>
                <w:sz w:val="20"/>
                <w:szCs w:val="20"/>
                <w:color w:val="auto"/>
              </w:rPr>
            </w:pPr>
            <w:r>
              <w:rPr>
                <w:rFonts w:ascii="Arial" w:cs="Arial" w:eastAsia="Arial" w:hAnsi="Arial"/>
                <w:sz w:val="14"/>
                <w:szCs w:val="14"/>
                <w:color w:val="auto"/>
              </w:rPr>
              <w:t>88,077</w:t>
            </w:r>
          </w:p>
        </w:tc>
        <w:tc>
          <w:tcPr>
            <w:tcW w:w="980" w:type="dxa"/>
            <w:vAlign w:val="bottom"/>
          </w:tcPr>
          <w:p>
            <w:pPr>
              <w:jc w:val="right"/>
              <w:ind w:right="149"/>
              <w:spacing w:after="0"/>
              <w:rPr>
                <w:sz w:val="20"/>
                <w:szCs w:val="20"/>
                <w:color w:val="auto"/>
              </w:rPr>
            </w:pPr>
            <w:r>
              <w:rPr>
                <w:rFonts w:ascii="Arial" w:cs="Arial" w:eastAsia="Arial" w:hAnsi="Arial"/>
                <w:sz w:val="14"/>
                <w:szCs w:val="14"/>
                <w:color w:val="auto"/>
              </w:rPr>
              <w:t>298,258</w:t>
            </w:r>
          </w:p>
        </w:tc>
        <w:tc>
          <w:tcPr>
            <w:tcW w:w="900" w:type="dxa"/>
            <w:vAlign w:val="bottom"/>
          </w:tcPr>
          <w:p>
            <w:pPr>
              <w:jc w:val="center"/>
              <w:spacing w:after="0"/>
              <w:rPr>
                <w:sz w:val="20"/>
                <w:szCs w:val="20"/>
                <w:color w:val="auto"/>
              </w:rPr>
            </w:pPr>
            <w:r>
              <w:rPr>
                <w:rFonts w:ascii="Arial" w:cs="Arial" w:eastAsia="Arial" w:hAnsi="Arial"/>
                <w:sz w:val="14"/>
                <w:szCs w:val="14"/>
                <w:color w:val="auto"/>
              </w:rPr>
              <w:t>0</w:t>
            </w:r>
          </w:p>
        </w:tc>
        <w:tc>
          <w:tcPr>
            <w:tcW w:w="1380" w:type="dxa"/>
            <w:vAlign w:val="bottom"/>
          </w:tcPr>
          <w:p>
            <w:pPr>
              <w:jc w:val="center"/>
              <w:spacing w:after="0"/>
              <w:rPr>
                <w:sz w:val="20"/>
                <w:szCs w:val="20"/>
                <w:color w:val="auto"/>
              </w:rPr>
            </w:pPr>
            <w:r>
              <w:rPr>
                <w:rFonts w:ascii="Arial" w:cs="Arial" w:eastAsia="Arial" w:hAnsi="Arial"/>
                <w:sz w:val="14"/>
                <w:szCs w:val="14"/>
                <w:color w:val="auto"/>
              </w:rPr>
              <w:t>0</w:t>
            </w:r>
          </w:p>
        </w:tc>
        <w:tc>
          <w:tcPr>
            <w:tcW w:w="1380" w:type="dxa"/>
            <w:vAlign w:val="bottom"/>
          </w:tcPr>
          <w:p>
            <w:pPr>
              <w:jc w:val="center"/>
              <w:spacing w:after="0"/>
              <w:rPr>
                <w:sz w:val="20"/>
                <w:szCs w:val="20"/>
                <w:color w:val="auto"/>
              </w:rPr>
            </w:pPr>
            <w:r>
              <w:rPr>
                <w:rFonts w:ascii="Arial" w:cs="Arial" w:eastAsia="Arial" w:hAnsi="Arial"/>
                <w:sz w:val="14"/>
                <w:szCs w:val="14"/>
                <w:color w:val="auto"/>
              </w:rPr>
              <w:t>0</w:t>
            </w:r>
          </w:p>
        </w:tc>
        <w:tc>
          <w:tcPr>
            <w:tcW w:w="1320" w:type="dxa"/>
            <w:vAlign w:val="bottom"/>
          </w:tcPr>
          <w:p>
            <w:pPr>
              <w:jc w:val="center"/>
              <w:spacing w:after="0"/>
              <w:rPr>
                <w:sz w:val="20"/>
                <w:szCs w:val="20"/>
                <w:color w:val="auto"/>
              </w:rPr>
            </w:pPr>
            <w:r>
              <w:rPr>
                <w:rFonts w:ascii="Arial" w:cs="Arial" w:eastAsia="Arial" w:hAnsi="Arial"/>
                <w:sz w:val="14"/>
                <w:szCs w:val="14"/>
                <w:color w:val="auto"/>
              </w:rPr>
              <w:t>0</w:t>
            </w:r>
          </w:p>
        </w:tc>
        <w:tc>
          <w:tcPr>
            <w:tcW w:w="900" w:type="dxa"/>
            <w:vAlign w:val="bottom"/>
          </w:tcPr>
          <w:p>
            <w:pPr>
              <w:jc w:val="right"/>
              <w:ind w:right="149"/>
              <w:spacing w:after="0"/>
              <w:rPr>
                <w:sz w:val="20"/>
                <w:szCs w:val="20"/>
                <w:color w:val="auto"/>
              </w:rPr>
            </w:pPr>
            <w:r>
              <w:rPr>
                <w:rFonts w:ascii="Arial" w:cs="Arial" w:eastAsia="Arial" w:hAnsi="Arial"/>
                <w:sz w:val="14"/>
                <w:szCs w:val="14"/>
                <w:color w:val="auto"/>
              </w:rPr>
              <w:t>386,335</w:t>
            </w:r>
          </w:p>
        </w:tc>
        <w:tc>
          <w:tcPr>
            <w:tcW w:w="0" w:type="dxa"/>
            <w:vAlign w:val="bottom"/>
          </w:tcPr>
          <w:p>
            <w:pPr>
              <w:spacing w:after="0"/>
              <w:rPr>
                <w:sz w:val="1"/>
                <w:szCs w:val="1"/>
                <w:color w:val="auto"/>
              </w:rPr>
            </w:pPr>
          </w:p>
        </w:tc>
      </w:tr>
      <w:tr>
        <w:trPr>
          <w:trHeight w:val="218"/>
        </w:trPr>
        <w:tc>
          <w:tcPr>
            <w:tcW w:w="2900" w:type="dxa"/>
            <w:vAlign w:val="bottom"/>
            <w:shd w:val="clear" w:color="auto" w:fill="D8E8EF"/>
          </w:tcPr>
          <w:p>
            <w:pPr>
              <w:ind w:left="100"/>
              <w:spacing w:after="0"/>
              <w:rPr>
                <w:sz w:val="20"/>
                <w:szCs w:val="20"/>
                <w:color w:val="auto"/>
              </w:rPr>
            </w:pPr>
            <w:r>
              <w:rPr>
                <w:rFonts w:ascii="Arial" w:cs="Arial" w:eastAsia="Arial" w:hAnsi="Arial"/>
                <w:sz w:val="14"/>
                <w:szCs w:val="14"/>
                <w:color w:val="auto"/>
              </w:rPr>
              <w:t>Paul A. Mascarenas</w:t>
            </w:r>
          </w:p>
        </w:tc>
        <w:tc>
          <w:tcPr>
            <w:tcW w:w="1160" w:type="dxa"/>
            <w:vAlign w:val="bottom"/>
            <w:shd w:val="clear" w:color="auto" w:fill="D8E8EF"/>
          </w:tcPr>
          <w:p>
            <w:pPr>
              <w:jc w:val="right"/>
              <w:ind w:right="149"/>
              <w:spacing w:after="0"/>
              <w:rPr>
                <w:sz w:val="20"/>
                <w:szCs w:val="20"/>
                <w:color w:val="auto"/>
              </w:rPr>
            </w:pPr>
            <w:r>
              <w:rPr>
                <w:rFonts w:ascii="Arial" w:cs="Arial" w:eastAsia="Arial" w:hAnsi="Arial"/>
                <w:sz w:val="14"/>
                <w:szCs w:val="14"/>
                <w:color w:val="auto"/>
              </w:rPr>
              <w:t>98,077</w:t>
            </w:r>
          </w:p>
        </w:tc>
        <w:tc>
          <w:tcPr>
            <w:tcW w:w="980" w:type="dxa"/>
            <w:vAlign w:val="bottom"/>
            <w:shd w:val="clear" w:color="auto" w:fill="D8E8EF"/>
          </w:tcPr>
          <w:p>
            <w:pPr>
              <w:jc w:val="right"/>
              <w:ind w:right="149"/>
              <w:spacing w:after="0"/>
              <w:rPr>
                <w:sz w:val="20"/>
                <w:szCs w:val="20"/>
                <w:color w:val="auto"/>
              </w:rPr>
            </w:pPr>
            <w:r>
              <w:rPr>
                <w:rFonts w:ascii="Arial" w:cs="Arial" w:eastAsia="Arial" w:hAnsi="Arial"/>
                <w:sz w:val="14"/>
                <w:szCs w:val="14"/>
                <w:color w:val="auto"/>
              </w:rPr>
              <w:t>205,018</w:t>
            </w:r>
          </w:p>
        </w:tc>
        <w:tc>
          <w:tcPr>
            <w:tcW w:w="900" w:type="dxa"/>
            <w:vAlign w:val="bottom"/>
            <w:shd w:val="clear" w:color="auto" w:fill="D8E8EF"/>
          </w:tcPr>
          <w:p>
            <w:pPr>
              <w:jc w:val="center"/>
              <w:spacing w:after="0"/>
              <w:rPr>
                <w:sz w:val="20"/>
                <w:szCs w:val="20"/>
                <w:color w:val="auto"/>
              </w:rPr>
            </w:pPr>
            <w:r>
              <w:rPr>
                <w:rFonts w:ascii="Arial" w:cs="Arial" w:eastAsia="Arial" w:hAnsi="Arial"/>
                <w:sz w:val="14"/>
                <w:szCs w:val="14"/>
                <w:color w:val="auto"/>
              </w:rPr>
              <w:t>0</w:t>
            </w:r>
          </w:p>
        </w:tc>
        <w:tc>
          <w:tcPr>
            <w:tcW w:w="1380" w:type="dxa"/>
            <w:vAlign w:val="bottom"/>
            <w:shd w:val="clear" w:color="auto" w:fill="D8E8EF"/>
          </w:tcPr>
          <w:p>
            <w:pPr>
              <w:jc w:val="center"/>
              <w:spacing w:after="0"/>
              <w:rPr>
                <w:sz w:val="20"/>
                <w:szCs w:val="20"/>
                <w:color w:val="auto"/>
              </w:rPr>
            </w:pPr>
            <w:r>
              <w:rPr>
                <w:rFonts w:ascii="Arial" w:cs="Arial" w:eastAsia="Arial" w:hAnsi="Arial"/>
                <w:sz w:val="14"/>
                <w:szCs w:val="14"/>
                <w:color w:val="auto"/>
              </w:rPr>
              <w:t>0</w:t>
            </w:r>
          </w:p>
        </w:tc>
        <w:tc>
          <w:tcPr>
            <w:tcW w:w="1380" w:type="dxa"/>
            <w:vAlign w:val="bottom"/>
            <w:shd w:val="clear" w:color="auto" w:fill="D8E8EF"/>
          </w:tcPr>
          <w:p>
            <w:pPr>
              <w:jc w:val="center"/>
              <w:spacing w:after="0"/>
              <w:rPr>
                <w:sz w:val="20"/>
                <w:szCs w:val="20"/>
                <w:color w:val="auto"/>
              </w:rPr>
            </w:pPr>
            <w:r>
              <w:rPr>
                <w:rFonts w:ascii="Arial" w:cs="Arial" w:eastAsia="Arial" w:hAnsi="Arial"/>
                <w:sz w:val="14"/>
                <w:szCs w:val="14"/>
                <w:color w:val="auto"/>
              </w:rPr>
              <w:t>0</w:t>
            </w:r>
          </w:p>
        </w:tc>
        <w:tc>
          <w:tcPr>
            <w:tcW w:w="1320" w:type="dxa"/>
            <w:vAlign w:val="bottom"/>
            <w:shd w:val="clear" w:color="auto" w:fill="D8E8EF"/>
          </w:tcPr>
          <w:p>
            <w:pPr>
              <w:jc w:val="center"/>
              <w:spacing w:after="0"/>
              <w:rPr>
                <w:sz w:val="20"/>
                <w:szCs w:val="20"/>
                <w:color w:val="auto"/>
              </w:rPr>
            </w:pPr>
            <w:r>
              <w:rPr>
                <w:rFonts w:ascii="Arial" w:cs="Arial" w:eastAsia="Arial" w:hAnsi="Arial"/>
                <w:sz w:val="14"/>
                <w:szCs w:val="14"/>
                <w:color w:val="auto"/>
              </w:rPr>
              <w:t>0</w:t>
            </w:r>
          </w:p>
        </w:tc>
        <w:tc>
          <w:tcPr>
            <w:tcW w:w="900" w:type="dxa"/>
            <w:vAlign w:val="bottom"/>
            <w:shd w:val="clear" w:color="auto" w:fill="D8E8EF"/>
          </w:tcPr>
          <w:p>
            <w:pPr>
              <w:jc w:val="right"/>
              <w:ind w:right="149"/>
              <w:spacing w:after="0"/>
              <w:rPr>
                <w:sz w:val="20"/>
                <w:szCs w:val="20"/>
                <w:color w:val="auto"/>
              </w:rPr>
            </w:pPr>
            <w:r>
              <w:rPr>
                <w:rFonts w:ascii="Arial" w:cs="Arial" w:eastAsia="Arial" w:hAnsi="Arial"/>
                <w:sz w:val="14"/>
                <w:szCs w:val="14"/>
                <w:color w:val="auto"/>
              </w:rPr>
              <w:t>303,095</w:t>
            </w:r>
          </w:p>
        </w:tc>
        <w:tc>
          <w:tcPr>
            <w:tcW w:w="0" w:type="dxa"/>
            <w:vAlign w:val="bottom"/>
          </w:tcPr>
          <w:p>
            <w:pPr>
              <w:spacing w:after="0"/>
              <w:rPr>
                <w:sz w:val="1"/>
                <w:szCs w:val="1"/>
                <w:color w:val="auto"/>
              </w:rPr>
            </w:pPr>
          </w:p>
        </w:tc>
      </w:tr>
      <w:tr>
        <w:trPr>
          <w:trHeight w:val="210"/>
        </w:trPr>
        <w:tc>
          <w:tcPr>
            <w:tcW w:w="2900" w:type="dxa"/>
            <w:vAlign w:val="bottom"/>
          </w:tcPr>
          <w:p>
            <w:pPr>
              <w:ind w:left="100"/>
              <w:spacing w:after="0"/>
              <w:rPr>
                <w:sz w:val="20"/>
                <w:szCs w:val="20"/>
                <w:color w:val="auto"/>
              </w:rPr>
            </w:pPr>
            <w:r>
              <w:rPr>
                <w:rFonts w:ascii="Arial" w:cs="Arial" w:eastAsia="Arial" w:hAnsi="Arial"/>
                <w:sz w:val="14"/>
                <w:szCs w:val="14"/>
                <w:color w:val="auto"/>
              </w:rPr>
              <w:t>Gregory L. Waters</w:t>
            </w:r>
          </w:p>
        </w:tc>
        <w:tc>
          <w:tcPr>
            <w:tcW w:w="1160" w:type="dxa"/>
            <w:vAlign w:val="bottom"/>
          </w:tcPr>
          <w:p>
            <w:pPr>
              <w:jc w:val="right"/>
              <w:ind w:right="149"/>
              <w:spacing w:after="0"/>
              <w:rPr>
                <w:sz w:val="20"/>
                <w:szCs w:val="20"/>
                <w:color w:val="auto"/>
              </w:rPr>
            </w:pPr>
            <w:r>
              <w:rPr>
                <w:rFonts w:ascii="Arial" w:cs="Arial" w:eastAsia="Arial" w:hAnsi="Arial"/>
                <w:sz w:val="14"/>
                <w:szCs w:val="14"/>
                <w:color w:val="auto"/>
              </w:rPr>
              <w:t>81,488</w:t>
            </w:r>
          </w:p>
        </w:tc>
        <w:tc>
          <w:tcPr>
            <w:tcW w:w="980" w:type="dxa"/>
            <w:vAlign w:val="bottom"/>
          </w:tcPr>
          <w:p>
            <w:pPr>
              <w:jc w:val="right"/>
              <w:ind w:right="149"/>
              <w:spacing w:after="0"/>
              <w:rPr>
                <w:sz w:val="20"/>
                <w:szCs w:val="20"/>
                <w:color w:val="auto"/>
              </w:rPr>
            </w:pPr>
            <w:r>
              <w:rPr>
                <w:rFonts w:ascii="Arial" w:cs="Arial" w:eastAsia="Arial" w:hAnsi="Arial"/>
                <w:sz w:val="14"/>
                <w:szCs w:val="14"/>
                <w:color w:val="auto"/>
              </w:rPr>
              <w:t>298,258</w:t>
            </w:r>
          </w:p>
        </w:tc>
        <w:tc>
          <w:tcPr>
            <w:tcW w:w="900" w:type="dxa"/>
            <w:vAlign w:val="bottom"/>
          </w:tcPr>
          <w:p>
            <w:pPr>
              <w:jc w:val="center"/>
              <w:spacing w:after="0"/>
              <w:rPr>
                <w:sz w:val="20"/>
                <w:szCs w:val="20"/>
                <w:color w:val="auto"/>
              </w:rPr>
            </w:pPr>
            <w:r>
              <w:rPr>
                <w:rFonts w:ascii="Arial" w:cs="Arial" w:eastAsia="Arial" w:hAnsi="Arial"/>
                <w:sz w:val="14"/>
                <w:szCs w:val="14"/>
                <w:color w:val="auto"/>
              </w:rPr>
              <w:t>0</w:t>
            </w:r>
          </w:p>
        </w:tc>
        <w:tc>
          <w:tcPr>
            <w:tcW w:w="1380" w:type="dxa"/>
            <w:vAlign w:val="bottom"/>
          </w:tcPr>
          <w:p>
            <w:pPr>
              <w:jc w:val="center"/>
              <w:spacing w:after="0"/>
              <w:rPr>
                <w:sz w:val="20"/>
                <w:szCs w:val="20"/>
                <w:color w:val="auto"/>
              </w:rPr>
            </w:pPr>
            <w:r>
              <w:rPr>
                <w:rFonts w:ascii="Arial" w:cs="Arial" w:eastAsia="Arial" w:hAnsi="Arial"/>
                <w:sz w:val="14"/>
                <w:szCs w:val="14"/>
                <w:color w:val="auto"/>
              </w:rPr>
              <w:t>0</w:t>
            </w:r>
          </w:p>
        </w:tc>
        <w:tc>
          <w:tcPr>
            <w:tcW w:w="1380" w:type="dxa"/>
            <w:vAlign w:val="bottom"/>
          </w:tcPr>
          <w:p>
            <w:pPr>
              <w:jc w:val="center"/>
              <w:spacing w:after="0"/>
              <w:rPr>
                <w:sz w:val="20"/>
                <w:szCs w:val="20"/>
                <w:color w:val="auto"/>
              </w:rPr>
            </w:pPr>
            <w:r>
              <w:rPr>
                <w:rFonts w:ascii="Arial" w:cs="Arial" w:eastAsia="Arial" w:hAnsi="Arial"/>
                <w:sz w:val="14"/>
                <w:szCs w:val="14"/>
                <w:color w:val="auto"/>
              </w:rPr>
              <w:t>0</w:t>
            </w:r>
          </w:p>
        </w:tc>
        <w:tc>
          <w:tcPr>
            <w:tcW w:w="1320" w:type="dxa"/>
            <w:vAlign w:val="bottom"/>
          </w:tcPr>
          <w:p>
            <w:pPr>
              <w:jc w:val="center"/>
              <w:spacing w:after="0"/>
              <w:rPr>
                <w:sz w:val="20"/>
                <w:szCs w:val="20"/>
                <w:color w:val="auto"/>
              </w:rPr>
            </w:pPr>
            <w:r>
              <w:rPr>
                <w:rFonts w:ascii="Arial" w:cs="Arial" w:eastAsia="Arial" w:hAnsi="Arial"/>
                <w:sz w:val="14"/>
                <w:szCs w:val="14"/>
                <w:color w:val="auto"/>
              </w:rPr>
              <w:t>0</w:t>
            </w:r>
          </w:p>
        </w:tc>
        <w:tc>
          <w:tcPr>
            <w:tcW w:w="900" w:type="dxa"/>
            <w:vAlign w:val="bottom"/>
          </w:tcPr>
          <w:p>
            <w:pPr>
              <w:jc w:val="right"/>
              <w:ind w:right="149"/>
              <w:spacing w:after="0"/>
              <w:rPr>
                <w:sz w:val="20"/>
                <w:szCs w:val="20"/>
                <w:color w:val="auto"/>
              </w:rPr>
            </w:pPr>
            <w:r>
              <w:rPr>
                <w:rFonts w:ascii="Arial" w:cs="Arial" w:eastAsia="Arial" w:hAnsi="Arial"/>
                <w:sz w:val="14"/>
                <w:szCs w:val="14"/>
                <w:color w:val="auto"/>
              </w:rPr>
              <w:t>379,746</w:t>
            </w:r>
          </w:p>
        </w:tc>
        <w:tc>
          <w:tcPr>
            <w:tcW w:w="0" w:type="dxa"/>
            <w:vAlign w:val="bottom"/>
          </w:tcPr>
          <w:p>
            <w:pPr>
              <w:spacing w:after="0"/>
              <w:rPr>
                <w:sz w:val="1"/>
                <w:szCs w:val="1"/>
                <w:color w:val="auto"/>
              </w:rPr>
            </w:pPr>
          </w:p>
        </w:tc>
      </w:tr>
      <w:tr>
        <w:trPr>
          <w:trHeight w:val="214"/>
        </w:trPr>
        <w:tc>
          <w:tcPr>
            <w:tcW w:w="2900" w:type="dxa"/>
            <w:vAlign w:val="bottom"/>
            <w:tcBorders>
              <w:bottom w:val="single" w:sz="8" w:color="auto"/>
            </w:tcBorders>
            <w:shd w:val="clear" w:color="auto" w:fill="D8E8EF"/>
          </w:tcPr>
          <w:p>
            <w:pPr>
              <w:ind w:left="100"/>
              <w:spacing w:after="0"/>
              <w:rPr>
                <w:sz w:val="20"/>
                <w:szCs w:val="20"/>
                <w:color w:val="auto"/>
              </w:rPr>
            </w:pPr>
            <w:r>
              <w:rPr>
                <w:rFonts w:ascii="Arial" w:cs="Arial" w:eastAsia="Arial" w:hAnsi="Arial"/>
                <w:sz w:val="14"/>
                <w:szCs w:val="14"/>
                <w:color w:val="auto"/>
              </w:rPr>
              <w:t>Christine Y. Yan</w:t>
            </w:r>
          </w:p>
        </w:tc>
        <w:tc>
          <w:tcPr>
            <w:tcW w:w="1160" w:type="dxa"/>
            <w:vAlign w:val="bottom"/>
            <w:tcBorders>
              <w:bottom w:val="single" w:sz="8" w:color="auto"/>
            </w:tcBorders>
            <w:shd w:val="clear" w:color="auto" w:fill="D8E8EF"/>
          </w:tcPr>
          <w:p>
            <w:pPr>
              <w:jc w:val="right"/>
              <w:ind w:right="149"/>
              <w:spacing w:after="0"/>
              <w:rPr>
                <w:sz w:val="20"/>
                <w:szCs w:val="20"/>
                <w:color w:val="auto"/>
              </w:rPr>
            </w:pPr>
            <w:r>
              <w:rPr>
                <w:rFonts w:ascii="Arial" w:cs="Arial" w:eastAsia="Arial" w:hAnsi="Arial"/>
                <w:sz w:val="14"/>
                <w:szCs w:val="14"/>
                <w:color w:val="auto"/>
              </w:rPr>
              <w:t>97,847</w:t>
            </w:r>
          </w:p>
        </w:tc>
        <w:tc>
          <w:tcPr>
            <w:tcW w:w="980" w:type="dxa"/>
            <w:vAlign w:val="bottom"/>
            <w:tcBorders>
              <w:bottom w:val="single" w:sz="8" w:color="auto"/>
            </w:tcBorders>
            <w:shd w:val="clear" w:color="auto" w:fill="D8E8EF"/>
          </w:tcPr>
          <w:p>
            <w:pPr>
              <w:jc w:val="right"/>
              <w:ind w:right="149"/>
              <w:spacing w:after="0"/>
              <w:rPr>
                <w:sz w:val="20"/>
                <w:szCs w:val="20"/>
                <w:color w:val="auto"/>
              </w:rPr>
            </w:pPr>
            <w:r>
              <w:rPr>
                <w:rFonts w:ascii="Arial" w:cs="Arial" w:eastAsia="Arial" w:hAnsi="Arial"/>
                <w:sz w:val="14"/>
                <w:szCs w:val="14"/>
                <w:color w:val="auto"/>
              </w:rPr>
              <w:t>205,018</w:t>
            </w:r>
          </w:p>
        </w:tc>
        <w:tc>
          <w:tcPr>
            <w:tcW w:w="900" w:type="dxa"/>
            <w:vAlign w:val="bottom"/>
            <w:tcBorders>
              <w:bottom w:val="single" w:sz="8" w:color="auto"/>
            </w:tcBorders>
            <w:shd w:val="clear" w:color="auto" w:fill="D8E8EF"/>
          </w:tcPr>
          <w:p>
            <w:pPr>
              <w:jc w:val="center"/>
              <w:spacing w:after="0"/>
              <w:rPr>
                <w:sz w:val="20"/>
                <w:szCs w:val="20"/>
                <w:color w:val="auto"/>
              </w:rPr>
            </w:pPr>
            <w:r>
              <w:rPr>
                <w:rFonts w:ascii="Arial" w:cs="Arial" w:eastAsia="Arial" w:hAnsi="Arial"/>
                <w:sz w:val="14"/>
                <w:szCs w:val="14"/>
                <w:color w:val="auto"/>
              </w:rPr>
              <w:t>0</w:t>
            </w:r>
          </w:p>
        </w:tc>
        <w:tc>
          <w:tcPr>
            <w:tcW w:w="1380" w:type="dxa"/>
            <w:vAlign w:val="bottom"/>
            <w:tcBorders>
              <w:bottom w:val="single" w:sz="8" w:color="auto"/>
            </w:tcBorders>
            <w:shd w:val="clear" w:color="auto" w:fill="D8E8EF"/>
          </w:tcPr>
          <w:p>
            <w:pPr>
              <w:jc w:val="center"/>
              <w:spacing w:after="0"/>
              <w:rPr>
                <w:sz w:val="20"/>
                <w:szCs w:val="20"/>
                <w:color w:val="auto"/>
              </w:rPr>
            </w:pPr>
            <w:r>
              <w:rPr>
                <w:rFonts w:ascii="Arial" w:cs="Arial" w:eastAsia="Arial" w:hAnsi="Arial"/>
                <w:sz w:val="14"/>
                <w:szCs w:val="14"/>
                <w:color w:val="auto"/>
              </w:rPr>
              <w:t>0</w:t>
            </w:r>
          </w:p>
        </w:tc>
        <w:tc>
          <w:tcPr>
            <w:tcW w:w="1380" w:type="dxa"/>
            <w:vAlign w:val="bottom"/>
            <w:tcBorders>
              <w:bottom w:val="single" w:sz="8" w:color="auto"/>
            </w:tcBorders>
            <w:shd w:val="clear" w:color="auto" w:fill="D8E8EF"/>
          </w:tcPr>
          <w:p>
            <w:pPr>
              <w:jc w:val="center"/>
              <w:spacing w:after="0"/>
              <w:rPr>
                <w:sz w:val="20"/>
                <w:szCs w:val="20"/>
                <w:color w:val="auto"/>
              </w:rPr>
            </w:pPr>
            <w:r>
              <w:rPr>
                <w:rFonts w:ascii="Arial" w:cs="Arial" w:eastAsia="Arial" w:hAnsi="Arial"/>
                <w:sz w:val="14"/>
                <w:szCs w:val="14"/>
                <w:color w:val="auto"/>
              </w:rPr>
              <w:t>0</w:t>
            </w:r>
          </w:p>
        </w:tc>
        <w:tc>
          <w:tcPr>
            <w:tcW w:w="1320" w:type="dxa"/>
            <w:vAlign w:val="bottom"/>
            <w:tcBorders>
              <w:bottom w:val="single" w:sz="8" w:color="auto"/>
            </w:tcBorders>
            <w:shd w:val="clear" w:color="auto" w:fill="D8E8EF"/>
          </w:tcPr>
          <w:p>
            <w:pPr>
              <w:jc w:val="center"/>
              <w:spacing w:after="0"/>
              <w:rPr>
                <w:sz w:val="20"/>
                <w:szCs w:val="20"/>
                <w:color w:val="auto"/>
              </w:rPr>
            </w:pPr>
            <w:r>
              <w:rPr>
                <w:rFonts w:ascii="Arial" w:cs="Arial" w:eastAsia="Arial" w:hAnsi="Arial"/>
                <w:sz w:val="14"/>
                <w:szCs w:val="14"/>
                <w:color w:val="auto"/>
              </w:rPr>
              <w:t>0</w:t>
            </w:r>
          </w:p>
        </w:tc>
        <w:tc>
          <w:tcPr>
            <w:tcW w:w="900" w:type="dxa"/>
            <w:vAlign w:val="bottom"/>
            <w:tcBorders>
              <w:bottom w:val="single" w:sz="8" w:color="auto"/>
            </w:tcBorders>
            <w:shd w:val="clear" w:color="auto" w:fill="D8E8EF"/>
          </w:tcPr>
          <w:p>
            <w:pPr>
              <w:jc w:val="right"/>
              <w:ind w:right="149"/>
              <w:spacing w:after="0"/>
              <w:rPr>
                <w:sz w:val="20"/>
                <w:szCs w:val="20"/>
                <w:color w:val="auto"/>
              </w:rPr>
            </w:pPr>
            <w:r>
              <w:rPr>
                <w:rFonts w:ascii="Arial" w:cs="Arial" w:eastAsia="Arial" w:hAnsi="Arial"/>
                <w:sz w:val="14"/>
                <w:szCs w:val="14"/>
                <w:color w:val="auto"/>
              </w:rPr>
              <w:t>302,865</w:t>
            </w:r>
          </w:p>
        </w:tc>
        <w:tc>
          <w:tcPr>
            <w:tcW w:w="0" w:type="dxa"/>
            <w:vAlign w:val="bottom"/>
          </w:tcPr>
          <w:p>
            <w:pPr>
              <w:spacing w:after="0"/>
              <w:rPr>
                <w:sz w:val="1"/>
                <w:szCs w:val="1"/>
                <w:color w:val="auto"/>
              </w:rPr>
            </w:pPr>
          </w:p>
        </w:tc>
      </w:tr>
    </w:tbl>
    <w:p>
      <w:pPr>
        <w:spacing w:after="0" w:line="231" w:lineRule="exact"/>
        <w:rPr>
          <w:sz w:val="20"/>
          <w:szCs w:val="20"/>
          <w:color w:val="auto"/>
        </w:rPr>
      </w:pPr>
    </w:p>
    <w:p>
      <w:pPr>
        <w:ind w:left="1140" w:hanging="545"/>
        <w:spacing w:after="0"/>
        <w:tabs>
          <w:tab w:leader="none" w:pos="1140" w:val="left"/>
        </w:tabs>
        <w:numPr>
          <w:ilvl w:val="0"/>
          <w:numId w:val="35"/>
        </w:numPr>
        <w:rPr>
          <w:rFonts w:ascii="Arial" w:cs="Arial" w:eastAsia="Arial" w:hAnsi="Arial"/>
          <w:sz w:val="14"/>
          <w:szCs w:val="14"/>
          <w:color w:val="auto"/>
        </w:rPr>
      </w:pPr>
      <w:r>
        <w:rPr>
          <w:rFonts w:ascii="Arial" w:cs="Arial" w:eastAsia="Arial" w:hAnsi="Arial"/>
          <w:sz w:val="14"/>
          <w:szCs w:val="14"/>
          <w:color w:val="auto"/>
        </w:rPr>
        <w:t>This table includes compensation for services rendered in 2021 for all persons who served as Directors at any time during 2021.</w:t>
      </w:r>
    </w:p>
    <w:p>
      <w:pPr>
        <w:spacing w:after="0" w:line="13" w:lineRule="exact"/>
        <w:rPr>
          <w:rFonts w:ascii="Arial" w:cs="Arial" w:eastAsia="Arial" w:hAnsi="Arial"/>
          <w:sz w:val="14"/>
          <w:szCs w:val="14"/>
          <w:color w:val="auto"/>
        </w:rPr>
      </w:pPr>
    </w:p>
    <w:p>
      <w:pPr>
        <w:ind w:left="1140" w:hanging="545"/>
        <w:spacing w:after="0" w:line="239" w:lineRule="auto"/>
        <w:tabs>
          <w:tab w:leader="none" w:pos="1140" w:val="left"/>
        </w:tabs>
        <w:numPr>
          <w:ilvl w:val="0"/>
          <w:numId w:val="35"/>
        </w:numPr>
        <w:rPr>
          <w:rFonts w:ascii="Arial" w:cs="Arial" w:eastAsia="Arial" w:hAnsi="Arial"/>
          <w:sz w:val="14"/>
          <w:szCs w:val="14"/>
          <w:color w:val="auto"/>
        </w:rPr>
      </w:pPr>
      <w:r>
        <w:rPr>
          <w:rFonts w:ascii="Arial" w:cs="Arial" w:eastAsia="Arial" w:hAnsi="Arial"/>
          <w:sz w:val="14"/>
          <w:szCs w:val="14"/>
          <w:color w:val="auto"/>
        </w:rPr>
        <w:t>This column includes annual retainer fees earned for 2021, regardless of when paid. Compensation for service on the Board and on committees is prorated for the number of days served on the Board and on committees in the applicable capacities.</w:t>
      </w:r>
    </w:p>
    <w:p>
      <w:pPr>
        <w:jc w:val="both"/>
        <w:ind w:left="1140" w:hanging="545"/>
        <w:spacing w:after="0" w:line="239" w:lineRule="auto"/>
        <w:tabs>
          <w:tab w:leader="none" w:pos="1140" w:val="left"/>
        </w:tabs>
        <w:numPr>
          <w:ilvl w:val="0"/>
          <w:numId w:val="35"/>
        </w:numPr>
        <w:rPr>
          <w:rFonts w:ascii="Arial" w:cs="Arial" w:eastAsia="Arial" w:hAnsi="Arial"/>
          <w:sz w:val="14"/>
          <w:szCs w:val="14"/>
          <w:color w:val="auto"/>
        </w:rPr>
      </w:pPr>
      <w:r>
        <w:rPr>
          <w:rFonts w:ascii="Arial" w:cs="Arial" w:eastAsia="Arial" w:hAnsi="Arial"/>
          <w:sz w:val="14"/>
          <w:szCs w:val="14"/>
          <w:color w:val="auto"/>
        </w:rPr>
        <w:t>This column includes the aggregate grant date fair value computed in accordance with Financial Accounting Standards Board (“FASB”) Accounting Standards Codifications (“ASC”) Topic 718 with respect to awards of fully vested stock made in 2021. The 2021 awards consisted of an annual grant for all Outside Directors in the table above except for Mr. Hernandez, whose term ended as of the end of the first fiscal quarter of 2021. The grant date fair value for each grant is the closing price on the date of grant for stock grant awards to each Outside Director. As of December 31, 2021, none of the Outside Directors held any unvested stock.</w:t>
      </w:r>
    </w:p>
    <w:p>
      <w:pPr>
        <w:ind w:left="1140" w:hanging="545"/>
        <w:spacing w:after="0"/>
        <w:tabs>
          <w:tab w:leader="none" w:pos="1140" w:val="left"/>
        </w:tabs>
        <w:numPr>
          <w:ilvl w:val="0"/>
          <w:numId w:val="35"/>
        </w:numPr>
        <w:rPr>
          <w:rFonts w:ascii="Arial" w:cs="Arial" w:eastAsia="Arial" w:hAnsi="Arial"/>
          <w:sz w:val="14"/>
          <w:szCs w:val="14"/>
          <w:color w:val="auto"/>
        </w:rPr>
      </w:pPr>
      <w:r>
        <w:rPr>
          <w:rFonts w:ascii="Arial" w:cs="Arial" w:eastAsia="Arial" w:hAnsi="Arial"/>
          <w:sz w:val="14"/>
          <w:szCs w:val="14"/>
          <w:color w:val="auto"/>
        </w:rPr>
        <w:t>Mr. Hernandez resigned from his position on the Board effective as of the end of the first fiscal quarter of 2021.</w:t>
      </w:r>
    </w:p>
    <w:p>
      <w:pPr>
        <w:spacing w:after="0" w:line="190"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Discussion of Director Compensation</w:t>
      </w:r>
    </w:p>
    <w:p>
      <w:pPr>
        <w:spacing w:after="0" w:line="208" w:lineRule="exact"/>
        <w:rPr>
          <w:sz w:val="20"/>
          <w:szCs w:val="20"/>
          <w:color w:val="auto"/>
        </w:rPr>
      </w:pPr>
    </w:p>
    <w:p>
      <w:pPr>
        <w:jc w:val="both"/>
        <w:ind w:left="160"/>
        <w:spacing w:after="0"/>
        <w:rPr>
          <w:sz w:val="20"/>
          <w:szCs w:val="20"/>
          <w:color w:val="auto"/>
        </w:rPr>
      </w:pPr>
      <w:r>
        <w:rPr>
          <w:rFonts w:ascii="Arial" w:cs="Arial" w:eastAsia="Arial" w:hAnsi="Arial"/>
          <w:sz w:val="18"/>
          <w:szCs w:val="18"/>
          <w:color w:val="auto"/>
        </w:rPr>
        <w:t>The HCC Committee regularly reviews the compensation payable to Outside Directors. In reviewing Board compensation practices, the HCC Committee is advised by its outside consultants from time to time. In May 2021, the Company’s independent compensation consultant, Pearl Meyer &amp; Partners, LLC (“Pearl Meyer”), provided the HCC Committee with an analysis of Outside Director compensation, including a review of director compensation of the Company’s peer group (the “Pearl Meyer Director Compensation Report”). The peer group for this analysis consisted of the same comparator group that is used to evaluate executive compensation.</w:t>
      </w:r>
    </w:p>
    <w:p>
      <w:pPr>
        <w:spacing w:after="0" w:line="182" w:lineRule="exact"/>
        <w:rPr>
          <w:sz w:val="20"/>
          <w:szCs w:val="20"/>
          <w:color w:val="auto"/>
        </w:rPr>
      </w:pPr>
    </w:p>
    <w:p>
      <w:pPr>
        <w:jc w:val="both"/>
        <w:ind w:left="160"/>
        <w:spacing w:after="0" w:line="238" w:lineRule="auto"/>
        <w:rPr>
          <w:sz w:val="20"/>
          <w:szCs w:val="20"/>
          <w:color w:val="auto"/>
        </w:rPr>
      </w:pPr>
      <w:r>
        <w:rPr>
          <w:rFonts w:ascii="Arial" w:cs="Arial" w:eastAsia="Arial" w:hAnsi="Arial"/>
          <w:sz w:val="18"/>
          <w:szCs w:val="18"/>
          <w:color w:val="auto"/>
        </w:rPr>
        <w:t>In determining compensation and benefits for our Directors, the HCC Committee is guided by three goals: (i) to fairly pay Outside Directors for work required relating to Board service at a public company of our size and scope; (ii) to align Outside Directors’ interests with the long-term interests of our stockholders; and (iii) to structure the compensation in a way that is simple, transparent and easy for our stockholders to understand. Generally, the HCC Committee believes that these goals are served by compensating Outside Directors with a balance of cash and equity-based awards. Based on the Pearl Meyer Director Compensation Report and the recommendations therein, in May 2021, the HCC Committee adopted the 2021 compensation program for our Outside Directors (the “Outside Director Compensation Program”), which is described below.</w:t>
      </w:r>
    </w:p>
    <w:p>
      <w:pPr>
        <w:spacing w:after="0" w:line="124" w:lineRule="exact"/>
        <w:rPr>
          <w:sz w:val="20"/>
          <w:szCs w:val="20"/>
          <w:color w:val="auto"/>
        </w:rPr>
      </w:pPr>
    </w:p>
    <w:p>
      <w:pPr>
        <w:ind w:left="160"/>
        <w:spacing w:after="0"/>
        <w:tabs>
          <w:tab w:leader="none" w:pos="500" w:val="left"/>
        </w:tabs>
        <w:rPr>
          <w:sz w:val="20"/>
          <w:szCs w:val="20"/>
          <w:color w:val="auto"/>
        </w:rPr>
      </w:pPr>
      <w:r>
        <w:rPr>
          <w:rFonts w:ascii="Arial" w:cs="Arial" w:eastAsia="Arial" w:hAnsi="Arial"/>
          <w:sz w:val="14"/>
          <w:szCs w:val="14"/>
          <w:color w:val="F75E14"/>
        </w:rPr>
        <w:t>20</w:t>
        <w:tab/>
        <w:t>onsemi 2022 Proxy Statement</w:t>
      </w:r>
    </w:p>
    <w:p>
      <w:pPr>
        <w:sectPr>
          <w:pgSz w:w="11900" w:h="16838" w:orient="portrait"/>
          <w:cols w:equalWidth="0" w:num="1">
            <w:col w:w="11080"/>
          </w:cols>
          <w:pgMar w:left="320" w:top="454" w:right="49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2" w:lineRule="exact"/>
        <w:rPr>
          <w:sz w:val="20"/>
          <w:szCs w:val="20"/>
          <w:color w:val="auto"/>
        </w:rPr>
      </w:pPr>
    </w:p>
    <w:p>
      <w:pPr>
        <w:jc w:val="right"/>
        <w:spacing w:after="0"/>
        <w:rPr>
          <w:sz w:val="20"/>
          <w:szCs w:val="20"/>
          <w:color w:val="auto"/>
        </w:rPr>
      </w:pPr>
      <w:r>
        <w:rPr>
          <w:rFonts w:ascii="Arial" w:cs="Arial" w:eastAsia="Arial" w:hAnsi="Arial"/>
          <w:sz w:val="18"/>
          <w:szCs w:val="18"/>
          <w:color w:val="F75E14"/>
        </w:rPr>
        <w:t>The Board of Directors and Corporate Governance</w:t>
      </w:r>
    </w:p>
    <w:p>
      <w:pPr>
        <w:spacing w:after="0" w:line="14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Retainers</w:t>
      </w:r>
    </w:p>
    <w:p>
      <w:pPr>
        <w:spacing w:after="0" w:line="208" w:lineRule="exact"/>
        <w:rPr>
          <w:sz w:val="20"/>
          <w:szCs w:val="20"/>
          <w:color w:val="auto"/>
        </w:rPr>
      </w:pPr>
    </w:p>
    <w:p>
      <w:pPr>
        <w:jc w:val="both"/>
        <w:ind w:left="160"/>
        <w:spacing w:after="0" w:line="249" w:lineRule="auto"/>
        <w:rPr>
          <w:sz w:val="20"/>
          <w:szCs w:val="20"/>
          <w:color w:val="auto"/>
        </w:rPr>
      </w:pPr>
      <w:r>
        <w:rPr>
          <w:rFonts w:ascii="Arial" w:cs="Arial" w:eastAsia="Arial" w:hAnsi="Arial"/>
          <w:sz w:val="18"/>
          <w:szCs w:val="18"/>
          <w:color w:val="auto"/>
        </w:rPr>
        <w:t>Under the Outside Director Compensation Program, the annual cash retainers for Outside Directors were increased from $70,000 to $75,000 and an additional cash retainer for the Chair of the Board was increased from $100,000 to $ 120,000, respectively, but they otherwise remained consistent with the retainers paid during the previous year. Retainers for 2021 were as follows:</w:t>
      </w:r>
    </w:p>
    <w:p>
      <w:pPr>
        <w:spacing w:after="0" w:line="217" w:lineRule="exact"/>
        <w:rPr>
          <w:sz w:val="20"/>
          <w:szCs w:val="20"/>
          <w:color w:val="auto"/>
        </w:rPr>
      </w:pPr>
    </w:p>
    <w:tbl>
      <w:tblPr>
        <w:tblLayout w:type="fixed"/>
        <w:tblInd w:w="940" w:type="dxa"/>
        <w:tblCellMar>
          <w:top w:w="0" w:type="dxa"/>
          <w:left w:w="0" w:type="dxa"/>
          <w:bottom w:w="0" w:type="dxa"/>
          <w:right w:w="0" w:type="dxa"/>
        </w:tblCellMar>
      </w:tblPr>
      <w:tr>
        <w:trPr>
          <w:trHeight w:val="241"/>
        </w:trPr>
        <w:tc>
          <w:tcPr>
            <w:tcW w:w="5600" w:type="dxa"/>
            <w:vAlign w:val="bottom"/>
            <w:shd w:val="clear" w:color="auto" w:fill="F75E14"/>
          </w:tcPr>
          <w:p>
            <w:pPr>
              <w:ind w:left="40"/>
              <w:spacing w:after="0"/>
              <w:rPr>
                <w:sz w:val="20"/>
                <w:szCs w:val="20"/>
                <w:color w:val="auto"/>
              </w:rPr>
            </w:pPr>
            <w:r>
              <w:rPr>
                <w:rFonts w:ascii="Arial" w:cs="Arial" w:eastAsia="Arial" w:hAnsi="Arial"/>
                <w:sz w:val="16"/>
                <w:szCs w:val="16"/>
                <w:b w:val="1"/>
                <w:bCs w:val="1"/>
                <w:color w:val="FFFFFF"/>
              </w:rPr>
              <w:t>Position</w:t>
            </w:r>
          </w:p>
        </w:tc>
        <w:tc>
          <w:tcPr>
            <w:tcW w:w="3780" w:type="dxa"/>
            <w:vAlign w:val="bottom"/>
            <w:shd w:val="clear" w:color="auto" w:fill="F75E14"/>
          </w:tcPr>
          <w:p>
            <w:pPr>
              <w:jc w:val="right"/>
              <w:ind w:right="380"/>
              <w:spacing w:after="0"/>
              <w:rPr>
                <w:sz w:val="20"/>
                <w:szCs w:val="20"/>
                <w:color w:val="auto"/>
              </w:rPr>
            </w:pPr>
            <w:r>
              <w:rPr>
                <w:rFonts w:ascii="Arial" w:cs="Arial" w:eastAsia="Arial" w:hAnsi="Arial"/>
                <w:sz w:val="16"/>
                <w:szCs w:val="16"/>
                <w:b w:val="1"/>
                <w:bCs w:val="1"/>
                <w:color w:val="FFFFFF"/>
              </w:rPr>
              <w:t>Cash Retainer Amount Per Year</w:t>
            </w:r>
          </w:p>
        </w:tc>
      </w:tr>
      <w:tr>
        <w:trPr>
          <w:trHeight w:val="301"/>
        </w:trPr>
        <w:tc>
          <w:tcPr>
            <w:tcW w:w="5600" w:type="dxa"/>
            <w:vAlign w:val="bottom"/>
            <w:tcBorders>
              <w:bottom w:val="single" w:sz="8" w:color="D8E8EF"/>
            </w:tcBorders>
            <w:shd w:val="clear" w:color="auto" w:fill="D8E8EF"/>
          </w:tcPr>
          <w:p>
            <w:pPr>
              <w:ind w:left="40"/>
              <w:spacing w:after="0"/>
              <w:rPr>
                <w:sz w:val="20"/>
                <w:szCs w:val="20"/>
                <w:color w:val="auto"/>
              </w:rPr>
            </w:pPr>
            <w:r>
              <w:rPr>
                <w:rFonts w:ascii="Arial" w:cs="Arial" w:eastAsia="Arial" w:hAnsi="Arial"/>
                <w:sz w:val="16"/>
                <w:szCs w:val="16"/>
                <w:color w:val="auto"/>
              </w:rPr>
              <w:t>Outside Directors</w:t>
            </w:r>
          </w:p>
        </w:tc>
        <w:tc>
          <w:tcPr>
            <w:tcW w:w="3780" w:type="dxa"/>
            <w:vAlign w:val="bottom"/>
            <w:tcBorders>
              <w:bottom w:val="single" w:sz="8" w:color="D8E8EF"/>
            </w:tcBorders>
            <w:shd w:val="clear" w:color="auto" w:fill="D8E8EF"/>
          </w:tcPr>
          <w:p>
            <w:pPr>
              <w:jc w:val="right"/>
              <w:ind w:right="1220"/>
              <w:spacing w:after="0"/>
              <w:rPr>
                <w:sz w:val="20"/>
                <w:szCs w:val="20"/>
                <w:color w:val="auto"/>
              </w:rPr>
            </w:pPr>
            <w:r>
              <w:rPr>
                <w:rFonts w:ascii="Arial" w:cs="Arial" w:eastAsia="Arial" w:hAnsi="Arial"/>
                <w:sz w:val="16"/>
                <w:szCs w:val="16"/>
                <w:color w:val="auto"/>
              </w:rPr>
              <w:t>$75,000</w:t>
            </w:r>
          </w:p>
        </w:tc>
      </w:tr>
      <w:tr>
        <w:trPr>
          <w:trHeight w:val="264"/>
        </w:trPr>
        <w:tc>
          <w:tcPr>
            <w:tcW w:w="5600" w:type="dxa"/>
            <w:vAlign w:val="bottom"/>
          </w:tcPr>
          <w:p>
            <w:pPr>
              <w:ind w:left="40"/>
              <w:spacing w:after="0"/>
              <w:rPr>
                <w:sz w:val="20"/>
                <w:szCs w:val="20"/>
                <w:color w:val="auto"/>
              </w:rPr>
            </w:pPr>
            <w:r>
              <w:rPr>
                <w:rFonts w:ascii="Arial" w:cs="Arial" w:eastAsia="Arial" w:hAnsi="Arial"/>
                <w:sz w:val="16"/>
                <w:szCs w:val="16"/>
                <w:color w:val="auto"/>
              </w:rPr>
              <w:t>Chair of the Board</w:t>
            </w:r>
          </w:p>
        </w:tc>
        <w:tc>
          <w:tcPr>
            <w:tcW w:w="3780" w:type="dxa"/>
            <w:vAlign w:val="bottom"/>
          </w:tcPr>
          <w:p>
            <w:pPr>
              <w:jc w:val="right"/>
              <w:ind w:right="1220"/>
              <w:spacing w:after="0"/>
              <w:rPr>
                <w:sz w:val="20"/>
                <w:szCs w:val="20"/>
                <w:color w:val="auto"/>
              </w:rPr>
            </w:pPr>
            <w:r>
              <w:rPr>
                <w:rFonts w:ascii="Arial" w:cs="Arial" w:eastAsia="Arial" w:hAnsi="Arial"/>
                <w:sz w:val="16"/>
                <w:szCs w:val="16"/>
                <w:color w:val="auto"/>
              </w:rPr>
              <w:t>$120,000</w:t>
            </w:r>
          </w:p>
        </w:tc>
      </w:tr>
      <w:tr>
        <w:trPr>
          <w:trHeight w:val="57"/>
        </w:trPr>
        <w:tc>
          <w:tcPr>
            <w:tcW w:w="5600" w:type="dxa"/>
            <w:vAlign w:val="bottom"/>
          </w:tcPr>
          <w:p>
            <w:pPr>
              <w:spacing w:after="0"/>
              <w:rPr>
                <w:sz w:val="4"/>
                <w:szCs w:val="4"/>
                <w:color w:val="auto"/>
              </w:rPr>
            </w:pPr>
          </w:p>
        </w:tc>
        <w:tc>
          <w:tcPr>
            <w:tcW w:w="3780" w:type="dxa"/>
            <w:vAlign w:val="bottom"/>
          </w:tcPr>
          <w:p>
            <w:pPr>
              <w:spacing w:after="0"/>
              <w:rPr>
                <w:sz w:val="4"/>
                <w:szCs w:val="4"/>
                <w:color w:val="auto"/>
              </w:rPr>
            </w:pPr>
          </w:p>
        </w:tc>
      </w:tr>
      <w:tr>
        <w:trPr>
          <w:trHeight w:val="301"/>
        </w:trPr>
        <w:tc>
          <w:tcPr>
            <w:tcW w:w="5600" w:type="dxa"/>
            <w:vAlign w:val="bottom"/>
            <w:tcBorders>
              <w:bottom w:val="single" w:sz="8" w:color="D8E8EF"/>
            </w:tcBorders>
            <w:shd w:val="clear" w:color="auto" w:fill="D8E8EF"/>
          </w:tcPr>
          <w:p>
            <w:pPr>
              <w:ind w:left="40"/>
              <w:spacing w:after="0"/>
              <w:rPr>
                <w:sz w:val="20"/>
                <w:szCs w:val="20"/>
                <w:color w:val="auto"/>
              </w:rPr>
            </w:pPr>
            <w:r>
              <w:rPr>
                <w:rFonts w:ascii="Arial" w:cs="Arial" w:eastAsia="Arial" w:hAnsi="Arial"/>
                <w:sz w:val="16"/>
                <w:szCs w:val="16"/>
                <w:color w:val="auto"/>
              </w:rPr>
              <w:t>Chair of the Audit Committee</w:t>
            </w:r>
          </w:p>
        </w:tc>
        <w:tc>
          <w:tcPr>
            <w:tcW w:w="3780" w:type="dxa"/>
            <w:vAlign w:val="bottom"/>
            <w:tcBorders>
              <w:bottom w:val="single" w:sz="8" w:color="D8E8EF"/>
            </w:tcBorders>
            <w:shd w:val="clear" w:color="auto" w:fill="D8E8EF"/>
          </w:tcPr>
          <w:p>
            <w:pPr>
              <w:jc w:val="right"/>
              <w:ind w:right="1220"/>
              <w:spacing w:after="0"/>
              <w:rPr>
                <w:sz w:val="20"/>
                <w:szCs w:val="20"/>
                <w:color w:val="auto"/>
              </w:rPr>
            </w:pPr>
            <w:r>
              <w:rPr>
                <w:rFonts w:ascii="Arial" w:cs="Arial" w:eastAsia="Arial" w:hAnsi="Arial"/>
                <w:sz w:val="16"/>
                <w:szCs w:val="16"/>
                <w:color w:val="auto"/>
              </w:rPr>
              <w:t>$30,000</w:t>
            </w:r>
          </w:p>
        </w:tc>
      </w:tr>
      <w:tr>
        <w:trPr>
          <w:trHeight w:val="264"/>
        </w:trPr>
        <w:tc>
          <w:tcPr>
            <w:tcW w:w="5600" w:type="dxa"/>
            <w:vAlign w:val="bottom"/>
          </w:tcPr>
          <w:p>
            <w:pPr>
              <w:ind w:left="40"/>
              <w:spacing w:after="0"/>
              <w:rPr>
                <w:sz w:val="20"/>
                <w:szCs w:val="20"/>
                <w:color w:val="auto"/>
              </w:rPr>
            </w:pPr>
            <w:r>
              <w:rPr>
                <w:rFonts w:ascii="Arial" w:cs="Arial" w:eastAsia="Arial" w:hAnsi="Arial"/>
                <w:sz w:val="16"/>
                <w:szCs w:val="16"/>
                <w:color w:val="auto"/>
              </w:rPr>
              <w:t>Non-Chair members of the Audit Committee</w:t>
            </w:r>
          </w:p>
        </w:tc>
        <w:tc>
          <w:tcPr>
            <w:tcW w:w="3780" w:type="dxa"/>
            <w:vAlign w:val="bottom"/>
          </w:tcPr>
          <w:p>
            <w:pPr>
              <w:jc w:val="right"/>
              <w:ind w:right="1220"/>
              <w:spacing w:after="0"/>
              <w:rPr>
                <w:sz w:val="20"/>
                <w:szCs w:val="20"/>
                <w:color w:val="auto"/>
              </w:rPr>
            </w:pPr>
            <w:r>
              <w:rPr>
                <w:rFonts w:ascii="Arial" w:cs="Arial" w:eastAsia="Arial" w:hAnsi="Arial"/>
                <w:sz w:val="16"/>
                <w:szCs w:val="16"/>
                <w:color w:val="auto"/>
              </w:rPr>
              <w:t>$15,000</w:t>
            </w:r>
          </w:p>
        </w:tc>
      </w:tr>
      <w:tr>
        <w:trPr>
          <w:trHeight w:val="57"/>
        </w:trPr>
        <w:tc>
          <w:tcPr>
            <w:tcW w:w="5600" w:type="dxa"/>
            <w:vAlign w:val="bottom"/>
          </w:tcPr>
          <w:p>
            <w:pPr>
              <w:spacing w:after="0"/>
              <w:rPr>
                <w:sz w:val="4"/>
                <w:szCs w:val="4"/>
                <w:color w:val="auto"/>
              </w:rPr>
            </w:pPr>
          </w:p>
        </w:tc>
        <w:tc>
          <w:tcPr>
            <w:tcW w:w="3780" w:type="dxa"/>
            <w:vAlign w:val="bottom"/>
          </w:tcPr>
          <w:p>
            <w:pPr>
              <w:spacing w:after="0"/>
              <w:rPr>
                <w:sz w:val="4"/>
                <w:szCs w:val="4"/>
                <w:color w:val="auto"/>
              </w:rPr>
            </w:pPr>
          </w:p>
        </w:tc>
      </w:tr>
      <w:tr>
        <w:trPr>
          <w:trHeight w:val="301"/>
        </w:trPr>
        <w:tc>
          <w:tcPr>
            <w:tcW w:w="5600" w:type="dxa"/>
            <w:vAlign w:val="bottom"/>
            <w:tcBorders>
              <w:bottom w:val="single" w:sz="8" w:color="D8E8EF"/>
            </w:tcBorders>
            <w:shd w:val="clear" w:color="auto" w:fill="D8E8EF"/>
          </w:tcPr>
          <w:p>
            <w:pPr>
              <w:ind w:left="40"/>
              <w:spacing w:after="0"/>
              <w:rPr>
                <w:sz w:val="20"/>
                <w:szCs w:val="20"/>
                <w:color w:val="auto"/>
              </w:rPr>
            </w:pPr>
            <w:r>
              <w:rPr>
                <w:rFonts w:ascii="Arial" w:cs="Arial" w:eastAsia="Arial" w:hAnsi="Arial"/>
                <w:sz w:val="16"/>
                <w:szCs w:val="16"/>
                <w:color w:val="auto"/>
              </w:rPr>
              <w:t>Chair of the Human Capital and Compensation Committee</w:t>
            </w:r>
          </w:p>
        </w:tc>
        <w:tc>
          <w:tcPr>
            <w:tcW w:w="3780" w:type="dxa"/>
            <w:vAlign w:val="bottom"/>
            <w:tcBorders>
              <w:bottom w:val="single" w:sz="8" w:color="D8E8EF"/>
            </w:tcBorders>
            <w:shd w:val="clear" w:color="auto" w:fill="D8E8EF"/>
          </w:tcPr>
          <w:p>
            <w:pPr>
              <w:jc w:val="right"/>
              <w:ind w:right="1220"/>
              <w:spacing w:after="0"/>
              <w:rPr>
                <w:sz w:val="20"/>
                <w:szCs w:val="20"/>
                <w:color w:val="auto"/>
              </w:rPr>
            </w:pPr>
            <w:r>
              <w:rPr>
                <w:rFonts w:ascii="Arial" w:cs="Arial" w:eastAsia="Arial" w:hAnsi="Arial"/>
                <w:sz w:val="16"/>
                <w:szCs w:val="16"/>
                <w:color w:val="auto"/>
              </w:rPr>
              <w:t>$20,000</w:t>
            </w:r>
          </w:p>
        </w:tc>
      </w:tr>
      <w:tr>
        <w:trPr>
          <w:trHeight w:val="264"/>
        </w:trPr>
        <w:tc>
          <w:tcPr>
            <w:tcW w:w="5600" w:type="dxa"/>
            <w:vAlign w:val="bottom"/>
          </w:tcPr>
          <w:p>
            <w:pPr>
              <w:ind w:left="40"/>
              <w:spacing w:after="0"/>
              <w:rPr>
                <w:sz w:val="20"/>
                <w:szCs w:val="20"/>
                <w:color w:val="auto"/>
              </w:rPr>
            </w:pPr>
            <w:r>
              <w:rPr>
                <w:rFonts w:ascii="Arial" w:cs="Arial" w:eastAsia="Arial" w:hAnsi="Arial"/>
                <w:sz w:val="16"/>
                <w:szCs w:val="16"/>
                <w:color w:val="auto"/>
              </w:rPr>
              <w:t>Non-Chair members of the Human Capital and Compensation Committee</w:t>
            </w:r>
          </w:p>
        </w:tc>
        <w:tc>
          <w:tcPr>
            <w:tcW w:w="3780" w:type="dxa"/>
            <w:vAlign w:val="bottom"/>
          </w:tcPr>
          <w:p>
            <w:pPr>
              <w:jc w:val="right"/>
              <w:ind w:right="1220"/>
              <w:spacing w:after="0"/>
              <w:rPr>
                <w:sz w:val="20"/>
                <w:szCs w:val="20"/>
                <w:color w:val="auto"/>
              </w:rPr>
            </w:pPr>
            <w:r>
              <w:rPr>
                <w:rFonts w:ascii="Arial" w:cs="Arial" w:eastAsia="Arial" w:hAnsi="Arial"/>
                <w:sz w:val="16"/>
                <w:szCs w:val="16"/>
                <w:color w:val="auto"/>
              </w:rPr>
              <w:t>$10,000</w:t>
            </w:r>
          </w:p>
        </w:tc>
      </w:tr>
      <w:tr>
        <w:trPr>
          <w:trHeight w:val="57"/>
        </w:trPr>
        <w:tc>
          <w:tcPr>
            <w:tcW w:w="5600" w:type="dxa"/>
            <w:vAlign w:val="bottom"/>
          </w:tcPr>
          <w:p>
            <w:pPr>
              <w:spacing w:after="0"/>
              <w:rPr>
                <w:sz w:val="4"/>
                <w:szCs w:val="4"/>
                <w:color w:val="auto"/>
              </w:rPr>
            </w:pPr>
          </w:p>
        </w:tc>
        <w:tc>
          <w:tcPr>
            <w:tcW w:w="3780" w:type="dxa"/>
            <w:vAlign w:val="bottom"/>
          </w:tcPr>
          <w:p>
            <w:pPr>
              <w:spacing w:after="0"/>
              <w:rPr>
                <w:sz w:val="4"/>
                <w:szCs w:val="4"/>
                <w:color w:val="auto"/>
              </w:rPr>
            </w:pPr>
          </w:p>
        </w:tc>
      </w:tr>
      <w:tr>
        <w:trPr>
          <w:trHeight w:val="301"/>
        </w:trPr>
        <w:tc>
          <w:tcPr>
            <w:tcW w:w="5600" w:type="dxa"/>
            <w:vAlign w:val="bottom"/>
            <w:tcBorders>
              <w:bottom w:val="single" w:sz="8" w:color="D8E8EF"/>
            </w:tcBorders>
            <w:shd w:val="clear" w:color="auto" w:fill="D8E8EF"/>
          </w:tcPr>
          <w:p>
            <w:pPr>
              <w:ind w:left="40"/>
              <w:spacing w:after="0"/>
              <w:rPr>
                <w:sz w:val="20"/>
                <w:szCs w:val="20"/>
                <w:color w:val="auto"/>
              </w:rPr>
            </w:pPr>
            <w:r>
              <w:rPr>
                <w:rFonts w:ascii="Arial" w:cs="Arial" w:eastAsia="Arial" w:hAnsi="Arial"/>
                <w:sz w:val="16"/>
                <w:szCs w:val="16"/>
                <w:color w:val="auto"/>
              </w:rPr>
              <w:t>Chair of the Governance and Sustainability Committee</w:t>
            </w:r>
          </w:p>
        </w:tc>
        <w:tc>
          <w:tcPr>
            <w:tcW w:w="3780" w:type="dxa"/>
            <w:vAlign w:val="bottom"/>
            <w:tcBorders>
              <w:bottom w:val="single" w:sz="8" w:color="D8E8EF"/>
            </w:tcBorders>
            <w:shd w:val="clear" w:color="auto" w:fill="D8E8EF"/>
          </w:tcPr>
          <w:p>
            <w:pPr>
              <w:jc w:val="right"/>
              <w:ind w:right="1220"/>
              <w:spacing w:after="0"/>
              <w:rPr>
                <w:sz w:val="20"/>
                <w:szCs w:val="20"/>
                <w:color w:val="auto"/>
              </w:rPr>
            </w:pPr>
            <w:r>
              <w:rPr>
                <w:rFonts w:ascii="Arial" w:cs="Arial" w:eastAsia="Arial" w:hAnsi="Arial"/>
                <w:sz w:val="16"/>
                <w:szCs w:val="16"/>
                <w:color w:val="auto"/>
              </w:rPr>
              <w:t>$15,000</w:t>
            </w:r>
          </w:p>
        </w:tc>
      </w:tr>
      <w:tr>
        <w:trPr>
          <w:trHeight w:val="264"/>
        </w:trPr>
        <w:tc>
          <w:tcPr>
            <w:tcW w:w="5600" w:type="dxa"/>
            <w:vAlign w:val="bottom"/>
          </w:tcPr>
          <w:p>
            <w:pPr>
              <w:ind w:left="40"/>
              <w:spacing w:after="0"/>
              <w:rPr>
                <w:sz w:val="20"/>
                <w:szCs w:val="20"/>
                <w:color w:val="auto"/>
              </w:rPr>
            </w:pPr>
            <w:r>
              <w:rPr>
                <w:rFonts w:ascii="Arial" w:cs="Arial" w:eastAsia="Arial" w:hAnsi="Arial"/>
                <w:sz w:val="16"/>
                <w:szCs w:val="16"/>
                <w:color w:val="auto"/>
              </w:rPr>
              <w:t>Non-Chair members of the Governance and Sustainability Committee</w:t>
            </w:r>
          </w:p>
        </w:tc>
        <w:tc>
          <w:tcPr>
            <w:tcW w:w="3780" w:type="dxa"/>
            <w:vAlign w:val="bottom"/>
          </w:tcPr>
          <w:p>
            <w:pPr>
              <w:jc w:val="right"/>
              <w:ind w:right="1220"/>
              <w:spacing w:after="0"/>
              <w:rPr>
                <w:sz w:val="20"/>
                <w:szCs w:val="20"/>
                <w:color w:val="auto"/>
              </w:rPr>
            </w:pPr>
            <w:r>
              <w:rPr>
                <w:rFonts w:ascii="Arial" w:cs="Arial" w:eastAsia="Arial" w:hAnsi="Arial"/>
                <w:sz w:val="16"/>
                <w:szCs w:val="16"/>
                <w:color w:val="auto"/>
              </w:rPr>
              <w:t>$7,500</w:t>
            </w:r>
          </w:p>
        </w:tc>
      </w:tr>
      <w:tr>
        <w:trPr>
          <w:trHeight w:val="57"/>
        </w:trPr>
        <w:tc>
          <w:tcPr>
            <w:tcW w:w="5600" w:type="dxa"/>
            <w:vAlign w:val="bottom"/>
            <w:tcBorders>
              <w:bottom w:val="single" w:sz="8" w:color="auto"/>
            </w:tcBorders>
          </w:tcPr>
          <w:p>
            <w:pPr>
              <w:spacing w:after="0"/>
              <w:rPr>
                <w:sz w:val="4"/>
                <w:szCs w:val="4"/>
                <w:color w:val="auto"/>
              </w:rPr>
            </w:pPr>
          </w:p>
        </w:tc>
        <w:tc>
          <w:tcPr>
            <w:tcW w:w="3780" w:type="dxa"/>
            <w:vAlign w:val="bottom"/>
            <w:tcBorders>
              <w:bottom w:val="single" w:sz="8" w:color="auto"/>
            </w:tcBorders>
          </w:tcPr>
          <w:p>
            <w:pPr>
              <w:spacing w:after="0"/>
              <w:rPr>
                <w:sz w:val="4"/>
                <w:szCs w:val="4"/>
                <w:color w:val="auto"/>
              </w:rPr>
            </w:pPr>
          </w:p>
        </w:tc>
      </w:tr>
    </w:tbl>
    <w:p>
      <w:pPr>
        <w:spacing w:after="0" w:line="88" w:lineRule="exact"/>
        <w:rPr>
          <w:sz w:val="20"/>
          <w:szCs w:val="20"/>
          <w:color w:val="auto"/>
        </w:rPr>
      </w:pPr>
    </w:p>
    <w:p>
      <w:pPr>
        <w:jc w:val="both"/>
        <w:ind w:left="160" w:right="20"/>
        <w:spacing w:after="0" w:line="265" w:lineRule="auto"/>
        <w:rPr>
          <w:sz w:val="20"/>
          <w:szCs w:val="20"/>
          <w:color w:val="auto"/>
        </w:rPr>
      </w:pPr>
      <w:r>
        <w:rPr>
          <w:rFonts w:ascii="Arial" w:cs="Arial" w:eastAsia="Arial" w:hAnsi="Arial"/>
          <w:sz w:val="18"/>
          <w:szCs w:val="18"/>
          <w:color w:val="auto"/>
        </w:rPr>
        <w:t>Annual cash retainers are generally paid quarterly in arrears, except that the retainers for the fourth quarter are typically paid before year-end.</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Equity Compensation</w:t>
      </w:r>
    </w:p>
    <w:p>
      <w:pPr>
        <w:spacing w:after="0" w:line="208" w:lineRule="exact"/>
        <w:rPr>
          <w:sz w:val="20"/>
          <w:szCs w:val="20"/>
          <w:color w:val="auto"/>
        </w:rPr>
      </w:pPr>
    </w:p>
    <w:p>
      <w:pPr>
        <w:jc w:val="both"/>
        <w:ind w:left="160"/>
        <w:spacing w:after="0" w:line="237" w:lineRule="auto"/>
        <w:rPr>
          <w:sz w:val="20"/>
          <w:szCs w:val="20"/>
          <w:color w:val="auto"/>
        </w:rPr>
      </w:pPr>
      <w:r>
        <w:rPr>
          <w:rFonts w:ascii="Arial" w:cs="Arial" w:eastAsia="Arial" w:hAnsi="Arial"/>
          <w:sz w:val="18"/>
          <w:szCs w:val="18"/>
          <w:color w:val="auto"/>
        </w:rPr>
        <w:t>Under the Outside Director Compensation Program, each Outside Director receives an annual award of fully vested stock with a value equal to approximately $205,000, rounded up such that only whole shares are issued. The 2021 annual award for Outside Directors was granted on May 20, 2021, and the amount of such award was based on the closing price of our stock on the grant date ($38.53). Each Outside Director serving on the Board on the grant date therefore received a stock award of 5,321 shares in 2021. In connection with their appointment to the Board, each of Messrs. Kiddoo and Waters also received a stock grant of 2,854 shares in early 2021. The 2021 grants were made under the ON Semiconductor Corporation Amended and Restated Stock Incentive Plan (the “SIP”). Under the Outside Director Compensation Program, if an Outside Director is appointed after the date of the annual grant, the award amount is prorated based on the period of the year during which the Outside Director serves.</w:t>
      </w:r>
    </w:p>
    <w:p>
      <w:pPr>
        <w:spacing w:after="0" w:line="184"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Other</w:t>
      </w:r>
    </w:p>
    <w:p>
      <w:pPr>
        <w:spacing w:after="0" w:line="208" w:lineRule="exact"/>
        <w:rPr>
          <w:sz w:val="20"/>
          <w:szCs w:val="20"/>
          <w:color w:val="auto"/>
        </w:rPr>
      </w:pPr>
    </w:p>
    <w:p>
      <w:pPr>
        <w:jc w:val="both"/>
        <w:ind w:left="160"/>
        <w:spacing w:after="0" w:line="265" w:lineRule="auto"/>
        <w:rPr>
          <w:sz w:val="20"/>
          <w:szCs w:val="20"/>
          <w:color w:val="auto"/>
        </w:rPr>
      </w:pPr>
      <w:r>
        <w:rPr>
          <w:rFonts w:ascii="Arial" w:cs="Arial" w:eastAsia="Arial" w:hAnsi="Arial"/>
          <w:sz w:val="18"/>
          <w:szCs w:val="18"/>
          <w:color w:val="auto"/>
        </w:rPr>
        <w:t>We reimburse Outside Directors for reasonable expenses incurred to attend Board and committee meetings and to perform other relevant Board duties. Employee Directors do not receive any additional compensation for their services as members of the Board.</w:t>
      </w:r>
    </w:p>
    <w:p>
      <w:pPr>
        <w:spacing w:after="0" w:line="152"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2B4772"/>
        </w:rPr>
        <w:t>Majority Voting for Directors</w:t>
      </w:r>
    </w:p>
    <w:p>
      <w:pPr>
        <w:spacing w:after="0" w:line="226" w:lineRule="exact"/>
        <w:rPr>
          <w:sz w:val="20"/>
          <w:szCs w:val="20"/>
          <w:color w:val="auto"/>
        </w:rPr>
      </w:pPr>
    </w:p>
    <w:p>
      <w:pPr>
        <w:jc w:val="both"/>
        <w:ind w:left="160"/>
        <w:spacing w:after="0"/>
        <w:rPr>
          <w:sz w:val="20"/>
          <w:szCs w:val="20"/>
          <w:color w:val="auto"/>
        </w:rPr>
      </w:pPr>
      <w:r>
        <w:rPr>
          <w:rFonts w:ascii="Arial" w:cs="Arial" w:eastAsia="Arial" w:hAnsi="Arial"/>
          <w:sz w:val="18"/>
          <w:szCs w:val="18"/>
          <w:color w:val="auto"/>
        </w:rPr>
        <w:t>Each Director is elected by a majority of the votes cast with respect to that Director’s election at any meeting for the election of Directors at which a quorum is present, except if, as of the 10</w:t>
      </w:r>
      <w:r>
        <w:rPr>
          <w:rFonts w:ascii="Arial" w:cs="Arial" w:eastAsia="Arial" w:hAnsi="Arial"/>
          <w:sz w:val="15"/>
          <w:szCs w:val="15"/>
          <w:color w:val="auto"/>
        </w:rPr>
        <w:t>th</w:t>
      </w:r>
      <w:r>
        <w:rPr>
          <w:rFonts w:ascii="Arial" w:cs="Arial" w:eastAsia="Arial" w:hAnsi="Arial"/>
          <w:sz w:val="18"/>
          <w:szCs w:val="18"/>
          <w:color w:val="auto"/>
        </w:rPr>
        <w:t xml:space="preserve"> day preceding the date the Company first mails its notice of meeting for such meeting to the stockholders, the number of nominees exceeds the number of Directors to be elected (a “Contested Election”), then the Directors would be elected by the vote of a plurality of the votes cast. For a discussion of the dynamics of the Company’s majority voting system, please refer to the “Required Vote” section of Proposal No. 1.</w:t>
      </w:r>
    </w:p>
    <w:p>
      <w:pPr>
        <w:spacing w:after="0" w:line="182" w:lineRule="exact"/>
        <w:rPr>
          <w:sz w:val="20"/>
          <w:szCs w:val="20"/>
          <w:color w:val="auto"/>
        </w:rPr>
      </w:pPr>
    </w:p>
    <w:p>
      <w:pPr>
        <w:jc w:val="both"/>
        <w:ind w:left="160"/>
        <w:spacing w:after="0" w:line="237" w:lineRule="auto"/>
        <w:rPr>
          <w:sz w:val="20"/>
          <w:szCs w:val="20"/>
          <w:color w:val="auto"/>
        </w:rPr>
      </w:pPr>
      <w:r>
        <w:rPr>
          <w:rFonts w:ascii="Arial" w:cs="Arial" w:eastAsia="Arial" w:hAnsi="Arial"/>
          <w:sz w:val="18"/>
          <w:szCs w:val="18"/>
          <w:color w:val="auto"/>
        </w:rPr>
        <w:t>In the event an incumbent Director fails to receive a majority of the votes cast in an election that is not a Contested Election, the incumbent Director must promptly tender his or her resignation to the Board. The GS Committee, or such other committee designated by the Board for this purpose, will make a recommendation to the Board as to whether to accept or reject the resignation of such incumbent Director, or whether other action should be taken. The Board must act on the resignation, taking into account such committee’s recommendation, and publicly disclose (by a press release and filing an appropriate disclosure with the SEC) its decision regarding the resignation and, if such resignation is rejected, the rationale behind the decision, within 90 days following certification of the election results. The GS Committee in making its recommendation, and the Board in making its decision, each may consider any factors and other information that it considers appropriate.</w:t>
      </w:r>
    </w:p>
    <w:p>
      <w:pPr>
        <w:spacing w:after="0" w:line="126"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F75E14"/>
        </w:rPr>
        <w:t>onsemi 2022 Proxy Statement</w:t>
        <w:tab/>
        <w:t>21</w:t>
      </w:r>
    </w:p>
    <w:p>
      <w:pPr>
        <w:sectPr>
          <w:pgSz w:w="11900" w:h="16838" w:orient="portrait"/>
          <w:cols w:equalWidth="0" w:num="1">
            <w:col w:w="11080"/>
          </w:cols>
          <w:pgMar w:left="320" w:top="454" w:right="49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2" w:lineRule="exact"/>
        <w:rPr>
          <w:sz w:val="20"/>
          <w:szCs w:val="20"/>
          <w:color w:val="auto"/>
        </w:rPr>
      </w:pPr>
    </w:p>
    <w:p>
      <w:pPr>
        <w:ind w:left="160"/>
        <w:spacing w:after="0"/>
        <w:rPr>
          <w:sz w:val="20"/>
          <w:szCs w:val="20"/>
          <w:color w:val="auto"/>
        </w:rPr>
      </w:pPr>
      <w:r>
        <w:rPr>
          <w:rFonts w:ascii="Arial" w:cs="Arial" w:eastAsia="Arial" w:hAnsi="Arial"/>
          <w:sz w:val="18"/>
          <w:szCs w:val="18"/>
          <w:color w:val="F75E14"/>
        </w:rPr>
        <w:t>The Board of Directors and Corporate Governance</w:t>
      </w:r>
    </w:p>
    <w:p>
      <w:pPr>
        <w:spacing w:after="0" w:line="141" w:lineRule="exact"/>
        <w:rPr>
          <w:sz w:val="20"/>
          <w:szCs w:val="20"/>
          <w:color w:val="auto"/>
        </w:rPr>
      </w:pPr>
    </w:p>
    <w:p>
      <w:pPr>
        <w:jc w:val="both"/>
        <w:ind w:left="160"/>
        <w:spacing w:after="0" w:line="249" w:lineRule="auto"/>
        <w:rPr>
          <w:sz w:val="20"/>
          <w:szCs w:val="20"/>
          <w:color w:val="auto"/>
        </w:rPr>
      </w:pPr>
      <w:r>
        <w:rPr>
          <w:rFonts w:ascii="Arial" w:cs="Arial" w:eastAsia="Arial" w:hAnsi="Arial"/>
          <w:sz w:val="18"/>
          <w:szCs w:val="18"/>
          <w:color w:val="auto"/>
        </w:rPr>
        <w:t>If the Board accepts a Director’s resignation pursuant to these provisions, or if a nominee for Director is not elected and the nominee is not an incumbent Director, then the resulting vacancy may be filled by vote of a majority of the Directors then in office pursuant to Article NINTH, Section 2 of our Certificate of Incorporation.</w:t>
      </w:r>
    </w:p>
    <w:p>
      <w:pPr>
        <w:spacing w:after="0" w:line="166"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2B4772"/>
        </w:rPr>
        <w:t>Other Board Matters</w:t>
      </w:r>
    </w:p>
    <w:p>
      <w:pPr>
        <w:spacing w:after="0" w:line="22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Board Leadership Structure</w:t>
      </w:r>
    </w:p>
    <w:p>
      <w:pPr>
        <w:spacing w:after="0" w:line="208" w:lineRule="exact"/>
        <w:rPr>
          <w:sz w:val="20"/>
          <w:szCs w:val="20"/>
          <w:color w:val="auto"/>
        </w:rPr>
      </w:pPr>
    </w:p>
    <w:p>
      <w:pPr>
        <w:jc w:val="both"/>
        <w:ind w:left="160"/>
        <w:spacing w:after="0" w:line="243" w:lineRule="auto"/>
        <w:rPr>
          <w:sz w:val="20"/>
          <w:szCs w:val="20"/>
          <w:color w:val="auto"/>
        </w:rPr>
      </w:pPr>
      <w:r>
        <w:rPr>
          <w:rFonts w:ascii="Arial" w:cs="Arial" w:eastAsia="Arial" w:hAnsi="Arial"/>
          <w:sz w:val="18"/>
          <w:szCs w:val="18"/>
          <w:color w:val="auto"/>
        </w:rPr>
        <w:t>We currently separate the roles of CEO and Chair of the Board to align the Chair role with our Outside Directors and to further enhance the independence of the Board from management. Our Chair works closely with our CEO and Chief Legal Officer to set the agendas for meetings, facilitate information flow between the Board and management and gain the benefit of the CEO’s Company-specific experience, knowledge and expertise.</w:t>
      </w:r>
    </w:p>
    <w:p>
      <w:pPr>
        <w:spacing w:after="0" w:line="178"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The Board’s Role in Risk Oversight</w:t>
      </w:r>
    </w:p>
    <w:p>
      <w:pPr>
        <w:spacing w:after="0" w:line="208" w:lineRule="exact"/>
        <w:rPr>
          <w:sz w:val="20"/>
          <w:szCs w:val="20"/>
          <w:color w:val="auto"/>
        </w:rPr>
      </w:pPr>
    </w:p>
    <w:p>
      <w:pPr>
        <w:jc w:val="both"/>
        <w:ind w:left="160"/>
        <w:spacing w:after="0" w:line="235" w:lineRule="auto"/>
        <w:rPr>
          <w:sz w:val="20"/>
          <w:szCs w:val="20"/>
          <w:color w:val="auto"/>
        </w:rPr>
      </w:pPr>
      <w:r>
        <w:rPr>
          <w:rFonts w:ascii="Arial" w:cs="Arial" w:eastAsia="Arial" w:hAnsi="Arial"/>
          <w:sz w:val="18"/>
          <w:szCs w:val="18"/>
          <w:color w:val="auto"/>
        </w:rPr>
        <w:t>While management is responsible for the day-to-day management of the Company’s risk, the Board plays an ongoing and active role in the oversight of such risk by regularly reviewing and discussing with management areas of material risk to the Company and mitigation measures being taken to address such risks. During the 2021 fiscal year, the Board and its committees regularly discussed the ongoing impacts of the COVID-19 pandemic on the Company and its operations while keeping abreast with developments and pursuing efforts to ensure the health and safety of the Company’s workforce in light of the evolving nature of the pandemic. While the Board has primary responsibility for risk oversight, the Board’s committees support the Board by regularly addressing risks in their respective areas of oversight. Specifically, the Audit Committee’s charter requires the Audit Committee to discuss with management the Company’s major financial and cybersecurity risk exposures. In addition, the GS Committee’s charter requires it to oversee the ERM Program and provide guidance to the Board regarding its risk oversight responsibilities. Also, the HCC Committee’s charter requires it to consider and discuss with management whether compensation arrangements for Company employees incentivize unnecessary and excessive risk-taking, and in designing our compensation programs and structuring awards, the HCC Committee considers the likelihood of undue risk-taking and the impact that such compensation decisions may have on the Company’s risk profile. The chair of the relevant committee then reports on risk discussions to the full Board to the extent appropriate. This dual track of direct Board oversight and oversight through its committees is designed to foster a fulsome discussion of risks facing the Company. The Board’s role in risk oversight has not affected its leadership structure.</w:t>
      </w:r>
    </w:p>
    <w:p>
      <w:pPr>
        <w:spacing w:after="0" w:line="183" w:lineRule="exact"/>
        <w:rPr>
          <w:sz w:val="20"/>
          <w:szCs w:val="20"/>
          <w:color w:val="auto"/>
        </w:rPr>
      </w:pPr>
    </w:p>
    <w:p>
      <w:pPr>
        <w:jc w:val="both"/>
        <w:ind w:left="160"/>
        <w:spacing w:after="0" w:line="239" w:lineRule="auto"/>
        <w:rPr>
          <w:sz w:val="20"/>
          <w:szCs w:val="20"/>
          <w:color w:val="auto"/>
        </w:rPr>
      </w:pPr>
      <w:r>
        <w:rPr>
          <w:rFonts w:ascii="Arial" w:cs="Arial" w:eastAsia="Arial" w:hAnsi="Arial"/>
          <w:sz w:val="18"/>
          <w:szCs w:val="18"/>
          <w:b w:val="1"/>
          <w:bCs w:val="1"/>
          <w:i w:val="1"/>
          <w:iCs w:val="1"/>
          <w:color w:val="auto"/>
        </w:rPr>
        <w:t>Periodic Risk Evaluations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part of its review of the Company’s material areas of risk, the Board meets with representatives from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ERM Program multiple times per year to discuss areas of material risk to the Company in light of its strategy and evolving business plans. Business unit leaders and the heads of certain administrative function groups provide annual and mid-year status reports to the Board. These reports include risk evaluation and assessment as a matter of course. At least annually, the Board reviews how risk is being managed and reported to the Board and its committees, along with areas where the Board would like additional analysis or discussion. Comprehensive risk analysis is a significant part of such planning.</w:t>
      </w:r>
    </w:p>
    <w:p>
      <w:pPr>
        <w:spacing w:after="0" w:line="181" w:lineRule="exact"/>
        <w:rPr>
          <w:sz w:val="20"/>
          <w:szCs w:val="20"/>
          <w:color w:val="auto"/>
        </w:rPr>
      </w:pPr>
    </w:p>
    <w:p>
      <w:pPr>
        <w:jc w:val="both"/>
        <w:ind w:left="160"/>
        <w:spacing w:after="0" w:line="235" w:lineRule="auto"/>
        <w:rPr>
          <w:sz w:val="20"/>
          <w:szCs w:val="20"/>
          <w:color w:val="auto"/>
        </w:rPr>
      </w:pPr>
      <w:r>
        <w:rPr>
          <w:rFonts w:ascii="Arial" w:cs="Arial" w:eastAsia="Arial" w:hAnsi="Arial"/>
          <w:sz w:val="18"/>
          <w:szCs w:val="18"/>
          <w:b w:val="1"/>
          <w:bCs w:val="1"/>
          <w:i w:val="1"/>
          <w:iCs w:val="1"/>
          <w:color w:val="auto"/>
        </w:rPr>
        <w:t>Information Security Risk Management</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Management and the Board consider and evaluate from time to time the risk of cybersecurity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breaches and vulnerabilities and how best to mitigate such risks. Pursuant to its charter, the Audit Committee has the responsibility for overseeing the Company’s cybersecurity posture, risk assessment, strategy and mitigation and making recommendations as to how to address and resolve any breaches or issues related to the protection or privacy of the Company’s data. The Audit Committee receives regular reports from our Corporate Internal Audit Department on internal audit matters and receives reports at least quarterly from our Chief Information Officer and/or Chief Information Security Officer and our Chief Privacy Officer on information security and data privacy and protection, including on trends in cyber threats and the status of initiatives intended to bolster the Company’s security systems and employees’ cyber readiness. Additionally, under the Company’s Insider Trading Policy (the “Insider Trading Policy”), the Company’s Securities Compliance Officer may impose a black-out on securities trading in the event of a cybersecurity breach or attack. Under such circumstances, as a further measure to promote compliance with the trading black-out, the Insider Trading Policy also imposes a duty upon the Securities Compliance Officer to notify the CEO and our Chief Financial Officer (the “CFO”) of the black-out at or before the time it is imposed.</w:t>
      </w:r>
    </w:p>
    <w:p>
      <w:pPr>
        <w:spacing w:after="0" w:line="189" w:lineRule="exact"/>
        <w:rPr>
          <w:sz w:val="20"/>
          <w:szCs w:val="20"/>
          <w:color w:val="auto"/>
        </w:rPr>
      </w:pPr>
    </w:p>
    <w:p>
      <w:pPr>
        <w:jc w:val="both"/>
        <w:ind w:left="160"/>
        <w:spacing w:after="0" w:line="265" w:lineRule="auto"/>
        <w:rPr>
          <w:sz w:val="20"/>
          <w:szCs w:val="20"/>
          <w:color w:val="auto"/>
        </w:rPr>
      </w:pPr>
      <w:r>
        <w:rPr>
          <w:rFonts w:ascii="Arial" w:cs="Arial" w:eastAsia="Arial" w:hAnsi="Arial"/>
          <w:sz w:val="18"/>
          <w:szCs w:val="18"/>
          <w:b w:val="1"/>
          <w:bCs w:val="1"/>
          <w:color w:val="auto"/>
        </w:rPr>
        <w:t xml:space="preserve">onsemi </w:t>
      </w:r>
      <w:r>
        <w:rPr>
          <w:rFonts w:ascii="Arial" w:cs="Arial" w:eastAsia="Arial" w:hAnsi="Arial"/>
          <w:sz w:val="18"/>
          <w:szCs w:val="18"/>
          <w:color w:val="auto"/>
        </w:rPr>
        <w:t>adopted the National Institute of Standards and Technology (“NIST”) Cybersecurity Framework in 2014. The NIST Cybersecurity</w:t>
      </w:r>
      <w:r>
        <w:rPr>
          <w:rFonts w:ascii="Arial" w:cs="Arial" w:eastAsia="Arial" w:hAnsi="Arial"/>
          <w:sz w:val="18"/>
          <w:szCs w:val="18"/>
          <w:b w:val="1"/>
          <w:bCs w:val="1"/>
          <w:color w:val="auto"/>
        </w:rPr>
        <w:t xml:space="preserve"> </w:t>
      </w:r>
      <w:r>
        <w:rPr>
          <w:rFonts w:ascii="Arial" w:cs="Arial" w:eastAsia="Arial" w:hAnsi="Arial"/>
          <w:sz w:val="18"/>
          <w:szCs w:val="18"/>
          <w:color w:val="auto"/>
        </w:rPr>
        <w:t>Framework provides an intuitive and comprehensive set of control objectives that align with a number</w:t>
      </w:r>
    </w:p>
    <w:p>
      <w:pPr>
        <w:spacing w:after="0" w:line="101" w:lineRule="exact"/>
        <w:rPr>
          <w:sz w:val="20"/>
          <w:szCs w:val="20"/>
          <w:color w:val="auto"/>
        </w:rPr>
      </w:pPr>
    </w:p>
    <w:p>
      <w:pPr>
        <w:ind w:left="160"/>
        <w:spacing w:after="0"/>
        <w:tabs>
          <w:tab w:leader="none" w:pos="500" w:val="left"/>
        </w:tabs>
        <w:rPr>
          <w:sz w:val="20"/>
          <w:szCs w:val="20"/>
          <w:color w:val="auto"/>
        </w:rPr>
      </w:pPr>
      <w:r>
        <w:rPr>
          <w:rFonts w:ascii="Arial" w:cs="Arial" w:eastAsia="Arial" w:hAnsi="Arial"/>
          <w:sz w:val="14"/>
          <w:szCs w:val="14"/>
          <w:color w:val="F75E14"/>
        </w:rPr>
        <w:t>22</w:t>
        <w:tab/>
        <w:t>onsemi 2022 Proxy Statement</w:t>
      </w:r>
    </w:p>
    <w:p>
      <w:pPr>
        <w:sectPr>
          <w:pgSz w:w="11900" w:h="16838" w:orient="portrait"/>
          <w:cols w:equalWidth="0" w:num="1">
            <w:col w:w="11080"/>
          </w:cols>
          <w:pgMar w:left="320" w:top="454" w:right="49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2" w:lineRule="exact"/>
        <w:rPr>
          <w:sz w:val="20"/>
          <w:szCs w:val="20"/>
          <w:color w:val="auto"/>
        </w:rPr>
      </w:pPr>
    </w:p>
    <w:p>
      <w:pPr>
        <w:ind w:left="7080"/>
        <w:spacing w:after="0"/>
        <w:rPr>
          <w:sz w:val="20"/>
          <w:szCs w:val="20"/>
          <w:color w:val="auto"/>
        </w:rPr>
      </w:pPr>
      <w:r>
        <w:rPr>
          <w:rFonts w:ascii="Arial" w:cs="Arial" w:eastAsia="Arial" w:hAnsi="Arial"/>
          <w:sz w:val="17"/>
          <w:szCs w:val="17"/>
          <w:color w:val="F75E14"/>
        </w:rPr>
        <w:t>The Board of Directors and Corporate Governance</w:t>
      </w:r>
    </w:p>
    <w:p>
      <w:pPr>
        <w:spacing w:after="0" w:line="152" w:lineRule="exact"/>
        <w:rPr>
          <w:sz w:val="20"/>
          <w:szCs w:val="20"/>
          <w:color w:val="auto"/>
        </w:rPr>
      </w:pPr>
    </w:p>
    <w:p>
      <w:pPr>
        <w:jc w:val="both"/>
        <w:ind w:left="160"/>
        <w:spacing w:after="0" w:line="235" w:lineRule="auto"/>
        <w:rPr>
          <w:sz w:val="20"/>
          <w:szCs w:val="20"/>
          <w:color w:val="auto"/>
        </w:rPr>
      </w:pPr>
      <w:r>
        <w:rPr>
          <w:rFonts w:ascii="Arial" w:cs="Arial" w:eastAsia="Arial" w:hAnsi="Arial"/>
          <w:sz w:val="18"/>
          <w:szCs w:val="18"/>
          <w:color w:val="auto"/>
        </w:rPr>
        <w:t>of other standard frameworks such as ISO 27001:2013 and COBIT 5. The Company has implemented a number of methods to train employees and management on data protection and malware detection, including a robust information security training and compliance program. As part of this program, the Company regularly sends artificially created phishing emails that test employees’ understanding of the tactics commonly used by scammers and hackers. This effort to increase employee information security proficiency has occurred in tandem with an enhancement in the Company’s system-wide security measures. No identified information security breaches were reported in 2021 despite the turbulent data landscape, nor has any such breach occurred in the last three years. Meanwhile, the Company’s Information Security team collaborated with the Company’s Treasury Department and obtained cybersecurity insurance, which would reimburse for certain costs that may be incurred in the event that the Company was required to respond to and recover from a data breach. The Information Security Program at the Company has also established a Cyber Incident Response Team comprised of subject matter experts from the Company’s global IT team that is tasked with responding quickly in the event of a serious or material data breach, and contracted with Verizon’s RISK (Research, Investigations, Solutions, Knowledge) team and IBM’s X Force IRIS (Incident Response and Intelligence Services) to provide security and forensic expertise in the case of such an event. Lastly, the Company’s Information Security Risk team updates its strategy each year to align with developments in the Company’s business strategy and by considering and adapting to the legal and regulatory mandates relevant to the business and countries in which the Company operates.</w:t>
      </w:r>
    </w:p>
    <w:p>
      <w:pPr>
        <w:spacing w:after="0" w:line="18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The Board’s Role in Diversity, Equity and Inclusion Oversight</w:t>
      </w:r>
    </w:p>
    <w:p>
      <w:pPr>
        <w:spacing w:after="0" w:line="208" w:lineRule="exact"/>
        <w:rPr>
          <w:sz w:val="20"/>
          <w:szCs w:val="20"/>
          <w:color w:val="auto"/>
        </w:rPr>
      </w:pPr>
    </w:p>
    <w:p>
      <w:pPr>
        <w:jc w:val="both"/>
        <w:ind w:left="160"/>
        <w:spacing w:after="0" w:line="235" w:lineRule="auto"/>
        <w:rPr>
          <w:sz w:val="20"/>
          <w:szCs w:val="20"/>
          <w:color w:val="auto"/>
        </w:rPr>
      </w:pPr>
      <w:r>
        <w:rPr>
          <w:rFonts w:ascii="Arial" w:cs="Arial" w:eastAsia="Arial" w:hAnsi="Arial"/>
          <w:sz w:val="18"/>
          <w:szCs w:val="18"/>
          <w:color w:val="auto"/>
        </w:rPr>
        <w:t>We push innovation to create intelligent power and sensing technologies that solve the most challenging customer problems. Our employees are inspired to go above and beyond to increase stakeholder value through high quality and high value products and services. The Company’s mission is supported by a strong company culture focused on welcoming diversity of opinion and celebrating stakeholders from all walks of life. Pursuant to its charter, the GS Committee has the responsibility of overseeing matters related to ESG, subject to any specific matter connected to ESG initiatives that is expressly assigned to another committee of the Board. Meanwhile, pursuant to its charter, the HCC Committee has the responsibility of overseeing the Company’s policies and strategies in respect of human capital, which include those regarding diversity, equity and inclusion. In turn, each of the GS Committee and the HCC Committee plays a role in the Company’s management and oversight of diversity, equity and inclusion. The HCC Committee considers diversity, equity and inclusion in its broader review of pay equity within the Company. In turn, the HCC Committee designed certain of the goals tied to the 2021 Bonus Program (as defined below) to align with organizational improvements to the Company’s diversity and inclusion initiative and, in 2020 and certain prior years, elected to use the achievement of a specified level of diversity within the Company’s workforce as a performance measure for the compensation of NEOs under the Company’s short-term incentive compensation program.</w:t>
      </w:r>
    </w:p>
    <w:p>
      <w:pPr>
        <w:spacing w:after="0" w:line="132"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F75E14"/>
        </w:rPr>
        <w:t>onsemi 2022 Proxy Statement</w:t>
        <w:tab/>
        <w:t>23</w:t>
      </w:r>
    </w:p>
    <w:p>
      <w:pPr>
        <w:sectPr>
          <w:pgSz w:w="11900" w:h="16838" w:orient="portrait"/>
          <w:cols w:equalWidth="0" w:num="1">
            <w:col w:w="11080"/>
          </w:cols>
          <w:pgMar w:left="320" w:top="454" w:right="49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2" w:lineRule="exact"/>
        <w:rPr>
          <w:sz w:val="20"/>
          <w:szCs w:val="20"/>
          <w:color w:val="auto"/>
        </w:rPr>
      </w:pPr>
    </w:p>
    <w:p>
      <w:pPr>
        <w:ind w:left="160"/>
        <w:spacing w:after="0"/>
        <w:rPr>
          <w:sz w:val="20"/>
          <w:szCs w:val="20"/>
          <w:color w:val="auto"/>
        </w:rPr>
      </w:pPr>
      <w:r>
        <w:rPr>
          <w:rFonts w:ascii="Arial" w:cs="Arial" w:eastAsia="Arial" w:hAnsi="Arial"/>
          <w:sz w:val="18"/>
          <w:szCs w:val="18"/>
          <w:color w:val="F75E14"/>
        </w:rPr>
        <w:t>The Board of Directors and Corporate Governance</w:t>
      </w:r>
    </w:p>
    <w:p>
      <w:pPr>
        <w:spacing w:after="0" w:line="135"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2B4772"/>
        </w:rPr>
        <w:t>Corporate Governance Principles</w:t>
      </w:r>
    </w:p>
    <w:p>
      <w:pPr>
        <w:spacing w:after="0" w:line="226" w:lineRule="exact"/>
        <w:rPr>
          <w:sz w:val="20"/>
          <w:szCs w:val="20"/>
          <w:color w:val="auto"/>
        </w:rPr>
      </w:pPr>
    </w:p>
    <w:p>
      <w:pPr>
        <w:jc w:val="both"/>
        <w:ind w:left="160"/>
        <w:spacing w:after="0" w:line="243" w:lineRule="auto"/>
        <w:rPr>
          <w:sz w:val="20"/>
          <w:szCs w:val="20"/>
          <w:color w:val="auto"/>
        </w:rPr>
      </w:pPr>
      <w:r>
        <w:rPr>
          <w:rFonts w:ascii="Arial" w:cs="Arial" w:eastAsia="Arial" w:hAnsi="Arial"/>
          <w:sz w:val="18"/>
          <w:szCs w:val="18"/>
          <w:color w:val="auto"/>
        </w:rPr>
        <w:t xml:space="preserve">Our Corporate Governance Principles (the “Principles”) provide guidance for a variety of corporate governance matters and are available on our website at </w:t>
      </w:r>
      <w:r>
        <w:rPr>
          <w:rFonts w:ascii="Arial" w:cs="Arial" w:eastAsia="Arial" w:hAnsi="Arial"/>
          <w:sz w:val="18"/>
          <w:szCs w:val="18"/>
          <w:u w:val="single" w:color="auto"/>
          <w:color w:val="auto"/>
        </w:rPr>
        <w:t>www.onsemi.com</w:t>
      </w:r>
      <w:r>
        <w:rPr>
          <w:rFonts w:ascii="Arial" w:cs="Arial" w:eastAsia="Arial" w:hAnsi="Arial"/>
          <w:sz w:val="18"/>
          <w:szCs w:val="18"/>
          <w:color w:val="auto"/>
        </w:rPr>
        <w:t>. The GS Committee reviews the Principles annually and recommends amendments to the Board, as appropriate. Below is a summary of certain of our corporate governance practices, many of which are addressed in the Principles and our Bylaws: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142240</wp:posOffset>
            </wp:positionV>
            <wp:extent cx="6929755" cy="2292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929755" cy="229235"/>
                    </a:xfrm>
                    <a:prstGeom prst="rect">
                      <a:avLst/>
                    </a:prstGeom>
                    <a:noFill/>
                  </pic:spPr>
                </pic:pic>
              </a:graphicData>
            </a:graphic>
          </wp:anchor>
        </w:drawing>
      </w:r>
    </w:p>
    <w:p>
      <w:pPr>
        <w:spacing w:after="0" w:line="297" w:lineRule="exact"/>
        <w:rPr>
          <w:sz w:val="20"/>
          <w:szCs w:val="20"/>
          <w:color w:val="auto"/>
        </w:rPr>
      </w:pPr>
    </w:p>
    <w:p>
      <w:pPr>
        <w:ind w:left="2420"/>
        <w:spacing w:after="0"/>
        <w:tabs>
          <w:tab w:leader="none" w:pos="7580" w:val="left"/>
        </w:tabs>
        <w:rPr>
          <w:sz w:val="20"/>
          <w:szCs w:val="20"/>
          <w:color w:val="auto"/>
        </w:rPr>
      </w:pPr>
      <w:r>
        <w:rPr>
          <w:rFonts w:ascii="Arial" w:cs="Arial" w:eastAsia="Arial" w:hAnsi="Arial"/>
          <w:sz w:val="16"/>
          <w:szCs w:val="16"/>
          <w:b w:val="1"/>
          <w:bCs w:val="1"/>
          <w:color w:val="FFFFFF"/>
        </w:rPr>
        <w:t>WHAT WE DO</w:t>
      </w:r>
      <w:r>
        <w:rPr>
          <w:sz w:val="20"/>
          <w:szCs w:val="20"/>
          <w:color w:val="auto"/>
        </w:rPr>
        <w:tab/>
      </w:r>
      <w:r>
        <w:rPr>
          <w:rFonts w:ascii="Arial" w:cs="Arial" w:eastAsia="Arial" w:hAnsi="Arial"/>
          <w:sz w:val="15"/>
          <w:szCs w:val="15"/>
          <w:b w:val="1"/>
          <w:bCs w:val="1"/>
          <w:color w:val="FFFFFF"/>
        </w:rPr>
        <w:t>WHAT WE DO NOT DO</w:t>
      </w:r>
    </w:p>
    <w:p>
      <w:pPr>
        <w:spacing w:after="0" w:line="111" w:lineRule="exact"/>
        <w:rPr>
          <w:sz w:val="20"/>
          <w:szCs w:val="20"/>
          <w:color w:val="auto"/>
        </w:rPr>
      </w:pPr>
    </w:p>
    <w:p>
      <w:pPr>
        <w:ind w:left="480" w:hanging="205"/>
        <w:spacing w:after="0" w:line="184" w:lineRule="exact"/>
        <w:tabs>
          <w:tab w:leader="none" w:pos="480" w:val="left"/>
        </w:tabs>
        <w:numPr>
          <w:ilvl w:val="0"/>
          <w:numId w:val="36"/>
        </w:numPr>
        <w:rPr>
          <w:rFonts w:ascii="MS PGothic" w:cs="MS PGothic" w:eastAsia="MS PGothic" w:hAnsi="MS PGothic"/>
          <w:sz w:val="16"/>
          <w:szCs w:val="16"/>
          <w:color w:val="auto"/>
        </w:rPr>
      </w:pPr>
      <w:r>
        <w:rPr>
          <w:rFonts w:ascii="Arial" w:cs="Arial" w:eastAsia="Arial" w:hAnsi="Arial"/>
          <w:sz w:val="16"/>
          <w:szCs w:val="16"/>
          <w:b w:val="1"/>
          <w:bCs w:val="1"/>
          <w:i w:val="1"/>
          <w:iCs w:val="1"/>
          <w:color w:val="auto"/>
        </w:rPr>
        <w:t xml:space="preserve">World-Class Culture for Ethics: </w:t>
      </w:r>
      <w:r>
        <w:rPr>
          <w:rFonts w:ascii="Arial" w:cs="Arial" w:eastAsia="Arial" w:hAnsi="Arial"/>
          <w:sz w:val="16"/>
          <w:szCs w:val="16"/>
          <w:color w:val="auto"/>
        </w:rPr>
        <w:t>In February 2022, the Company was</w:t>
      </w:r>
      <w:r>
        <w:rPr>
          <w:rFonts w:ascii="Arial" w:cs="Arial" w:eastAsia="Arial" w:hAnsi="Arial"/>
          <w:sz w:val="16"/>
          <w:szCs w:val="16"/>
          <w:b w:val="1"/>
          <w:bCs w:val="1"/>
          <w:i w:val="1"/>
          <w:iCs w:val="1"/>
          <w:color w:val="auto"/>
        </w:rPr>
        <w:t xml:space="preserve">  </w:t>
      </w:r>
      <w:r>
        <w:rPr>
          <w:rFonts w:ascii="MS PGothic" w:cs="MS PGothic" w:eastAsia="MS PGothic" w:hAnsi="MS PGothic"/>
          <w:sz w:val="16"/>
          <w:szCs w:val="16"/>
          <w:color w:val="auto"/>
        </w:rPr>
        <w:t>☒</w:t>
      </w:r>
      <w:r>
        <w:rPr>
          <w:rFonts w:ascii="Arial" w:cs="Arial" w:eastAsia="Arial" w:hAnsi="Arial"/>
          <w:sz w:val="16"/>
          <w:szCs w:val="16"/>
          <w:b w:val="1"/>
          <w:bCs w:val="1"/>
          <w:i w:val="1"/>
          <w:iCs w:val="1"/>
          <w:color w:val="auto"/>
        </w:rPr>
        <w:t xml:space="preserve"> No Classified Board: </w:t>
      </w:r>
      <w:r>
        <w:rPr>
          <w:rFonts w:ascii="Arial" w:cs="Arial" w:eastAsia="Arial" w:hAnsi="Arial"/>
          <w:sz w:val="16"/>
          <w:szCs w:val="16"/>
          <w:color w:val="auto"/>
        </w:rPr>
        <w:t>All of our Directors are elected by our</w:t>
      </w:r>
    </w:p>
    <w:p>
      <w:pPr>
        <w:sectPr>
          <w:pgSz w:w="11900" w:h="16838" w:orient="portrait"/>
          <w:cols w:equalWidth="0" w:num="1">
            <w:col w:w="11080"/>
          </w:cols>
          <w:pgMar w:left="320" w:top="454" w:right="499" w:bottom="1440" w:gutter="0" w:footer="0" w:header="0"/>
        </w:sectPr>
      </w:pPr>
    </w:p>
    <w:p>
      <w:pPr>
        <w:spacing w:after="0" w:line="69" w:lineRule="exact"/>
        <w:rPr>
          <w:sz w:val="20"/>
          <w:szCs w:val="20"/>
          <w:color w:val="auto"/>
        </w:rPr>
      </w:pPr>
    </w:p>
    <w:p>
      <w:pPr>
        <w:jc w:val="both"/>
        <w:ind w:left="480"/>
        <w:spacing w:after="0" w:line="245" w:lineRule="auto"/>
        <w:rPr>
          <w:sz w:val="20"/>
          <w:szCs w:val="20"/>
          <w:color w:val="auto"/>
        </w:rPr>
      </w:pPr>
      <w:r>
        <w:rPr>
          <w:rFonts w:ascii="Arial" w:cs="Arial" w:eastAsia="Arial" w:hAnsi="Arial"/>
          <w:sz w:val="16"/>
          <w:szCs w:val="16"/>
          <w:color w:val="auto"/>
        </w:rPr>
        <w:t>recognized as a consecutive year.</w:t>
      </w:r>
    </w:p>
    <w:p>
      <w:pPr>
        <w:spacing w:after="0" w:line="20" w:lineRule="exact"/>
        <w:rPr>
          <w:sz w:val="20"/>
          <w:szCs w:val="20"/>
          <w:color w:val="auto"/>
        </w:rPr>
      </w:pPr>
      <w:r>
        <w:rPr>
          <w:sz w:val="20"/>
          <w:szCs w:val="20"/>
          <w:color w:val="auto"/>
        </w:rPr>
        <w:br w:type="column"/>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World’s</w:t>
      </w:r>
    </w:p>
    <w:p>
      <w:pPr>
        <w:spacing w:after="0" w:line="20" w:lineRule="exact"/>
        <w:rPr>
          <w:sz w:val="20"/>
          <w:szCs w:val="20"/>
          <w:color w:val="auto"/>
        </w:rPr>
      </w:pPr>
      <w:r>
        <w:rPr>
          <w:sz w:val="20"/>
          <w:szCs w:val="20"/>
          <w:color w:val="auto"/>
        </w:rPr>
        <w:br w:type="column"/>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Most</w:t>
      </w:r>
    </w:p>
    <w:p>
      <w:pPr>
        <w:spacing w:after="0" w:line="20" w:lineRule="exact"/>
        <w:rPr>
          <w:sz w:val="20"/>
          <w:szCs w:val="20"/>
          <w:color w:val="auto"/>
        </w:rPr>
      </w:pPr>
      <w:r>
        <w:rPr>
          <w:sz w:val="20"/>
          <w:szCs w:val="20"/>
          <w:color w:val="auto"/>
        </w:rPr>
        <w:br w:type="column"/>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Ethical</w:t>
      </w:r>
    </w:p>
    <w:p>
      <w:pPr>
        <w:spacing w:after="0" w:line="20" w:lineRule="exact"/>
        <w:rPr>
          <w:sz w:val="20"/>
          <w:szCs w:val="20"/>
          <w:color w:val="auto"/>
        </w:rPr>
      </w:pPr>
      <w:r>
        <w:rPr>
          <w:sz w:val="20"/>
          <w:szCs w:val="20"/>
          <w:color w:val="auto"/>
        </w:rPr>
        <w:br w:type="column"/>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Company</w:t>
      </w:r>
      <w:r>
        <w:rPr>
          <w:rFonts w:ascii="Arial" w:cs="Arial" w:eastAsia="Arial" w:hAnsi="Arial"/>
          <w:sz w:val="12"/>
          <w:szCs w:val="12"/>
          <w:color w:val="auto"/>
        </w:rPr>
        <w:t>®</w:t>
      </w:r>
    </w:p>
    <w:p>
      <w:pPr>
        <w:spacing w:after="0" w:line="20" w:lineRule="exact"/>
        <w:rPr>
          <w:sz w:val="20"/>
          <w:szCs w:val="20"/>
          <w:color w:val="auto"/>
        </w:rPr>
      </w:pPr>
      <w:r>
        <w:rPr>
          <w:sz w:val="20"/>
          <w:szCs w:val="20"/>
          <w:color w:val="auto"/>
        </w:rPr>
        <w:br w:type="column"/>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for</w:t>
      </w:r>
    </w:p>
    <w:p>
      <w:pPr>
        <w:spacing w:after="0" w:line="20" w:lineRule="exact"/>
        <w:rPr>
          <w:sz w:val="20"/>
          <w:szCs w:val="20"/>
          <w:color w:val="auto"/>
        </w:rPr>
      </w:pPr>
      <w:r>
        <w:rPr>
          <w:sz w:val="20"/>
          <w:szCs w:val="20"/>
          <w:color w:val="auto"/>
        </w:rPr>
        <w:br w:type="column"/>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w:t>
      </w:r>
    </w:p>
    <w:p>
      <w:pPr>
        <w:spacing w:after="0" w:line="20" w:lineRule="exact"/>
        <w:rPr>
          <w:sz w:val="20"/>
          <w:szCs w:val="20"/>
          <w:color w:val="auto"/>
        </w:rPr>
      </w:pPr>
      <w:r>
        <w:rPr>
          <w:sz w:val="20"/>
          <w:szCs w:val="20"/>
          <w:color w:val="auto"/>
        </w:rPr>
        <w:br w:type="column"/>
      </w:r>
    </w:p>
    <w:p>
      <w:pPr>
        <w:spacing w:after="0" w:line="49" w:lineRule="exact"/>
        <w:rPr>
          <w:sz w:val="20"/>
          <w:szCs w:val="20"/>
          <w:color w:val="auto"/>
        </w:rPr>
      </w:pPr>
    </w:p>
    <w:p>
      <w:pPr>
        <w:spacing w:after="0"/>
        <w:rPr>
          <w:sz w:val="20"/>
          <w:szCs w:val="20"/>
          <w:color w:val="auto"/>
        </w:rPr>
      </w:pPr>
      <w:r>
        <w:rPr>
          <w:rFonts w:ascii="Arial" w:cs="Arial" w:eastAsia="Arial" w:hAnsi="Arial"/>
          <w:sz w:val="15"/>
          <w:szCs w:val="15"/>
          <w:color w:val="auto"/>
        </w:rPr>
        <w:t>seventh</w:t>
      </w:r>
    </w:p>
    <w:p>
      <w:pPr>
        <w:spacing w:after="0" w:line="20" w:lineRule="exact"/>
        <w:rPr>
          <w:sz w:val="20"/>
          <w:szCs w:val="20"/>
          <w:color w:val="auto"/>
        </w:rPr>
      </w:pPr>
      <w:r>
        <w:rPr>
          <w:sz w:val="20"/>
          <w:szCs w:val="20"/>
          <w:color w:val="auto"/>
        </w:rPr>
        <w:br w:type="column"/>
      </w:r>
    </w:p>
    <w:p>
      <w:pPr>
        <w:spacing w:after="0" w:line="49" w:lineRule="exact"/>
        <w:rPr>
          <w:sz w:val="20"/>
          <w:szCs w:val="20"/>
          <w:color w:val="auto"/>
        </w:rPr>
      </w:pPr>
    </w:p>
    <w:p>
      <w:pPr>
        <w:ind w:right="60"/>
        <w:spacing w:after="0" w:line="245" w:lineRule="auto"/>
        <w:rPr>
          <w:sz w:val="20"/>
          <w:szCs w:val="20"/>
          <w:color w:val="auto"/>
        </w:rPr>
      </w:pPr>
      <w:r>
        <w:rPr>
          <w:rFonts w:ascii="Arial" w:cs="Arial" w:eastAsia="Arial" w:hAnsi="Arial"/>
          <w:sz w:val="16"/>
          <w:szCs w:val="16"/>
          <w:color w:val="auto"/>
        </w:rPr>
        <w:t>stockholders on an annual basis using a majority voting standard for uncontested elections.</w:t>
      </w:r>
    </w:p>
    <w:p>
      <w:pPr>
        <w:spacing w:after="0" w:line="160" w:lineRule="exact"/>
        <w:rPr>
          <w:sz w:val="20"/>
          <w:szCs w:val="20"/>
          <w:color w:val="auto"/>
        </w:rPr>
      </w:pPr>
    </w:p>
    <w:p>
      <w:pPr>
        <w:sectPr>
          <w:pgSz w:w="11900" w:h="16838" w:orient="portrait"/>
          <w:cols w:equalWidth="0" w:num="9">
            <w:col w:w="1780" w:space="120"/>
            <w:col w:w="520" w:space="120"/>
            <w:col w:w="360" w:space="120"/>
            <w:col w:w="480" w:space="120"/>
            <w:col w:w="780" w:space="120"/>
            <w:col w:w="180" w:space="120"/>
            <w:col w:w="240" w:space="120"/>
            <w:col w:w="560" w:space="380"/>
            <w:col w:w="4960"/>
          </w:cols>
          <w:pgMar w:left="320" w:top="454" w:right="499" w:bottom="1440" w:gutter="0" w:footer="0" w:header="0"/>
          <w:type w:val="continuous"/>
        </w:sectPr>
      </w:pPr>
    </w:p>
    <w:p>
      <w:pPr>
        <w:ind w:left="480" w:hanging="205"/>
        <w:spacing w:after="0" w:line="184" w:lineRule="exact"/>
        <w:tabs>
          <w:tab w:leader="none" w:pos="480" w:val="left"/>
        </w:tabs>
        <w:numPr>
          <w:ilvl w:val="0"/>
          <w:numId w:val="37"/>
        </w:numPr>
        <w:rPr>
          <w:rFonts w:ascii="MS PGothic" w:cs="MS PGothic" w:eastAsia="MS PGothic" w:hAnsi="MS PGothic"/>
          <w:sz w:val="16"/>
          <w:szCs w:val="16"/>
          <w:color w:val="auto"/>
        </w:rPr>
      </w:pPr>
      <w:r>
        <w:rPr>
          <w:rFonts w:ascii="Arial" w:cs="Arial" w:eastAsia="Arial" w:hAnsi="Arial"/>
          <w:sz w:val="16"/>
          <w:szCs w:val="16"/>
          <w:b w:val="1"/>
          <w:bCs w:val="1"/>
          <w:i w:val="1"/>
          <w:iCs w:val="1"/>
          <w:color w:val="auto"/>
        </w:rPr>
        <w:t xml:space="preserve">Independent Board Chair: </w:t>
      </w:r>
      <w:r>
        <w:rPr>
          <w:rFonts w:ascii="Arial" w:cs="Arial" w:eastAsia="Arial" w:hAnsi="Arial"/>
          <w:sz w:val="16"/>
          <w:szCs w:val="16"/>
          <w:color w:val="auto"/>
        </w:rPr>
        <w:t>We separate the roles of CEO and Chair of</w:t>
      </w:r>
      <w:r>
        <w:rPr>
          <w:rFonts w:ascii="Arial" w:cs="Arial" w:eastAsia="Arial" w:hAnsi="Arial"/>
          <w:sz w:val="16"/>
          <w:szCs w:val="16"/>
          <w:b w:val="1"/>
          <w:bCs w:val="1"/>
          <w:i w:val="1"/>
          <w:iCs w:val="1"/>
          <w:color w:val="auto"/>
        </w:rPr>
        <w:t xml:space="preserve">  </w:t>
      </w:r>
      <w:r>
        <w:rPr>
          <w:rFonts w:ascii="MS PGothic" w:cs="MS PGothic" w:eastAsia="MS PGothic" w:hAnsi="MS PGothic"/>
          <w:sz w:val="16"/>
          <w:szCs w:val="16"/>
          <w:color w:val="auto"/>
        </w:rPr>
        <w:t>☒</w:t>
      </w:r>
      <w:r>
        <w:rPr>
          <w:rFonts w:ascii="Arial" w:cs="Arial" w:eastAsia="Arial" w:hAnsi="Arial"/>
          <w:sz w:val="16"/>
          <w:szCs w:val="16"/>
          <w:b w:val="1"/>
          <w:bCs w:val="1"/>
          <w:i w:val="1"/>
          <w:iCs w:val="1"/>
          <w:color w:val="auto"/>
        </w:rPr>
        <w:t xml:space="preserve"> No Burdensome Director Removal Restrictions: </w:t>
      </w:r>
      <w:r>
        <w:rPr>
          <w:rFonts w:ascii="Arial" w:cs="Arial" w:eastAsia="Arial" w:hAnsi="Arial"/>
          <w:sz w:val="16"/>
          <w:szCs w:val="16"/>
          <w:color w:val="auto"/>
        </w:rPr>
        <w:t>Our stockholders</w:t>
      </w:r>
    </w:p>
    <w:p>
      <w:pPr>
        <w:sectPr>
          <w:pgSz w:w="11900" w:h="16838" w:orient="portrait"/>
          <w:cols w:equalWidth="0" w:num="1">
            <w:col w:w="11080"/>
          </w:cols>
          <w:pgMar w:left="320" w:top="454" w:right="499" w:bottom="1440" w:gutter="0" w:footer="0" w:header="0"/>
          <w:type w:val="continuous"/>
        </w:sectPr>
      </w:pPr>
    </w:p>
    <w:p>
      <w:pPr>
        <w:spacing w:after="0" w:line="69" w:lineRule="exact"/>
        <w:rPr>
          <w:sz w:val="20"/>
          <w:szCs w:val="20"/>
          <w:color w:val="auto"/>
        </w:rPr>
      </w:pPr>
    </w:p>
    <w:p>
      <w:pPr>
        <w:ind w:left="480"/>
        <w:spacing w:after="0"/>
        <w:rPr>
          <w:sz w:val="20"/>
          <w:szCs w:val="20"/>
          <w:color w:val="auto"/>
        </w:rPr>
      </w:pPr>
      <w:r>
        <w:rPr>
          <w:rFonts w:ascii="Arial" w:cs="Arial" w:eastAsia="Arial" w:hAnsi="Arial"/>
          <w:sz w:val="16"/>
          <w:szCs w:val="16"/>
          <w:color w:val="auto"/>
        </w:rPr>
        <w:t>the Board to ensure that the Board is independent from management.</w:t>
      </w:r>
    </w:p>
    <w:p>
      <w:pPr>
        <w:spacing w:after="0" w:line="20" w:lineRule="exact"/>
        <w:rPr>
          <w:sz w:val="20"/>
          <w:szCs w:val="20"/>
          <w:color w:val="auto"/>
        </w:rPr>
      </w:pPr>
      <w:r>
        <w:rPr>
          <w:sz w:val="20"/>
          <w:szCs w:val="20"/>
          <w:color w:val="auto"/>
        </w:rPr>
        <w:br w:type="column"/>
      </w:r>
    </w:p>
    <w:p>
      <w:pPr>
        <w:spacing w:after="0" w:line="49" w:lineRule="exact"/>
        <w:rPr>
          <w:sz w:val="20"/>
          <w:szCs w:val="20"/>
          <w:color w:val="auto"/>
        </w:rPr>
      </w:pPr>
    </w:p>
    <w:p>
      <w:pPr>
        <w:ind w:right="60"/>
        <w:spacing w:after="0" w:line="245" w:lineRule="auto"/>
        <w:rPr>
          <w:sz w:val="20"/>
          <w:szCs w:val="20"/>
          <w:color w:val="auto"/>
        </w:rPr>
      </w:pPr>
      <w:r>
        <w:rPr>
          <w:rFonts w:ascii="Arial" w:cs="Arial" w:eastAsia="Arial" w:hAnsi="Arial"/>
          <w:sz w:val="16"/>
          <w:szCs w:val="16"/>
          <w:color w:val="auto"/>
        </w:rPr>
        <w:t>have the authority to remove any Director from office without cause by a majority vote.</w:t>
      </w:r>
    </w:p>
    <w:p>
      <w:pPr>
        <w:spacing w:after="0" w:line="160" w:lineRule="exact"/>
        <w:rPr>
          <w:sz w:val="20"/>
          <w:szCs w:val="20"/>
          <w:color w:val="auto"/>
        </w:rPr>
      </w:pPr>
    </w:p>
    <w:p>
      <w:pPr>
        <w:sectPr>
          <w:pgSz w:w="11900" w:h="16838" w:orient="portrait"/>
          <w:cols w:equalWidth="0" w:num="2">
            <w:col w:w="5440" w:space="680"/>
            <w:col w:w="4960"/>
          </w:cols>
          <w:pgMar w:left="320" w:top="454" w:right="499" w:bottom="1440" w:gutter="0" w:footer="0" w:header="0"/>
          <w:type w:val="continuous"/>
        </w:sectPr>
      </w:pPr>
    </w:p>
    <w:p>
      <w:pPr>
        <w:ind w:left="480" w:hanging="205"/>
        <w:spacing w:after="0" w:line="184" w:lineRule="exact"/>
        <w:tabs>
          <w:tab w:leader="none" w:pos="480" w:val="left"/>
        </w:tabs>
        <w:numPr>
          <w:ilvl w:val="0"/>
          <w:numId w:val="38"/>
        </w:numPr>
        <w:rPr>
          <w:rFonts w:ascii="MS PGothic" w:cs="MS PGothic" w:eastAsia="MS PGothic" w:hAnsi="MS PGothic"/>
          <w:sz w:val="16"/>
          <w:szCs w:val="16"/>
          <w:color w:val="auto"/>
        </w:rPr>
      </w:pPr>
      <w:r>
        <w:rPr>
          <w:rFonts w:ascii="Arial" w:cs="Arial" w:eastAsia="Arial" w:hAnsi="Arial"/>
          <w:sz w:val="16"/>
          <w:szCs w:val="16"/>
          <w:b w:val="1"/>
          <w:bCs w:val="1"/>
          <w:i w:val="1"/>
          <w:iCs w:val="1"/>
          <w:color w:val="auto"/>
        </w:rPr>
        <w:t xml:space="preserve">Annual Committee, Board and Individual Director Evaluations: </w:t>
      </w:r>
      <w:r>
        <w:rPr>
          <w:rFonts w:ascii="Arial" w:cs="Arial" w:eastAsia="Arial" w:hAnsi="Arial"/>
          <w:sz w:val="16"/>
          <w:szCs w:val="16"/>
          <w:color w:val="auto"/>
        </w:rPr>
        <w:t>Each</w:t>
      </w:r>
      <w:r>
        <w:rPr>
          <w:rFonts w:ascii="Arial" w:cs="Arial" w:eastAsia="Arial" w:hAnsi="Arial"/>
          <w:sz w:val="16"/>
          <w:szCs w:val="16"/>
          <w:b w:val="1"/>
          <w:bCs w:val="1"/>
          <w:i w:val="1"/>
          <w:iCs w:val="1"/>
          <w:color w:val="auto"/>
        </w:rPr>
        <w:t xml:space="preserve"> </w:t>
      </w:r>
      <w:r>
        <w:rPr>
          <w:rFonts w:ascii="MS PGothic" w:cs="MS PGothic" w:eastAsia="MS PGothic" w:hAnsi="MS PGothic"/>
          <w:sz w:val="16"/>
          <w:szCs w:val="16"/>
          <w:color w:val="auto"/>
        </w:rPr>
        <w:t>☒</w:t>
      </w:r>
      <w:r>
        <w:rPr>
          <w:rFonts w:ascii="Arial" w:cs="Arial" w:eastAsia="Arial" w:hAnsi="Arial"/>
          <w:sz w:val="16"/>
          <w:szCs w:val="16"/>
          <w:b w:val="1"/>
          <w:bCs w:val="1"/>
          <w:i w:val="1"/>
          <w:iCs w:val="1"/>
          <w:color w:val="auto"/>
        </w:rPr>
        <w:t xml:space="preserve"> No Overboarding: </w:t>
      </w:r>
      <w:r>
        <w:rPr>
          <w:rFonts w:ascii="Arial" w:cs="Arial" w:eastAsia="Arial" w:hAnsi="Arial"/>
          <w:sz w:val="16"/>
          <w:szCs w:val="16"/>
          <w:color w:val="auto"/>
        </w:rPr>
        <w:t>We generally expect our Directors to limit the</w:t>
      </w:r>
    </w:p>
    <w:p>
      <w:pPr>
        <w:sectPr>
          <w:pgSz w:w="11900" w:h="16838" w:orient="portrait"/>
          <w:cols w:equalWidth="0" w:num="1">
            <w:col w:w="11080"/>
          </w:cols>
          <w:pgMar w:left="320" w:top="454" w:right="499" w:bottom="1440" w:gutter="0" w:footer="0" w:header="0"/>
          <w:type w:val="continuous"/>
        </w:sectPr>
      </w:pPr>
    </w:p>
    <w:p>
      <w:pPr>
        <w:spacing w:after="0" w:line="69" w:lineRule="exact"/>
        <w:rPr>
          <w:sz w:val="20"/>
          <w:szCs w:val="20"/>
          <w:color w:val="auto"/>
        </w:rPr>
      </w:pPr>
    </w:p>
    <w:p>
      <w:pPr>
        <w:jc w:val="both"/>
        <w:ind w:left="480"/>
        <w:spacing w:after="0" w:line="244" w:lineRule="auto"/>
        <w:rPr>
          <w:sz w:val="20"/>
          <w:szCs w:val="20"/>
          <w:color w:val="auto"/>
        </w:rPr>
      </w:pPr>
      <w:r>
        <w:rPr>
          <w:rFonts w:ascii="Arial" w:cs="Arial" w:eastAsia="Arial" w:hAnsi="Arial"/>
          <w:sz w:val="16"/>
          <w:szCs w:val="16"/>
          <w:color w:val="auto"/>
        </w:rPr>
        <w:t>committee and the Board as a whole conduct a self-evaluation at least annually, and each Director’s individual performance is evaluated annually by other Directors.</w:t>
      </w:r>
    </w:p>
    <w:p>
      <w:pPr>
        <w:spacing w:after="0" w:line="20" w:lineRule="exact"/>
        <w:rPr>
          <w:sz w:val="20"/>
          <w:szCs w:val="20"/>
          <w:color w:val="auto"/>
        </w:rPr>
      </w:pPr>
      <w:r>
        <w:rPr>
          <w:sz w:val="20"/>
          <w:szCs w:val="20"/>
          <w:color w:val="auto"/>
        </w:rPr>
        <w:br w:type="column"/>
      </w:r>
    </w:p>
    <w:p>
      <w:pPr>
        <w:spacing w:after="0" w:line="49" w:lineRule="exact"/>
        <w:rPr>
          <w:sz w:val="20"/>
          <w:szCs w:val="20"/>
          <w:color w:val="auto"/>
        </w:rPr>
      </w:pPr>
    </w:p>
    <w:p>
      <w:pPr>
        <w:jc w:val="both"/>
        <w:ind w:right="60"/>
        <w:spacing w:after="0" w:line="244" w:lineRule="auto"/>
        <w:rPr>
          <w:sz w:val="20"/>
          <w:szCs w:val="20"/>
          <w:color w:val="auto"/>
        </w:rPr>
      </w:pPr>
      <w:r>
        <w:rPr>
          <w:rFonts w:ascii="Arial" w:cs="Arial" w:eastAsia="Arial" w:hAnsi="Arial"/>
          <w:sz w:val="16"/>
          <w:szCs w:val="16"/>
          <w:color w:val="auto"/>
        </w:rPr>
        <w:t>number of boards of public or private companies (other than non-profits) on which they serve (including our Board) to four for Outside Directors and two for our CEO.</w:t>
      </w:r>
    </w:p>
    <w:p>
      <w:pPr>
        <w:spacing w:after="0" w:line="162" w:lineRule="exact"/>
        <w:rPr>
          <w:sz w:val="20"/>
          <w:szCs w:val="20"/>
          <w:color w:val="auto"/>
        </w:rPr>
      </w:pPr>
    </w:p>
    <w:p>
      <w:pPr>
        <w:sectPr>
          <w:pgSz w:w="11900" w:h="16838" w:orient="portrait"/>
          <w:cols w:equalWidth="0" w:num="2">
            <w:col w:w="5740" w:space="380"/>
            <w:col w:w="4960"/>
          </w:cols>
          <w:pgMar w:left="320" w:top="454" w:right="499" w:bottom="1440" w:gutter="0" w:footer="0" w:header="0"/>
          <w:type w:val="continuous"/>
        </w:sectPr>
      </w:pPr>
    </w:p>
    <w:p>
      <w:pPr>
        <w:ind w:left="480" w:hanging="205"/>
        <w:spacing w:after="0" w:line="184" w:lineRule="exact"/>
        <w:tabs>
          <w:tab w:leader="none" w:pos="480" w:val="left"/>
        </w:tabs>
        <w:numPr>
          <w:ilvl w:val="0"/>
          <w:numId w:val="39"/>
        </w:numPr>
        <w:rPr>
          <w:rFonts w:ascii="MS PGothic" w:cs="MS PGothic" w:eastAsia="MS PGothic" w:hAnsi="MS PGothic"/>
          <w:sz w:val="16"/>
          <w:szCs w:val="16"/>
          <w:color w:val="auto"/>
        </w:rPr>
      </w:pPr>
      <w:r>
        <w:rPr>
          <w:rFonts w:ascii="Arial" w:cs="Arial" w:eastAsia="Arial" w:hAnsi="Arial"/>
          <w:sz w:val="16"/>
          <w:szCs w:val="16"/>
          <w:b w:val="1"/>
          <w:bCs w:val="1"/>
          <w:i w:val="1"/>
          <w:iCs w:val="1"/>
          <w:color w:val="auto"/>
        </w:rPr>
        <w:t xml:space="preserve">Stockholder Right to Call Special Meeting: </w:t>
      </w:r>
      <w:r>
        <w:rPr>
          <w:rFonts w:ascii="Arial" w:cs="Arial" w:eastAsia="Arial" w:hAnsi="Arial"/>
          <w:sz w:val="16"/>
          <w:szCs w:val="16"/>
          <w:color w:val="auto"/>
        </w:rPr>
        <w:t>We allow special meetings</w:t>
      </w:r>
      <w:r>
        <w:rPr>
          <w:rFonts w:ascii="Arial" w:cs="Arial" w:eastAsia="Arial" w:hAnsi="Arial"/>
          <w:sz w:val="16"/>
          <w:szCs w:val="16"/>
          <w:b w:val="1"/>
          <w:bCs w:val="1"/>
          <w:i w:val="1"/>
          <w:iCs w:val="1"/>
          <w:color w:val="auto"/>
        </w:rPr>
        <w:t xml:space="preserve">  </w:t>
      </w:r>
      <w:r>
        <w:rPr>
          <w:rFonts w:ascii="MS PGothic" w:cs="MS PGothic" w:eastAsia="MS PGothic" w:hAnsi="MS PGothic"/>
          <w:sz w:val="16"/>
          <w:szCs w:val="16"/>
          <w:color w:val="auto"/>
        </w:rPr>
        <w:t>☒</w:t>
      </w:r>
      <w:r>
        <w:rPr>
          <w:rFonts w:ascii="Arial" w:cs="Arial" w:eastAsia="Arial" w:hAnsi="Arial"/>
          <w:sz w:val="16"/>
          <w:szCs w:val="16"/>
          <w:b w:val="1"/>
          <w:bCs w:val="1"/>
          <w:i w:val="1"/>
          <w:iCs w:val="1"/>
          <w:color w:val="auto"/>
        </w:rPr>
        <w:t xml:space="preserve"> No Excise Tax Gross-ups: </w:t>
      </w:r>
      <w:r>
        <w:rPr>
          <w:rFonts w:ascii="Arial" w:cs="Arial" w:eastAsia="Arial" w:hAnsi="Arial"/>
          <w:sz w:val="16"/>
          <w:szCs w:val="16"/>
          <w:color w:val="auto"/>
        </w:rPr>
        <w:t>We do not provide excise tax gross-ups</w:t>
      </w:r>
    </w:p>
    <w:p>
      <w:pPr>
        <w:sectPr>
          <w:pgSz w:w="11900" w:h="16838" w:orient="portrait"/>
          <w:cols w:equalWidth="0" w:num="1">
            <w:col w:w="11080"/>
          </w:cols>
          <w:pgMar w:left="320" w:top="454" w:right="499" w:bottom="1440" w:gutter="0" w:footer="0" w:header="0"/>
          <w:type w:val="continuous"/>
        </w:sectPr>
      </w:pPr>
    </w:p>
    <w:p>
      <w:pPr>
        <w:spacing w:after="0" w:line="69" w:lineRule="exact"/>
        <w:rPr>
          <w:sz w:val="20"/>
          <w:szCs w:val="20"/>
          <w:color w:val="auto"/>
        </w:rPr>
      </w:pPr>
    </w:p>
    <w:p>
      <w:pPr>
        <w:ind w:left="480"/>
        <w:spacing w:after="0" w:line="245" w:lineRule="auto"/>
        <w:rPr>
          <w:sz w:val="20"/>
          <w:szCs w:val="20"/>
          <w:color w:val="auto"/>
        </w:rPr>
      </w:pPr>
      <w:r>
        <w:rPr>
          <w:rFonts w:ascii="Arial" w:cs="Arial" w:eastAsia="Arial" w:hAnsi="Arial"/>
          <w:sz w:val="16"/>
          <w:szCs w:val="16"/>
          <w:color w:val="auto"/>
        </w:rPr>
        <w:t>of our stockholders to be called upon the written request of stockholders who hold at least 25% of the outstanding voting stock.</w:t>
      </w:r>
    </w:p>
    <w:p>
      <w:pPr>
        <w:spacing w:after="0" w:line="20" w:lineRule="exact"/>
        <w:rPr>
          <w:sz w:val="20"/>
          <w:szCs w:val="20"/>
          <w:color w:val="auto"/>
        </w:rPr>
      </w:pPr>
      <w:r>
        <w:rPr>
          <w:sz w:val="20"/>
          <w:szCs w:val="20"/>
          <w:color w:val="auto"/>
        </w:rPr>
        <w:br w:type="column"/>
      </w:r>
    </w:p>
    <w:p>
      <w:pPr>
        <w:spacing w:after="0" w:line="49" w:lineRule="exact"/>
        <w:rPr>
          <w:sz w:val="20"/>
          <w:szCs w:val="20"/>
          <w:color w:val="auto"/>
        </w:rPr>
      </w:pPr>
    </w:p>
    <w:p>
      <w:pPr>
        <w:spacing w:after="0"/>
        <w:rPr>
          <w:sz w:val="20"/>
          <w:szCs w:val="20"/>
          <w:color w:val="auto"/>
        </w:rPr>
      </w:pPr>
      <w:r>
        <w:rPr>
          <w:rFonts w:ascii="Arial" w:cs="Arial" w:eastAsia="Arial" w:hAnsi="Arial"/>
          <w:sz w:val="16"/>
          <w:szCs w:val="16"/>
          <w:color w:val="auto"/>
        </w:rPr>
        <w:t>to our NEOs or Directors.</w:t>
      </w:r>
    </w:p>
    <w:p>
      <w:pPr>
        <w:spacing w:after="0" w:line="351" w:lineRule="exact"/>
        <w:rPr>
          <w:sz w:val="20"/>
          <w:szCs w:val="20"/>
          <w:color w:val="auto"/>
        </w:rPr>
      </w:pPr>
    </w:p>
    <w:p>
      <w:pPr>
        <w:sectPr>
          <w:pgSz w:w="11900" w:h="16838" w:orient="portrait"/>
          <w:cols w:equalWidth="0" w:num="2">
            <w:col w:w="5740" w:space="380"/>
            <w:col w:w="4960"/>
          </w:cols>
          <w:pgMar w:left="320" w:top="454" w:right="499" w:bottom="1440" w:gutter="0" w:footer="0" w:header="0"/>
          <w:type w:val="continuous"/>
        </w:sectPr>
      </w:pPr>
    </w:p>
    <w:p>
      <w:pPr>
        <w:ind w:left="520" w:hanging="245"/>
        <w:spacing w:after="0" w:line="184" w:lineRule="exact"/>
        <w:tabs>
          <w:tab w:leader="none" w:pos="520" w:val="left"/>
        </w:tabs>
        <w:numPr>
          <w:ilvl w:val="0"/>
          <w:numId w:val="40"/>
        </w:numPr>
        <w:rPr>
          <w:rFonts w:ascii="MS PGothic" w:cs="MS PGothic" w:eastAsia="MS PGothic" w:hAnsi="MS PGothic"/>
          <w:sz w:val="16"/>
          <w:szCs w:val="16"/>
          <w:color w:val="auto"/>
        </w:rPr>
      </w:pPr>
      <w:r>
        <w:rPr>
          <w:rFonts w:ascii="Arial" w:cs="Arial" w:eastAsia="Arial" w:hAnsi="Arial"/>
          <w:sz w:val="16"/>
          <w:szCs w:val="16"/>
          <w:b w:val="1"/>
          <w:bCs w:val="1"/>
          <w:i w:val="1"/>
          <w:iCs w:val="1"/>
          <w:color w:val="auto"/>
        </w:rPr>
        <w:t xml:space="preserve">Stock Ownership Guidelines: </w:t>
      </w:r>
      <w:r>
        <w:rPr>
          <w:rFonts w:ascii="Arial" w:cs="Arial" w:eastAsia="Arial" w:hAnsi="Arial"/>
          <w:sz w:val="16"/>
          <w:szCs w:val="16"/>
          <w:color w:val="auto"/>
        </w:rPr>
        <w:t>In  order  to  align  the  interests  and</w:t>
      </w:r>
      <w:r>
        <w:rPr>
          <w:rFonts w:ascii="Arial" w:cs="Arial" w:eastAsia="Arial" w:hAnsi="Arial"/>
          <w:sz w:val="16"/>
          <w:szCs w:val="16"/>
          <w:b w:val="1"/>
          <w:bCs w:val="1"/>
          <w:i w:val="1"/>
          <w:iCs w:val="1"/>
          <w:color w:val="auto"/>
        </w:rPr>
        <w:t xml:space="preserve">  </w:t>
      </w:r>
      <w:r>
        <w:rPr>
          <w:rFonts w:ascii="MS PGothic" w:cs="MS PGothic" w:eastAsia="MS PGothic" w:hAnsi="MS PGothic"/>
          <w:sz w:val="16"/>
          <w:szCs w:val="16"/>
          <w:color w:val="auto"/>
        </w:rPr>
        <w:t>☒</w:t>
      </w:r>
      <w:r>
        <w:rPr>
          <w:rFonts w:ascii="Arial" w:cs="Arial" w:eastAsia="Arial" w:hAnsi="Arial"/>
          <w:sz w:val="16"/>
          <w:szCs w:val="16"/>
          <w:b w:val="1"/>
          <w:bCs w:val="1"/>
          <w:i w:val="1"/>
          <w:iCs w:val="1"/>
          <w:color w:val="auto"/>
        </w:rPr>
        <w:t xml:space="preserve"> No “Single-Trigger” Change in Control Arrangements: </w:t>
      </w:r>
      <w:r>
        <w:rPr>
          <w:rFonts w:ascii="Arial" w:cs="Arial" w:eastAsia="Arial" w:hAnsi="Arial"/>
          <w:sz w:val="16"/>
          <w:szCs w:val="16"/>
          <w:color w:val="auto"/>
        </w:rPr>
        <w:t>None of</w:t>
      </w:r>
    </w:p>
    <w:p>
      <w:pPr>
        <w:sectPr>
          <w:pgSz w:w="11900" w:h="16838" w:orient="portrait"/>
          <w:cols w:equalWidth="0" w:num="1">
            <w:col w:w="11080"/>
          </w:cols>
          <w:pgMar w:left="320" w:top="454" w:right="499" w:bottom="1440" w:gutter="0" w:footer="0" w:header="0"/>
          <w:type w:val="continuous"/>
        </w:sectPr>
      </w:pPr>
    </w:p>
    <w:p>
      <w:pPr>
        <w:spacing w:after="0" w:line="69" w:lineRule="exact"/>
        <w:rPr>
          <w:sz w:val="20"/>
          <w:szCs w:val="20"/>
          <w:color w:val="auto"/>
        </w:rPr>
      </w:pPr>
    </w:p>
    <w:p>
      <w:pPr>
        <w:ind w:left="480"/>
        <w:spacing w:after="0" w:line="245" w:lineRule="auto"/>
        <w:rPr>
          <w:sz w:val="20"/>
          <w:szCs w:val="20"/>
          <w:color w:val="auto"/>
        </w:rPr>
      </w:pPr>
      <w:r>
        <w:rPr>
          <w:rFonts w:ascii="Arial" w:cs="Arial" w:eastAsia="Arial" w:hAnsi="Arial"/>
          <w:sz w:val="16"/>
          <w:szCs w:val="16"/>
          <w:color w:val="auto"/>
        </w:rPr>
        <w:t>objectives of our Directors, executive officers and stockholders, we have established competitive guidelines for our stock ownership and retention.</w:t>
      </w:r>
    </w:p>
    <w:p>
      <w:pPr>
        <w:spacing w:after="0" w:line="20" w:lineRule="exact"/>
        <w:rPr>
          <w:sz w:val="20"/>
          <w:szCs w:val="20"/>
          <w:color w:val="auto"/>
        </w:rPr>
      </w:pPr>
      <w:r>
        <w:rPr>
          <w:sz w:val="20"/>
          <w:szCs w:val="20"/>
          <w:color w:val="auto"/>
        </w:rPr>
        <w:br w:type="column"/>
      </w:r>
    </w:p>
    <w:p>
      <w:pPr>
        <w:spacing w:after="0" w:line="49" w:lineRule="exact"/>
        <w:rPr>
          <w:sz w:val="20"/>
          <w:szCs w:val="20"/>
          <w:color w:val="auto"/>
        </w:rPr>
      </w:pPr>
    </w:p>
    <w:p>
      <w:pPr>
        <w:ind w:right="60"/>
        <w:spacing w:after="0" w:line="245" w:lineRule="auto"/>
        <w:rPr>
          <w:sz w:val="20"/>
          <w:szCs w:val="20"/>
          <w:color w:val="auto"/>
        </w:rPr>
      </w:pPr>
      <w:r>
        <w:rPr>
          <w:rFonts w:ascii="Arial" w:cs="Arial" w:eastAsia="Arial" w:hAnsi="Arial"/>
          <w:sz w:val="16"/>
          <w:szCs w:val="16"/>
          <w:color w:val="auto"/>
        </w:rPr>
        <w:t>our NEOs will receive payments solely on account of a change in control of the Company.</w:t>
      </w:r>
    </w:p>
    <w:p>
      <w:pPr>
        <w:spacing w:after="0" w:line="160" w:lineRule="exact"/>
        <w:rPr>
          <w:sz w:val="20"/>
          <w:szCs w:val="20"/>
          <w:color w:val="auto"/>
        </w:rPr>
      </w:pPr>
    </w:p>
    <w:p>
      <w:pPr>
        <w:sectPr>
          <w:pgSz w:w="11900" w:h="16838" w:orient="portrait"/>
          <w:cols w:equalWidth="0" w:num="2">
            <w:col w:w="5740" w:space="380"/>
            <w:col w:w="4960"/>
          </w:cols>
          <w:pgMar w:left="320" w:top="454" w:right="499" w:bottom="1440" w:gutter="0" w:footer="0" w:header="0"/>
          <w:type w:val="continuous"/>
        </w:sectPr>
      </w:pPr>
    </w:p>
    <w:p>
      <w:pPr>
        <w:ind w:left="500" w:hanging="225"/>
        <w:spacing w:after="0" w:line="184" w:lineRule="exact"/>
        <w:tabs>
          <w:tab w:leader="none" w:pos="500" w:val="left"/>
        </w:tabs>
        <w:numPr>
          <w:ilvl w:val="0"/>
          <w:numId w:val="41"/>
        </w:numPr>
        <w:rPr>
          <w:rFonts w:ascii="MS PGothic" w:cs="MS PGothic" w:eastAsia="MS PGothic" w:hAnsi="MS PGothic"/>
          <w:sz w:val="16"/>
          <w:szCs w:val="16"/>
          <w:color w:val="auto"/>
        </w:rPr>
      </w:pPr>
      <w:r>
        <w:rPr>
          <w:rFonts w:ascii="Arial" w:cs="Arial" w:eastAsia="Arial" w:hAnsi="Arial"/>
          <w:sz w:val="16"/>
          <w:szCs w:val="16"/>
          <w:b w:val="1"/>
          <w:bCs w:val="1"/>
          <w:i w:val="1"/>
          <w:iCs w:val="1"/>
          <w:color w:val="auto"/>
        </w:rPr>
        <w:t xml:space="preserve">Clawback Policy: </w:t>
      </w:r>
      <w:r>
        <w:rPr>
          <w:rFonts w:ascii="Arial" w:cs="Arial" w:eastAsia="Arial" w:hAnsi="Arial"/>
          <w:sz w:val="16"/>
          <w:szCs w:val="16"/>
          <w:color w:val="auto"/>
        </w:rPr>
        <w:t>We have a clawback policy (the “Clawback Policy”)</w:t>
      </w:r>
      <w:r>
        <w:rPr>
          <w:rFonts w:ascii="Arial" w:cs="Arial" w:eastAsia="Arial" w:hAnsi="Arial"/>
          <w:sz w:val="16"/>
          <w:szCs w:val="16"/>
          <w:b w:val="1"/>
          <w:bCs w:val="1"/>
          <w:i w:val="1"/>
          <w:iCs w:val="1"/>
          <w:color w:val="auto"/>
        </w:rPr>
        <w:t xml:space="preserve"> </w:t>
      </w:r>
      <w:r>
        <w:rPr>
          <w:rFonts w:ascii="MS PGothic" w:cs="MS PGothic" w:eastAsia="MS PGothic" w:hAnsi="MS PGothic"/>
          <w:sz w:val="16"/>
          <w:szCs w:val="16"/>
          <w:color w:val="auto"/>
        </w:rPr>
        <w:t>☒</w:t>
      </w:r>
      <w:r>
        <w:rPr>
          <w:rFonts w:ascii="Arial" w:cs="Arial" w:eastAsia="Arial" w:hAnsi="Arial"/>
          <w:sz w:val="16"/>
          <w:szCs w:val="16"/>
          <w:b w:val="1"/>
          <w:bCs w:val="1"/>
          <w:i w:val="1"/>
          <w:iCs w:val="1"/>
          <w:color w:val="auto"/>
        </w:rPr>
        <w:t xml:space="preserve"> No Hedging or Pledging: </w:t>
      </w:r>
      <w:r>
        <w:rPr>
          <w:rFonts w:ascii="Arial" w:cs="Arial" w:eastAsia="Arial" w:hAnsi="Arial"/>
          <w:sz w:val="16"/>
          <w:szCs w:val="16"/>
          <w:color w:val="auto"/>
        </w:rPr>
        <w:t>Our NEOs and Directors are prohibited</w:t>
      </w:r>
    </w:p>
    <w:p>
      <w:pPr>
        <w:spacing w:after="0" w:line="46" w:lineRule="exact"/>
        <w:rPr>
          <w:sz w:val="20"/>
          <w:szCs w:val="20"/>
          <w:color w:val="auto"/>
        </w:rPr>
      </w:pPr>
    </w:p>
    <w:tbl>
      <w:tblPr>
        <w:tblLayout w:type="fixed"/>
        <w:tblInd w:w="160" w:type="dxa"/>
        <w:tblCellMar>
          <w:top w:w="0" w:type="dxa"/>
          <w:left w:w="0" w:type="dxa"/>
          <w:bottom w:w="0" w:type="dxa"/>
          <w:right w:w="0" w:type="dxa"/>
        </w:tblCellMar>
      </w:tblPr>
      <w:tr>
        <w:trPr>
          <w:trHeight w:val="184"/>
        </w:trPr>
        <w:tc>
          <w:tcPr>
            <w:tcW w:w="5760" w:type="dxa"/>
            <w:vAlign w:val="bottom"/>
          </w:tcPr>
          <w:p>
            <w:pPr>
              <w:ind w:left="320"/>
              <w:spacing w:after="0"/>
              <w:rPr>
                <w:sz w:val="20"/>
                <w:szCs w:val="20"/>
                <w:color w:val="auto"/>
              </w:rPr>
            </w:pPr>
            <w:r>
              <w:rPr>
                <w:rFonts w:ascii="Arial" w:cs="Arial" w:eastAsia="Arial" w:hAnsi="Arial"/>
                <w:sz w:val="16"/>
                <w:szCs w:val="16"/>
                <w:color w:val="auto"/>
              </w:rPr>
              <w:t>that allows the Company to recoup compensation awards paid to NEOs</w:t>
            </w:r>
          </w:p>
        </w:tc>
        <w:tc>
          <w:tcPr>
            <w:tcW w:w="5160" w:type="dxa"/>
            <w:vAlign w:val="bottom"/>
          </w:tcPr>
          <w:p>
            <w:pPr>
              <w:ind w:left="200"/>
              <w:spacing w:after="0"/>
              <w:rPr>
                <w:sz w:val="20"/>
                <w:szCs w:val="20"/>
                <w:color w:val="auto"/>
              </w:rPr>
            </w:pPr>
            <w:r>
              <w:rPr>
                <w:rFonts w:ascii="Arial" w:cs="Arial" w:eastAsia="Arial" w:hAnsi="Arial"/>
                <w:sz w:val="16"/>
                <w:szCs w:val="16"/>
                <w:color w:val="auto"/>
              </w:rPr>
              <w:t>from engaging in hedging transactions with our stock and from</w:t>
            </w:r>
          </w:p>
        </w:tc>
      </w:tr>
      <w:tr>
        <w:trPr>
          <w:trHeight w:val="187"/>
        </w:trPr>
        <w:tc>
          <w:tcPr>
            <w:tcW w:w="5760" w:type="dxa"/>
            <w:vAlign w:val="bottom"/>
          </w:tcPr>
          <w:p>
            <w:pPr>
              <w:ind w:left="320"/>
              <w:spacing w:after="0"/>
              <w:rPr>
                <w:sz w:val="20"/>
                <w:szCs w:val="20"/>
                <w:color w:val="auto"/>
              </w:rPr>
            </w:pPr>
            <w:r>
              <w:rPr>
                <w:rFonts w:ascii="Arial" w:cs="Arial" w:eastAsia="Arial" w:hAnsi="Arial"/>
                <w:sz w:val="16"/>
                <w:szCs w:val="16"/>
                <w:color w:val="auto"/>
              </w:rPr>
              <w:t>who engage in certain acts detrimental to the Company’s interests or in</w:t>
            </w:r>
          </w:p>
        </w:tc>
        <w:tc>
          <w:tcPr>
            <w:tcW w:w="5160" w:type="dxa"/>
            <w:vAlign w:val="bottom"/>
          </w:tcPr>
          <w:p>
            <w:pPr>
              <w:ind w:left="200"/>
              <w:spacing w:after="0"/>
              <w:rPr>
                <w:sz w:val="20"/>
                <w:szCs w:val="20"/>
                <w:color w:val="auto"/>
              </w:rPr>
            </w:pPr>
            <w:r>
              <w:rPr>
                <w:rFonts w:ascii="Arial" w:cs="Arial" w:eastAsia="Arial" w:hAnsi="Arial"/>
                <w:sz w:val="16"/>
                <w:szCs w:val="16"/>
                <w:color w:val="auto"/>
              </w:rPr>
              <w:t>pledging our stock as collateral for a loan. Other employees are also</w:t>
            </w:r>
          </w:p>
        </w:tc>
      </w:tr>
      <w:tr>
        <w:trPr>
          <w:trHeight w:val="187"/>
        </w:trPr>
        <w:tc>
          <w:tcPr>
            <w:tcW w:w="5760" w:type="dxa"/>
            <w:vAlign w:val="bottom"/>
          </w:tcPr>
          <w:p>
            <w:pPr>
              <w:ind w:left="320"/>
              <w:spacing w:after="0"/>
              <w:rPr>
                <w:sz w:val="20"/>
                <w:szCs w:val="20"/>
                <w:color w:val="auto"/>
              </w:rPr>
            </w:pPr>
            <w:r>
              <w:rPr>
                <w:rFonts w:ascii="Arial" w:cs="Arial" w:eastAsia="Arial" w:hAnsi="Arial"/>
                <w:sz w:val="16"/>
                <w:szCs w:val="16"/>
                <w:color w:val="auto"/>
              </w:rPr>
              <w:t>the event that the Company is required to prepare a financial statement</w:t>
            </w:r>
          </w:p>
        </w:tc>
        <w:tc>
          <w:tcPr>
            <w:tcW w:w="5160" w:type="dxa"/>
            <w:vAlign w:val="bottom"/>
          </w:tcPr>
          <w:p>
            <w:pPr>
              <w:ind w:left="200"/>
              <w:spacing w:after="0"/>
              <w:rPr>
                <w:sz w:val="20"/>
                <w:szCs w:val="20"/>
                <w:color w:val="auto"/>
              </w:rPr>
            </w:pPr>
            <w:r>
              <w:rPr>
                <w:rFonts w:ascii="Arial" w:cs="Arial" w:eastAsia="Arial" w:hAnsi="Arial"/>
                <w:sz w:val="16"/>
                <w:szCs w:val="16"/>
                <w:color w:val="auto"/>
              </w:rPr>
              <w:t>encouraged to adhere to these rules.</w:t>
            </w:r>
          </w:p>
        </w:tc>
      </w:tr>
      <w:tr>
        <w:trPr>
          <w:trHeight w:val="211"/>
        </w:trPr>
        <w:tc>
          <w:tcPr>
            <w:tcW w:w="5760" w:type="dxa"/>
            <w:vAlign w:val="bottom"/>
          </w:tcPr>
          <w:p>
            <w:pPr>
              <w:ind w:left="320"/>
              <w:spacing w:after="0"/>
              <w:rPr>
                <w:sz w:val="20"/>
                <w:szCs w:val="20"/>
                <w:color w:val="auto"/>
              </w:rPr>
            </w:pPr>
            <w:r>
              <w:rPr>
                <w:rFonts w:ascii="Arial" w:cs="Arial" w:eastAsia="Arial" w:hAnsi="Arial"/>
                <w:sz w:val="16"/>
                <w:szCs w:val="16"/>
                <w:color w:val="auto"/>
              </w:rPr>
              <w:t>restatement.</w:t>
            </w:r>
          </w:p>
        </w:tc>
        <w:tc>
          <w:tcPr>
            <w:tcW w:w="5160" w:type="dxa"/>
            <w:vAlign w:val="bottom"/>
          </w:tcPr>
          <w:p>
            <w:pPr>
              <w:spacing w:after="0"/>
              <w:rPr>
                <w:sz w:val="18"/>
                <w:szCs w:val="18"/>
                <w:color w:val="auto"/>
              </w:rPr>
            </w:pPr>
          </w:p>
        </w:tc>
      </w:tr>
      <w:tr>
        <w:trPr>
          <w:trHeight w:val="110"/>
        </w:trPr>
        <w:tc>
          <w:tcPr>
            <w:tcW w:w="5760" w:type="dxa"/>
            <w:vAlign w:val="bottom"/>
            <w:tcBorders>
              <w:bottom w:val="single" w:sz="8" w:color="auto"/>
            </w:tcBorders>
          </w:tcPr>
          <w:p>
            <w:pPr>
              <w:spacing w:after="0"/>
              <w:rPr>
                <w:sz w:val="9"/>
                <w:szCs w:val="9"/>
                <w:color w:val="auto"/>
              </w:rPr>
            </w:pPr>
          </w:p>
        </w:tc>
        <w:tc>
          <w:tcPr>
            <w:tcW w:w="5160" w:type="dxa"/>
            <w:vAlign w:val="bottom"/>
            <w:tcBorders>
              <w:bottom w:val="single" w:sz="8" w:color="auto"/>
            </w:tcBorders>
          </w:tcPr>
          <w:p>
            <w:pPr>
              <w:spacing w:after="0"/>
              <w:rPr>
                <w:sz w:val="9"/>
                <w:szCs w:val="9"/>
                <w:color w:val="auto"/>
              </w:rPr>
            </w:pPr>
          </w:p>
        </w:tc>
      </w:tr>
    </w:tbl>
    <w:p>
      <w:pPr>
        <w:spacing w:after="0" w:line="19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The Role of the Board and Management</w:t>
      </w:r>
    </w:p>
    <w:p>
      <w:pPr>
        <w:spacing w:after="0" w:line="208" w:lineRule="exact"/>
        <w:rPr>
          <w:sz w:val="20"/>
          <w:szCs w:val="20"/>
          <w:color w:val="auto"/>
        </w:rPr>
      </w:pPr>
    </w:p>
    <w:p>
      <w:pPr>
        <w:jc w:val="both"/>
        <w:ind w:left="160"/>
        <w:spacing w:after="0" w:line="247" w:lineRule="auto"/>
        <w:rPr>
          <w:sz w:val="20"/>
          <w:szCs w:val="20"/>
          <w:color w:val="auto"/>
        </w:rPr>
      </w:pPr>
      <w:r>
        <w:rPr>
          <w:rFonts w:ascii="Arial" w:cs="Arial" w:eastAsia="Arial" w:hAnsi="Arial"/>
          <w:sz w:val="18"/>
          <w:szCs w:val="18"/>
          <w:color w:val="auto"/>
        </w:rPr>
        <w:t xml:space="preserve">Our business is conducted by our employees and officers, under the direction of the CEO and the oversight of the Board, to enhance the long-term value of the Company for its stockholders. Both our Board and management recognize that the long-term interests of stockholders are advanced by responsibly addressing the concerns of other stakeholders and interested parties, including employees, recruits, customers, suppliers, creditors, </w:t>
      </w:r>
      <w:r>
        <w:rPr>
          <w:rFonts w:ascii="Arial" w:cs="Arial" w:eastAsia="Arial" w:hAnsi="Arial"/>
          <w:sz w:val="18"/>
          <w:szCs w:val="18"/>
          <w:b w:val="1"/>
          <w:bCs w:val="1"/>
          <w:color w:val="auto"/>
        </w:rPr>
        <w:t>onsemi</w:t>
      </w:r>
      <w:r>
        <w:rPr>
          <w:rFonts w:ascii="Arial" w:cs="Arial" w:eastAsia="Arial" w:hAnsi="Arial"/>
          <w:sz w:val="18"/>
          <w:szCs w:val="18"/>
          <w:color w:val="auto"/>
        </w:rPr>
        <w:t xml:space="preserve"> communities, government officials and the public at large.</w:t>
      </w:r>
    </w:p>
    <w:p>
      <w:pPr>
        <w:spacing w:after="0" w:line="164"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Functions of the Board</w:t>
      </w:r>
    </w:p>
    <w:p>
      <w:pPr>
        <w:spacing w:after="0" w:line="208" w:lineRule="exact"/>
        <w:rPr>
          <w:sz w:val="20"/>
          <w:szCs w:val="20"/>
          <w:color w:val="auto"/>
        </w:rPr>
      </w:pPr>
    </w:p>
    <w:p>
      <w:pPr>
        <w:jc w:val="both"/>
        <w:ind w:left="160"/>
        <w:spacing w:after="0" w:line="236" w:lineRule="auto"/>
        <w:rPr>
          <w:sz w:val="20"/>
          <w:szCs w:val="20"/>
          <w:color w:val="auto"/>
        </w:rPr>
      </w:pPr>
      <w:r>
        <w:rPr>
          <w:rFonts w:ascii="Arial" w:cs="Arial" w:eastAsia="Arial" w:hAnsi="Arial"/>
          <w:sz w:val="18"/>
          <w:szCs w:val="18"/>
          <w:color w:val="auto"/>
        </w:rPr>
        <w:t>The Board has at least four regularly scheduled meetings per year at which it reviews and discusses reports by management on our performance, plans and prospects and immediate issues facing the Company. The Board may choose to schedule additional meetings in accordance with our Bylaws. In addition to general oversight of management, the Board, acting directly or through its various committees, also performs specific functions, including, among other things: (i) selecting, evaluating and compensating the CEO and other senior executives and overseeing CEO succession planning; (ii) reviewing, monitoring and, where appropriate, approving fundamental financial and business strategies and major corporate actions; (iii) providing oversight for the ERM Program, including the establishment of corporate risk appetite parameters and management’s implementation of processes for assessing and managing risks affecting the Company; (iv) ensuring that processes are in place for maintaining the integrity of the Company, financial statements, compliance with law and ethics, relationships with customers and suppliers and relationships with other stakeholders; and (v) performing such other functions as are prescribed by law or our Bylaws.</w:t>
      </w:r>
    </w:p>
    <w:p>
      <w:pPr>
        <w:spacing w:after="0" w:line="127" w:lineRule="exact"/>
        <w:rPr>
          <w:sz w:val="20"/>
          <w:szCs w:val="20"/>
          <w:color w:val="auto"/>
        </w:rPr>
      </w:pPr>
    </w:p>
    <w:p>
      <w:pPr>
        <w:ind w:left="160"/>
        <w:spacing w:after="0"/>
        <w:tabs>
          <w:tab w:leader="none" w:pos="500" w:val="left"/>
        </w:tabs>
        <w:rPr>
          <w:sz w:val="20"/>
          <w:szCs w:val="20"/>
          <w:color w:val="auto"/>
        </w:rPr>
      </w:pPr>
      <w:r>
        <w:rPr>
          <w:rFonts w:ascii="Arial" w:cs="Arial" w:eastAsia="Arial" w:hAnsi="Arial"/>
          <w:sz w:val="14"/>
          <w:szCs w:val="14"/>
          <w:color w:val="F75E14"/>
        </w:rPr>
        <w:t>24</w:t>
        <w:tab/>
        <w:t>onsemi 2022 Proxy Statement</w:t>
      </w:r>
    </w:p>
    <w:p>
      <w:pPr>
        <w:sectPr>
          <w:pgSz w:w="11900" w:h="16838" w:orient="portrait"/>
          <w:cols w:equalWidth="0" w:num="1">
            <w:col w:w="11080"/>
          </w:cols>
          <w:pgMar w:left="320" w:top="454" w:right="499" w:bottom="1440" w:gutter="0" w:footer="0" w:header="0"/>
          <w:type w:val="continuous"/>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2" w:lineRule="exact"/>
        <w:rPr>
          <w:sz w:val="20"/>
          <w:szCs w:val="20"/>
          <w:color w:val="auto"/>
        </w:rPr>
      </w:pPr>
    </w:p>
    <w:p>
      <w:pPr>
        <w:jc w:val="right"/>
        <w:spacing w:after="0"/>
        <w:rPr>
          <w:sz w:val="20"/>
          <w:szCs w:val="20"/>
          <w:color w:val="auto"/>
        </w:rPr>
      </w:pPr>
      <w:r>
        <w:rPr>
          <w:rFonts w:ascii="Arial" w:cs="Arial" w:eastAsia="Arial" w:hAnsi="Arial"/>
          <w:sz w:val="18"/>
          <w:szCs w:val="18"/>
          <w:color w:val="F75E14"/>
        </w:rPr>
        <w:t>The Board of Directors and Corporate Governance</w:t>
      </w:r>
    </w:p>
    <w:p>
      <w:pPr>
        <w:spacing w:after="0" w:line="14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Qualifications</w:t>
      </w:r>
    </w:p>
    <w:p>
      <w:pPr>
        <w:spacing w:after="0" w:line="208" w:lineRule="exact"/>
        <w:rPr>
          <w:sz w:val="20"/>
          <w:szCs w:val="20"/>
          <w:color w:val="auto"/>
        </w:rPr>
      </w:pPr>
    </w:p>
    <w:p>
      <w:pPr>
        <w:jc w:val="both"/>
        <w:ind w:left="160"/>
        <w:spacing w:after="0" w:line="243" w:lineRule="auto"/>
        <w:rPr>
          <w:sz w:val="20"/>
          <w:szCs w:val="20"/>
          <w:color w:val="auto"/>
        </w:rPr>
      </w:pPr>
      <w:r>
        <w:rPr>
          <w:rFonts w:ascii="Arial" w:cs="Arial" w:eastAsia="Arial" w:hAnsi="Arial"/>
          <w:sz w:val="18"/>
          <w:szCs w:val="18"/>
          <w:color w:val="auto"/>
        </w:rPr>
        <w:t>Directors should possess the highest personal and professional ethics, integrity and values and be committed to serving on the Board for an extended period of time. They must also have an inquisitive and objective perspective, practical wisdom and mature judgment. We endeavor to have a Board representing diverse experiences in areas that are relevant to the Company’s global activities and strategies in order to guide the Company in meeting its legal, financial and operational objectives.</w:t>
      </w:r>
    </w:p>
    <w:p>
      <w:pPr>
        <w:spacing w:after="0" w:line="178"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Independence of Directors</w:t>
      </w:r>
    </w:p>
    <w:p>
      <w:pPr>
        <w:spacing w:after="0" w:line="208" w:lineRule="exact"/>
        <w:rPr>
          <w:sz w:val="20"/>
          <w:szCs w:val="20"/>
          <w:color w:val="auto"/>
        </w:rPr>
      </w:pPr>
    </w:p>
    <w:p>
      <w:pPr>
        <w:jc w:val="both"/>
        <w:ind w:left="160"/>
        <w:spacing w:after="0" w:line="265" w:lineRule="auto"/>
        <w:rPr>
          <w:sz w:val="20"/>
          <w:szCs w:val="20"/>
          <w:color w:val="auto"/>
        </w:rPr>
      </w:pPr>
      <w:r>
        <w:rPr>
          <w:rFonts w:ascii="Arial" w:cs="Arial" w:eastAsia="Arial" w:hAnsi="Arial"/>
          <w:sz w:val="18"/>
          <w:szCs w:val="18"/>
          <w:color w:val="auto"/>
        </w:rPr>
        <w:t>We will have, at a minimum, a sufficient number of independent Directors to comply at all times with relevant and applicable SEC, Nasdaq and other rules and regulations.</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Compensation of the Board</w:t>
      </w:r>
    </w:p>
    <w:p>
      <w:pPr>
        <w:spacing w:after="0" w:line="208" w:lineRule="exact"/>
        <w:rPr>
          <w:sz w:val="20"/>
          <w:szCs w:val="20"/>
          <w:color w:val="auto"/>
        </w:rPr>
      </w:pPr>
    </w:p>
    <w:p>
      <w:pPr>
        <w:jc w:val="both"/>
        <w:ind w:left="160"/>
        <w:spacing w:after="0" w:line="249" w:lineRule="auto"/>
        <w:rPr>
          <w:sz w:val="20"/>
          <w:szCs w:val="20"/>
          <w:color w:val="auto"/>
        </w:rPr>
      </w:pPr>
      <w:r>
        <w:rPr>
          <w:rFonts w:ascii="Arial" w:cs="Arial" w:eastAsia="Arial" w:hAnsi="Arial"/>
          <w:sz w:val="18"/>
          <w:szCs w:val="18"/>
          <w:color w:val="auto"/>
        </w:rPr>
        <w:t>The Board has delegated responsibility for determining Outside Director compensation to the HCC Committee, and such responsibility is codified in the HCC Committee’s charter. For a discussion of the compensation provided to Outside Directors, please refer to the “The Board of Directors and Corporate Governance — 2021 Compensation of Directors” section of this proxy statement.</w:t>
      </w:r>
    </w:p>
    <w:p>
      <w:pPr>
        <w:spacing w:after="0" w:line="172"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Director and Officer Stock Ownership and Retention Guidelines</w:t>
      </w:r>
    </w:p>
    <w:p>
      <w:pPr>
        <w:spacing w:after="0" w:line="208" w:lineRule="exact"/>
        <w:rPr>
          <w:sz w:val="20"/>
          <w:szCs w:val="20"/>
          <w:color w:val="auto"/>
        </w:rPr>
      </w:pPr>
    </w:p>
    <w:p>
      <w:pPr>
        <w:jc w:val="both"/>
        <w:ind w:left="160"/>
        <w:spacing w:after="0" w:line="249" w:lineRule="auto"/>
        <w:rPr>
          <w:sz w:val="20"/>
          <w:szCs w:val="20"/>
          <w:color w:val="auto"/>
        </w:rPr>
      </w:pPr>
      <w:r>
        <w:rPr>
          <w:rFonts w:ascii="Arial" w:cs="Arial" w:eastAsia="Arial" w:hAnsi="Arial"/>
          <w:sz w:val="18"/>
          <w:szCs w:val="18"/>
          <w:color w:val="auto"/>
        </w:rPr>
        <w:t>In order to align Directors’ and officers’ interests and objectives with those of our stockholders, and to further promote the Company’s longstanding commitment to sound corporate governance, the Company has established the following guidelines for Company stock ownership and retention:</w:t>
      </w:r>
    </w:p>
    <w:p>
      <w:pPr>
        <w:spacing w:after="0" w:line="217" w:lineRule="exact"/>
        <w:rPr>
          <w:sz w:val="20"/>
          <w:szCs w:val="20"/>
          <w:color w:val="auto"/>
        </w:rPr>
      </w:pPr>
    </w:p>
    <w:tbl>
      <w:tblPr>
        <w:tblLayout w:type="fixed"/>
        <w:tblInd w:w="500" w:type="dxa"/>
        <w:tblCellMar>
          <w:top w:w="0" w:type="dxa"/>
          <w:left w:w="0" w:type="dxa"/>
          <w:bottom w:w="0" w:type="dxa"/>
          <w:right w:w="0" w:type="dxa"/>
        </w:tblCellMar>
      </w:tblPr>
      <w:tr>
        <w:trPr>
          <w:trHeight w:val="301"/>
        </w:trPr>
        <w:tc>
          <w:tcPr>
            <w:tcW w:w="2480" w:type="dxa"/>
            <w:vAlign w:val="bottom"/>
            <w:shd w:val="clear" w:color="auto" w:fill="F75E14"/>
          </w:tcPr>
          <w:p>
            <w:pPr>
              <w:ind w:left="80"/>
              <w:spacing w:after="0"/>
              <w:rPr>
                <w:sz w:val="20"/>
                <w:szCs w:val="20"/>
                <w:color w:val="auto"/>
              </w:rPr>
            </w:pPr>
            <w:r>
              <w:rPr>
                <w:rFonts w:ascii="Arial" w:cs="Arial" w:eastAsia="Arial" w:hAnsi="Arial"/>
                <w:sz w:val="14"/>
                <w:szCs w:val="14"/>
                <w:b w:val="1"/>
                <w:bCs w:val="1"/>
                <w:color w:val="FFFFFF"/>
              </w:rPr>
              <w:t>Guideline</w:t>
            </w:r>
          </w:p>
        </w:tc>
        <w:tc>
          <w:tcPr>
            <w:tcW w:w="260" w:type="dxa"/>
            <w:vAlign w:val="bottom"/>
            <w:tcBorders>
              <w:bottom w:val="single" w:sz="8" w:color="D8E8EF"/>
            </w:tcBorders>
            <w:shd w:val="clear" w:color="auto" w:fill="F75E14"/>
          </w:tcPr>
          <w:p>
            <w:pPr>
              <w:spacing w:after="0"/>
              <w:rPr>
                <w:sz w:val="24"/>
                <w:szCs w:val="24"/>
                <w:color w:val="auto"/>
              </w:rPr>
            </w:pPr>
          </w:p>
        </w:tc>
        <w:tc>
          <w:tcPr>
            <w:tcW w:w="3680" w:type="dxa"/>
            <w:vAlign w:val="bottom"/>
            <w:tcBorders>
              <w:bottom w:val="single" w:sz="8" w:color="D8E8EF"/>
            </w:tcBorders>
            <w:shd w:val="clear" w:color="auto" w:fill="F75E14"/>
          </w:tcPr>
          <w:p>
            <w:pPr>
              <w:ind w:left="1140"/>
              <w:spacing w:after="0"/>
              <w:rPr>
                <w:sz w:val="20"/>
                <w:szCs w:val="20"/>
                <w:color w:val="auto"/>
              </w:rPr>
            </w:pPr>
            <w:r>
              <w:rPr>
                <w:rFonts w:ascii="Arial" w:cs="Arial" w:eastAsia="Arial" w:hAnsi="Arial"/>
                <w:sz w:val="14"/>
                <w:szCs w:val="14"/>
                <w:b w:val="1"/>
                <w:bCs w:val="1"/>
                <w:color w:val="FFFFFF"/>
              </w:rPr>
              <w:t>Outside Directors</w:t>
            </w:r>
          </w:p>
        </w:tc>
        <w:tc>
          <w:tcPr>
            <w:tcW w:w="220" w:type="dxa"/>
            <w:vAlign w:val="bottom"/>
            <w:tcBorders>
              <w:bottom w:val="single" w:sz="8" w:color="D8E8EF"/>
            </w:tcBorders>
            <w:shd w:val="clear" w:color="auto" w:fill="F75E14"/>
          </w:tcPr>
          <w:p>
            <w:pPr>
              <w:spacing w:after="0"/>
              <w:rPr>
                <w:sz w:val="24"/>
                <w:szCs w:val="24"/>
                <w:color w:val="auto"/>
              </w:rPr>
            </w:pPr>
          </w:p>
        </w:tc>
        <w:tc>
          <w:tcPr>
            <w:tcW w:w="3620" w:type="dxa"/>
            <w:vAlign w:val="bottom"/>
            <w:tcBorders>
              <w:bottom w:val="single" w:sz="8" w:color="D8E8EF"/>
            </w:tcBorders>
            <w:shd w:val="clear" w:color="auto" w:fill="F75E14"/>
          </w:tcPr>
          <w:p>
            <w:pPr>
              <w:ind w:left="1460"/>
              <w:spacing w:after="0"/>
              <w:rPr>
                <w:sz w:val="20"/>
                <w:szCs w:val="20"/>
                <w:color w:val="auto"/>
              </w:rPr>
            </w:pPr>
            <w:r>
              <w:rPr>
                <w:rFonts w:ascii="Arial" w:cs="Arial" w:eastAsia="Arial" w:hAnsi="Arial"/>
                <w:sz w:val="14"/>
                <w:szCs w:val="14"/>
                <w:b w:val="1"/>
                <w:bCs w:val="1"/>
                <w:color w:val="FFFFFF"/>
              </w:rPr>
              <w:t>Officers</w:t>
            </w:r>
          </w:p>
        </w:tc>
      </w:tr>
      <w:tr>
        <w:trPr>
          <w:trHeight w:val="151"/>
        </w:trPr>
        <w:tc>
          <w:tcPr>
            <w:tcW w:w="2480" w:type="dxa"/>
            <w:vAlign w:val="bottom"/>
          </w:tcPr>
          <w:p>
            <w:pPr>
              <w:spacing w:after="0"/>
              <w:rPr>
                <w:sz w:val="13"/>
                <w:szCs w:val="13"/>
                <w:color w:val="auto"/>
              </w:rPr>
            </w:pPr>
          </w:p>
        </w:tc>
        <w:tc>
          <w:tcPr>
            <w:tcW w:w="260" w:type="dxa"/>
            <w:vAlign w:val="bottom"/>
          </w:tcPr>
          <w:p>
            <w:pPr>
              <w:ind w:left="100"/>
              <w:spacing w:after="0" w:line="151" w:lineRule="exact"/>
              <w:rPr>
                <w:sz w:val="20"/>
                <w:szCs w:val="20"/>
                <w:color w:val="auto"/>
              </w:rPr>
            </w:pPr>
            <w:r>
              <w:rPr>
                <w:rFonts w:ascii="Arial" w:cs="Arial" w:eastAsia="Arial" w:hAnsi="Arial"/>
                <w:sz w:val="14"/>
                <w:szCs w:val="14"/>
                <w:color w:val="auto"/>
              </w:rPr>
              <w:t>•</w:t>
            </w:r>
          </w:p>
        </w:tc>
        <w:tc>
          <w:tcPr>
            <w:tcW w:w="3680" w:type="dxa"/>
            <w:vAlign w:val="bottom"/>
          </w:tcPr>
          <w:p>
            <w:pPr>
              <w:ind w:left="120"/>
              <w:spacing w:after="0" w:line="151" w:lineRule="exact"/>
              <w:rPr>
                <w:sz w:val="20"/>
                <w:szCs w:val="20"/>
                <w:color w:val="auto"/>
              </w:rPr>
            </w:pPr>
            <w:r>
              <w:rPr>
                <w:rFonts w:ascii="Arial" w:cs="Arial" w:eastAsia="Arial" w:hAnsi="Arial"/>
                <w:sz w:val="14"/>
                <w:szCs w:val="14"/>
                <w:color w:val="auto"/>
              </w:rPr>
              <w:t>A minimum of five times base annual cash retainer fee</w:t>
            </w:r>
          </w:p>
        </w:tc>
        <w:tc>
          <w:tcPr>
            <w:tcW w:w="220" w:type="dxa"/>
            <w:vAlign w:val="bottom"/>
          </w:tcPr>
          <w:p>
            <w:pPr>
              <w:ind w:left="40"/>
              <w:spacing w:after="0" w:line="151" w:lineRule="exact"/>
              <w:rPr>
                <w:sz w:val="20"/>
                <w:szCs w:val="20"/>
                <w:color w:val="auto"/>
              </w:rPr>
            </w:pPr>
            <w:r>
              <w:rPr>
                <w:rFonts w:ascii="Arial" w:cs="Arial" w:eastAsia="Arial" w:hAnsi="Arial"/>
                <w:sz w:val="14"/>
                <w:szCs w:val="14"/>
                <w:color w:val="auto"/>
              </w:rPr>
              <w:t>•</w:t>
            </w:r>
          </w:p>
        </w:tc>
        <w:tc>
          <w:tcPr>
            <w:tcW w:w="3620" w:type="dxa"/>
            <w:vAlign w:val="bottom"/>
          </w:tcPr>
          <w:p>
            <w:pPr>
              <w:ind w:left="120"/>
              <w:spacing w:after="0" w:line="151" w:lineRule="exact"/>
              <w:rPr>
                <w:sz w:val="20"/>
                <w:szCs w:val="20"/>
                <w:color w:val="auto"/>
              </w:rPr>
            </w:pPr>
            <w:r>
              <w:rPr>
                <w:rFonts w:ascii="Arial" w:cs="Arial" w:eastAsia="Arial" w:hAnsi="Arial"/>
                <w:sz w:val="14"/>
                <w:szCs w:val="14"/>
                <w:color w:val="auto"/>
              </w:rPr>
              <w:t>CEO: a minimum of six times annual base salary</w:t>
            </w:r>
          </w:p>
        </w:tc>
      </w:tr>
      <w:tr>
        <w:trPr>
          <w:trHeight w:val="160"/>
        </w:trPr>
        <w:tc>
          <w:tcPr>
            <w:tcW w:w="2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80" w:type="dxa"/>
            <w:vAlign w:val="bottom"/>
          </w:tcPr>
          <w:p>
            <w:pPr>
              <w:ind w:left="140"/>
              <w:spacing w:after="0"/>
              <w:rPr>
                <w:sz w:val="20"/>
                <w:szCs w:val="20"/>
                <w:color w:val="auto"/>
              </w:rPr>
            </w:pPr>
            <w:r>
              <w:rPr>
                <w:rFonts w:ascii="Arial" w:cs="Arial" w:eastAsia="Arial" w:hAnsi="Arial"/>
                <w:sz w:val="14"/>
                <w:szCs w:val="14"/>
                <w:color w:val="auto"/>
              </w:rPr>
              <w:t>as of January 1 (1)</w:t>
            </w:r>
          </w:p>
        </w:tc>
        <w:tc>
          <w:tcPr>
            <w:tcW w:w="220" w:type="dxa"/>
            <w:vAlign w:val="bottom"/>
          </w:tcPr>
          <w:p>
            <w:pPr>
              <w:ind w:left="40"/>
              <w:spacing w:after="0"/>
              <w:rPr>
                <w:sz w:val="20"/>
                <w:szCs w:val="20"/>
                <w:color w:val="auto"/>
              </w:rPr>
            </w:pPr>
            <w:r>
              <w:rPr>
                <w:rFonts w:ascii="Arial" w:cs="Arial" w:eastAsia="Arial" w:hAnsi="Arial"/>
                <w:sz w:val="14"/>
                <w:szCs w:val="14"/>
                <w:color w:val="auto"/>
              </w:rPr>
              <w:t>•</w:t>
            </w:r>
          </w:p>
        </w:tc>
        <w:tc>
          <w:tcPr>
            <w:tcW w:w="3620" w:type="dxa"/>
            <w:vAlign w:val="bottom"/>
          </w:tcPr>
          <w:p>
            <w:pPr>
              <w:ind w:left="120"/>
              <w:spacing w:after="0"/>
              <w:rPr>
                <w:sz w:val="20"/>
                <w:szCs w:val="20"/>
                <w:color w:val="auto"/>
              </w:rPr>
            </w:pPr>
            <w:r>
              <w:rPr>
                <w:rFonts w:ascii="Arial" w:cs="Arial" w:eastAsia="Arial" w:hAnsi="Arial"/>
                <w:sz w:val="14"/>
                <w:szCs w:val="14"/>
                <w:color w:val="auto"/>
              </w:rPr>
              <w:t>Executive Vice Presidents: a minimum of three times</w:t>
            </w:r>
          </w:p>
        </w:tc>
      </w:tr>
      <w:tr>
        <w:trPr>
          <w:trHeight w:val="160"/>
        </w:trPr>
        <w:tc>
          <w:tcPr>
            <w:tcW w:w="2480" w:type="dxa"/>
            <w:vAlign w:val="bottom"/>
          </w:tcPr>
          <w:p>
            <w:pPr>
              <w:spacing w:after="0"/>
              <w:rPr>
                <w:sz w:val="13"/>
                <w:szCs w:val="13"/>
                <w:color w:val="auto"/>
              </w:rPr>
            </w:pPr>
          </w:p>
        </w:tc>
        <w:tc>
          <w:tcPr>
            <w:tcW w:w="260" w:type="dxa"/>
            <w:vAlign w:val="bottom"/>
          </w:tcPr>
          <w:p>
            <w:pPr>
              <w:ind w:left="100"/>
              <w:spacing w:after="0"/>
              <w:rPr>
                <w:sz w:val="20"/>
                <w:szCs w:val="20"/>
                <w:color w:val="auto"/>
              </w:rPr>
            </w:pPr>
            <w:r>
              <w:rPr>
                <w:rFonts w:ascii="Arial" w:cs="Arial" w:eastAsia="Arial" w:hAnsi="Arial"/>
                <w:sz w:val="14"/>
                <w:szCs w:val="14"/>
                <w:color w:val="auto"/>
              </w:rPr>
              <w:t>•</w:t>
            </w:r>
          </w:p>
        </w:tc>
        <w:tc>
          <w:tcPr>
            <w:tcW w:w="3680" w:type="dxa"/>
            <w:vAlign w:val="bottom"/>
          </w:tcPr>
          <w:p>
            <w:pPr>
              <w:ind w:left="140"/>
              <w:spacing w:after="0"/>
              <w:rPr>
                <w:sz w:val="20"/>
                <w:szCs w:val="20"/>
                <w:color w:val="auto"/>
              </w:rPr>
            </w:pPr>
            <w:r>
              <w:rPr>
                <w:rFonts w:ascii="Arial" w:cs="Arial" w:eastAsia="Arial" w:hAnsi="Arial"/>
                <w:sz w:val="14"/>
                <w:szCs w:val="14"/>
                <w:color w:val="auto"/>
              </w:rPr>
              <w:t>Based on the average closing price of the Company’s</w:t>
            </w:r>
          </w:p>
        </w:tc>
        <w:tc>
          <w:tcPr>
            <w:tcW w:w="220" w:type="dxa"/>
            <w:vAlign w:val="bottom"/>
          </w:tcPr>
          <w:p>
            <w:pPr>
              <w:spacing w:after="0"/>
              <w:rPr>
                <w:sz w:val="13"/>
                <w:szCs w:val="13"/>
                <w:color w:val="auto"/>
              </w:rPr>
            </w:pPr>
          </w:p>
        </w:tc>
        <w:tc>
          <w:tcPr>
            <w:tcW w:w="3620" w:type="dxa"/>
            <w:vAlign w:val="bottom"/>
          </w:tcPr>
          <w:p>
            <w:pPr>
              <w:ind w:left="140"/>
              <w:spacing w:after="0"/>
              <w:rPr>
                <w:sz w:val="20"/>
                <w:szCs w:val="20"/>
                <w:color w:val="auto"/>
              </w:rPr>
            </w:pPr>
            <w:r>
              <w:rPr>
                <w:rFonts w:ascii="Arial" w:cs="Arial" w:eastAsia="Arial" w:hAnsi="Arial"/>
                <w:sz w:val="14"/>
                <w:szCs w:val="14"/>
                <w:color w:val="auto"/>
              </w:rPr>
              <w:t>annual base salary</w:t>
            </w:r>
          </w:p>
        </w:tc>
      </w:tr>
      <w:tr>
        <w:trPr>
          <w:trHeight w:val="160"/>
        </w:trPr>
        <w:tc>
          <w:tcPr>
            <w:tcW w:w="2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80" w:type="dxa"/>
            <w:vAlign w:val="bottom"/>
          </w:tcPr>
          <w:p>
            <w:pPr>
              <w:ind w:left="140"/>
              <w:spacing w:after="0"/>
              <w:rPr>
                <w:sz w:val="20"/>
                <w:szCs w:val="20"/>
                <w:color w:val="auto"/>
              </w:rPr>
            </w:pPr>
            <w:r>
              <w:rPr>
                <w:rFonts w:ascii="Arial" w:cs="Arial" w:eastAsia="Arial" w:hAnsi="Arial"/>
                <w:sz w:val="14"/>
                <w:szCs w:val="14"/>
                <w:color w:val="auto"/>
              </w:rPr>
              <w:t>common stock on Nasdaq for the prior calendar quarter</w:t>
            </w:r>
          </w:p>
        </w:tc>
        <w:tc>
          <w:tcPr>
            <w:tcW w:w="220" w:type="dxa"/>
            <w:vAlign w:val="bottom"/>
          </w:tcPr>
          <w:p>
            <w:pPr>
              <w:ind w:left="40"/>
              <w:spacing w:after="0"/>
              <w:rPr>
                <w:sz w:val="20"/>
                <w:szCs w:val="20"/>
                <w:color w:val="auto"/>
              </w:rPr>
            </w:pPr>
            <w:r>
              <w:rPr>
                <w:rFonts w:ascii="Arial" w:cs="Arial" w:eastAsia="Arial" w:hAnsi="Arial"/>
                <w:sz w:val="14"/>
                <w:szCs w:val="14"/>
                <w:color w:val="auto"/>
              </w:rPr>
              <w:t>•</w:t>
            </w:r>
          </w:p>
        </w:tc>
        <w:tc>
          <w:tcPr>
            <w:tcW w:w="3620" w:type="dxa"/>
            <w:vAlign w:val="bottom"/>
          </w:tcPr>
          <w:p>
            <w:pPr>
              <w:ind w:left="120"/>
              <w:spacing w:after="0"/>
              <w:rPr>
                <w:sz w:val="20"/>
                <w:szCs w:val="20"/>
                <w:color w:val="auto"/>
              </w:rPr>
            </w:pPr>
            <w:r>
              <w:rPr>
                <w:rFonts w:ascii="Arial" w:cs="Arial" w:eastAsia="Arial" w:hAnsi="Arial"/>
                <w:sz w:val="14"/>
                <w:szCs w:val="14"/>
                <w:color w:val="auto"/>
              </w:rPr>
              <w:t>Senior  Vice  Presidents:  a  minimum  of  two  times</w:t>
            </w:r>
          </w:p>
        </w:tc>
      </w:tr>
      <w:tr>
        <w:trPr>
          <w:trHeight w:val="160"/>
        </w:trPr>
        <w:tc>
          <w:tcPr>
            <w:tcW w:w="2740" w:type="dxa"/>
            <w:vAlign w:val="bottom"/>
            <w:gridSpan w:val="2"/>
          </w:tcPr>
          <w:p>
            <w:pPr>
              <w:ind w:left="80"/>
              <w:spacing w:after="0"/>
              <w:rPr>
                <w:sz w:val="20"/>
                <w:szCs w:val="20"/>
                <w:color w:val="auto"/>
              </w:rPr>
            </w:pPr>
            <w:r>
              <w:rPr>
                <w:rFonts w:ascii="Arial" w:cs="Arial" w:eastAsia="Arial" w:hAnsi="Arial"/>
                <w:sz w:val="14"/>
                <w:szCs w:val="14"/>
                <w:b w:val="1"/>
                <w:bCs w:val="1"/>
                <w:color w:val="auto"/>
              </w:rPr>
              <w:t>Stock Ownership</w:t>
            </w:r>
          </w:p>
        </w:tc>
        <w:tc>
          <w:tcPr>
            <w:tcW w:w="3680" w:type="dxa"/>
            <w:vAlign w:val="bottom"/>
          </w:tcPr>
          <w:p>
            <w:pPr>
              <w:ind w:left="140"/>
              <w:spacing w:after="0"/>
              <w:rPr>
                <w:sz w:val="20"/>
                <w:szCs w:val="20"/>
                <w:color w:val="auto"/>
              </w:rPr>
            </w:pPr>
            <w:r>
              <w:rPr>
                <w:rFonts w:ascii="Arial" w:cs="Arial" w:eastAsia="Arial" w:hAnsi="Arial"/>
                <w:sz w:val="14"/>
                <w:szCs w:val="14"/>
                <w:color w:val="auto"/>
              </w:rPr>
              <w:t>(i.e., the fourth quarter of the prior fiscal year)</w:t>
            </w:r>
          </w:p>
        </w:tc>
        <w:tc>
          <w:tcPr>
            <w:tcW w:w="220" w:type="dxa"/>
            <w:vAlign w:val="bottom"/>
          </w:tcPr>
          <w:p>
            <w:pPr>
              <w:spacing w:after="0"/>
              <w:rPr>
                <w:sz w:val="13"/>
                <w:szCs w:val="13"/>
                <w:color w:val="auto"/>
              </w:rPr>
            </w:pPr>
          </w:p>
        </w:tc>
        <w:tc>
          <w:tcPr>
            <w:tcW w:w="3620" w:type="dxa"/>
            <w:vAlign w:val="bottom"/>
          </w:tcPr>
          <w:p>
            <w:pPr>
              <w:ind w:left="140"/>
              <w:spacing w:after="0"/>
              <w:rPr>
                <w:sz w:val="20"/>
                <w:szCs w:val="20"/>
                <w:color w:val="auto"/>
              </w:rPr>
            </w:pPr>
            <w:r>
              <w:rPr>
                <w:rFonts w:ascii="Arial" w:cs="Arial" w:eastAsia="Arial" w:hAnsi="Arial"/>
                <w:sz w:val="14"/>
                <w:szCs w:val="14"/>
                <w:color w:val="auto"/>
              </w:rPr>
              <w:t>annual base salary</w:t>
            </w:r>
          </w:p>
        </w:tc>
      </w:tr>
      <w:tr>
        <w:trPr>
          <w:trHeight w:val="174"/>
        </w:trPr>
        <w:tc>
          <w:tcPr>
            <w:tcW w:w="2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220" w:type="dxa"/>
            <w:vAlign w:val="bottom"/>
          </w:tcPr>
          <w:p>
            <w:pPr>
              <w:ind w:left="40"/>
              <w:spacing w:after="0"/>
              <w:rPr>
                <w:sz w:val="20"/>
                <w:szCs w:val="20"/>
                <w:color w:val="auto"/>
              </w:rPr>
            </w:pPr>
            <w:r>
              <w:rPr>
                <w:rFonts w:ascii="Arial" w:cs="Arial" w:eastAsia="Arial" w:hAnsi="Arial"/>
                <w:sz w:val="14"/>
                <w:szCs w:val="14"/>
                <w:color w:val="auto"/>
              </w:rPr>
              <w:t>•</w:t>
            </w:r>
          </w:p>
        </w:tc>
        <w:tc>
          <w:tcPr>
            <w:tcW w:w="3620" w:type="dxa"/>
            <w:vAlign w:val="bottom"/>
          </w:tcPr>
          <w:p>
            <w:pPr>
              <w:ind w:left="120"/>
              <w:spacing w:after="0"/>
              <w:rPr>
                <w:sz w:val="20"/>
                <w:szCs w:val="20"/>
                <w:color w:val="auto"/>
              </w:rPr>
            </w:pPr>
            <w:r>
              <w:rPr>
                <w:rFonts w:ascii="Arial" w:cs="Arial" w:eastAsia="Arial" w:hAnsi="Arial"/>
                <w:sz w:val="14"/>
                <w:szCs w:val="14"/>
                <w:color w:val="auto"/>
              </w:rPr>
              <w:t>Based on the base salary of the employee as of</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318770</wp:posOffset>
            </wp:positionH>
            <wp:positionV relativeFrom="paragraph">
              <wp:posOffset>-647700</wp:posOffset>
            </wp:positionV>
            <wp:extent cx="6513830" cy="97663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513830" cy="976630"/>
                    </a:xfrm>
                    <a:prstGeom prst="rect">
                      <a:avLst/>
                    </a:prstGeom>
                    <a:noFill/>
                  </pic:spPr>
                </pic:pic>
              </a:graphicData>
            </a:graphic>
          </wp:anchor>
        </w:drawing>
      </w:r>
    </w:p>
    <w:p>
      <w:pPr>
        <w:ind w:left="7280"/>
        <w:spacing w:after="0"/>
        <w:rPr>
          <w:sz w:val="20"/>
          <w:szCs w:val="20"/>
          <w:color w:val="auto"/>
        </w:rPr>
      </w:pPr>
      <w:r>
        <w:rPr>
          <w:rFonts w:ascii="Arial" w:cs="Arial" w:eastAsia="Arial" w:hAnsi="Arial"/>
          <w:sz w:val="14"/>
          <w:szCs w:val="14"/>
          <w:color w:val="auto"/>
        </w:rPr>
        <w:t>January  1  and  the  average  closing  price  of  the</w:t>
      </w:r>
    </w:p>
    <w:p>
      <w:pPr>
        <w:ind w:left="7280"/>
        <w:spacing w:after="0"/>
        <w:rPr>
          <w:sz w:val="20"/>
          <w:szCs w:val="20"/>
          <w:color w:val="auto"/>
        </w:rPr>
      </w:pPr>
      <w:r>
        <w:rPr>
          <w:rFonts w:ascii="Arial" w:cs="Arial" w:eastAsia="Arial" w:hAnsi="Arial"/>
          <w:sz w:val="14"/>
          <w:szCs w:val="14"/>
          <w:color w:val="auto"/>
        </w:rPr>
        <w:t>Company’s common stock on Nasdaq for the prior</w:t>
      </w:r>
    </w:p>
    <w:p>
      <w:pPr>
        <w:ind w:left="7280"/>
        <w:spacing w:after="0"/>
        <w:rPr>
          <w:sz w:val="20"/>
          <w:szCs w:val="20"/>
          <w:color w:val="auto"/>
        </w:rPr>
      </w:pPr>
      <w:r>
        <w:rPr>
          <w:rFonts w:ascii="Arial" w:cs="Arial" w:eastAsia="Arial" w:hAnsi="Arial"/>
          <w:sz w:val="14"/>
          <w:szCs w:val="14"/>
          <w:color w:val="auto"/>
        </w:rPr>
        <w:t>calendar quarter (2)</w:t>
      </w:r>
    </w:p>
    <w:p>
      <w:pPr>
        <w:sectPr>
          <w:pgSz w:w="11900" w:h="16838" w:orient="portrait"/>
          <w:cols w:equalWidth="0" w:num="1">
            <w:col w:w="11080"/>
          </w:cols>
          <w:pgMar w:left="320" w:top="454" w:right="499" w:bottom="1440" w:gutter="0" w:footer="0" w:header="0"/>
        </w:sectPr>
      </w:pPr>
    </w:p>
    <w:p>
      <w:pPr>
        <w:spacing w:after="0" w:line="79" w:lineRule="exact"/>
        <w:rPr>
          <w:sz w:val="20"/>
          <w:szCs w:val="20"/>
          <w:color w:val="auto"/>
        </w:rPr>
      </w:pPr>
    </w:p>
    <w:p>
      <w:pPr>
        <w:ind w:left="580"/>
        <w:spacing w:after="0" w:line="289" w:lineRule="auto"/>
        <w:rPr>
          <w:sz w:val="20"/>
          <w:szCs w:val="20"/>
          <w:color w:val="auto"/>
        </w:rPr>
      </w:pPr>
      <w:r>
        <w:rPr>
          <w:rFonts w:ascii="Arial" w:cs="Arial" w:eastAsia="Arial" w:hAnsi="Arial"/>
          <w:sz w:val="14"/>
          <w:szCs w:val="14"/>
          <w:b w:val="1"/>
          <w:bCs w:val="1"/>
          <w:color w:val="auto"/>
        </w:rPr>
        <w:t>Time Period to Meet Stock Ownership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318770</wp:posOffset>
            </wp:positionH>
            <wp:positionV relativeFrom="paragraph">
              <wp:posOffset>-19050</wp:posOffset>
            </wp:positionV>
            <wp:extent cx="1570990" cy="107823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570990" cy="1078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580"/>
        <w:spacing w:after="0"/>
        <w:rPr>
          <w:sz w:val="20"/>
          <w:szCs w:val="20"/>
          <w:color w:val="auto"/>
        </w:rPr>
      </w:pPr>
      <w:r>
        <w:rPr>
          <w:rFonts w:ascii="Arial" w:cs="Arial" w:eastAsia="Arial" w:hAnsi="Arial"/>
          <w:sz w:val="14"/>
          <w:szCs w:val="14"/>
          <w:b w:val="1"/>
          <w:bCs w:val="1"/>
          <w:color w:val="auto"/>
        </w:rPr>
        <w:t>Qualifying Shares</w:t>
      </w:r>
    </w:p>
    <w:p>
      <w:pPr>
        <w:spacing w:after="0" w:line="20" w:lineRule="exact"/>
        <w:rPr>
          <w:sz w:val="20"/>
          <w:szCs w:val="20"/>
          <w:color w:val="auto"/>
        </w:rPr>
      </w:pPr>
      <w:r>
        <w:rPr>
          <w:sz w:val="20"/>
          <w:szCs w:val="20"/>
          <w:color w:val="auto"/>
        </w:rPr>
        <w:br w:type="column"/>
      </w:r>
    </w:p>
    <w:p>
      <w:pPr>
        <w:spacing w:after="0" w:line="5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80" w:type="dxa"/>
            <w:vAlign w:val="bottom"/>
          </w:tcPr>
          <w:p>
            <w:pPr>
              <w:ind w:left="100"/>
              <w:spacing w:after="0"/>
              <w:rPr>
                <w:sz w:val="20"/>
                <w:szCs w:val="20"/>
                <w:color w:val="auto"/>
              </w:rPr>
            </w:pPr>
            <w:r>
              <w:rPr>
                <w:rFonts w:ascii="Arial" w:cs="Arial" w:eastAsia="Arial" w:hAnsi="Arial"/>
                <w:sz w:val="14"/>
                <w:szCs w:val="14"/>
                <w:color w:val="auto"/>
              </w:rPr>
              <w:t>•</w:t>
            </w:r>
          </w:p>
        </w:tc>
        <w:tc>
          <w:tcPr>
            <w:tcW w:w="3660" w:type="dxa"/>
            <w:vAlign w:val="bottom"/>
          </w:tcPr>
          <w:p>
            <w:pPr>
              <w:ind w:left="120"/>
              <w:spacing w:after="0"/>
              <w:rPr>
                <w:sz w:val="20"/>
                <w:szCs w:val="20"/>
                <w:color w:val="auto"/>
              </w:rPr>
            </w:pPr>
            <w:r>
              <w:rPr>
                <w:rFonts w:ascii="Arial" w:cs="Arial" w:eastAsia="Arial" w:hAnsi="Arial"/>
                <w:sz w:val="14"/>
                <w:szCs w:val="14"/>
                <w:color w:val="auto"/>
              </w:rPr>
              <w:t>Within five years of joining the Board</w:t>
            </w:r>
          </w:p>
        </w:tc>
        <w:tc>
          <w:tcPr>
            <w:tcW w:w="220" w:type="dxa"/>
            <w:vAlign w:val="bottom"/>
          </w:tcPr>
          <w:p>
            <w:pPr>
              <w:ind w:left="40"/>
              <w:spacing w:after="0"/>
              <w:rPr>
                <w:sz w:val="20"/>
                <w:szCs w:val="20"/>
                <w:color w:val="auto"/>
              </w:rPr>
            </w:pPr>
            <w:r>
              <w:rPr>
                <w:rFonts w:ascii="Arial" w:cs="Arial" w:eastAsia="Arial" w:hAnsi="Arial"/>
                <w:sz w:val="14"/>
                <w:szCs w:val="14"/>
                <w:color w:val="auto"/>
              </w:rPr>
              <w:t>•</w:t>
            </w:r>
          </w:p>
        </w:tc>
        <w:tc>
          <w:tcPr>
            <w:tcW w:w="3620" w:type="dxa"/>
            <w:vAlign w:val="bottom"/>
          </w:tcPr>
          <w:p>
            <w:pPr>
              <w:ind w:left="120"/>
              <w:spacing w:after="0"/>
              <w:rPr>
                <w:sz w:val="20"/>
                <w:szCs w:val="20"/>
                <w:color w:val="auto"/>
              </w:rPr>
            </w:pPr>
            <w:r>
              <w:rPr>
                <w:rFonts w:ascii="Arial" w:cs="Arial" w:eastAsia="Arial" w:hAnsi="Arial"/>
                <w:sz w:val="14"/>
                <w:szCs w:val="14"/>
                <w:color w:val="auto"/>
              </w:rPr>
              <w:t>Within five years from the date on which the officer</w:t>
            </w:r>
          </w:p>
        </w:tc>
      </w:tr>
      <w:tr>
        <w:trPr>
          <w:trHeight w:val="193"/>
        </w:trPr>
        <w:tc>
          <w:tcPr>
            <w:tcW w:w="28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20" w:type="dxa"/>
            <w:vAlign w:val="bottom"/>
          </w:tcPr>
          <w:p>
            <w:pPr>
              <w:ind w:left="140"/>
              <w:spacing w:after="0"/>
              <w:rPr>
                <w:sz w:val="20"/>
                <w:szCs w:val="20"/>
                <w:color w:val="auto"/>
              </w:rPr>
            </w:pPr>
            <w:r>
              <w:rPr>
                <w:rFonts w:ascii="Arial" w:cs="Arial" w:eastAsia="Arial" w:hAnsi="Arial"/>
                <w:sz w:val="14"/>
                <w:szCs w:val="14"/>
                <w:color w:val="auto"/>
              </w:rPr>
              <w:t>first became subject to the applicable guideline</w:t>
            </w:r>
          </w:p>
        </w:tc>
      </w:tr>
      <w:tr>
        <w:trPr>
          <w:trHeight w:val="208"/>
        </w:trPr>
        <w:tc>
          <w:tcPr>
            <w:tcW w:w="280" w:type="dxa"/>
            <w:vAlign w:val="bottom"/>
            <w:shd w:val="clear" w:color="auto" w:fill="D8E8EF"/>
          </w:tcPr>
          <w:p>
            <w:pPr>
              <w:ind w:left="100"/>
              <w:spacing w:after="0"/>
              <w:rPr>
                <w:sz w:val="20"/>
                <w:szCs w:val="20"/>
                <w:color w:val="auto"/>
              </w:rPr>
            </w:pPr>
            <w:r>
              <w:rPr>
                <w:rFonts w:ascii="Arial" w:cs="Arial" w:eastAsia="Arial" w:hAnsi="Arial"/>
                <w:sz w:val="14"/>
                <w:szCs w:val="14"/>
                <w:color w:val="auto"/>
              </w:rPr>
              <w:t>•</w:t>
            </w:r>
          </w:p>
        </w:tc>
        <w:tc>
          <w:tcPr>
            <w:tcW w:w="3660" w:type="dxa"/>
            <w:vAlign w:val="bottom"/>
            <w:shd w:val="clear" w:color="auto" w:fill="D8E8EF"/>
          </w:tcPr>
          <w:p>
            <w:pPr>
              <w:ind w:left="120"/>
              <w:spacing w:after="0"/>
              <w:rPr>
                <w:sz w:val="20"/>
                <w:szCs w:val="20"/>
                <w:color w:val="auto"/>
              </w:rPr>
            </w:pPr>
            <w:r>
              <w:rPr>
                <w:rFonts w:ascii="Arial" w:cs="Arial" w:eastAsia="Arial" w:hAnsi="Arial"/>
                <w:sz w:val="14"/>
                <w:szCs w:val="14"/>
                <w:color w:val="auto"/>
              </w:rPr>
              <w:t>Shares purchased on the open market</w:t>
            </w:r>
          </w:p>
        </w:tc>
        <w:tc>
          <w:tcPr>
            <w:tcW w:w="220" w:type="dxa"/>
            <w:vAlign w:val="bottom"/>
            <w:shd w:val="clear" w:color="auto" w:fill="D8E8EF"/>
          </w:tcPr>
          <w:p>
            <w:pPr>
              <w:ind w:left="40"/>
              <w:spacing w:after="0"/>
              <w:rPr>
                <w:sz w:val="20"/>
                <w:szCs w:val="20"/>
                <w:color w:val="auto"/>
              </w:rPr>
            </w:pPr>
            <w:r>
              <w:rPr>
                <w:rFonts w:ascii="Arial" w:cs="Arial" w:eastAsia="Arial" w:hAnsi="Arial"/>
                <w:sz w:val="14"/>
                <w:szCs w:val="14"/>
                <w:color w:val="auto"/>
              </w:rPr>
              <w:t>•</w:t>
            </w:r>
          </w:p>
        </w:tc>
        <w:tc>
          <w:tcPr>
            <w:tcW w:w="3620" w:type="dxa"/>
            <w:vAlign w:val="bottom"/>
            <w:shd w:val="clear" w:color="auto" w:fill="D8E8EF"/>
          </w:tcPr>
          <w:p>
            <w:pPr>
              <w:ind w:left="120"/>
              <w:spacing w:after="0"/>
              <w:rPr>
                <w:sz w:val="20"/>
                <w:szCs w:val="20"/>
                <w:color w:val="auto"/>
              </w:rPr>
            </w:pPr>
            <w:r>
              <w:rPr>
                <w:rFonts w:ascii="Arial" w:cs="Arial" w:eastAsia="Arial" w:hAnsi="Arial"/>
                <w:sz w:val="14"/>
                <w:szCs w:val="14"/>
                <w:color w:val="auto"/>
              </w:rPr>
              <w:t>Shares purchased on the open market</w:t>
            </w:r>
          </w:p>
        </w:tc>
      </w:tr>
      <w:tr>
        <w:trPr>
          <w:trHeight w:val="160"/>
        </w:trPr>
        <w:tc>
          <w:tcPr>
            <w:tcW w:w="280" w:type="dxa"/>
            <w:vAlign w:val="bottom"/>
            <w:shd w:val="clear" w:color="auto" w:fill="D8E8EF"/>
          </w:tcPr>
          <w:p>
            <w:pPr>
              <w:ind w:left="100"/>
              <w:spacing w:after="0"/>
              <w:rPr>
                <w:sz w:val="20"/>
                <w:szCs w:val="20"/>
                <w:color w:val="auto"/>
              </w:rPr>
            </w:pPr>
            <w:r>
              <w:rPr>
                <w:rFonts w:ascii="Arial" w:cs="Arial" w:eastAsia="Arial" w:hAnsi="Arial"/>
                <w:sz w:val="14"/>
                <w:szCs w:val="14"/>
                <w:color w:val="auto"/>
              </w:rPr>
              <w:t>•</w:t>
            </w:r>
          </w:p>
        </w:tc>
        <w:tc>
          <w:tcPr>
            <w:tcW w:w="3660" w:type="dxa"/>
            <w:vAlign w:val="bottom"/>
            <w:shd w:val="clear" w:color="auto" w:fill="D8E8EF"/>
          </w:tcPr>
          <w:p>
            <w:pPr>
              <w:ind w:left="120"/>
              <w:spacing w:after="0"/>
              <w:rPr>
                <w:sz w:val="20"/>
                <w:szCs w:val="20"/>
                <w:color w:val="auto"/>
              </w:rPr>
            </w:pPr>
            <w:r>
              <w:rPr>
                <w:rFonts w:ascii="Arial" w:cs="Arial" w:eastAsia="Arial" w:hAnsi="Arial"/>
                <w:sz w:val="14"/>
                <w:szCs w:val="14"/>
                <w:color w:val="auto"/>
              </w:rPr>
              <w:t>Vested stock units from restricted stock unit (“RSU”)</w:t>
            </w:r>
          </w:p>
        </w:tc>
        <w:tc>
          <w:tcPr>
            <w:tcW w:w="220" w:type="dxa"/>
            <w:vAlign w:val="bottom"/>
            <w:shd w:val="clear" w:color="auto" w:fill="D8E8EF"/>
          </w:tcPr>
          <w:p>
            <w:pPr>
              <w:ind w:left="40"/>
              <w:spacing w:after="0"/>
              <w:rPr>
                <w:sz w:val="20"/>
                <w:szCs w:val="20"/>
                <w:color w:val="auto"/>
              </w:rPr>
            </w:pPr>
            <w:r>
              <w:rPr>
                <w:rFonts w:ascii="Arial" w:cs="Arial" w:eastAsia="Arial" w:hAnsi="Arial"/>
                <w:sz w:val="14"/>
                <w:szCs w:val="14"/>
                <w:color w:val="auto"/>
              </w:rPr>
              <w:t>•</w:t>
            </w:r>
          </w:p>
        </w:tc>
        <w:tc>
          <w:tcPr>
            <w:tcW w:w="3620" w:type="dxa"/>
            <w:vAlign w:val="bottom"/>
            <w:shd w:val="clear" w:color="auto" w:fill="D8E8EF"/>
          </w:tcPr>
          <w:p>
            <w:pPr>
              <w:ind w:left="120"/>
              <w:spacing w:after="0"/>
              <w:rPr>
                <w:sz w:val="20"/>
                <w:szCs w:val="20"/>
                <w:color w:val="auto"/>
              </w:rPr>
            </w:pPr>
            <w:r>
              <w:rPr>
                <w:rFonts w:ascii="Arial" w:cs="Arial" w:eastAsia="Arial" w:hAnsi="Arial"/>
                <w:sz w:val="14"/>
                <w:szCs w:val="14"/>
                <w:color w:val="auto"/>
              </w:rPr>
              <w:t>Shares obtained through exercises of stock options</w:t>
            </w:r>
          </w:p>
        </w:tc>
      </w:tr>
      <w:tr>
        <w:trPr>
          <w:trHeight w:val="160"/>
        </w:trPr>
        <w:tc>
          <w:tcPr>
            <w:tcW w:w="280" w:type="dxa"/>
            <w:vAlign w:val="bottom"/>
            <w:shd w:val="clear" w:color="auto" w:fill="D8E8EF"/>
          </w:tcPr>
          <w:p>
            <w:pPr>
              <w:spacing w:after="0"/>
              <w:rPr>
                <w:sz w:val="13"/>
                <w:szCs w:val="13"/>
                <w:color w:val="auto"/>
              </w:rPr>
            </w:pPr>
          </w:p>
        </w:tc>
        <w:tc>
          <w:tcPr>
            <w:tcW w:w="3660" w:type="dxa"/>
            <w:vAlign w:val="bottom"/>
            <w:shd w:val="clear" w:color="auto" w:fill="D8E8EF"/>
          </w:tcPr>
          <w:p>
            <w:pPr>
              <w:ind w:left="120"/>
              <w:spacing w:after="0"/>
              <w:rPr>
                <w:sz w:val="20"/>
                <w:szCs w:val="20"/>
                <w:color w:val="auto"/>
              </w:rPr>
            </w:pPr>
            <w:r>
              <w:rPr>
                <w:rFonts w:ascii="Arial" w:cs="Arial" w:eastAsia="Arial" w:hAnsi="Arial"/>
                <w:sz w:val="14"/>
                <w:szCs w:val="14"/>
                <w:color w:val="auto"/>
              </w:rPr>
              <w:t>awards or other equity-based awards granted by the</w:t>
            </w:r>
          </w:p>
        </w:tc>
        <w:tc>
          <w:tcPr>
            <w:tcW w:w="220" w:type="dxa"/>
            <w:vAlign w:val="bottom"/>
            <w:shd w:val="clear" w:color="auto" w:fill="D8E8EF"/>
          </w:tcPr>
          <w:p>
            <w:pPr>
              <w:spacing w:after="0"/>
              <w:rPr>
                <w:sz w:val="13"/>
                <w:szCs w:val="13"/>
                <w:color w:val="auto"/>
              </w:rPr>
            </w:pPr>
          </w:p>
        </w:tc>
        <w:tc>
          <w:tcPr>
            <w:tcW w:w="3620" w:type="dxa"/>
            <w:vAlign w:val="bottom"/>
            <w:shd w:val="clear" w:color="auto" w:fill="D8E8EF"/>
          </w:tcPr>
          <w:p>
            <w:pPr>
              <w:ind w:left="140"/>
              <w:spacing w:after="0"/>
              <w:rPr>
                <w:sz w:val="20"/>
                <w:szCs w:val="20"/>
                <w:color w:val="auto"/>
              </w:rPr>
            </w:pPr>
            <w:r>
              <w:rPr>
                <w:rFonts w:ascii="Arial" w:cs="Arial" w:eastAsia="Arial" w:hAnsi="Arial"/>
                <w:sz w:val="14"/>
                <w:szCs w:val="14"/>
                <w:color w:val="auto"/>
              </w:rPr>
              <w:t>granted by the Company</w:t>
            </w:r>
          </w:p>
        </w:tc>
      </w:tr>
      <w:tr>
        <w:trPr>
          <w:trHeight w:val="160"/>
        </w:trPr>
        <w:tc>
          <w:tcPr>
            <w:tcW w:w="280" w:type="dxa"/>
            <w:vAlign w:val="bottom"/>
            <w:shd w:val="clear" w:color="auto" w:fill="D8E8EF"/>
          </w:tcPr>
          <w:p>
            <w:pPr>
              <w:spacing w:after="0"/>
              <w:rPr>
                <w:sz w:val="13"/>
                <w:szCs w:val="13"/>
                <w:color w:val="auto"/>
              </w:rPr>
            </w:pPr>
          </w:p>
        </w:tc>
        <w:tc>
          <w:tcPr>
            <w:tcW w:w="3660" w:type="dxa"/>
            <w:vAlign w:val="bottom"/>
            <w:shd w:val="clear" w:color="auto" w:fill="D8E8EF"/>
          </w:tcPr>
          <w:p>
            <w:pPr>
              <w:ind w:left="120"/>
              <w:spacing w:after="0"/>
              <w:rPr>
                <w:sz w:val="20"/>
                <w:szCs w:val="20"/>
                <w:color w:val="auto"/>
              </w:rPr>
            </w:pPr>
            <w:r>
              <w:rPr>
                <w:rFonts w:ascii="Arial" w:cs="Arial" w:eastAsia="Arial" w:hAnsi="Arial"/>
                <w:sz w:val="14"/>
                <w:szCs w:val="14"/>
                <w:color w:val="auto"/>
              </w:rPr>
              <w:t>Company</w:t>
            </w:r>
          </w:p>
        </w:tc>
        <w:tc>
          <w:tcPr>
            <w:tcW w:w="220" w:type="dxa"/>
            <w:vAlign w:val="bottom"/>
            <w:shd w:val="clear" w:color="auto" w:fill="D8E8EF"/>
          </w:tcPr>
          <w:p>
            <w:pPr>
              <w:ind w:left="40"/>
              <w:spacing w:after="0"/>
              <w:rPr>
                <w:sz w:val="20"/>
                <w:szCs w:val="20"/>
                <w:color w:val="auto"/>
              </w:rPr>
            </w:pPr>
            <w:r>
              <w:rPr>
                <w:rFonts w:ascii="Arial" w:cs="Arial" w:eastAsia="Arial" w:hAnsi="Arial"/>
                <w:sz w:val="14"/>
                <w:szCs w:val="14"/>
                <w:color w:val="auto"/>
              </w:rPr>
              <w:t>•</w:t>
            </w:r>
          </w:p>
        </w:tc>
        <w:tc>
          <w:tcPr>
            <w:tcW w:w="3620" w:type="dxa"/>
            <w:vAlign w:val="bottom"/>
            <w:shd w:val="clear" w:color="auto" w:fill="D8E8EF"/>
          </w:tcPr>
          <w:p>
            <w:pPr>
              <w:ind w:left="120"/>
              <w:spacing w:after="0"/>
              <w:rPr>
                <w:sz w:val="20"/>
                <w:szCs w:val="20"/>
                <w:color w:val="auto"/>
              </w:rPr>
            </w:pPr>
            <w:r>
              <w:rPr>
                <w:rFonts w:ascii="Arial" w:cs="Arial" w:eastAsia="Arial" w:hAnsi="Arial"/>
                <w:sz w:val="14"/>
                <w:szCs w:val="14"/>
                <w:color w:val="auto"/>
              </w:rPr>
              <w:t>Vested stock units from RSU awards or other equity-</w:t>
            </w:r>
          </w:p>
        </w:tc>
      </w:tr>
      <w:tr>
        <w:trPr>
          <w:trHeight w:val="160"/>
        </w:trPr>
        <w:tc>
          <w:tcPr>
            <w:tcW w:w="280" w:type="dxa"/>
            <w:vAlign w:val="bottom"/>
            <w:shd w:val="clear" w:color="auto" w:fill="D8E8EF"/>
          </w:tcPr>
          <w:p>
            <w:pPr>
              <w:ind w:left="100"/>
              <w:spacing w:after="0"/>
              <w:rPr>
                <w:sz w:val="20"/>
                <w:szCs w:val="20"/>
                <w:color w:val="auto"/>
              </w:rPr>
            </w:pPr>
            <w:r>
              <w:rPr>
                <w:rFonts w:ascii="Arial" w:cs="Arial" w:eastAsia="Arial" w:hAnsi="Arial"/>
                <w:sz w:val="14"/>
                <w:szCs w:val="14"/>
                <w:color w:val="auto"/>
              </w:rPr>
              <w:t>•</w:t>
            </w:r>
          </w:p>
        </w:tc>
        <w:tc>
          <w:tcPr>
            <w:tcW w:w="3660" w:type="dxa"/>
            <w:vAlign w:val="bottom"/>
            <w:shd w:val="clear" w:color="auto" w:fill="D8E8EF"/>
          </w:tcPr>
          <w:p>
            <w:pPr>
              <w:ind w:left="120"/>
              <w:spacing w:after="0"/>
              <w:rPr>
                <w:sz w:val="20"/>
                <w:szCs w:val="20"/>
                <w:color w:val="auto"/>
              </w:rPr>
            </w:pPr>
            <w:r>
              <w:rPr>
                <w:rFonts w:ascii="Arial" w:cs="Arial" w:eastAsia="Arial" w:hAnsi="Arial"/>
                <w:sz w:val="14"/>
                <w:szCs w:val="14"/>
                <w:color w:val="auto"/>
              </w:rPr>
              <w:t>Shares owned jointly with, or separately by, a spouse</w:t>
            </w:r>
          </w:p>
        </w:tc>
        <w:tc>
          <w:tcPr>
            <w:tcW w:w="220" w:type="dxa"/>
            <w:vAlign w:val="bottom"/>
            <w:shd w:val="clear" w:color="auto" w:fill="D8E8EF"/>
          </w:tcPr>
          <w:p>
            <w:pPr>
              <w:spacing w:after="0"/>
              <w:rPr>
                <w:sz w:val="13"/>
                <w:szCs w:val="13"/>
                <w:color w:val="auto"/>
              </w:rPr>
            </w:pPr>
          </w:p>
        </w:tc>
        <w:tc>
          <w:tcPr>
            <w:tcW w:w="3620" w:type="dxa"/>
            <w:vAlign w:val="bottom"/>
            <w:shd w:val="clear" w:color="auto" w:fill="D8E8EF"/>
          </w:tcPr>
          <w:p>
            <w:pPr>
              <w:ind w:left="140"/>
              <w:spacing w:after="0"/>
              <w:rPr>
                <w:sz w:val="20"/>
                <w:szCs w:val="20"/>
                <w:color w:val="auto"/>
              </w:rPr>
            </w:pPr>
            <w:r>
              <w:rPr>
                <w:rFonts w:ascii="Arial" w:cs="Arial" w:eastAsia="Arial" w:hAnsi="Arial"/>
                <w:sz w:val="14"/>
                <w:szCs w:val="14"/>
                <w:color w:val="auto"/>
              </w:rPr>
              <w:t>based awards granted by the Company</w:t>
            </w:r>
          </w:p>
        </w:tc>
      </w:tr>
      <w:tr>
        <w:trPr>
          <w:trHeight w:val="160"/>
        </w:trPr>
        <w:tc>
          <w:tcPr>
            <w:tcW w:w="280" w:type="dxa"/>
            <w:vAlign w:val="bottom"/>
            <w:shd w:val="clear" w:color="auto" w:fill="D8E8EF"/>
          </w:tcPr>
          <w:p>
            <w:pPr>
              <w:spacing w:after="0"/>
              <w:rPr>
                <w:sz w:val="13"/>
                <w:szCs w:val="13"/>
                <w:color w:val="auto"/>
              </w:rPr>
            </w:pPr>
          </w:p>
        </w:tc>
        <w:tc>
          <w:tcPr>
            <w:tcW w:w="3660" w:type="dxa"/>
            <w:vAlign w:val="bottom"/>
            <w:shd w:val="clear" w:color="auto" w:fill="D8E8EF"/>
          </w:tcPr>
          <w:p>
            <w:pPr>
              <w:ind w:left="120"/>
              <w:spacing w:after="0"/>
              <w:rPr>
                <w:sz w:val="20"/>
                <w:szCs w:val="20"/>
                <w:color w:val="auto"/>
              </w:rPr>
            </w:pPr>
            <w:r>
              <w:rPr>
                <w:rFonts w:ascii="Arial" w:cs="Arial" w:eastAsia="Arial" w:hAnsi="Arial"/>
                <w:sz w:val="14"/>
                <w:szCs w:val="14"/>
                <w:color w:val="auto"/>
              </w:rPr>
              <w:t>and/or minor children</w:t>
            </w:r>
          </w:p>
        </w:tc>
        <w:tc>
          <w:tcPr>
            <w:tcW w:w="220" w:type="dxa"/>
            <w:vAlign w:val="bottom"/>
            <w:shd w:val="clear" w:color="auto" w:fill="D8E8EF"/>
          </w:tcPr>
          <w:p>
            <w:pPr>
              <w:ind w:left="40"/>
              <w:spacing w:after="0"/>
              <w:rPr>
                <w:sz w:val="20"/>
                <w:szCs w:val="20"/>
                <w:color w:val="auto"/>
              </w:rPr>
            </w:pPr>
            <w:r>
              <w:rPr>
                <w:rFonts w:ascii="Arial" w:cs="Arial" w:eastAsia="Arial" w:hAnsi="Arial"/>
                <w:sz w:val="14"/>
                <w:szCs w:val="14"/>
                <w:color w:val="auto"/>
              </w:rPr>
              <w:t>•</w:t>
            </w:r>
          </w:p>
        </w:tc>
        <w:tc>
          <w:tcPr>
            <w:tcW w:w="3620" w:type="dxa"/>
            <w:vAlign w:val="bottom"/>
            <w:shd w:val="clear" w:color="auto" w:fill="D8E8EF"/>
          </w:tcPr>
          <w:p>
            <w:pPr>
              <w:ind w:left="120"/>
              <w:spacing w:after="0"/>
              <w:rPr>
                <w:sz w:val="20"/>
                <w:szCs w:val="20"/>
                <w:color w:val="auto"/>
              </w:rPr>
            </w:pPr>
            <w:r>
              <w:rPr>
                <w:rFonts w:ascii="Arial" w:cs="Arial" w:eastAsia="Arial" w:hAnsi="Arial"/>
                <w:sz w:val="14"/>
                <w:szCs w:val="14"/>
                <w:color w:val="auto"/>
              </w:rPr>
              <w:t>Shares  obtained  through  the  ON  Semiconductor</w:t>
            </w:r>
          </w:p>
        </w:tc>
      </w:tr>
      <w:tr>
        <w:trPr>
          <w:trHeight w:val="160"/>
        </w:trPr>
        <w:tc>
          <w:tcPr>
            <w:tcW w:w="280" w:type="dxa"/>
            <w:vAlign w:val="bottom"/>
            <w:shd w:val="clear" w:color="auto" w:fill="D8E8EF"/>
          </w:tcPr>
          <w:p>
            <w:pPr>
              <w:spacing w:after="0"/>
              <w:rPr>
                <w:sz w:val="13"/>
                <w:szCs w:val="13"/>
                <w:color w:val="auto"/>
              </w:rPr>
            </w:pPr>
          </w:p>
        </w:tc>
        <w:tc>
          <w:tcPr>
            <w:tcW w:w="3660" w:type="dxa"/>
            <w:vAlign w:val="bottom"/>
            <w:shd w:val="clear" w:color="auto" w:fill="D8E8EF"/>
          </w:tcPr>
          <w:p>
            <w:pPr>
              <w:spacing w:after="0"/>
              <w:rPr>
                <w:sz w:val="13"/>
                <w:szCs w:val="13"/>
                <w:color w:val="auto"/>
              </w:rPr>
            </w:pPr>
          </w:p>
        </w:tc>
        <w:tc>
          <w:tcPr>
            <w:tcW w:w="220" w:type="dxa"/>
            <w:vAlign w:val="bottom"/>
            <w:shd w:val="clear" w:color="auto" w:fill="D8E8EF"/>
          </w:tcPr>
          <w:p>
            <w:pPr>
              <w:spacing w:after="0"/>
              <w:rPr>
                <w:sz w:val="13"/>
                <w:szCs w:val="13"/>
                <w:color w:val="auto"/>
              </w:rPr>
            </w:pPr>
          </w:p>
        </w:tc>
        <w:tc>
          <w:tcPr>
            <w:tcW w:w="3620" w:type="dxa"/>
            <w:vAlign w:val="bottom"/>
            <w:shd w:val="clear" w:color="auto" w:fill="D8E8EF"/>
          </w:tcPr>
          <w:p>
            <w:pPr>
              <w:ind w:left="140"/>
              <w:spacing w:after="0"/>
              <w:rPr>
                <w:sz w:val="20"/>
                <w:szCs w:val="20"/>
                <w:color w:val="auto"/>
              </w:rPr>
            </w:pPr>
            <w:r>
              <w:rPr>
                <w:rFonts w:ascii="Arial" w:cs="Arial" w:eastAsia="Arial" w:hAnsi="Arial"/>
                <w:sz w:val="14"/>
                <w:szCs w:val="14"/>
                <w:color w:val="auto"/>
              </w:rPr>
              <w:t>Corporation  2000  Employee  Stock  Purchase  Plan</w:t>
            </w:r>
          </w:p>
        </w:tc>
      </w:tr>
      <w:tr>
        <w:trPr>
          <w:trHeight w:val="160"/>
        </w:trPr>
        <w:tc>
          <w:tcPr>
            <w:tcW w:w="280" w:type="dxa"/>
            <w:vAlign w:val="bottom"/>
            <w:shd w:val="clear" w:color="auto" w:fill="D8E8EF"/>
          </w:tcPr>
          <w:p>
            <w:pPr>
              <w:spacing w:after="0"/>
              <w:rPr>
                <w:sz w:val="13"/>
                <w:szCs w:val="13"/>
                <w:color w:val="auto"/>
              </w:rPr>
            </w:pPr>
          </w:p>
        </w:tc>
        <w:tc>
          <w:tcPr>
            <w:tcW w:w="3660" w:type="dxa"/>
            <w:vAlign w:val="bottom"/>
            <w:shd w:val="clear" w:color="auto" w:fill="D8E8EF"/>
          </w:tcPr>
          <w:p>
            <w:pPr>
              <w:spacing w:after="0"/>
              <w:rPr>
                <w:sz w:val="13"/>
                <w:szCs w:val="13"/>
                <w:color w:val="auto"/>
              </w:rPr>
            </w:pPr>
          </w:p>
        </w:tc>
        <w:tc>
          <w:tcPr>
            <w:tcW w:w="220" w:type="dxa"/>
            <w:vAlign w:val="bottom"/>
            <w:shd w:val="clear" w:color="auto" w:fill="D8E8EF"/>
          </w:tcPr>
          <w:p>
            <w:pPr>
              <w:spacing w:after="0"/>
              <w:rPr>
                <w:sz w:val="13"/>
                <w:szCs w:val="13"/>
                <w:color w:val="auto"/>
              </w:rPr>
            </w:pPr>
          </w:p>
        </w:tc>
        <w:tc>
          <w:tcPr>
            <w:tcW w:w="3620" w:type="dxa"/>
            <w:vAlign w:val="bottom"/>
            <w:shd w:val="clear" w:color="auto" w:fill="D8E8EF"/>
          </w:tcPr>
          <w:p>
            <w:pPr>
              <w:ind w:left="140"/>
              <w:spacing w:after="0"/>
              <w:rPr>
                <w:sz w:val="20"/>
                <w:szCs w:val="20"/>
                <w:color w:val="auto"/>
              </w:rPr>
            </w:pPr>
            <w:r>
              <w:rPr>
                <w:rFonts w:ascii="Arial" w:cs="Arial" w:eastAsia="Arial" w:hAnsi="Arial"/>
                <w:sz w:val="14"/>
                <w:szCs w:val="14"/>
                <w:color w:val="auto"/>
              </w:rPr>
              <w:t>(“ESPP”)</w:t>
            </w:r>
          </w:p>
        </w:tc>
      </w:tr>
      <w:tr>
        <w:trPr>
          <w:trHeight w:val="160"/>
        </w:trPr>
        <w:tc>
          <w:tcPr>
            <w:tcW w:w="280" w:type="dxa"/>
            <w:vAlign w:val="bottom"/>
            <w:shd w:val="clear" w:color="auto" w:fill="D8E8EF"/>
          </w:tcPr>
          <w:p>
            <w:pPr>
              <w:spacing w:after="0"/>
              <w:rPr>
                <w:sz w:val="13"/>
                <w:szCs w:val="13"/>
                <w:color w:val="auto"/>
              </w:rPr>
            </w:pPr>
          </w:p>
        </w:tc>
        <w:tc>
          <w:tcPr>
            <w:tcW w:w="3660" w:type="dxa"/>
            <w:vAlign w:val="bottom"/>
            <w:shd w:val="clear" w:color="auto" w:fill="D8E8EF"/>
          </w:tcPr>
          <w:p>
            <w:pPr>
              <w:spacing w:after="0"/>
              <w:rPr>
                <w:sz w:val="13"/>
                <w:szCs w:val="13"/>
                <w:color w:val="auto"/>
              </w:rPr>
            </w:pPr>
          </w:p>
        </w:tc>
        <w:tc>
          <w:tcPr>
            <w:tcW w:w="220" w:type="dxa"/>
            <w:vAlign w:val="bottom"/>
            <w:shd w:val="clear" w:color="auto" w:fill="D8E8EF"/>
          </w:tcPr>
          <w:p>
            <w:pPr>
              <w:ind w:left="40"/>
              <w:spacing w:after="0"/>
              <w:rPr>
                <w:sz w:val="20"/>
                <w:szCs w:val="20"/>
                <w:color w:val="auto"/>
              </w:rPr>
            </w:pPr>
            <w:r>
              <w:rPr>
                <w:rFonts w:ascii="Arial" w:cs="Arial" w:eastAsia="Arial" w:hAnsi="Arial"/>
                <w:sz w:val="14"/>
                <w:szCs w:val="14"/>
                <w:color w:val="auto"/>
              </w:rPr>
              <w:t>•</w:t>
            </w:r>
          </w:p>
        </w:tc>
        <w:tc>
          <w:tcPr>
            <w:tcW w:w="3620" w:type="dxa"/>
            <w:vAlign w:val="bottom"/>
            <w:shd w:val="clear" w:color="auto" w:fill="D8E8EF"/>
          </w:tcPr>
          <w:p>
            <w:pPr>
              <w:ind w:left="120"/>
              <w:spacing w:after="0"/>
              <w:rPr>
                <w:sz w:val="20"/>
                <w:szCs w:val="20"/>
                <w:color w:val="auto"/>
              </w:rPr>
            </w:pPr>
            <w:r>
              <w:rPr>
                <w:rFonts w:ascii="Arial" w:cs="Arial" w:eastAsia="Arial" w:hAnsi="Arial"/>
                <w:sz w:val="14"/>
                <w:szCs w:val="14"/>
                <w:color w:val="auto"/>
              </w:rPr>
              <w:t>Shares owned jointly with, or separately by, a spouse</w:t>
            </w:r>
          </w:p>
        </w:tc>
      </w:tr>
      <w:tr>
        <w:trPr>
          <w:trHeight w:val="189"/>
        </w:trPr>
        <w:tc>
          <w:tcPr>
            <w:tcW w:w="280" w:type="dxa"/>
            <w:vAlign w:val="bottom"/>
            <w:shd w:val="clear" w:color="auto" w:fill="D8E8EF"/>
          </w:tcPr>
          <w:p>
            <w:pPr>
              <w:spacing w:after="0"/>
              <w:rPr>
                <w:sz w:val="16"/>
                <w:szCs w:val="16"/>
                <w:color w:val="auto"/>
              </w:rPr>
            </w:pPr>
          </w:p>
        </w:tc>
        <w:tc>
          <w:tcPr>
            <w:tcW w:w="3660" w:type="dxa"/>
            <w:vAlign w:val="bottom"/>
            <w:shd w:val="clear" w:color="auto" w:fill="D8E8EF"/>
          </w:tcPr>
          <w:p>
            <w:pPr>
              <w:spacing w:after="0"/>
              <w:rPr>
                <w:sz w:val="16"/>
                <w:szCs w:val="16"/>
                <w:color w:val="auto"/>
              </w:rPr>
            </w:pPr>
          </w:p>
        </w:tc>
        <w:tc>
          <w:tcPr>
            <w:tcW w:w="220" w:type="dxa"/>
            <w:vAlign w:val="bottom"/>
            <w:shd w:val="clear" w:color="auto" w:fill="D8E8EF"/>
          </w:tcPr>
          <w:p>
            <w:pPr>
              <w:spacing w:after="0"/>
              <w:rPr>
                <w:sz w:val="16"/>
                <w:szCs w:val="16"/>
                <w:color w:val="auto"/>
              </w:rPr>
            </w:pPr>
          </w:p>
        </w:tc>
        <w:tc>
          <w:tcPr>
            <w:tcW w:w="3620" w:type="dxa"/>
            <w:vAlign w:val="bottom"/>
            <w:shd w:val="clear" w:color="auto" w:fill="D8E8EF"/>
          </w:tcPr>
          <w:p>
            <w:pPr>
              <w:ind w:left="140"/>
              <w:spacing w:after="0"/>
              <w:rPr>
                <w:sz w:val="20"/>
                <w:szCs w:val="20"/>
                <w:color w:val="auto"/>
              </w:rPr>
            </w:pPr>
            <w:r>
              <w:rPr>
                <w:rFonts w:ascii="Arial" w:cs="Arial" w:eastAsia="Arial" w:hAnsi="Arial"/>
                <w:sz w:val="14"/>
                <w:szCs w:val="14"/>
                <w:color w:val="auto"/>
              </w:rPr>
              <w:t>and/or minor children</w:t>
            </w:r>
          </w:p>
        </w:tc>
      </w:tr>
      <w:tr>
        <w:trPr>
          <w:trHeight w:val="21"/>
        </w:trPr>
        <w:tc>
          <w:tcPr>
            <w:tcW w:w="280" w:type="dxa"/>
            <w:vAlign w:val="bottom"/>
            <w:shd w:val="clear" w:color="auto" w:fill="D8E8EF"/>
          </w:tcPr>
          <w:p>
            <w:pPr>
              <w:spacing w:after="0" w:line="20" w:lineRule="exact"/>
              <w:rPr>
                <w:sz w:val="1"/>
                <w:szCs w:val="1"/>
                <w:color w:val="auto"/>
              </w:rPr>
            </w:pPr>
          </w:p>
        </w:tc>
        <w:tc>
          <w:tcPr>
            <w:tcW w:w="3660" w:type="dxa"/>
            <w:vAlign w:val="bottom"/>
            <w:shd w:val="clear" w:color="auto" w:fill="D8E8EF"/>
          </w:tcPr>
          <w:p>
            <w:pPr>
              <w:spacing w:after="0" w:line="20" w:lineRule="exact"/>
              <w:rPr>
                <w:sz w:val="1"/>
                <w:szCs w:val="1"/>
                <w:color w:val="auto"/>
              </w:rPr>
            </w:pPr>
          </w:p>
        </w:tc>
        <w:tc>
          <w:tcPr>
            <w:tcW w:w="220" w:type="dxa"/>
            <w:vAlign w:val="bottom"/>
            <w:shd w:val="clear" w:color="auto" w:fill="D8E8EF"/>
          </w:tcPr>
          <w:p>
            <w:pPr>
              <w:spacing w:after="0" w:line="20" w:lineRule="exact"/>
              <w:rPr>
                <w:sz w:val="1"/>
                <w:szCs w:val="1"/>
                <w:color w:val="auto"/>
              </w:rPr>
            </w:pPr>
          </w:p>
        </w:tc>
        <w:tc>
          <w:tcPr>
            <w:tcW w:w="3620" w:type="dxa"/>
            <w:vAlign w:val="bottom"/>
            <w:shd w:val="clear" w:color="auto" w:fill="D8E8EF"/>
          </w:tcPr>
          <w:p>
            <w:pPr>
              <w:spacing w:after="0" w:line="20" w:lineRule="exact"/>
              <w:rPr>
                <w:sz w:val="1"/>
                <w:szCs w:val="1"/>
                <w:color w:val="auto"/>
              </w:rPr>
            </w:pPr>
          </w:p>
        </w:tc>
      </w:tr>
    </w:tbl>
    <w:p>
      <w:pPr>
        <w:spacing w:after="0" w:line="44" w:lineRule="exact"/>
        <w:rPr>
          <w:sz w:val="20"/>
          <w:szCs w:val="20"/>
          <w:color w:val="auto"/>
        </w:rPr>
      </w:pPr>
    </w:p>
    <w:p>
      <w:pPr>
        <w:sectPr>
          <w:pgSz w:w="11900" w:h="16838" w:orient="portrait"/>
          <w:cols w:equalWidth="0" w:num="2">
            <w:col w:w="2360" w:space="620"/>
            <w:col w:w="8100"/>
          </w:cols>
          <w:pgMar w:left="320" w:top="454" w:right="499" w:bottom="1440" w:gutter="0" w:footer="0" w:header="0"/>
          <w:type w:val="continuous"/>
        </w:sectPr>
      </w:pPr>
    </w:p>
    <w:tbl>
      <w:tblPr>
        <w:tblLayout w:type="fixed"/>
        <w:tblInd w:w="500" w:type="dxa"/>
        <w:tblCellMar>
          <w:top w:w="0" w:type="dxa"/>
          <w:left w:w="0" w:type="dxa"/>
          <w:bottom w:w="0" w:type="dxa"/>
          <w:right w:w="0" w:type="dxa"/>
        </w:tblCellMar>
      </w:tblPr>
      <w:tr>
        <w:trPr>
          <w:trHeight w:val="161"/>
        </w:trPr>
        <w:tc>
          <w:tcPr>
            <w:tcW w:w="2760" w:type="dxa"/>
            <w:vAlign w:val="bottom"/>
          </w:tcPr>
          <w:p>
            <w:pPr>
              <w:ind w:left="2580"/>
              <w:spacing w:after="0"/>
              <w:rPr>
                <w:sz w:val="20"/>
                <w:szCs w:val="20"/>
                <w:color w:val="auto"/>
              </w:rPr>
            </w:pPr>
            <w:r>
              <w:rPr>
                <w:rFonts w:ascii="Arial" w:cs="Arial" w:eastAsia="Arial" w:hAnsi="Arial"/>
                <w:sz w:val="14"/>
                <w:szCs w:val="14"/>
                <w:color w:val="auto"/>
              </w:rPr>
              <w:t>•</w:t>
            </w:r>
          </w:p>
        </w:tc>
        <w:tc>
          <w:tcPr>
            <w:tcW w:w="3880" w:type="dxa"/>
            <w:vAlign w:val="bottom"/>
          </w:tcPr>
          <w:p>
            <w:pPr>
              <w:ind w:left="120"/>
              <w:spacing w:after="0"/>
              <w:rPr>
                <w:sz w:val="20"/>
                <w:szCs w:val="20"/>
                <w:color w:val="auto"/>
              </w:rPr>
            </w:pPr>
            <w:r>
              <w:rPr>
                <w:rFonts w:ascii="Arial" w:cs="Arial" w:eastAsia="Arial" w:hAnsi="Arial"/>
                <w:sz w:val="14"/>
                <w:szCs w:val="14"/>
                <w:color w:val="auto"/>
              </w:rPr>
              <w:t>Meeting  with  Chair  of  the  Board  to  formulate  an •</w:t>
            </w:r>
          </w:p>
        </w:tc>
        <w:tc>
          <w:tcPr>
            <w:tcW w:w="3940" w:type="dxa"/>
            <w:vAlign w:val="bottom"/>
            <w:gridSpan w:val="2"/>
          </w:tcPr>
          <w:p>
            <w:pPr>
              <w:ind w:left="120"/>
              <w:spacing w:after="0"/>
              <w:rPr>
                <w:sz w:val="20"/>
                <w:szCs w:val="20"/>
                <w:color w:val="auto"/>
              </w:rPr>
            </w:pPr>
            <w:r>
              <w:rPr>
                <w:rFonts w:ascii="Arial" w:cs="Arial" w:eastAsia="Arial" w:hAnsi="Arial"/>
                <w:sz w:val="14"/>
                <w:szCs w:val="14"/>
                <w:color w:val="auto"/>
              </w:rPr>
              <w:t>Meeting  with  HCC  Committee  to  formulate  an</w:t>
            </w:r>
          </w:p>
        </w:tc>
      </w:tr>
      <w:tr>
        <w:trPr>
          <w:trHeight w:val="160"/>
        </w:trPr>
        <w:tc>
          <w:tcPr>
            <w:tcW w:w="2760" w:type="dxa"/>
            <w:vAlign w:val="bottom"/>
          </w:tcPr>
          <w:p>
            <w:pPr>
              <w:spacing w:after="0"/>
              <w:rPr>
                <w:sz w:val="13"/>
                <w:szCs w:val="13"/>
                <w:color w:val="auto"/>
              </w:rPr>
            </w:pPr>
          </w:p>
        </w:tc>
        <w:tc>
          <w:tcPr>
            <w:tcW w:w="3880" w:type="dxa"/>
            <w:vAlign w:val="bottom"/>
          </w:tcPr>
          <w:p>
            <w:pPr>
              <w:ind w:left="120"/>
              <w:spacing w:after="0"/>
              <w:rPr>
                <w:sz w:val="20"/>
                <w:szCs w:val="20"/>
                <w:color w:val="auto"/>
              </w:rPr>
            </w:pPr>
            <w:r>
              <w:rPr>
                <w:rFonts w:ascii="Arial" w:cs="Arial" w:eastAsia="Arial" w:hAnsi="Arial"/>
                <w:sz w:val="14"/>
                <w:szCs w:val="14"/>
                <w:color w:val="auto"/>
              </w:rPr>
              <w:t>individualized   and   structured   plan   to   ensure</w:t>
            </w:r>
          </w:p>
        </w:tc>
        <w:tc>
          <w:tcPr>
            <w:tcW w:w="3940" w:type="dxa"/>
            <w:vAlign w:val="bottom"/>
            <w:gridSpan w:val="2"/>
          </w:tcPr>
          <w:p>
            <w:pPr>
              <w:ind w:left="140"/>
              <w:spacing w:after="0"/>
              <w:rPr>
                <w:sz w:val="20"/>
                <w:szCs w:val="20"/>
                <w:color w:val="auto"/>
              </w:rPr>
            </w:pPr>
            <w:r>
              <w:rPr>
                <w:rFonts w:ascii="Arial" w:cs="Arial" w:eastAsia="Arial" w:hAnsi="Arial"/>
                <w:sz w:val="14"/>
                <w:szCs w:val="14"/>
                <w:color w:val="auto"/>
              </w:rPr>
              <w:t>individualized   and   structured   plan   to   ensure</w:t>
            </w:r>
          </w:p>
        </w:tc>
      </w:tr>
      <w:tr>
        <w:trPr>
          <w:trHeight w:val="160"/>
        </w:trPr>
        <w:tc>
          <w:tcPr>
            <w:tcW w:w="2760" w:type="dxa"/>
            <w:vAlign w:val="bottom"/>
          </w:tcPr>
          <w:p>
            <w:pPr>
              <w:spacing w:after="0"/>
              <w:rPr>
                <w:sz w:val="13"/>
                <w:szCs w:val="13"/>
                <w:color w:val="auto"/>
              </w:rPr>
            </w:pPr>
          </w:p>
        </w:tc>
        <w:tc>
          <w:tcPr>
            <w:tcW w:w="3880" w:type="dxa"/>
            <w:vAlign w:val="bottom"/>
          </w:tcPr>
          <w:p>
            <w:pPr>
              <w:ind w:left="120"/>
              <w:spacing w:after="0"/>
              <w:rPr>
                <w:sz w:val="20"/>
                <w:szCs w:val="20"/>
                <w:color w:val="auto"/>
              </w:rPr>
            </w:pPr>
            <w:r>
              <w:rPr>
                <w:rFonts w:ascii="Arial" w:cs="Arial" w:eastAsia="Arial" w:hAnsi="Arial"/>
                <w:sz w:val="14"/>
                <w:szCs w:val="14"/>
                <w:color w:val="auto"/>
              </w:rPr>
              <w:t>compliance (3)</w:t>
            </w:r>
          </w:p>
        </w:tc>
        <w:tc>
          <w:tcPr>
            <w:tcW w:w="3940" w:type="dxa"/>
            <w:vAlign w:val="bottom"/>
            <w:gridSpan w:val="2"/>
          </w:tcPr>
          <w:p>
            <w:pPr>
              <w:ind w:left="140"/>
              <w:spacing w:after="0"/>
              <w:rPr>
                <w:sz w:val="20"/>
                <w:szCs w:val="20"/>
                <w:color w:val="auto"/>
              </w:rPr>
            </w:pPr>
            <w:r>
              <w:rPr>
                <w:rFonts w:ascii="Arial" w:cs="Arial" w:eastAsia="Arial" w:hAnsi="Arial"/>
                <w:sz w:val="14"/>
                <w:szCs w:val="14"/>
                <w:color w:val="auto"/>
              </w:rPr>
              <w:t>compliance</w:t>
            </w:r>
          </w:p>
        </w:tc>
      </w:tr>
      <w:tr>
        <w:trPr>
          <w:trHeight w:val="160"/>
        </w:trPr>
        <w:tc>
          <w:tcPr>
            <w:tcW w:w="2760" w:type="dxa"/>
            <w:vAlign w:val="bottom"/>
          </w:tcPr>
          <w:p>
            <w:pPr>
              <w:ind w:left="2580"/>
              <w:spacing w:after="0"/>
              <w:rPr>
                <w:sz w:val="20"/>
                <w:szCs w:val="20"/>
                <w:color w:val="auto"/>
              </w:rPr>
            </w:pPr>
            <w:r>
              <w:rPr>
                <w:rFonts w:ascii="Arial" w:cs="Arial" w:eastAsia="Arial" w:hAnsi="Arial"/>
                <w:sz w:val="14"/>
                <w:szCs w:val="14"/>
                <w:color w:val="auto"/>
              </w:rPr>
              <w:t>•</w:t>
            </w:r>
          </w:p>
        </w:tc>
        <w:tc>
          <w:tcPr>
            <w:tcW w:w="3880" w:type="dxa"/>
            <w:vAlign w:val="bottom"/>
          </w:tcPr>
          <w:p>
            <w:pPr>
              <w:ind w:left="120"/>
              <w:spacing w:after="0"/>
              <w:rPr>
                <w:sz w:val="20"/>
                <w:szCs w:val="20"/>
                <w:color w:val="auto"/>
              </w:rPr>
            </w:pPr>
            <w:r>
              <w:rPr>
                <w:rFonts w:ascii="Arial" w:cs="Arial" w:eastAsia="Arial" w:hAnsi="Arial"/>
                <w:sz w:val="14"/>
                <w:szCs w:val="14"/>
                <w:color w:val="auto"/>
              </w:rPr>
              <w:t>Failure to comply with the plan will make an Outside •</w:t>
            </w:r>
          </w:p>
        </w:tc>
        <w:tc>
          <w:tcPr>
            <w:tcW w:w="3940" w:type="dxa"/>
            <w:vAlign w:val="bottom"/>
            <w:gridSpan w:val="2"/>
          </w:tcPr>
          <w:p>
            <w:pPr>
              <w:ind w:left="120"/>
              <w:spacing w:after="0"/>
              <w:rPr>
                <w:sz w:val="20"/>
                <w:szCs w:val="20"/>
                <w:color w:val="auto"/>
              </w:rPr>
            </w:pPr>
            <w:r>
              <w:rPr>
                <w:rFonts w:ascii="Arial" w:cs="Arial" w:eastAsia="Arial" w:hAnsi="Arial"/>
                <w:sz w:val="14"/>
                <w:szCs w:val="14"/>
                <w:color w:val="auto"/>
              </w:rPr>
              <w:t>At any time when the ownership guideline is not met,</w:t>
            </w:r>
          </w:p>
        </w:tc>
      </w:tr>
      <w:tr>
        <w:trPr>
          <w:trHeight w:val="160"/>
        </w:trPr>
        <w:tc>
          <w:tcPr>
            <w:tcW w:w="2760" w:type="dxa"/>
            <w:vAlign w:val="bottom"/>
          </w:tcPr>
          <w:p>
            <w:pPr>
              <w:ind w:left="80"/>
              <w:spacing w:after="0"/>
              <w:rPr>
                <w:sz w:val="20"/>
                <w:szCs w:val="20"/>
                <w:color w:val="auto"/>
              </w:rPr>
            </w:pPr>
            <w:r>
              <w:rPr>
                <w:rFonts w:ascii="Arial" w:cs="Arial" w:eastAsia="Arial" w:hAnsi="Arial"/>
                <w:sz w:val="14"/>
                <w:szCs w:val="14"/>
                <w:b w:val="1"/>
                <w:bCs w:val="1"/>
                <w:color w:val="auto"/>
              </w:rPr>
              <w:t>Remedy for Failure to Comply</w:t>
            </w:r>
          </w:p>
        </w:tc>
        <w:tc>
          <w:tcPr>
            <w:tcW w:w="3880" w:type="dxa"/>
            <w:vAlign w:val="bottom"/>
          </w:tcPr>
          <w:p>
            <w:pPr>
              <w:ind w:left="120"/>
              <w:spacing w:after="0"/>
              <w:rPr>
                <w:sz w:val="20"/>
                <w:szCs w:val="20"/>
                <w:color w:val="auto"/>
              </w:rPr>
            </w:pPr>
            <w:r>
              <w:rPr>
                <w:rFonts w:ascii="Arial" w:cs="Arial" w:eastAsia="Arial" w:hAnsi="Arial"/>
                <w:sz w:val="14"/>
                <w:szCs w:val="14"/>
                <w:color w:val="auto"/>
              </w:rPr>
              <w:t>Director ineligible for re-election at the next annual</w:t>
            </w:r>
          </w:p>
        </w:tc>
        <w:tc>
          <w:tcPr>
            <w:tcW w:w="3940" w:type="dxa"/>
            <w:vAlign w:val="bottom"/>
            <w:gridSpan w:val="2"/>
          </w:tcPr>
          <w:p>
            <w:pPr>
              <w:ind w:left="140"/>
              <w:spacing w:after="0"/>
              <w:rPr>
                <w:sz w:val="20"/>
                <w:szCs w:val="20"/>
                <w:color w:val="auto"/>
              </w:rPr>
            </w:pPr>
            <w:r>
              <w:rPr>
                <w:rFonts w:ascii="Arial" w:cs="Arial" w:eastAsia="Arial" w:hAnsi="Arial"/>
                <w:sz w:val="14"/>
                <w:szCs w:val="14"/>
                <w:color w:val="auto"/>
              </w:rPr>
              <w:t>the officer is expected to retain all of the net shares of</w:t>
            </w:r>
          </w:p>
        </w:tc>
      </w:tr>
      <w:tr>
        <w:trPr>
          <w:trHeight w:val="160"/>
        </w:trPr>
        <w:tc>
          <w:tcPr>
            <w:tcW w:w="2760" w:type="dxa"/>
            <w:vAlign w:val="bottom"/>
          </w:tcPr>
          <w:p>
            <w:pPr>
              <w:spacing w:after="0"/>
              <w:rPr>
                <w:sz w:val="13"/>
                <w:szCs w:val="13"/>
                <w:color w:val="auto"/>
              </w:rPr>
            </w:pPr>
          </w:p>
        </w:tc>
        <w:tc>
          <w:tcPr>
            <w:tcW w:w="3880" w:type="dxa"/>
            <w:vAlign w:val="bottom"/>
          </w:tcPr>
          <w:p>
            <w:pPr>
              <w:ind w:left="120"/>
              <w:spacing w:after="0"/>
              <w:rPr>
                <w:sz w:val="20"/>
                <w:szCs w:val="20"/>
                <w:color w:val="auto"/>
              </w:rPr>
            </w:pPr>
            <w:r>
              <w:rPr>
                <w:rFonts w:ascii="Arial" w:cs="Arial" w:eastAsia="Arial" w:hAnsi="Arial"/>
                <w:sz w:val="14"/>
                <w:szCs w:val="14"/>
                <w:color w:val="auto"/>
              </w:rPr>
              <w:t>meeting of stockholders</w:t>
            </w:r>
          </w:p>
        </w:tc>
        <w:tc>
          <w:tcPr>
            <w:tcW w:w="3940" w:type="dxa"/>
            <w:vAlign w:val="bottom"/>
            <w:gridSpan w:val="2"/>
          </w:tcPr>
          <w:p>
            <w:pPr>
              <w:ind w:left="140"/>
              <w:spacing w:after="0"/>
              <w:rPr>
                <w:sz w:val="20"/>
                <w:szCs w:val="20"/>
                <w:color w:val="auto"/>
              </w:rPr>
            </w:pPr>
            <w:r>
              <w:rPr>
                <w:rFonts w:ascii="Arial" w:cs="Arial" w:eastAsia="Arial" w:hAnsi="Arial"/>
                <w:sz w:val="14"/>
                <w:szCs w:val="14"/>
                <w:color w:val="auto"/>
              </w:rPr>
              <w:t>Company stock or equity-based awards received until</w:t>
            </w:r>
          </w:p>
        </w:tc>
      </w:tr>
      <w:tr>
        <w:trPr>
          <w:trHeight w:val="160"/>
        </w:trPr>
        <w:tc>
          <w:tcPr>
            <w:tcW w:w="2760" w:type="dxa"/>
            <w:vAlign w:val="bottom"/>
          </w:tcPr>
          <w:p>
            <w:pPr>
              <w:ind w:left="2580"/>
              <w:spacing w:after="0"/>
              <w:rPr>
                <w:sz w:val="20"/>
                <w:szCs w:val="20"/>
                <w:color w:val="auto"/>
              </w:rPr>
            </w:pPr>
            <w:r>
              <w:rPr>
                <w:rFonts w:ascii="Arial" w:cs="Arial" w:eastAsia="Arial" w:hAnsi="Arial"/>
                <w:sz w:val="14"/>
                <w:szCs w:val="14"/>
                <w:color w:val="auto"/>
              </w:rPr>
              <w:t>•</w:t>
            </w:r>
          </w:p>
        </w:tc>
        <w:tc>
          <w:tcPr>
            <w:tcW w:w="3880" w:type="dxa"/>
            <w:vAlign w:val="bottom"/>
          </w:tcPr>
          <w:p>
            <w:pPr>
              <w:ind w:left="120"/>
              <w:spacing w:after="0"/>
              <w:rPr>
                <w:sz w:val="20"/>
                <w:szCs w:val="20"/>
                <w:color w:val="auto"/>
              </w:rPr>
            </w:pPr>
            <w:r>
              <w:rPr>
                <w:rFonts w:ascii="Arial" w:cs="Arial" w:eastAsia="Arial" w:hAnsi="Arial"/>
                <w:sz w:val="14"/>
                <w:szCs w:val="14"/>
                <w:color w:val="auto"/>
              </w:rPr>
              <w:t>Outside Directors are expected to retain all of the net</w:t>
            </w:r>
          </w:p>
        </w:tc>
        <w:tc>
          <w:tcPr>
            <w:tcW w:w="3940" w:type="dxa"/>
            <w:vAlign w:val="bottom"/>
            <w:gridSpan w:val="2"/>
          </w:tcPr>
          <w:p>
            <w:pPr>
              <w:ind w:left="140"/>
              <w:spacing w:after="0"/>
              <w:rPr>
                <w:sz w:val="20"/>
                <w:szCs w:val="20"/>
                <w:color w:val="auto"/>
              </w:rPr>
            </w:pPr>
            <w:r>
              <w:rPr>
                <w:rFonts w:ascii="Arial" w:cs="Arial" w:eastAsia="Arial" w:hAnsi="Arial"/>
                <w:sz w:val="14"/>
                <w:szCs w:val="14"/>
                <w:color w:val="auto"/>
              </w:rPr>
              <w:t>such ownership guideline is met</w:t>
            </w:r>
          </w:p>
        </w:tc>
      </w:tr>
      <w:tr>
        <w:trPr>
          <w:trHeight w:val="160"/>
        </w:trPr>
        <w:tc>
          <w:tcPr>
            <w:tcW w:w="2760" w:type="dxa"/>
            <w:vAlign w:val="bottom"/>
          </w:tcPr>
          <w:p>
            <w:pPr>
              <w:spacing w:after="0"/>
              <w:rPr>
                <w:sz w:val="13"/>
                <w:szCs w:val="13"/>
                <w:color w:val="auto"/>
              </w:rPr>
            </w:pPr>
          </w:p>
        </w:tc>
        <w:tc>
          <w:tcPr>
            <w:tcW w:w="3880" w:type="dxa"/>
            <w:vAlign w:val="bottom"/>
          </w:tcPr>
          <w:p>
            <w:pPr>
              <w:ind w:left="120"/>
              <w:spacing w:after="0"/>
              <w:rPr>
                <w:sz w:val="20"/>
                <w:szCs w:val="20"/>
                <w:color w:val="auto"/>
              </w:rPr>
            </w:pPr>
            <w:r>
              <w:rPr>
                <w:rFonts w:ascii="Arial" w:cs="Arial" w:eastAsia="Arial" w:hAnsi="Arial"/>
                <w:sz w:val="14"/>
                <w:szCs w:val="14"/>
                <w:color w:val="auto"/>
              </w:rPr>
              <w:t>shares  of  Company  stock  or  equity-based  awards</w:t>
            </w:r>
          </w:p>
        </w:tc>
        <w:tc>
          <w:tcPr>
            <w:tcW w:w="3620" w:type="dxa"/>
            <w:vAlign w:val="bottom"/>
          </w:tcPr>
          <w:p>
            <w:pPr>
              <w:spacing w:after="0"/>
              <w:rPr>
                <w:sz w:val="13"/>
                <w:szCs w:val="13"/>
                <w:color w:val="auto"/>
              </w:rPr>
            </w:pPr>
          </w:p>
        </w:tc>
        <w:tc>
          <w:tcPr>
            <w:tcW w:w="320" w:type="dxa"/>
            <w:vAlign w:val="bottom"/>
          </w:tcPr>
          <w:p>
            <w:pPr>
              <w:spacing w:after="0"/>
              <w:rPr>
                <w:sz w:val="13"/>
                <w:szCs w:val="13"/>
                <w:color w:val="auto"/>
              </w:rPr>
            </w:pPr>
          </w:p>
        </w:tc>
      </w:tr>
      <w:tr>
        <w:trPr>
          <w:trHeight w:val="189"/>
        </w:trPr>
        <w:tc>
          <w:tcPr>
            <w:tcW w:w="2760" w:type="dxa"/>
            <w:vAlign w:val="bottom"/>
          </w:tcPr>
          <w:p>
            <w:pPr>
              <w:spacing w:after="0"/>
              <w:rPr>
                <w:sz w:val="16"/>
                <w:szCs w:val="16"/>
                <w:color w:val="auto"/>
              </w:rPr>
            </w:pPr>
          </w:p>
        </w:tc>
        <w:tc>
          <w:tcPr>
            <w:tcW w:w="3880" w:type="dxa"/>
            <w:vAlign w:val="bottom"/>
          </w:tcPr>
          <w:p>
            <w:pPr>
              <w:ind w:left="120"/>
              <w:spacing w:after="0"/>
              <w:rPr>
                <w:sz w:val="20"/>
                <w:szCs w:val="20"/>
                <w:color w:val="auto"/>
              </w:rPr>
            </w:pPr>
            <w:r>
              <w:rPr>
                <w:rFonts w:ascii="Arial" w:cs="Arial" w:eastAsia="Arial" w:hAnsi="Arial"/>
                <w:sz w:val="14"/>
                <w:szCs w:val="14"/>
                <w:color w:val="auto"/>
              </w:rPr>
              <w:t>received until the guideline is met</w:t>
            </w:r>
          </w:p>
        </w:tc>
        <w:tc>
          <w:tcPr>
            <w:tcW w:w="3620" w:type="dxa"/>
            <w:vAlign w:val="bottom"/>
          </w:tcPr>
          <w:p>
            <w:pPr>
              <w:spacing w:after="0"/>
              <w:rPr>
                <w:sz w:val="16"/>
                <w:szCs w:val="16"/>
                <w:color w:val="auto"/>
              </w:rPr>
            </w:pPr>
          </w:p>
        </w:tc>
        <w:tc>
          <w:tcPr>
            <w:tcW w:w="320" w:type="dxa"/>
            <w:vAlign w:val="bottom"/>
          </w:tcPr>
          <w:p>
            <w:pPr>
              <w:spacing w:after="0"/>
              <w:rPr>
                <w:sz w:val="16"/>
                <w:szCs w:val="16"/>
                <w:color w:val="auto"/>
              </w:rPr>
            </w:pPr>
          </w:p>
        </w:tc>
      </w:tr>
      <w:tr>
        <w:trPr>
          <w:trHeight w:val="21"/>
        </w:trPr>
        <w:tc>
          <w:tcPr>
            <w:tcW w:w="2760" w:type="dxa"/>
            <w:vAlign w:val="bottom"/>
            <w:tcBorders>
              <w:bottom w:val="single" w:sz="8" w:color="auto"/>
            </w:tcBorders>
          </w:tcPr>
          <w:p>
            <w:pPr>
              <w:spacing w:after="0" w:line="20" w:lineRule="exact"/>
              <w:rPr>
                <w:sz w:val="1"/>
                <w:szCs w:val="1"/>
                <w:color w:val="auto"/>
              </w:rPr>
            </w:pPr>
          </w:p>
        </w:tc>
        <w:tc>
          <w:tcPr>
            <w:tcW w:w="3880" w:type="dxa"/>
            <w:vAlign w:val="bottom"/>
            <w:tcBorders>
              <w:bottom w:val="single" w:sz="8" w:color="auto"/>
            </w:tcBorders>
          </w:tcPr>
          <w:p>
            <w:pPr>
              <w:spacing w:after="0" w:line="20" w:lineRule="exact"/>
              <w:rPr>
                <w:sz w:val="1"/>
                <w:szCs w:val="1"/>
                <w:color w:val="auto"/>
              </w:rPr>
            </w:pPr>
          </w:p>
        </w:tc>
        <w:tc>
          <w:tcPr>
            <w:tcW w:w="36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320"/>
        </w:trPr>
        <w:tc>
          <w:tcPr>
            <w:tcW w:w="276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3940" w:type="dxa"/>
            <w:vAlign w:val="bottom"/>
            <w:gridSpan w:val="2"/>
          </w:tcPr>
          <w:p>
            <w:pPr>
              <w:ind w:left="1680"/>
              <w:spacing w:after="0"/>
              <w:rPr>
                <w:sz w:val="20"/>
                <w:szCs w:val="20"/>
                <w:color w:val="auto"/>
              </w:rPr>
            </w:pPr>
            <w:r>
              <w:rPr>
                <w:rFonts w:ascii="Arial" w:cs="Arial" w:eastAsia="Arial" w:hAnsi="Arial"/>
                <w:sz w:val="14"/>
                <w:szCs w:val="14"/>
                <w:color w:val="F75E14"/>
              </w:rPr>
              <w:t>onsemi 2022 Proxy Statement   25</w:t>
            </w:r>
          </w:p>
        </w:tc>
      </w:tr>
    </w:tbl>
    <w:p>
      <w:pPr>
        <w:sectPr>
          <w:pgSz w:w="11900" w:h="16838" w:orient="portrait"/>
          <w:cols w:equalWidth="0" w:num="1">
            <w:col w:w="11080"/>
          </w:cols>
          <w:pgMar w:left="320" w:top="454" w:right="499" w:bottom="1440" w:gutter="0" w:footer="0" w:header="0"/>
          <w:type w:val="continuous"/>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2" w:lineRule="exact"/>
        <w:rPr>
          <w:sz w:val="20"/>
          <w:szCs w:val="20"/>
          <w:color w:val="auto"/>
        </w:rPr>
      </w:pPr>
    </w:p>
    <w:p>
      <w:pPr>
        <w:ind w:left="160"/>
        <w:spacing w:after="0"/>
        <w:rPr>
          <w:sz w:val="20"/>
          <w:szCs w:val="20"/>
          <w:color w:val="auto"/>
        </w:rPr>
      </w:pPr>
      <w:r>
        <w:rPr>
          <w:rFonts w:ascii="Arial" w:cs="Arial" w:eastAsia="Arial" w:hAnsi="Arial"/>
          <w:sz w:val="18"/>
          <w:szCs w:val="18"/>
          <w:color w:val="F75E14"/>
        </w:rPr>
        <w:t>The Board of Directors and Corporate Governance</w:t>
      </w:r>
    </w:p>
    <w:p>
      <w:pPr>
        <w:spacing w:after="0" w:line="150" w:lineRule="exact"/>
        <w:rPr>
          <w:sz w:val="20"/>
          <w:szCs w:val="20"/>
          <w:color w:val="auto"/>
        </w:rPr>
      </w:pPr>
    </w:p>
    <w:p>
      <w:pPr>
        <w:ind w:left="1020" w:hanging="425"/>
        <w:spacing w:after="0" w:line="249" w:lineRule="auto"/>
        <w:tabs>
          <w:tab w:leader="none" w:pos="10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For Outside Directors appointed or elected after January 1, for the first year of service, the guideline is based on the retainer for such Director at the date of appointment or election.</w:t>
      </w:r>
    </w:p>
    <w:p>
      <w:pPr>
        <w:ind w:left="1020" w:hanging="425"/>
        <w:spacing w:after="0"/>
        <w:tabs>
          <w:tab w:leader="none" w:pos="10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For officers hired after January 1, for the first year of employment, the guideline will be based on the base salary for such officer at the date of hire.</w:t>
      </w:r>
    </w:p>
    <w:p>
      <w:pPr>
        <w:ind w:left="1020" w:hanging="425"/>
        <w:spacing w:after="0"/>
        <w:tabs>
          <w:tab w:leader="none" w:pos="10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If the Outside Director is the Chair of the Board, the HCC Committee will meet with the Chair of the Board to formulate the individualized compliance plan.</w:t>
      </w:r>
    </w:p>
    <w:p>
      <w:pPr>
        <w:spacing w:after="0" w:line="190" w:lineRule="exact"/>
        <w:rPr>
          <w:sz w:val="20"/>
          <w:szCs w:val="20"/>
          <w:color w:val="auto"/>
        </w:rPr>
      </w:pPr>
    </w:p>
    <w:p>
      <w:pPr>
        <w:jc w:val="both"/>
        <w:ind w:left="160"/>
        <w:spacing w:after="0" w:line="249" w:lineRule="auto"/>
        <w:rPr>
          <w:sz w:val="20"/>
          <w:szCs w:val="20"/>
          <w:color w:val="auto"/>
        </w:rPr>
      </w:pPr>
      <w:r>
        <w:rPr>
          <w:rFonts w:ascii="Arial" w:cs="Arial" w:eastAsia="Arial" w:hAnsi="Arial"/>
          <w:sz w:val="18"/>
          <w:szCs w:val="18"/>
          <w:color w:val="auto"/>
        </w:rPr>
        <w:t>If compliance would create a severe hardship or for other good reasons, these guidelines may be waived for: (i) Outside Directors other than the Chair of the Board, at the discretion of the Chair of the Board; (ii) the Chair of the Board and the CEO, at the discretion of the HCC Committee; and (iii) officers, at the discretion of the HCC Committee and the CEO. It is expected that these instances will be rare.</w:t>
      </w:r>
    </w:p>
    <w:p>
      <w:pPr>
        <w:spacing w:after="0" w:line="172"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Other Matters</w:t>
      </w:r>
    </w:p>
    <w:p>
      <w:pPr>
        <w:spacing w:after="0" w:line="208" w:lineRule="exact"/>
        <w:rPr>
          <w:sz w:val="20"/>
          <w:szCs w:val="20"/>
          <w:color w:val="auto"/>
        </w:rPr>
      </w:pPr>
    </w:p>
    <w:p>
      <w:pPr>
        <w:jc w:val="both"/>
        <w:ind w:left="160"/>
        <w:spacing w:after="0" w:line="265" w:lineRule="auto"/>
        <w:rPr>
          <w:sz w:val="20"/>
          <w:szCs w:val="20"/>
          <w:color w:val="auto"/>
        </w:rPr>
      </w:pPr>
      <w:r>
        <w:rPr>
          <w:rFonts w:ascii="Arial" w:cs="Arial" w:eastAsia="Arial" w:hAnsi="Arial"/>
          <w:sz w:val="18"/>
          <w:szCs w:val="18"/>
          <w:color w:val="auto"/>
        </w:rPr>
        <w:t>The Principles include a discussion of Board size and selection, the determination of the Board agenda, access to senior management and independent advisors and other matters typical of boards of directors of other publicly traded semiconductor or peer companies.</w:t>
      </w:r>
    </w:p>
    <w:p>
      <w:pPr>
        <w:spacing w:after="0" w:line="152"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2B4772"/>
        </w:rPr>
        <w:t>Ethics and Compliance Program</w:t>
      </w:r>
    </w:p>
    <w:p>
      <w:pPr>
        <w:spacing w:after="0" w:line="226" w:lineRule="exact"/>
        <w:rPr>
          <w:sz w:val="20"/>
          <w:szCs w:val="20"/>
          <w:color w:val="auto"/>
        </w:rPr>
      </w:pPr>
    </w:p>
    <w:p>
      <w:pPr>
        <w:jc w:val="both"/>
        <w:ind w:left="160"/>
        <w:spacing w:after="0" w:line="237" w:lineRule="auto"/>
        <w:rPr>
          <w:sz w:val="20"/>
          <w:szCs w:val="20"/>
          <w:color w:val="auto"/>
        </w:rPr>
      </w:pPr>
      <w:r>
        <w:rPr>
          <w:rFonts w:ascii="Arial" w:cs="Arial" w:eastAsia="Arial" w:hAnsi="Arial"/>
          <w:sz w:val="18"/>
          <w:szCs w:val="18"/>
          <w:color w:val="auto"/>
        </w:rPr>
        <w:t>We are committed to having and maintaining a strong and effective global ethics and compliance program. In 2022, for the seventh consecutive year, the Company was named a World’s Most Ethical Company</w:t>
      </w:r>
      <w:r>
        <w:rPr>
          <w:rFonts w:ascii="Arial" w:cs="Arial" w:eastAsia="Arial" w:hAnsi="Arial"/>
          <w:sz w:val="15"/>
          <w:szCs w:val="15"/>
          <w:color w:val="auto"/>
        </w:rPr>
        <w:t>®</w:t>
      </w:r>
      <w:r>
        <w:rPr>
          <w:rFonts w:ascii="Arial" w:cs="Arial" w:eastAsia="Arial" w:hAnsi="Arial"/>
          <w:sz w:val="18"/>
          <w:szCs w:val="18"/>
          <w:color w:val="auto"/>
        </w:rPr>
        <w:t xml:space="preserve"> by the Ethisphere Institute, a global leader in defining and advancing the standards of ethical business practices. The designation recognizes organizations that align principle with action by working tirelessly to make integrity part of their corporate DNA. These efforts shape future industry standards by introducing tomorrow’s best practices today. Notably, the Company was one of only four companies honored in the semiconductor industry in 2022, highlighting its leadership among global companies in ethical business standards and practices. The GS Committee has the responsibility under its charter to review and oversee matters related to ethics matters, while the Audit Committee has the responsibility under its charter to review and oversee legal compliance matters.</w:t>
      </w:r>
    </w:p>
    <w:p>
      <w:pPr>
        <w:spacing w:after="0" w:line="184" w:lineRule="exact"/>
        <w:rPr>
          <w:sz w:val="20"/>
          <w:szCs w:val="20"/>
          <w:color w:val="auto"/>
        </w:rPr>
      </w:pPr>
    </w:p>
    <w:p>
      <w:pPr>
        <w:jc w:val="both"/>
        <w:ind w:left="160"/>
        <w:spacing w:after="0" w:line="239" w:lineRule="auto"/>
        <w:rPr>
          <w:sz w:val="20"/>
          <w:szCs w:val="20"/>
          <w:color w:val="auto"/>
        </w:rPr>
      </w:pPr>
      <w:r>
        <w:rPr>
          <w:rFonts w:ascii="Arial" w:cs="Arial" w:eastAsia="Arial" w:hAnsi="Arial"/>
          <w:sz w:val="18"/>
          <w:szCs w:val="18"/>
          <w:color w:val="auto"/>
        </w:rPr>
        <w:t xml:space="preserve">We always strive to comply with the law and have adopted policies and practices that go beyond what the law requires in order to foster an ethical culture. To that end, we have established within the Law Department of the Company an ethics and compliance program (the “Ethics and Compliance Program”) designed to prevent, detect and respond to violations of the </w:t>
      </w:r>
      <w:r>
        <w:rPr>
          <w:rFonts w:ascii="Arial" w:cs="Arial" w:eastAsia="Arial" w:hAnsi="Arial"/>
          <w:sz w:val="18"/>
          <w:szCs w:val="18"/>
          <w:b w:val="1"/>
          <w:bCs w:val="1"/>
          <w:color w:val="auto"/>
        </w:rPr>
        <w:t>onsemi</w:t>
      </w:r>
      <w:r>
        <w:rPr>
          <w:rFonts w:ascii="Arial" w:cs="Arial" w:eastAsia="Arial" w:hAnsi="Arial"/>
          <w:sz w:val="18"/>
          <w:szCs w:val="18"/>
          <w:color w:val="auto"/>
        </w:rPr>
        <w:t xml:space="preserve"> Code of Business Conduct (the “Code of Business Conduct”) and related policies and procedures, other standards of conduct and the law. A major goal of the Ethics and Compliance Program is to promote an organizational culture that aligns with our core values while encouraging ethical conduct and a commitment to compliance.</w:t>
      </w:r>
    </w:p>
    <w:p>
      <w:pPr>
        <w:spacing w:after="0" w:line="181" w:lineRule="exact"/>
        <w:rPr>
          <w:sz w:val="20"/>
          <w:szCs w:val="20"/>
          <w:color w:val="auto"/>
        </w:rPr>
      </w:pPr>
    </w:p>
    <w:p>
      <w:pPr>
        <w:jc w:val="both"/>
        <w:ind w:left="160"/>
        <w:spacing w:after="0" w:line="249" w:lineRule="auto"/>
        <w:rPr>
          <w:sz w:val="20"/>
          <w:szCs w:val="20"/>
          <w:color w:val="auto"/>
        </w:rPr>
      </w:pPr>
      <w:r>
        <w:rPr>
          <w:rFonts w:ascii="Arial" w:cs="Arial" w:eastAsia="Arial" w:hAnsi="Arial"/>
          <w:sz w:val="18"/>
          <w:szCs w:val="18"/>
          <w:color w:val="auto"/>
        </w:rPr>
        <w:t>We have also established avenues for parties external to the Company to raise ethics and compliance concerns regarding our employees, Directors and third parties doing business with the Company directly to our Chief Compliance Officer. Reports may be made anonymously where allowed by local law (or on a non-anonymous basis) by:</w:t>
      </w:r>
    </w:p>
    <w:p>
      <w:pPr>
        <w:spacing w:after="0" w:line="198" w:lineRule="exact"/>
        <w:rPr>
          <w:sz w:val="20"/>
          <w:szCs w:val="20"/>
          <w:color w:val="auto"/>
        </w:rPr>
      </w:pPr>
    </w:p>
    <w:p>
      <w:pPr>
        <w:ind w:left="1020" w:hanging="425"/>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calling the Helpline (subject to local legal requirements) at the following numbers (no access codes necessary): United States</w:t>
      </w:r>
    </w:p>
    <w:p>
      <w:pPr>
        <w:spacing w:after="0" w:line="11" w:lineRule="exact"/>
        <w:rPr>
          <w:rFonts w:ascii="Arial" w:cs="Arial" w:eastAsia="Arial" w:hAnsi="Arial"/>
          <w:sz w:val="18"/>
          <w:szCs w:val="18"/>
          <w:color w:val="auto"/>
        </w:rPr>
      </w:pPr>
    </w:p>
    <w:p>
      <w:pPr>
        <w:ind w:left="1020"/>
        <w:spacing w:after="0" w:line="232" w:lineRule="auto"/>
        <w:rPr>
          <w:rFonts w:ascii="Arial" w:cs="Arial" w:eastAsia="Arial" w:hAnsi="Arial"/>
          <w:sz w:val="18"/>
          <w:szCs w:val="18"/>
          <w:color w:val="auto"/>
        </w:rPr>
      </w:pPr>
      <w:r>
        <w:rPr>
          <w:rFonts w:ascii="Arial" w:cs="Arial" w:eastAsia="Arial" w:hAnsi="Arial"/>
          <w:sz w:val="18"/>
          <w:szCs w:val="18"/>
          <w:color w:val="auto"/>
        </w:rPr>
        <w:t>and Canada: 1-844-935-0213; Australia: 1-800-94-8150; Belgium: 0-800-748-19; China: 400-120-0176; Czech Republic:</w:t>
      </w:r>
    </w:p>
    <w:p>
      <w:pPr>
        <w:ind w:left="1020"/>
        <w:spacing w:after="0" w:line="232" w:lineRule="auto"/>
        <w:rPr>
          <w:rFonts w:ascii="Arial" w:cs="Arial" w:eastAsia="Arial" w:hAnsi="Arial"/>
          <w:sz w:val="18"/>
          <w:szCs w:val="18"/>
          <w:color w:val="auto"/>
        </w:rPr>
      </w:pPr>
      <w:r>
        <w:rPr>
          <w:rFonts w:ascii="Arial" w:cs="Arial" w:eastAsia="Arial" w:hAnsi="Arial"/>
          <w:sz w:val="18"/>
          <w:szCs w:val="18"/>
          <w:color w:val="auto"/>
        </w:rPr>
        <w:t>800-142-490; Finland: 0800-41-3682; Germany: 0-800-1814906; Hong Kong: 800-964-146; India: 000-800-9191055; Ireland:</w:t>
      </w:r>
    </w:p>
    <w:p>
      <w:pPr>
        <w:ind w:left="1020"/>
        <w:spacing w:after="0" w:line="232" w:lineRule="auto"/>
        <w:rPr>
          <w:rFonts w:ascii="Arial" w:cs="Arial" w:eastAsia="Arial" w:hAnsi="Arial"/>
          <w:sz w:val="18"/>
          <w:szCs w:val="18"/>
          <w:color w:val="auto"/>
        </w:rPr>
      </w:pPr>
      <w:r>
        <w:rPr>
          <w:rFonts w:ascii="Arial" w:cs="Arial" w:eastAsia="Arial" w:hAnsi="Arial"/>
          <w:sz w:val="18"/>
          <w:szCs w:val="18"/>
          <w:color w:val="auto"/>
        </w:rPr>
        <w:t>1-800-851-150; Israel: 1-809-477-265; Italy: 800-761697; Japan: 0-800-123-2333; Malaysia: 1-800-81-9976; Netherlands:</w:t>
      </w:r>
    </w:p>
    <w:p>
      <w:pPr>
        <w:ind w:left="1020"/>
        <w:spacing w:after="0" w:line="232" w:lineRule="auto"/>
        <w:rPr>
          <w:rFonts w:ascii="Arial" w:cs="Arial" w:eastAsia="Arial" w:hAnsi="Arial"/>
          <w:sz w:val="18"/>
          <w:szCs w:val="18"/>
          <w:color w:val="auto"/>
        </w:rPr>
      </w:pPr>
      <w:r>
        <w:rPr>
          <w:rFonts w:ascii="Arial" w:cs="Arial" w:eastAsia="Arial" w:hAnsi="Arial"/>
          <w:sz w:val="18"/>
          <w:szCs w:val="18"/>
          <w:color w:val="auto"/>
        </w:rPr>
        <w:t>0800-0224703; Philippines (accessible via landline or via mobile with Smart and Digitel/Sun providers): 1800-1322-0333;</w:t>
      </w:r>
    </w:p>
    <w:p>
      <w:pPr>
        <w:ind w:left="1020"/>
        <w:spacing w:after="0"/>
        <w:rPr>
          <w:rFonts w:ascii="Arial" w:cs="Arial" w:eastAsia="Arial" w:hAnsi="Arial"/>
          <w:sz w:val="18"/>
          <w:szCs w:val="18"/>
          <w:color w:val="auto"/>
        </w:rPr>
      </w:pPr>
      <w:r>
        <w:rPr>
          <w:rFonts w:ascii="Arial" w:cs="Arial" w:eastAsia="Arial" w:hAnsi="Arial"/>
          <w:sz w:val="17"/>
          <w:szCs w:val="17"/>
          <w:color w:val="auto"/>
        </w:rPr>
        <w:t>Philippines (via mobile with Globe provider): 105-11 at the English prompt dial 844-935-0213; Romania: 0-800-890-295; Russia:</w:t>
      </w:r>
    </w:p>
    <w:p>
      <w:pPr>
        <w:spacing w:after="0" w:line="5" w:lineRule="exact"/>
        <w:rPr>
          <w:rFonts w:ascii="Arial" w:cs="Arial" w:eastAsia="Arial" w:hAnsi="Arial"/>
          <w:sz w:val="18"/>
          <w:szCs w:val="18"/>
          <w:color w:val="auto"/>
        </w:rPr>
      </w:pPr>
    </w:p>
    <w:p>
      <w:pPr>
        <w:ind w:left="1020"/>
        <w:spacing w:after="0" w:line="232" w:lineRule="auto"/>
        <w:rPr>
          <w:rFonts w:ascii="Arial" w:cs="Arial" w:eastAsia="Arial" w:hAnsi="Arial"/>
          <w:sz w:val="18"/>
          <w:szCs w:val="18"/>
          <w:color w:val="auto"/>
        </w:rPr>
      </w:pPr>
      <w:r>
        <w:rPr>
          <w:rFonts w:ascii="Arial" w:cs="Arial" w:eastAsia="Arial" w:hAnsi="Arial"/>
          <w:sz w:val="18"/>
          <w:szCs w:val="18"/>
          <w:color w:val="auto"/>
        </w:rPr>
        <w:t>8-800-301-83-98;  Singapore:  800-492-2389;  Slovak  Republic:  0800-002-591;  Slovenia:  080-688802;  South  Korea:</w:t>
      </w:r>
    </w:p>
    <w:p>
      <w:pPr>
        <w:ind w:left="1020"/>
        <w:spacing w:after="0" w:line="232" w:lineRule="auto"/>
        <w:rPr>
          <w:rFonts w:ascii="Arial" w:cs="Arial" w:eastAsia="Arial" w:hAnsi="Arial"/>
          <w:sz w:val="18"/>
          <w:szCs w:val="18"/>
          <w:color w:val="auto"/>
        </w:rPr>
      </w:pPr>
      <w:r>
        <w:rPr>
          <w:rFonts w:ascii="Arial" w:cs="Arial" w:eastAsia="Arial" w:hAnsi="Arial"/>
          <w:sz w:val="18"/>
          <w:szCs w:val="18"/>
          <w:color w:val="auto"/>
        </w:rPr>
        <w:t>00798-11-003-9294;  Spain:  900-999-372;  Sweden:  020-88-15-32;  Switzerland:  0800-000-092;  Taiwan:  00801-49-1584;</w:t>
      </w:r>
    </w:p>
    <w:p>
      <w:pPr>
        <w:ind w:left="1020"/>
        <w:spacing w:after="0" w:line="232" w:lineRule="auto"/>
        <w:rPr>
          <w:rFonts w:ascii="Arial" w:cs="Arial" w:eastAsia="Arial" w:hAnsi="Arial"/>
          <w:sz w:val="18"/>
          <w:szCs w:val="18"/>
          <w:color w:val="auto"/>
        </w:rPr>
      </w:pPr>
      <w:r>
        <w:rPr>
          <w:rFonts w:ascii="Arial" w:cs="Arial" w:eastAsia="Arial" w:hAnsi="Arial"/>
          <w:sz w:val="18"/>
          <w:szCs w:val="18"/>
          <w:color w:val="auto"/>
        </w:rPr>
        <w:t>Thailand: 18-0001-4543; Turkey: 0800-621-2119; United Kingdom 0800-098-8332; Vietnam (call from VNPT subscriber):</w:t>
      </w:r>
    </w:p>
    <w:p>
      <w:pPr>
        <w:ind w:left="1020"/>
        <w:spacing w:after="0" w:line="244" w:lineRule="auto"/>
        <w:rPr>
          <w:rFonts w:ascii="Arial" w:cs="Arial" w:eastAsia="Arial" w:hAnsi="Arial"/>
          <w:sz w:val="18"/>
          <w:szCs w:val="18"/>
          <w:color w:val="auto"/>
        </w:rPr>
      </w:pPr>
      <w:r>
        <w:rPr>
          <w:rFonts w:ascii="Arial" w:cs="Arial" w:eastAsia="Arial" w:hAnsi="Arial"/>
          <w:sz w:val="18"/>
          <w:szCs w:val="18"/>
          <w:color w:val="auto"/>
        </w:rPr>
        <w:t>1-201-0288 at the English prompt dial 844-935-0213; and Vietnam (call from Viettel subscriber): 1-228-0288 at the English prompt dial 844-935-0213;</w:t>
      </w:r>
    </w:p>
    <w:p>
      <w:pPr>
        <w:spacing w:after="0" w:line="203" w:lineRule="exact"/>
        <w:rPr>
          <w:rFonts w:ascii="Arial" w:cs="Arial" w:eastAsia="Arial" w:hAnsi="Arial"/>
          <w:sz w:val="18"/>
          <w:szCs w:val="18"/>
          <w:color w:val="auto"/>
        </w:rPr>
      </w:pPr>
    </w:p>
    <w:p>
      <w:pPr>
        <w:ind w:left="1020" w:hanging="425"/>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 xml:space="preserve">visiting the Helpline website at </w:t>
      </w:r>
      <w:r>
        <w:rPr>
          <w:rFonts w:ascii="Arial" w:cs="Arial" w:eastAsia="Arial" w:hAnsi="Arial"/>
          <w:sz w:val="18"/>
          <w:szCs w:val="18"/>
          <w:u w:val="single" w:color="auto"/>
          <w:color w:val="auto"/>
        </w:rPr>
        <w:t>helpline.onsemi.com</w:t>
      </w:r>
      <w:r>
        <w:rPr>
          <w:rFonts w:ascii="Arial" w:cs="Arial" w:eastAsia="Arial" w:hAnsi="Arial"/>
          <w:sz w:val="18"/>
          <w:szCs w:val="18"/>
          <w:color w:val="auto"/>
        </w:rPr>
        <w:t>;</w:t>
      </w:r>
    </w:p>
    <w:p>
      <w:pPr>
        <w:spacing w:after="0" w:line="234" w:lineRule="exact"/>
        <w:rPr>
          <w:rFonts w:ascii="Arial" w:cs="Arial" w:eastAsia="Arial" w:hAnsi="Arial"/>
          <w:sz w:val="18"/>
          <w:szCs w:val="18"/>
          <w:color w:val="auto"/>
        </w:rPr>
      </w:pPr>
    </w:p>
    <w:p>
      <w:pPr>
        <w:ind w:left="1020" w:hanging="425"/>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calling the Chief Compliance Officer at (602) 244-3577;</w:t>
      </w:r>
    </w:p>
    <w:p>
      <w:pPr>
        <w:spacing w:after="0" w:line="150" w:lineRule="exact"/>
        <w:rPr>
          <w:sz w:val="20"/>
          <w:szCs w:val="20"/>
          <w:color w:val="auto"/>
        </w:rPr>
      </w:pPr>
    </w:p>
    <w:p>
      <w:pPr>
        <w:ind w:left="160"/>
        <w:spacing w:after="0"/>
        <w:tabs>
          <w:tab w:leader="none" w:pos="500" w:val="left"/>
        </w:tabs>
        <w:rPr>
          <w:sz w:val="20"/>
          <w:szCs w:val="20"/>
          <w:color w:val="auto"/>
        </w:rPr>
      </w:pPr>
      <w:r>
        <w:rPr>
          <w:rFonts w:ascii="Arial" w:cs="Arial" w:eastAsia="Arial" w:hAnsi="Arial"/>
          <w:sz w:val="14"/>
          <w:szCs w:val="14"/>
          <w:color w:val="F75E14"/>
        </w:rPr>
        <w:t>26</w:t>
        <w:tab/>
        <w:t>onsemi 2022 Proxy Statement</w:t>
      </w:r>
    </w:p>
    <w:p>
      <w:pPr>
        <w:sectPr>
          <w:pgSz w:w="11900" w:h="16838" w:orient="portrait"/>
          <w:cols w:equalWidth="0" w:num="1">
            <w:col w:w="11080"/>
          </w:cols>
          <w:pgMar w:left="320" w:top="454" w:right="499" w:bottom="1440" w:gutter="0" w:footer="0" w:header="0"/>
        </w:sectPr>
      </w:pPr>
    </w:p>
    <w:bookmarkStart w:id="30" w:name="page31"/>
    <w:bookmarkEnd w:id="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2" w:lineRule="exact"/>
        <w:rPr>
          <w:sz w:val="20"/>
          <w:szCs w:val="20"/>
          <w:color w:val="auto"/>
        </w:rPr>
      </w:pPr>
    </w:p>
    <w:p>
      <w:pPr>
        <w:jc w:val="right"/>
        <w:spacing w:after="0"/>
        <w:rPr>
          <w:sz w:val="20"/>
          <w:szCs w:val="20"/>
          <w:color w:val="auto"/>
        </w:rPr>
      </w:pPr>
      <w:r>
        <w:rPr>
          <w:rFonts w:ascii="Arial" w:cs="Arial" w:eastAsia="Arial" w:hAnsi="Arial"/>
          <w:sz w:val="18"/>
          <w:szCs w:val="18"/>
          <w:color w:val="F75E14"/>
        </w:rPr>
        <w:t>The Board of Directors and Corporate Governance</w:t>
      </w:r>
    </w:p>
    <w:p>
      <w:pPr>
        <w:spacing w:after="0" w:line="141" w:lineRule="exact"/>
        <w:rPr>
          <w:sz w:val="20"/>
          <w:szCs w:val="20"/>
          <w:color w:val="auto"/>
        </w:rPr>
      </w:pPr>
    </w:p>
    <w:p>
      <w:pPr>
        <w:ind w:left="1020" w:hanging="425"/>
        <w:spacing w:after="0"/>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 xml:space="preserve">mailing the Chief Compliance Officer at </w:t>
      </w:r>
      <w:r>
        <w:rPr>
          <w:rFonts w:ascii="Arial" w:cs="Arial" w:eastAsia="Arial" w:hAnsi="Arial"/>
          <w:sz w:val="18"/>
          <w:szCs w:val="18"/>
          <w:b w:val="1"/>
          <w:bCs w:val="1"/>
          <w:color w:val="auto"/>
        </w:rPr>
        <w:t>onsemi</w:t>
      </w:r>
      <w:r>
        <w:rPr>
          <w:rFonts w:ascii="Arial" w:cs="Arial" w:eastAsia="Arial" w:hAnsi="Arial"/>
          <w:sz w:val="18"/>
          <w:szCs w:val="18"/>
          <w:color w:val="auto"/>
        </w:rPr>
        <w:t>, 5005 East McDowell Road, Phoenix, AZ 85008; or</w:t>
      </w:r>
    </w:p>
    <w:p>
      <w:pPr>
        <w:spacing w:after="0" w:line="234" w:lineRule="exact"/>
        <w:rPr>
          <w:rFonts w:ascii="Arial" w:cs="Arial" w:eastAsia="Arial" w:hAnsi="Arial"/>
          <w:sz w:val="18"/>
          <w:szCs w:val="18"/>
          <w:color w:val="auto"/>
        </w:rPr>
      </w:pPr>
    </w:p>
    <w:p>
      <w:pPr>
        <w:ind w:left="1020" w:hanging="425"/>
        <w:spacing w:after="0"/>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 xml:space="preserve">emailing the Chief Compliance Officer at </w:t>
      </w:r>
      <w:r>
        <w:rPr>
          <w:rFonts w:ascii="Arial" w:cs="Arial" w:eastAsia="Arial" w:hAnsi="Arial"/>
          <w:sz w:val="18"/>
          <w:szCs w:val="18"/>
          <w:u w:val="single" w:color="auto"/>
          <w:color w:val="auto"/>
        </w:rPr>
        <w:t>CCO@onsemi.com</w:t>
      </w:r>
      <w:r>
        <w:rPr>
          <w:rFonts w:ascii="Arial" w:cs="Arial" w:eastAsia="Arial" w:hAnsi="Arial"/>
          <w:sz w:val="18"/>
          <w:szCs w:val="18"/>
          <w:color w:val="auto"/>
        </w:rPr>
        <w:t>.</w:t>
      </w:r>
    </w:p>
    <w:p>
      <w:pPr>
        <w:spacing w:after="0" w:line="198"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2B4772"/>
        </w:rPr>
        <w:t>Environmental and Social Initiatives</w:t>
      </w:r>
    </w:p>
    <w:p>
      <w:pPr>
        <w:spacing w:after="0" w:line="22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Overview of Environmental, Social and Sustainability Initiatives</w:t>
      </w:r>
    </w:p>
    <w:p>
      <w:pPr>
        <w:spacing w:after="0" w:line="208" w:lineRule="exact"/>
        <w:rPr>
          <w:sz w:val="20"/>
          <w:szCs w:val="20"/>
          <w:color w:val="auto"/>
        </w:rPr>
      </w:pPr>
    </w:p>
    <w:p>
      <w:pPr>
        <w:jc w:val="both"/>
        <w:ind w:left="160"/>
        <w:spacing w:after="0" w:line="238" w:lineRule="auto"/>
        <w:rPr>
          <w:sz w:val="20"/>
          <w:szCs w:val="20"/>
          <w:color w:val="auto"/>
        </w:rPr>
      </w:pPr>
      <w:r>
        <w:rPr>
          <w:rFonts w:ascii="Arial" w:cs="Arial" w:eastAsia="Arial" w:hAnsi="Arial"/>
          <w:sz w:val="18"/>
          <w:szCs w:val="18"/>
          <w:color w:val="auto"/>
        </w:rPr>
        <w:t xml:space="preserve">In addition to the information contained in this proxy statement, we publish an annual report detailing our social and sustainability initiatives, accomplishments and objectives (the “Sustainability Report,” formerly the “Corporate Social Responsibility Report”). In March 2022, in connection with the Company’s recent commitment to becoming net zero (discussed below), we united our ESG activities and corporate social responsibility efforts by launching the “Tomorrow, today” campaign. Our 2020 Corporate Social Responsibility Report and a more thorough discussion of the “Tomorrow, today” campaign are available on our website at </w:t>
      </w:r>
      <w:r>
        <w:rPr>
          <w:rFonts w:ascii="Arial" w:cs="Arial" w:eastAsia="Arial" w:hAnsi="Arial"/>
          <w:sz w:val="18"/>
          <w:szCs w:val="18"/>
          <w:u w:val="single" w:color="auto"/>
          <w:color w:val="auto"/>
        </w:rPr>
        <w:t>www.onsemi.com</w:t>
      </w:r>
      <w:r>
        <w:rPr>
          <w:rFonts w:ascii="Arial" w:cs="Arial" w:eastAsia="Arial" w:hAnsi="Arial"/>
          <w:sz w:val="18"/>
          <w:szCs w:val="18"/>
          <w:color w:val="auto"/>
        </w:rPr>
        <w:t>, and the Company intends to publish the 2021 Sustainability Report on our website in June 2022. Below are a few of the highlights of our social and sustainability practices and policies:</w:t>
      </w:r>
    </w:p>
    <w:p>
      <w:pPr>
        <w:spacing w:after="0" w:line="208" w:lineRule="exact"/>
        <w:rPr>
          <w:sz w:val="20"/>
          <w:szCs w:val="20"/>
          <w:color w:val="auto"/>
        </w:rPr>
      </w:pPr>
    </w:p>
    <w:p>
      <w:pPr>
        <w:jc w:val="both"/>
        <w:ind w:left="920" w:hanging="325"/>
        <w:spacing w:after="0" w:line="249" w:lineRule="auto"/>
        <w:tabs>
          <w:tab w:leader="none" w:pos="920" w:val="left"/>
        </w:tabs>
        <w:numPr>
          <w:ilvl w:val="0"/>
          <w:numId w:val="4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Responsible Business Alliance Member and RBA Code of Conduct. </w:t>
      </w:r>
      <w:r>
        <w:rPr>
          <w:rFonts w:ascii="Arial" w:cs="Arial" w:eastAsia="Arial" w:hAnsi="Arial"/>
          <w:sz w:val="18"/>
          <w:szCs w:val="18"/>
          <w:color w:val="auto"/>
        </w:rPr>
        <w:t>We are a full member of the Responsible Business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Alliance (the “RBA”), an international industry organization committed to supporting workers’ rights, and have adopted the RBA Code of Conduct covering labor, the environment, health and safety, ethics and management systems (the “RBA Code”).</w:t>
      </w:r>
    </w:p>
    <w:p>
      <w:pPr>
        <w:spacing w:after="0" w:line="77" w:lineRule="exact"/>
        <w:rPr>
          <w:rFonts w:ascii="Arial" w:cs="Arial" w:eastAsia="Arial" w:hAnsi="Arial"/>
          <w:sz w:val="18"/>
          <w:szCs w:val="18"/>
          <w:color w:val="auto"/>
        </w:rPr>
      </w:pPr>
    </w:p>
    <w:p>
      <w:pPr>
        <w:jc w:val="both"/>
        <w:ind w:left="920" w:hanging="325"/>
        <w:spacing w:after="0" w:line="249" w:lineRule="auto"/>
        <w:tabs>
          <w:tab w:leader="none" w:pos="920" w:val="left"/>
        </w:tabs>
        <w:numPr>
          <w:ilvl w:val="0"/>
          <w:numId w:val="4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Responsible Minerals Initiative – Full Member. </w:t>
      </w:r>
      <w:r>
        <w:rPr>
          <w:rFonts w:ascii="Arial" w:cs="Arial" w:eastAsia="Arial" w:hAnsi="Arial"/>
          <w:sz w:val="18"/>
          <w:szCs w:val="18"/>
          <w:color w:val="auto"/>
        </w:rPr>
        <w:t>As a full member of the Responsible Minerals Initiative, we are required to take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heightened measures beyond the requirements under U.S. and European Union regulations to ensure responsible sourcing within our supply chains.</w:t>
      </w:r>
    </w:p>
    <w:p>
      <w:pPr>
        <w:spacing w:after="0" w:line="77" w:lineRule="exact"/>
        <w:rPr>
          <w:rFonts w:ascii="Arial" w:cs="Arial" w:eastAsia="Arial" w:hAnsi="Arial"/>
          <w:sz w:val="18"/>
          <w:szCs w:val="18"/>
          <w:color w:val="auto"/>
        </w:rPr>
      </w:pPr>
    </w:p>
    <w:p>
      <w:pPr>
        <w:jc w:val="both"/>
        <w:ind w:left="920" w:hanging="325"/>
        <w:spacing w:after="0"/>
        <w:tabs>
          <w:tab w:leader="none" w:pos="920" w:val="left"/>
        </w:tabs>
        <w:numPr>
          <w:ilvl w:val="0"/>
          <w:numId w:val="4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Human Rights Policy and UN Global Compact. </w:t>
      </w:r>
      <w:r>
        <w:rPr>
          <w:rFonts w:ascii="Arial" w:cs="Arial" w:eastAsia="Arial" w:hAnsi="Arial"/>
          <w:sz w:val="18"/>
          <w:szCs w:val="18"/>
          <w:color w:val="auto"/>
        </w:rPr>
        <w:t>Our Human Rights Policy, which applies to, among others, all of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employees and suppliers, codifies our commitment to social justice, environmental stewardship, anti-corruption, and the prevention of human trafficking, child labor and related human rights violations. Additionally, we are a signatory to the United Nations Global Compact, which requires signatories to commit to 10 principles covering human rights, the environment, anti-corruption and related matters.</w:t>
      </w:r>
    </w:p>
    <w:p>
      <w:pPr>
        <w:spacing w:after="0" w:line="88" w:lineRule="exact"/>
        <w:rPr>
          <w:rFonts w:ascii="Arial" w:cs="Arial" w:eastAsia="Arial" w:hAnsi="Arial"/>
          <w:sz w:val="18"/>
          <w:szCs w:val="18"/>
          <w:color w:val="auto"/>
        </w:rPr>
      </w:pPr>
    </w:p>
    <w:p>
      <w:pPr>
        <w:jc w:val="both"/>
        <w:ind w:left="920" w:hanging="325"/>
        <w:spacing w:after="0" w:line="243" w:lineRule="auto"/>
        <w:tabs>
          <w:tab w:leader="none" w:pos="920" w:val="left"/>
        </w:tabs>
        <w:numPr>
          <w:ilvl w:val="0"/>
          <w:numId w:val="4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Social Impact through Giving and Volunteering Programs. </w:t>
      </w:r>
      <w:r>
        <w:rPr>
          <w:rFonts w:ascii="Arial" w:cs="Arial" w:eastAsia="Arial" w:hAnsi="Arial"/>
          <w:sz w:val="18"/>
          <w:szCs w:val="18"/>
          <w:color w:val="auto"/>
        </w:rPr>
        <w:t>We encourage social responsibility and charitable giving through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social impact initiatives, which include a paid employee volunteer program and the Company’s Giving Now Program, which gives employees the opportunity to support charitable organizations and educational institutions through grants, matched gifts, in-kind donations and sponsorships.</w:t>
      </w:r>
    </w:p>
    <w:p>
      <w:pPr>
        <w:spacing w:after="0" w:line="84" w:lineRule="exact"/>
        <w:rPr>
          <w:rFonts w:ascii="Arial" w:cs="Arial" w:eastAsia="Arial" w:hAnsi="Arial"/>
          <w:sz w:val="18"/>
          <w:szCs w:val="18"/>
          <w:color w:val="auto"/>
        </w:rPr>
      </w:pPr>
    </w:p>
    <w:p>
      <w:pPr>
        <w:ind w:left="920" w:hanging="325"/>
        <w:spacing w:after="0"/>
        <w:tabs>
          <w:tab w:leader="none" w:pos="920" w:val="left"/>
        </w:tabs>
        <w:numPr>
          <w:ilvl w:val="0"/>
          <w:numId w:val="4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Global Recognition. </w:t>
      </w:r>
      <w:r>
        <w:rPr>
          <w:rFonts w:ascii="Arial" w:cs="Arial" w:eastAsia="Arial" w:hAnsi="Arial"/>
          <w:sz w:val="18"/>
          <w:szCs w:val="18"/>
          <w:color w:val="auto"/>
        </w:rPr>
        <w:t>Examples of our recent social- and sustainability-related accomplishments and recognition include:</w:t>
      </w:r>
    </w:p>
    <w:p>
      <w:pPr>
        <w:spacing w:after="0" w:line="11" w:lineRule="exact"/>
        <w:rPr>
          <w:rFonts w:ascii="Arial" w:cs="Arial" w:eastAsia="Arial" w:hAnsi="Arial"/>
          <w:sz w:val="18"/>
          <w:szCs w:val="18"/>
          <w:color w:val="auto"/>
        </w:rPr>
      </w:pPr>
    </w:p>
    <w:p>
      <w:pPr>
        <w:ind w:left="1460" w:hanging="423"/>
        <w:spacing w:after="0" w:line="232" w:lineRule="auto"/>
        <w:tabs>
          <w:tab w:leader="none" w:pos="1460" w:val="left"/>
        </w:tabs>
        <w:numPr>
          <w:ilvl w:val="1"/>
          <w:numId w:val="45"/>
        </w:numPr>
        <w:rPr>
          <w:rFonts w:ascii="Arial" w:cs="Arial" w:eastAsia="Arial" w:hAnsi="Arial"/>
          <w:sz w:val="14"/>
          <w:szCs w:val="14"/>
          <w:color w:val="auto"/>
        </w:rPr>
      </w:pPr>
      <w:r>
        <w:rPr>
          <w:rFonts w:ascii="Arial" w:cs="Arial" w:eastAsia="Arial" w:hAnsi="Arial"/>
          <w:sz w:val="18"/>
          <w:szCs w:val="18"/>
          <w:color w:val="auto"/>
        </w:rPr>
        <w:t>The North America Dow Jones Sustainability Index (DJSI) (one of seven semiconductor companies);</w:t>
      </w:r>
    </w:p>
    <w:p>
      <w:pPr>
        <w:ind w:left="1460" w:hanging="423"/>
        <w:spacing w:after="0" w:line="232" w:lineRule="auto"/>
        <w:tabs>
          <w:tab w:leader="none" w:pos="1460" w:val="left"/>
        </w:tabs>
        <w:numPr>
          <w:ilvl w:val="1"/>
          <w:numId w:val="45"/>
        </w:numPr>
        <w:rPr>
          <w:rFonts w:ascii="Arial" w:cs="Arial" w:eastAsia="Arial" w:hAnsi="Arial"/>
          <w:sz w:val="14"/>
          <w:szCs w:val="14"/>
          <w:color w:val="auto"/>
        </w:rPr>
      </w:pPr>
      <w:r>
        <w:rPr>
          <w:rFonts w:ascii="Arial" w:cs="Arial" w:eastAsia="Arial" w:hAnsi="Arial"/>
          <w:sz w:val="18"/>
          <w:szCs w:val="18"/>
          <w:color w:val="auto"/>
        </w:rPr>
        <w:t xml:space="preserve">Barron’s </w:t>
      </w:r>
      <w:r>
        <w:rPr>
          <w:rFonts w:ascii="Arial" w:cs="Arial" w:eastAsia="Arial" w:hAnsi="Arial"/>
          <w:sz w:val="18"/>
          <w:szCs w:val="18"/>
          <w:i w:val="1"/>
          <w:iCs w:val="1"/>
          <w:color w:val="auto"/>
        </w:rPr>
        <w:t>100 Most Sustainable Companies in the U.S</w:t>
      </w:r>
      <w:r>
        <w:rPr>
          <w:rFonts w:ascii="Arial" w:cs="Arial" w:eastAsia="Arial" w:hAnsi="Arial"/>
          <w:sz w:val="18"/>
          <w:szCs w:val="18"/>
          <w:color w:val="auto"/>
        </w:rPr>
        <w:t>. for the fifth consecutive year;</w:t>
      </w:r>
    </w:p>
    <w:p>
      <w:pPr>
        <w:ind w:left="1460" w:hanging="423"/>
        <w:spacing w:after="0" w:line="232" w:lineRule="auto"/>
        <w:tabs>
          <w:tab w:leader="none" w:pos="1460" w:val="left"/>
        </w:tabs>
        <w:numPr>
          <w:ilvl w:val="1"/>
          <w:numId w:val="45"/>
        </w:numPr>
        <w:rPr>
          <w:rFonts w:ascii="Arial" w:cs="Arial" w:eastAsia="Arial" w:hAnsi="Arial"/>
          <w:sz w:val="14"/>
          <w:szCs w:val="14"/>
          <w:color w:val="auto"/>
        </w:rPr>
      </w:pPr>
      <w:r>
        <w:rPr>
          <w:rFonts w:ascii="Arial" w:cs="Arial" w:eastAsia="Arial" w:hAnsi="Arial"/>
          <w:sz w:val="18"/>
          <w:szCs w:val="18"/>
          <w:color w:val="auto"/>
        </w:rPr>
        <w:t>EcoVadis “Platinum” score for corporate social responsibility management quality (Top 1% - electronics manufacturers);</w:t>
      </w:r>
    </w:p>
    <w:p>
      <w:pPr>
        <w:ind w:left="1460" w:hanging="423"/>
        <w:spacing w:after="0" w:line="232" w:lineRule="auto"/>
        <w:tabs>
          <w:tab w:leader="none" w:pos="1460" w:val="left"/>
        </w:tabs>
        <w:numPr>
          <w:ilvl w:val="1"/>
          <w:numId w:val="45"/>
        </w:numPr>
        <w:rPr>
          <w:rFonts w:ascii="Arial" w:cs="Arial" w:eastAsia="Arial" w:hAnsi="Arial"/>
          <w:sz w:val="14"/>
          <w:szCs w:val="14"/>
          <w:color w:val="auto"/>
        </w:rPr>
      </w:pPr>
      <w:r>
        <w:rPr>
          <w:rFonts w:ascii="Arial" w:cs="Arial" w:eastAsia="Arial" w:hAnsi="Arial"/>
          <w:sz w:val="18"/>
          <w:szCs w:val="18"/>
          <w:color w:val="auto"/>
        </w:rPr>
        <w:t>ISS-Oekom “Prime” designation for ESG performance;</w:t>
      </w:r>
    </w:p>
    <w:p>
      <w:pPr>
        <w:ind w:left="1460" w:hanging="423"/>
        <w:spacing w:after="0" w:line="232" w:lineRule="auto"/>
        <w:tabs>
          <w:tab w:leader="none" w:pos="1460" w:val="left"/>
        </w:tabs>
        <w:numPr>
          <w:ilvl w:val="1"/>
          <w:numId w:val="45"/>
        </w:numPr>
        <w:rPr>
          <w:rFonts w:ascii="Arial" w:cs="Arial" w:eastAsia="Arial" w:hAnsi="Arial"/>
          <w:sz w:val="14"/>
          <w:szCs w:val="14"/>
          <w:color w:val="auto"/>
        </w:rPr>
      </w:pPr>
      <w:r>
        <w:rPr>
          <w:rFonts w:ascii="Arial" w:cs="Arial" w:eastAsia="Arial" w:hAnsi="Arial"/>
          <w:sz w:val="18"/>
          <w:szCs w:val="18"/>
          <w:color w:val="auto"/>
        </w:rPr>
        <w:t xml:space="preserve">Corporate Knights </w:t>
      </w:r>
      <w:r>
        <w:rPr>
          <w:rFonts w:ascii="Arial" w:cs="Arial" w:eastAsia="Arial" w:hAnsi="Arial"/>
          <w:sz w:val="18"/>
          <w:szCs w:val="18"/>
          <w:i w:val="1"/>
          <w:iCs w:val="1"/>
          <w:color w:val="auto"/>
        </w:rPr>
        <w:t>Clean 200</w:t>
      </w:r>
      <w:r>
        <w:rPr>
          <w:rFonts w:ascii="Arial" w:cs="Arial" w:eastAsia="Arial" w:hAnsi="Arial"/>
          <w:sz w:val="18"/>
          <w:szCs w:val="18"/>
          <w:color w:val="auto"/>
        </w:rPr>
        <w:t xml:space="preserve"> for 2022 (ranking public companies by total clean energy revenues);</w:t>
      </w:r>
    </w:p>
    <w:p>
      <w:pPr>
        <w:ind w:left="1460" w:hanging="423"/>
        <w:spacing w:after="0" w:line="232" w:lineRule="auto"/>
        <w:tabs>
          <w:tab w:leader="none" w:pos="1460" w:val="left"/>
        </w:tabs>
        <w:numPr>
          <w:ilvl w:val="1"/>
          <w:numId w:val="45"/>
        </w:numPr>
        <w:rPr>
          <w:rFonts w:ascii="Arial" w:cs="Arial" w:eastAsia="Arial" w:hAnsi="Arial"/>
          <w:sz w:val="14"/>
          <w:szCs w:val="14"/>
          <w:color w:val="auto"/>
        </w:rPr>
      </w:pPr>
      <w:r>
        <w:rPr>
          <w:rFonts w:ascii="Arial" w:cs="Arial" w:eastAsia="Arial" w:hAnsi="Arial"/>
          <w:sz w:val="18"/>
          <w:szCs w:val="18"/>
          <w:color w:val="auto"/>
        </w:rPr>
        <w:t xml:space="preserve">World Finance Magazine </w:t>
      </w:r>
      <w:r>
        <w:rPr>
          <w:rFonts w:ascii="Arial" w:cs="Arial" w:eastAsia="Arial" w:hAnsi="Arial"/>
          <w:sz w:val="18"/>
          <w:szCs w:val="18"/>
          <w:i w:val="1"/>
          <w:iCs w:val="1"/>
          <w:color w:val="auto"/>
        </w:rPr>
        <w:t>Most Sustainable Company in the Semiconductor Industry – 2021</w:t>
      </w:r>
      <w:r>
        <w:rPr>
          <w:rFonts w:ascii="Arial" w:cs="Arial" w:eastAsia="Arial" w:hAnsi="Arial"/>
          <w:sz w:val="18"/>
          <w:szCs w:val="18"/>
          <w:color w:val="auto"/>
        </w:rPr>
        <w:t>;</w:t>
      </w:r>
    </w:p>
    <w:p>
      <w:pPr>
        <w:ind w:left="1460" w:hanging="423"/>
        <w:spacing w:after="0" w:line="232" w:lineRule="auto"/>
        <w:tabs>
          <w:tab w:leader="none" w:pos="1460" w:val="left"/>
        </w:tabs>
        <w:numPr>
          <w:ilvl w:val="1"/>
          <w:numId w:val="45"/>
        </w:numPr>
        <w:rPr>
          <w:rFonts w:ascii="Arial" w:cs="Arial" w:eastAsia="Arial" w:hAnsi="Arial"/>
          <w:sz w:val="14"/>
          <w:szCs w:val="14"/>
          <w:color w:val="auto"/>
        </w:rPr>
      </w:pPr>
      <w:r>
        <w:rPr>
          <w:rFonts w:ascii="Arial" w:cs="Arial" w:eastAsia="Arial" w:hAnsi="Arial"/>
          <w:sz w:val="18"/>
          <w:szCs w:val="18"/>
          <w:color w:val="auto"/>
        </w:rPr>
        <w:t xml:space="preserve">Newsweek </w:t>
      </w:r>
      <w:r>
        <w:rPr>
          <w:rFonts w:ascii="Arial" w:cs="Arial" w:eastAsia="Arial" w:hAnsi="Arial"/>
          <w:sz w:val="18"/>
          <w:szCs w:val="18"/>
          <w:i w:val="1"/>
          <w:iCs w:val="1"/>
          <w:color w:val="auto"/>
        </w:rPr>
        <w:t>America’s Most Responsible Companies</w:t>
      </w:r>
      <w:r>
        <w:rPr>
          <w:rFonts w:ascii="Arial" w:cs="Arial" w:eastAsia="Arial" w:hAnsi="Arial"/>
          <w:sz w:val="18"/>
          <w:szCs w:val="18"/>
          <w:color w:val="auto"/>
        </w:rPr>
        <w:t xml:space="preserve"> (in 2022) for the third consecutive year;</w:t>
      </w:r>
    </w:p>
    <w:p>
      <w:pPr>
        <w:ind w:left="1460" w:hanging="423"/>
        <w:spacing w:after="0" w:line="232" w:lineRule="auto"/>
        <w:tabs>
          <w:tab w:leader="none" w:pos="1460" w:val="left"/>
        </w:tabs>
        <w:numPr>
          <w:ilvl w:val="1"/>
          <w:numId w:val="45"/>
        </w:numPr>
        <w:rPr>
          <w:rFonts w:ascii="Arial" w:cs="Arial" w:eastAsia="Arial" w:hAnsi="Arial"/>
          <w:sz w:val="14"/>
          <w:szCs w:val="14"/>
          <w:color w:val="auto"/>
        </w:rPr>
      </w:pPr>
      <w:r>
        <w:rPr>
          <w:rFonts w:ascii="Arial" w:cs="Arial" w:eastAsia="Arial" w:hAnsi="Arial"/>
          <w:sz w:val="18"/>
          <w:szCs w:val="18"/>
          <w:color w:val="auto"/>
        </w:rPr>
        <w:t xml:space="preserve">Investor’s Business Daily </w:t>
      </w:r>
      <w:r>
        <w:rPr>
          <w:rFonts w:ascii="Arial" w:cs="Arial" w:eastAsia="Arial" w:hAnsi="Arial"/>
          <w:sz w:val="18"/>
          <w:szCs w:val="18"/>
          <w:i w:val="1"/>
          <w:iCs w:val="1"/>
          <w:color w:val="auto"/>
        </w:rPr>
        <w:t>100 Best ESG Companies</w:t>
      </w:r>
      <w:r>
        <w:rPr>
          <w:rFonts w:ascii="Arial" w:cs="Arial" w:eastAsia="Arial" w:hAnsi="Arial"/>
          <w:sz w:val="18"/>
          <w:szCs w:val="18"/>
          <w:color w:val="auto"/>
        </w:rPr>
        <w:t xml:space="preserve"> (identifying companies with a favorable mix of profitability and ethical and social responsibility);</w:t>
      </w:r>
    </w:p>
    <w:p>
      <w:pPr>
        <w:spacing w:after="0" w:line="1" w:lineRule="exact"/>
        <w:rPr>
          <w:rFonts w:ascii="Arial" w:cs="Arial" w:eastAsia="Arial" w:hAnsi="Arial"/>
          <w:sz w:val="14"/>
          <w:szCs w:val="14"/>
          <w:color w:val="auto"/>
        </w:rPr>
      </w:pPr>
    </w:p>
    <w:p>
      <w:pPr>
        <w:ind w:left="1460" w:hanging="423"/>
        <w:spacing w:after="0"/>
        <w:tabs>
          <w:tab w:leader="none" w:pos="1460" w:val="left"/>
        </w:tabs>
        <w:numPr>
          <w:ilvl w:val="1"/>
          <w:numId w:val="45"/>
        </w:numPr>
        <w:rPr>
          <w:rFonts w:ascii="Arial" w:cs="Arial" w:eastAsia="Arial" w:hAnsi="Arial"/>
          <w:sz w:val="13"/>
          <w:szCs w:val="13"/>
          <w:color w:val="auto"/>
        </w:rPr>
      </w:pPr>
      <w:r>
        <w:rPr>
          <w:rFonts w:ascii="Arial" w:cs="Arial" w:eastAsia="Arial" w:hAnsi="Arial"/>
          <w:sz w:val="17"/>
          <w:szCs w:val="17"/>
          <w:color w:val="auto"/>
        </w:rPr>
        <w:t>Five manufacturing facilities received a perfect score on their remote initial audits, resulting in recognition by the RBA; and</w:t>
      </w:r>
    </w:p>
    <w:p>
      <w:pPr>
        <w:spacing w:after="0" w:line="5" w:lineRule="exact"/>
        <w:rPr>
          <w:rFonts w:ascii="Arial" w:cs="Arial" w:eastAsia="Arial" w:hAnsi="Arial"/>
          <w:sz w:val="13"/>
          <w:szCs w:val="13"/>
          <w:color w:val="auto"/>
        </w:rPr>
      </w:pPr>
    </w:p>
    <w:p>
      <w:pPr>
        <w:ind w:left="1460" w:hanging="423"/>
        <w:spacing w:after="0"/>
        <w:tabs>
          <w:tab w:leader="none" w:pos="1460" w:val="left"/>
        </w:tabs>
        <w:numPr>
          <w:ilvl w:val="1"/>
          <w:numId w:val="45"/>
        </w:numPr>
        <w:rPr>
          <w:rFonts w:ascii="Arial" w:cs="Arial" w:eastAsia="Arial" w:hAnsi="Arial"/>
          <w:sz w:val="14"/>
          <w:szCs w:val="14"/>
          <w:color w:val="auto"/>
        </w:rPr>
      </w:pPr>
      <w:r>
        <w:rPr>
          <w:rFonts w:ascii="Arial" w:cs="Arial" w:eastAsia="Arial" w:hAnsi="Arial"/>
          <w:sz w:val="18"/>
          <w:szCs w:val="18"/>
          <w:i w:val="1"/>
          <w:iCs w:val="1"/>
          <w:color w:val="auto"/>
        </w:rPr>
        <w:t>2022 Bloomberg Gender Equality Index</w:t>
      </w:r>
      <w:r>
        <w:rPr>
          <w:rFonts w:ascii="Arial" w:cs="Arial" w:eastAsia="Arial" w:hAnsi="Arial"/>
          <w:sz w:val="18"/>
          <w:szCs w:val="18"/>
          <w:color w:val="auto"/>
        </w:rPr>
        <w:t>: female leadership, gender pay equity, culture and “pro-women brand.”</w:t>
      </w:r>
    </w:p>
    <w:p>
      <w:pPr>
        <w:spacing w:after="0" w:line="95" w:lineRule="exact"/>
        <w:rPr>
          <w:rFonts w:ascii="Arial" w:cs="Arial" w:eastAsia="Arial" w:hAnsi="Arial"/>
          <w:sz w:val="14"/>
          <w:szCs w:val="14"/>
          <w:color w:val="auto"/>
        </w:rPr>
      </w:pPr>
    </w:p>
    <w:p>
      <w:pPr>
        <w:jc w:val="both"/>
        <w:ind w:left="920" w:hanging="325"/>
        <w:spacing w:after="0" w:line="249" w:lineRule="auto"/>
        <w:tabs>
          <w:tab w:leader="none" w:pos="920" w:val="left"/>
        </w:tabs>
        <w:numPr>
          <w:ilvl w:val="0"/>
          <w:numId w:val="4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Environmental Sustainability. </w:t>
      </w:r>
      <w:r>
        <w:rPr>
          <w:rFonts w:ascii="Arial" w:cs="Arial" w:eastAsia="Arial" w:hAnsi="Arial"/>
          <w:sz w:val="18"/>
          <w:szCs w:val="18"/>
          <w:color w:val="auto"/>
        </w:rPr>
        <w:t>As discussed in more detail below, in 2021, the Company committed to becoming net zero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2040, an ambitious goal that would put the Company ahead of the timeline established by the Paris Agreement for reducing greenhouse gas emissions and limiting climate change around the globe.</w:t>
      </w:r>
    </w:p>
    <w:p>
      <w:pPr>
        <w:spacing w:after="0" w:line="114"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F75E14"/>
        </w:rPr>
        <w:t>onsemi 2022 Proxy Statement</w:t>
        <w:tab/>
        <w:t>27</w:t>
      </w:r>
    </w:p>
    <w:p>
      <w:pPr>
        <w:sectPr>
          <w:pgSz w:w="11900" w:h="16838" w:orient="portrait"/>
          <w:cols w:equalWidth="0" w:num="1">
            <w:col w:w="11080"/>
          </w:cols>
          <w:pgMar w:left="320" w:top="454" w:right="499" w:bottom="1440" w:gutter="0" w:footer="0" w:header="0"/>
        </w:sectPr>
      </w:pPr>
    </w:p>
    <w:bookmarkStart w:id="31" w:name="page32"/>
    <w:bookmarkEnd w:id="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2" w:lineRule="exact"/>
        <w:rPr>
          <w:sz w:val="20"/>
          <w:szCs w:val="20"/>
          <w:color w:val="auto"/>
        </w:rPr>
      </w:pPr>
    </w:p>
    <w:p>
      <w:pPr>
        <w:ind w:left="160"/>
        <w:spacing w:after="0"/>
        <w:rPr>
          <w:sz w:val="20"/>
          <w:szCs w:val="20"/>
          <w:color w:val="auto"/>
        </w:rPr>
      </w:pPr>
      <w:r>
        <w:rPr>
          <w:rFonts w:ascii="Arial" w:cs="Arial" w:eastAsia="Arial" w:hAnsi="Arial"/>
          <w:sz w:val="18"/>
          <w:szCs w:val="18"/>
          <w:color w:val="F75E14"/>
        </w:rPr>
        <w:t>The Board of Directors and Corporate Governance</w:t>
      </w:r>
    </w:p>
    <w:p>
      <w:pPr>
        <w:spacing w:after="0" w:line="141" w:lineRule="exact"/>
        <w:rPr>
          <w:sz w:val="20"/>
          <w:szCs w:val="20"/>
          <w:color w:val="auto"/>
        </w:rPr>
      </w:pPr>
    </w:p>
    <w:p>
      <w:pPr>
        <w:jc w:val="both"/>
        <w:ind w:left="920" w:hanging="325"/>
        <w:spacing w:after="0" w:line="249" w:lineRule="auto"/>
        <w:tabs>
          <w:tab w:leader="none" w:pos="920" w:val="left"/>
        </w:tabs>
        <w:numPr>
          <w:ilvl w:val="0"/>
          <w:numId w:val="4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Supply Chain Responsibility. </w:t>
      </w:r>
      <w:r>
        <w:rPr>
          <w:rFonts w:ascii="Arial" w:cs="Arial" w:eastAsia="Arial" w:hAnsi="Arial"/>
          <w:sz w:val="18"/>
          <w:szCs w:val="18"/>
          <w:color w:val="auto"/>
        </w:rPr>
        <w:t>At least every three years, we complete supplier audits or assessments on our major corporate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manufacturing site suppliers using the RBA Code standard and require our major suppliers to sign a statement of commitment to the RBA Code and the Code of Business Conduct.</w:t>
      </w:r>
    </w:p>
    <w:p>
      <w:pPr>
        <w:spacing w:after="0" w:line="77" w:lineRule="exact"/>
        <w:rPr>
          <w:rFonts w:ascii="Arial" w:cs="Arial" w:eastAsia="Arial" w:hAnsi="Arial"/>
          <w:sz w:val="18"/>
          <w:szCs w:val="18"/>
          <w:color w:val="auto"/>
        </w:rPr>
      </w:pPr>
    </w:p>
    <w:p>
      <w:pPr>
        <w:jc w:val="both"/>
        <w:ind w:left="920" w:hanging="325"/>
        <w:spacing w:after="0" w:line="239" w:lineRule="auto"/>
        <w:tabs>
          <w:tab w:leader="none" w:pos="920" w:val="left"/>
        </w:tabs>
        <w:numPr>
          <w:ilvl w:val="0"/>
          <w:numId w:val="4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Diversity, Equity and Inclusion (“DEI”). </w:t>
      </w:r>
      <w:r>
        <w:rPr>
          <w:rFonts w:ascii="Arial" w:cs="Arial" w:eastAsia="Arial" w:hAnsi="Arial"/>
          <w:sz w:val="18"/>
          <w:szCs w:val="18"/>
          <w:color w:val="auto"/>
        </w:rPr>
        <w:t>In 2021, the Company updated its “Diversity &amp; Inclusion” focus to include equity,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striving to create access for all to have the same opportunities to develop skills consistent with our business objectives and core values. A detailed description of our DEI measures is available on our “Diversity, Equity &amp; Inclusion” webpage at </w:t>
      </w:r>
      <w:r>
        <w:rPr>
          <w:rFonts w:ascii="Arial" w:cs="Arial" w:eastAsia="Arial" w:hAnsi="Arial"/>
          <w:sz w:val="18"/>
          <w:szCs w:val="18"/>
          <w:u w:val="single" w:color="auto"/>
          <w:color w:val="auto"/>
        </w:rPr>
        <w:t>www.onsemi.com</w:t>
      </w:r>
      <w:r>
        <w:rPr>
          <w:rFonts w:ascii="Arial" w:cs="Arial" w:eastAsia="Arial" w:hAnsi="Arial"/>
          <w:sz w:val="18"/>
          <w:szCs w:val="18"/>
          <w:color w:val="auto"/>
        </w:rPr>
        <w:t>, and includes several community partnerships aimed at advancing DEI initiatives in our local communities and our six Employee Resource Groups, which help facilitate equity in the workplace by providing recruitment, retention and advancement support for our employees from differing backgrounds.</w:t>
      </w:r>
    </w:p>
    <w:p>
      <w:pPr>
        <w:spacing w:after="0" w:line="18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Commitment to Fighting Climate Change</w:t>
      </w:r>
    </w:p>
    <w:p>
      <w:pPr>
        <w:spacing w:after="0" w:line="208" w:lineRule="exact"/>
        <w:rPr>
          <w:sz w:val="20"/>
          <w:szCs w:val="20"/>
          <w:color w:val="auto"/>
        </w:rPr>
      </w:pPr>
    </w:p>
    <w:p>
      <w:pPr>
        <w:jc w:val="both"/>
        <w:ind w:left="160"/>
        <w:spacing w:after="0" w:line="236" w:lineRule="auto"/>
        <w:rPr>
          <w:sz w:val="20"/>
          <w:szCs w:val="20"/>
          <w:color w:val="auto"/>
        </w:rPr>
      </w:pPr>
      <w:r>
        <w:rPr>
          <w:rFonts w:ascii="Arial" w:cs="Arial" w:eastAsia="Arial" w:hAnsi="Arial"/>
          <w:sz w:val="18"/>
          <w:szCs w:val="18"/>
          <w:color w:val="auto"/>
        </w:rPr>
        <w:t xml:space="preserve">In August 2021, </w:t>
      </w:r>
      <w:r>
        <w:rPr>
          <w:rFonts w:ascii="Arial" w:cs="Arial" w:eastAsia="Arial" w:hAnsi="Arial"/>
          <w:sz w:val="18"/>
          <w:szCs w:val="18"/>
          <w:b w:val="1"/>
          <w:bCs w:val="1"/>
          <w:color w:val="auto"/>
        </w:rPr>
        <w:t>onsemi</w:t>
      </w:r>
      <w:r>
        <w:rPr>
          <w:rFonts w:ascii="Arial" w:cs="Arial" w:eastAsia="Arial" w:hAnsi="Arial"/>
          <w:sz w:val="18"/>
          <w:szCs w:val="18"/>
          <w:color w:val="auto"/>
        </w:rPr>
        <w:t xml:space="preserve"> announced that it plans to achieve net-zero emissions by 2040. Today, the industrial and automotive end-markets are responsible for a majority of the world’s greenhouse gas emissions, so the Company sees its position as a market leader in intelligent power and sensing technologies as offering an opportunity to help steward these end-markets toward a more sustainable future. Through targeting energy efficiency and displacing other, less efficient semiconductor components being employed in its target end-markets, </w:t>
      </w:r>
      <w:r>
        <w:rPr>
          <w:rFonts w:ascii="Arial" w:cs="Arial" w:eastAsia="Arial" w:hAnsi="Arial"/>
          <w:sz w:val="18"/>
          <w:szCs w:val="18"/>
          <w:b w:val="1"/>
          <w:bCs w:val="1"/>
          <w:color w:val="auto"/>
        </w:rPr>
        <w:t xml:space="preserve">onsemi </w:t>
      </w:r>
      <w:r>
        <w:rPr>
          <w:rFonts w:ascii="Arial" w:cs="Arial" w:eastAsia="Arial" w:hAnsi="Arial"/>
          <w:sz w:val="18"/>
          <w:szCs w:val="18"/>
          <w:color w:val="auto"/>
        </w:rPr>
        <w:t>seeks to deter the negative impacts of climate change and encourage proactive measures to save our planet. Achieving net-zero</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emissions means the Company will eliminate emissions from our energy use and pursue deep decarbonization in our operations. All non-electricity emissions that cannot be eliminated will be offset by high-quality offset projects. To accomplish this goal, </w:t>
      </w:r>
      <w:r>
        <w:rPr>
          <w:rFonts w:ascii="Arial" w:cs="Arial" w:eastAsia="Arial" w:hAnsi="Arial"/>
          <w:sz w:val="18"/>
          <w:szCs w:val="18"/>
          <w:b w:val="1"/>
          <w:bCs w:val="1"/>
          <w:color w:val="auto"/>
        </w:rPr>
        <w:t>onsemi</w:t>
      </w:r>
      <w:r>
        <w:rPr>
          <w:rFonts w:ascii="Arial" w:cs="Arial" w:eastAsia="Arial" w:hAnsi="Arial"/>
          <w:sz w:val="18"/>
          <w:szCs w:val="18"/>
          <w:color w:val="auto"/>
        </w:rPr>
        <w:t xml:space="preserve"> plans to capitalize on efficiencies that will reduce overall emissions, transition to renewable energy to ensure clean energy use and invest in high-quality carbon off-sets for non-electricity emissions. The Company will achieve its net-zero goal through the pursuit of a strategy formed by three pillars:</w:t>
      </w:r>
    </w:p>
    <w:p>
      <w:pPr>
        <w:spacing w:after="0" w:line="210" w:lineRule="exact"/>
        <w:rPr>
          <w:sz w:val="20"/>
          <w:szCs w:val="20"/>
          <w:color w:val="auto"/>
        </w:rPr>
      </w:pPr>
    </w:p>
    <w:tbl>
      <w:tblPr>
        <w:tblLayout w:type="fixed"/>
        <w:tblInd w:w="250" w:type="dxa"/>
        <w:tblCellMar>
          <w:top w:w="0" w:type="dxa"/>
          <w:left w:w="0" w:type="dxa"/>
          <w:bottom w:w="0" w:type="dxa"/>
          <w:right w:w="0" w:type="dxa"/>
        </w:tblCellMar>
      </w:tblPr>
      <w:tr>
        <w:trPr>
          <w:trHeight w:val="201"/>
        </w:trPr>
        <w:tc>
          <w:tcPr>
            <w:tcW w:w="3580" w:type="dxa"/>
            <w:vAlign w:val="bottom"/>
            <w:tcBorders>
              <w:top w:val="single" w:sz="8" w:color="auto"/>
              <w:left w:val="single" w:sz="8" w:color="auto"/>
              <w:bottom w:val="single" w:sz="8" w:color="auto"/>
              <w:right w:val="single" w:sz="8" w:color="auto"/>
            </w:tcBorders>
          </w:tcPr>
          <w:p>
            <w:pPr>
              <w:jc w:val="right"/>
              <w:ind w:right="760"/>
              <w:spacing w:after="0"/>
              <w:rPr>
                <w:sz w:val="20"/>
                <w:szCs w:val="20"/>
                <w:color w:val="auto"/>
              </w:rPr>
            </w:pPr>
            <w:r>
              <w:rPr>
                <w:rFonts w:ascii="Arial" w:cs="Arial" w:eastAsia="Arial" w:hAnsi="Arial"/>
                <w:sz w:val="16"/>
                <w:szCs w:val="16"/>
                <w:b w:val="1"/>
                <w:bCs w:val="1"/>
                <w:color w:val="auto"/>
              </w:rPr>
              <w:t>Capitalize on Efficiency</w:t>
            </w:r>
          </w:p>
        </w:tc>
        <w:tc>
          <w:tcPr>
            <w:tcW w:w="3660" w:type="dxa"/>
            <w:vAlign w:val="bottom"/>
            <w:tcBorders>
              <w:top w:val="single" w:sz="8" w:color="auto"/>
              <w:bottom w:val="single" w:sz="8" w:color="auto"/>
              <w:right w:val="single" w:sz="8" w:color="auto"/>
            </w:tcBorders>
          </w:tcPr>
          <w:p>
            <w:pPr>
              <w:ind w:left="1160"/>
              <w:spacing w:after="0"/>
              <w:rPr>
                <w:sz w:val="20"/>
                <w:szCs w:val="20"/>
                <w:color w:val="auto"/>
              </w:rPr>
            </w:pPr>
            <w:r>
              <w:rPr>
                <w:rFonts w:ascii="Arial" w:cs="Arial" w:eastAsia="Arial" w:hAnsi="Arial"/>
                <w:sz w:val="16"/>
                <w:szCs w:val="16"/>
                <w:b w:val="1"/>
                <w:bCs w:val="1"/>
                <w:color w:val="auto"/>
              </w:rPr>
              <w:t>Renewable Energy</w:t>
            </w:r>
          </w:p>
        </w:tc>
        <w:tc>
          <w:tcPr>
            <w:tcW w:w="3560" w:type="dxa"/>
            <w:vAlign w:val="bottom"/>
            <w:tcBorders>
              <w:top w:val="single" w:sz="8" w:color="auto"/>
              <w:bottom w:val="single" w:sz="8" w:color="auto"/>
              <w:right w:val="single" w:sz="8" w:color="auto"/>
            </w:tcBorders>
          </w:tcPr>
          <w:p>
            <w:pPr>
              <w:jc w:val="right"/>
              <w:ind w:right="860"/>
              <w:spacing w:after="0"/>
              <w:rPr>
                <w:sz w:val="20"/>
                <w:szCs w:val="20"/>
                <w:color w:val="auto"/>
              </w:rPr>
            </w:pPr>
            <w:r>
              <w:rPr>
                <w:rFonts w:ascii="Arial" w:cs="Arial" w:eastAsia="Arial" w:hAnsi="Arial"/>
                <w:sz w:val="16"/>
                <w:szCs w:val="16"/>
                <w:b w:val="1"/>
                <w:bCs w:val="1"/>
                <w:color w:val="auto"/>
              </w:rPr>
              <w:t>Offsets and Influence</w:t>
            </w:r>
          </w:p>
        </w:tc>
      </w:tr>
      <w:tr>
        <w:trPr>
          <w:trHeight w:val="166"/>
        </w:trPr>
        <w:tc>
          <w:tcPr>
            <w:tcW w:w="3580" w:type="dxa"/>
            <w:vAlign w:val="bottom"/>
            <w:tcBorders>
              <w:left w:val="single" w:sz="8" w:color="auto"/>
              <w:right w:val="single" w:sz="8" w:color="auto"/>
            </w:tcBorders>
          </w:tcPr>
          <w:p>
            <w:pPr>
              <w:jc w:val="right"/>
              <w:ind w:right="20"/>
              <w:spacing w:after="0" w:line="167" w:lineRule="exact"/>
              <w:rPr>
                <w:sz w:val="20"/>
                <w:szCs w:val="20"/>
                <w:color w:val="auto"/>
              </w:rPr>
            </w:pPr>
            <w:r>
              <w:rPr>
                <w:rFonts w:ascii="Arial" w:cs="Arial" w:eastAsia="Arial" w:hAnsi="Arial"/>
                <w:sz w:val="16"/>
                <w:szCs w:val="16"/>
                <w:color w:val="auto"/>
              </w:rPr>
              <w:t>• Further investments in facilities, processes</w:t>
            </w:r>
          </w:p>
        </w:tc>
        <w:tc>
          <w:tcPr>
            <w:tcW w:w="3660" w:type="dxa"/>
            <w:vAlign w:val="bottom"/>
            <w:tcBorders>
              <w:right w:val="single" w:sz="8" w:color="auto"/>
            </w:tcBorders>
          </w:tcPr>
          <w:p>
            <w:pPr>
              <w:ind w:left="160"/>
              <w:spacing w:after="0" w:line="167" w:lineRule="exact"/>
              <w:rPr>
                <w:sz w:val="20"/>
                <w:szCs w:val="20"/>
                <w:color w:val="auto"/>
              </w:rPr>
            </w:pPr>
            <w:r>
              <w:rPr>
                <w:rFonts w:ascii="Arial" w:cs="Arial" w:eastAsia="Arial" w:hAnsi="Arial"/>
                <w:sz w:val="16"/>
                <w:szCs w:val="16"/>
                <w:color w:val="auto"/>
              </w:rPr>
              <w:t>• Transition  to  an  emissions-free  renewable</w:t>
            </w:r>
          </w:p>
        </w:tc>
        <w:tc>
          <w:tcPr>
            <w:tcW w:w="3560" w:type="dxa"/>
            <w:vAlign w:val="bottom"/>
            <w:tcBorders>
              <w:right w:val="single" w:sz="8" w:color="auto"/>
            </w:tcBorders>
          </w:tcPr>
          <w:p>
            <w:pPr>
              <w:jc w:val="right"/>
              <w:ind w:right="40"/>
              <w:spacing w:after="0" w:line="167" w:lineRule="exact"/>
              <w:rPr>
                <w:sz w:val="20"/>
                <w:szCs w:val="20"/>
                <w:color w:val="auto"/>
              </w:rPr>
            </w:pPr>
            <w:r>
              <w:rPr>
                <w:rFonts w:ascii="Arial" w:cs="Arial" w:eastAsia="Arial" w:hAnsi="Arial"/>
                <w:sz w:val="16"/>
                <w:szCs w:val="16"/>
                <w:color w:val="auto"/>
              </w:rPr>
              <w:t>• For non-electricity emissions that cannot be</w:t>
            </w:r>
          </w:p>
        </w:tc>
      </w:tr>
      <w:tr>
        <w:trPr>
          <w:trHeight w:val="187"/>
        </w:trPr>
        <w:tc>
          <w:tcPr>
            <w:tcW w:w="3580" w:type="dxa"/>
            <w:vAlign w:val="bottom"/>
            <w:tcBorders>
              <w:left w:val="single" w:sz="8" w:color="auto"/>
              <w:right w:val="single" w:sz="8" w:color="auto"/>
            </w:tcBorders>
          </w:tcPr>
          <w:p>
            <w:pPr>
              <w:jc w:val="right"/>
              <w:ind w:right="20"/>
              <w:spacing w:after="0"/>
              <w:rPr>
                <w:sz w:val="20"/>
                <w:szCs w:val="20"/>
                <w:color w:val="auto"/>
              </w:rPr>
            </w:pPr>
            <w:r>
              <w:rPr>
                <w:rFonts w:ascii="Arial" w:cs="Arial" w:eastAsia="Arial" w:hAnsi="Arial"/>
                <w:sz w:val="16"/>
                <w:szCs w:val="16"/>
                <w:color w:val="auto"/>
              </w:rPr>
              <w:t>and   equipment   to   increase   energy</w:t>
            </w:r>
          </w:p>
        </w:tc>
        <w:tc>
          <w:tcPr>
            <w:tcW w:w="3660" w:type="dxa"/>
            <w:vAlign w:val="bottom"/>
            <w:tcBorders>
              <w:right w:val="single" w:sz="8" w:color="auto"/>
            </w:tcBorders>
          </w:tcPr>
          <w:p>
            <w:pPr>
              <w:ind w:left="300"/>
              <w:spacing w:after="0"/>
              <w:rPr>
                <w:sz w:val="20"/>
                <w:szCs w:val="20"/>
                <w:color w:val="auto"/>
              </w:rPr>
            </w:pPr>
            <w:r>
              <w:rPr>
                <w:rFonts w:ascii="Arial" w:cs="Arial" w:eastAsia="Arial" w:hAnsi="Arial"/>
                <w:sz w:val="16"/>
                <w:szCs w:val="16"/>
                <w:color w:val="auto"/>
              </w:rPr>
              <w:t>energy portfolio</w:t>
            </w:r>
          </w:p>
        </w:tc>
        <w:tc>
          <w:tcPr>
            <w:tcW w:w="3560" w:type="dxa"/>
            <w:vAlign w:val="bottom"/>
            <w:tcBorders>
              <w:right w:val="single" w:sz="8" w:color="auto"/>
            </w:tcBorders>
          </w:tcPr>
          <w:p>
            <w:pPr>
              <w:jc w:val="right"/>
              <w:ind w:right="40"/>
              <w:spacing w:after="0"/>
              <w:rPr>
                <w:sz w:val="20"/>
                <w:szCs w:val="20"/>
                <w:color w:val="auto"/>
              </w:rPr>
            </w:pPr>
            <w:r>
              <w:rPr>
                <w:rFonts w:ascii="Arial" w:cs="Arial" w:eastAsia="Arial" w:hAnsi="Arial"/>
                <w:sz w:val="16"/>
                <w:szCs w:val="16"/>
                <w:color w:val="auto"/>
              </w:rPr>
              <w:t>eliminated,   purchase   certified   carbon</w:t>
            </w:r>
          </w:p>
        </w:tc>
      </w:tr>
      <w:tr>
        <w:trPr>
          <w:trHeight w:val="187"/>
        </w:trPr>
        <w:tc>
          <w:tcPr>
            <w:tcW w:w="3580" w:type="dxa"/>
            <w:vAlign w:val="bottom"/>
            <w:tcBorders>
              <w:left w:val="single" w:sz="8" w:color="auto"/>
              <w:right w:val="single" w:sz="8" w:color="auto"/>
            </w:tcBorders>
          </w:tcPr>
          <w:p>
            <w:pPr>
              <w:ind w:left="360"/>
              <w:spacing w:after="0"/>
              <w:rPr>
                <w:sz w:val="20"/>
                <w:szCs w:val="20"/>
                <w:color w:val="auto"/>
              </w:rPr>
            </w:pPr>
            <w:r>
              <w:rPr>
                <w:rFonts w:ascii="Arial" w:cs="Arial" w:eastAsia="Arial" w:hAnsi="Arial"/>
                <w:sz w:val="16"/>
                <w:szCs w:val="16"/>
                <w:color w:val="auto"/>
              </w:rPr>
              <w:t>efficiency</w:t>
            </w:r>
          </w:p>
        </w:tc>
        <w:tc>
          <w:tcPr>
            <w:tcW w:w="3660" w:type="dxa"/>
            <w:vAlign w:val="bottom"/>
            <w:tcBorders>
              <w:right w:val="single" w:sz="8" w:color="auto"/>
            </w:tcBorders>
          </w:tcPr>
          <w:p>
            <w:pPr>
              <w:ind w:left="160"/>
              <w:spacing w:after="0"/>
              <w:rPr>
                <w:sz w:val="20"/>
                <w:szCs w:val="20"/>
                <w:color w:val="auto"/>
              </w:rPr>
            </w:pPr>
            <w:r>
              <w:rPr>
                <w:rFonts w:ascii="Arial" w:cs="Arial" w:eastAsia="Arial" w:hAnsi="Arial"/>
                <w:sz w:val="16"/>
                <w:szCs w:val="16"/>
                <w:color w:val="auto"/>
              </w:rPr>
              <w:t>• Plan to use 50% renewable energy by 2030</w:t>
            </w:r>
          </w:p>
        </w:tc>
        <w:tc>
          <w:tcPr>
            <w:tcW w:w="3560" w:type="dxa"/>
            <w:vAlign w:val="bottom"/>
            <w:tcBorders>
              <w:right w:val="single" w:sz="8" w:color="auto"/>
            </w:tcBorders>
          </w:tcPr>
          <w:p>
            <w:pPr>
              <w:jc w:val="right"/>
              <w:ind w:right="60"/>
              <w:spacing w:after="0"/>
              <w:rPr>
                <w:sz w:val="20"/>
                <w:szCs w:val="20"/>
                <w:color w:val="auto"/>
              </w:rPr>
            </w:pPr>
            <w:r>
              <w:rPr>
                <w:rFonts w:ascii="Arial" w:cs="Arial" w:eastAsia="Arial" w:hAnsi="Arial"/>
                <w:sz w:val="16"/>
                <w:szCs w:val="16"/>
                <w:color w:val="auto"/>
              </w:rPr>
              <w:t>offsets  equal  to  the  amount  of  such</w:t>
            </w:r>
          </w:p>
        </w:tc>
      </w:tr>
      <w:tr>
        <w:trPr>
          <w:trHeight w:val="187"/>
        </w:trPr>
        <w:tc>
          <w:tcPr>
            <w:tcW w:w="3580" w:type="dxa"/>
            <w:vAlign w:val="bottom"/>
            <w:tcBorders>
              <w:left w:val="single" w:sz="8" w:color="auto"/>
              <w:right w:val="single" w:sz="8" w:color="auto"/>
            </w:tcBorders>
          </w:tcPr>
          <w:p>
            <w:pPr>
              <w:jc w:val="right"/>
              <w:ind w:right="20"/>
              <w:spacing w:after="0"/>
              <w:rPr>
                <w:sz w:val="20"/>
                <w:szCs w:val="20"/>
                <w:color w:val="auto"/>
              </w:rPr>
            </w:pPr>
            <w:r>
              <w:rPr>
                <w:rFonts w:ascii="Arial" w:cs="Arial" w:eastAsia="Arial" w:hAnsi="Arial"/>
                <w:sz w:val="16"/>
                <w:szCs w:val="16"/>
                <w:color w:val="auto"/>
              </w:rPr>
              <w:t>• Explore opportunities to mitigate process</w:t>
            </w:r>
          </w:p>
        </w:tc>
        <w:tc>
          <w:tcPr>
            <w:tcW w:w="3660" w:type="dxa"/>
            <w:vAlign w:val="bottom"/>
            <w:tcBorders>
              <w:right w:val="single" w:sz="8" w:color="auto"/>
            </w:tcBorders>
          </w:tcPr>
          <w:p>
            <w:pPr>
              <w:ind w:left="160"/>
              <w:spacing w:after="0"/>
              <w:rPr>
                <w:sz w:val="20"/>
                <w:szCs w:val="20"/>
                <w:color w:val="auto"/>
              </w:rPr>
            </w:pPr>
            <w:r>
              <w:rPr>
                <w:rFonts w:ascii="Arial" w:cs="Arial" w:eastAsia="Arial" w:hAnsi="Arial"/>
                <w:sz w:val="16"/>
                <w:szCs w:val="16"/>
                <w:color w:val="auto"/>
              </w:rPr>
              <w:t>• Join the Clean Energy Buyers Alliance to</w:t>
            </w:r>
          </w:p>
        </w:tc>
        <w:tc>
          <w:tcPr>
            <w:tcW w:w="3560" w:type="dxa"/>
            <w:vAlign w:val="bottom"/>
            <w:tcBorders>
              <w:right w:val="single" w:sz="8" w:color="auto"/>
            </w:tcBorders>
          </w:tcPr>
          <w:p>
            <w:pPr>
              <w:ind w:left="300"/>
              <w:spacing w:after="0"/>
              <w:rPr>
                <w:sz w:val="20"/>
                <w:szCs w:val="20"/>
                <w:color w:val="auto"/>
              </w:rPr>
            </w:pPr>
            <w:r>
              <w:rPr>
                <w:rFonts w:ascii="Arial" w:cs="Arial" w:eastAsia="Arial" w:hAnsi="Arial"/>
                <w:sz w:val="16"/>
                <w:szCs w:val="16"/>
                <w:color w:val="auto"/>
              </w:rPr>
              <w:t>emissions</w:t>
            </w:r>
          </w:p>
        </w:tc>
      </w:tr>
      <w:tr>
        <w:trPr>
          <w:trHeight w:val="187"/>
        </w:trPr>
        <w:tc>
          <w:tcPr>
            <w:tcW w:w="3580" w:type="dxa"/>
            <w:vAlign w:val="bottom"/>
            <w:tcBorders>
              <w:left w:val="single" w:sz="8" w:color="auto"/>
              <w:right w:val="single" w:sz="8" w:color="auto"/>
            </w:tcBorders>
          </w:tcPr>
          <w:p>
            <w:pPr>
              <w:ind w:left="360"/>
              <w:spacing w:after="0"/>
              <w:rPr>
                <w:sz w:val="20"/>
                <w:szCs w:val="20"/>
                <w:color w:val="auto"/>
              </w:rPr>
            </w:pPr>
            <w:r>
              <w:rPr>
                <w:rFonts w:ascii="Arial" w:cs="Arial" w:eastAsia="Arial" w:hAnsi="Arial"/>
                <w:sz w:val="16"/>
                <w:szCs w:val="16"/>
                <w:color w:val="auto"/>
              </w:rPr>
              <w:t>gas usage</w:t>
            </w:r>
          </w:p>
        </w:tc>
        <w:tc>
          <w:tcPr>
            <w:tcW w:w="3660" w:type="dxa"/>
            <w:vAlign w:val="bottom"/>
            <w:tcBorders>
              <w:right w:val="single" w:sz="8" w:color="auto"/>
            </w:tcBorders>
          </w:tcPr>
          <w:p>
            <w:pPr>
              <w:ind w:left="300"/>
              <w:spacing w:after="0"/>
              <w:rPr>
                <w:sz w:val="20"/>
                <w:szCs w:val="20"/>
                <w:color w:val="auto"/>
              </w:rPr>
            </w:pPr>
            <w:r>
              <w:rPr>
                <w:rFonts w:ascii="Arial" w:cs="Arial" w:eastAsia="Arial" w:hAnsi="Arial"/>
                <w:sz w:val="16"/>
                <w:szCs w:val="16"/>
                <w:color w:val="auto"/>
              </w:rPr>
              <w:t>support  the  rapid  transition  to  a  cleaner</w:t>
            </w:r>
          </w:p>
        </w:tc>
        <w:tc>
          <w:tcPr>
            <w:tcW w:w="3560" w:type="dxa"/>
            <w:vAlign w:val="bottom"/>
            <w:tcBorders>
              <w:right w:val="single" w:sz="8" w:color="auto"/>
            </w:tcBorders>
          </w:tcPr>
          <w:p>
            <w:pPr>
              <w:jc w:val="right"/>
              <w:ind w:right="60"/>
              <w:spacing w:after="0"/>
              <w:rPr>
                <w:sz w:val="20"/>
                <w:szCs w:val="20"/>
                <w:color w:val="auto"/>
              </w:rPr>
            </w:pPr>
            <w:r>
              <w:rPr>
                <w:rFonts w:ascii="Arial" w:cs="Arial" w:eastAsia="Arial" w:hAnsi="Arial"/>
                <w:sz w:val="16"/>
                <w:szCs w:val="16"/>
                <w:color w:val="auto"/>
              </w:rPr>
              <w:t>• Green-E and Gold Standard certified offsets</w:t>
            </w:r>
          </w:p>
        </w:tc>
      </w:tr>
      <w:tr>
        <w:trPr>
          <w:trHeight w:val="187"/>
        </w:trPr>
        <w:tc>
          <w:tcPr>
            <w:tcW w:w="3580" w:type="dxa"/>
            <w:vAlign w:val="bottom"/>
            <w:tcBorders>
              <w:left w:val="single" w:sz="8" w:color="auto"/>
              <w:right w:val="single" w:sz="8" w:color="auto"/>
            </w:tcBorders>
          </w:tcPr>
          <w:p>
            <w:pPr>
              <w:spacing w:after="0"/>
              <w:rPr>
                <w:sz w:val="16"/>
                <w:szCs w:val="16"/>
                <w:color w:val="auto"/>
              </w:rPr>
            </w:pPr>
          </w:p>
        </w:tc>
        <w:tc>
          <w:tcPr>
            <w:tcW w:w="3660" w:type="dxa"/>
            <w:vAlign w:val="bottom"/>
            <w:tcBorders>
              <w:right w:val="single" w:sz="8" w:color="auto"/>
            </w:tcBorders>
          </w:tcPr>
          <w:p>
            <w:pPr>
              <w:ind w:left="300"/>
              <w:spacing w:after="0"/>
              <w:rPr>
                <w:sz w:val="20"/>
                <w:szCs w:val="20"/>
                <w:color w:val="auto"/>
              </w:rPr>
            </w:pPr>
            <w:r>
              <w:rPr>
                <w:rFonts w:ascii="Arial" w:cs="Arial" w:eastAsia="Arial" w:hAnsi="Arial"/>
                <w:sz w:val="16"/>
                <w:szCs w:val="16"/>
                <w:color w:val="auto"/>
              </w:rPr>
              <w:t>energy future</w:t>
            </w:r>
          </w:p>
        </w:tc>
        <w:tc>
          <w:tcPr>
            <w:tcW w:w="3560" w:type="dxa"/>
            <w:vAlign w:val="bottom"/>
            <w:tcBorders>
              <w:right w:val="single" w:sz="8" w:color="auto"/>
            </w:tcBorders>
          </w:tcPr>
          <w:p>
            <w:pPr>
              <w:ind w:left="300"/>
              <w:spacing w:after="0"/>
              <w:rPr>
                <w:sz w:val="20"/>
                <w:szCs w:val="20"/>
                <w:color w:val="auto"/>
              </w:rPr>
            </w:pPr>
            <w:r>
              <w:rPr>
                <w:rFonts w:ascii="Arial" w:cs="Arial" w:eastAsia="Arial" w:hAnsi="Arial"/>
                <w:sz w:val="16"/>
                <w:szCs w:val="16"/>
                <w:color w:val="auto"/>
              </w:rPr>
              <w:t>will be prioritized</w:t>
            </w:r>
          </w:p>
        </w:tc>
      </w:tr>
      <w:tr>
        <w:trPr>
          <w:trHeight w:val="187"/>
        </w:trPr>
        <w:tc>
          <w:tcPr>
            <w:tcW w:w="3580" w:type="dxa"/>
            <w:vAlign w:val="bottom"/>
            <w:tcBorders>
              <w:left w:val="single" w:sz="8" w:color="auto"/>
              <w:right w:val="single" w:sz="8" w:color="auto"/>
            </w:tcBorders>
          </w:tcPr>
          <w:p>
            <w:pPr>
              <w:spacing w:after="0"/>
              <w:rPr>
                <w:sz w:val="16"/>
                <w:szCs w:val="16"/>
                <w:color w:val="auto"/>
              </w:rPr>
            </w:pPr>
          </w:p>
        </w:tc>
        <w:tc>
          <w:tcPr>
            <w:tcW w:w="3660" w:type="dxa"/>
            <w:vAlign w:val="bottom"/>
            <w:tcBorders>
              <w:right w:val="single" w:sz="8" w:color="auto"/>
            </w:tcBorders>
          </w:tcPr>
          <w:p>
            <w:pPr>
              <w:ind w:left="160"/>
              <w:spacing w:after="0"/>
              <w:rPr>
                <w:sz w:val="20"/>
                <w:szCs w:val="20"/>
                <w:color w:val="auto"/>
              </w:rPr>
            </w:pPr>
            <w:r>
              <w:rPr>
                <w:rFonts w:ascii="Arial" w:cs="Arial" w:eastAsia="Arial" w:hAnsi="Arial"/>
                <w:sz w:val="16"/>
                <w:szCs w:val="16"/>
                <w:color w:val="auto"/>
              </w:rPr>
              <w:t>• Engage  with  energy  providers  to  identify</w:t>
            </w:r>
          </w:p>
        </w:tc>
        <w:tc>
          <w:tcPr>
            <w:tcW w:w="3560" w:type="dxa"/>
            <w:vAlign w:val="bottom"/>
            <w:tcBorders>
              <w:right w:val="single" w:sz="8" w:color="auto"/>
            </w:tcBorders>
          </w:tcPr>
          <w:p>
            <w:pPr>
              <w:jc w:val="right"/>
              <w:ind w:right="60"/>
              <w:spacing w:after="0"/>
              <w:rPr>
                <w:sz w:val="20"/>
                <w:szCs w:val="20"/>
                <w:color w:val="auto"/>
              </w:rPr>
            </w:pPr>
            <w:r>
              <w:rPr>
                <w:rFonts w:ascii="Arial" w:cs="Arial" w:eastAsia="Arial" w:hAnsi="Arial"/>
                <w:sz w:val="16"/>
                <w:szCs w:val="16"/>
                <w:color w:val="auto"/>
              </w:rPr>
              <w:t>• Leverage  RBA  membership  to  engage</w:t>
            </w:r>
          </w:p>
        </w:tc>
      </w:tr>
      <w:tr>
        <w:trPr>
          <w:trHeight w:val="187"/>
        </w:trPr>
        <w:tc>
          <w:tcPr>
            <w:tcW w:w="3580" w:type="dxa"/>
            <w:vAlign w:val="bottom"/>
            <w:tcBorders>
              <w:left w:val="single" w:sz="8" w:color="auto"/>
              <w:right w:val="single" w:sz="8" w:color="auto"/>
            </w:tcBorders>
          </w:tcPr>
          <w:p>
            <w:pPr>
              <w:spacing w:after="0"/>
              <w:rPr>
                <w:sz w:val="16"/>
                <w:szCs w:val="16"/>
                <w:color w:val="auto"/>
              </w:rPr>
            </w:pPr>
          </w:p>
        </w:tc>
        <w:tc>
          <w:tcPr>
            <w:tcW w:w="3660" w:type="dxa"/>
            <w:vAlign w:val="bottom"/>
            <w:tcBorders>
              <w:right w:val="single" w:sz="8" w:color="auto"/>
            </w:tcBorders>
          </w:tcPr>
          <w:p>
            <w:pPr>
              <w:ind w:left="300"/>
              <w:spacing w:after="0"/>
              <w:rPr>
                <w:sz w:val="20"/>
                <w:szCs w:val="20"/>
                <w:color w:val="auto"/>
              </w:rPr>
            </w:pPr>
            <w:r>
              <w:rPr>
                <w:rFonts w:ascii="Arial" w:cs="Arial" w:eastAsia="Arial" w:hAnsi="Arial"/>
                <w:sz w:val="16"/>
                <w:szCs w:val="16"/>
                <w:color w:val="auto"/>
              </w:rPr>
              <w:t>power  purchase  agreements  in  locations</w:t>
            </w:r>
          </w:p>
        </w:tc>
        <w:tc>
          <w:tcPr>
            <w:tcW w:w="3560" w:type="dxa"/>
            <w:vAlign w:val="bottom"/>
            <w:tcBorders>
              <w:right w:val="single" w:sz="8" w:color="auto"/>
            </w:tcBorders>
          </w:tcPr>
          <w:p>
            <w:pPr>
              <w:jc w:val="right"/>
              <w:ind w:right="60"/>
              <w:spacing w:after="0"/>
              <w:rPr>
                <w:sz w:val="20"/>
                <w:szCs w:val="20"/>
                <w:color w:val="auto"/>
              </w:rPr>
            </w:pPr>
            <w:r>
              <w:rPr>
                <w:rFonts w:ascii="Arial" w:cs="Arial" w:eastAsia="Arial" w:hAnsi="Arial"/>
                <w:sz w:val="16"/>
                <w:szCs w:val="16"/>
                <w:color w:val="auto"/>
              </w:rPr>
              <w:t>supply  chain  stakeholders  on  emissions</w:t>
            </w:r>
          </w:p>
        </w:tc>
      </w:tr>
      <w:tr>
        <w:trPr>
          <w:trHeight w:val="187"/>
        </w:trPr>
        <w:tc>
          <w:tcPr>
            <w:tcW w:w="3580" w:type="dxa"/>
            <w:vAlign w:val="bottom"/>
            <w:tcBorders>
              <w:left w:val="single" w:sz="8" w:color="auto"/>
              <w:right w:val="single" w:sz="8" w:color="auto"/>
            </w:tcBorders>
          </w:tcPr>
          <w:p>
            <w:pPr>
              <w:spacing w:after="0"/>
              <w:rPr>
                <w:sz w:val="16"/>
                <w:szCs w:val="16"/>
                <w:color w:val="auto"/>
              </w:rPr>
            </w:pPr>
          </w:p>
        </w:tc>
        <w:tc>
          <w:tcPr>
            <w:tcW w:w="3660" w:type="dxa"/>
            <w:vAlign w:val="bottom"/>
            <w:tcBorders>
              <w:right w:val="single" w:sz="8" w:color="auto"/>
            </w:tcBorders>
          </w:tcPr>
          <w:p>
            <w:pPr>
              <w:ind w:left="300"/>
              <w:spacing w:after="0"/>
              <w:rPr>
                <w:sz w:val="20"/>
                <w:szCs w:val="20"/>
                <w:color w:val="auto"/>
              </w:rPr>
            </w:pPr>
            <w:r>
              <w:rPr>
                <w:rFonts w:ascii="Arial" w:cs="Arial" w:eastAsia="Arial" w:hAnsi="Arial"/>
                <w:sz w:val="16"/>
                <w:szCs w:val="16"/>
                <w:color w:val="auto"/>
              </w:rPr>
              <w:t>where it is feasible to recoup investment costs</w:t>
            </w:r>
          </w:p>
        </w:tc>
        <w:tc>
          <w:tcPr>
            <w:tcW w:w="3560" w:type="dxa"/>
            <w:vAlign w:val="bottom"/>
            <w:tcBorders>
              <w:right w:val="single" w:sz="8" w:color="auto"/>
            </w:tcBorders>
          </w:tcPr>
          <w:p>
            <w:pPr>
              <w:ind w:left="300"/>
              <w:spacing w:after="0"/>
              <w:rPr>
                <w:sz w:val="20"/>
                <w:szCs w:val="20"/>
                <w:color w:val="auto"/>
              </w:rPr>
            </w:pPr>
            <w:r>
              <w:rPr>
                <w:rFonts w:ascii="Arial" w:cs="Arial" w:eastAsia="Arial" w:hAnsi="Arial"/>
                <w:sz w:val="16"/>
                <w:szCs w:val="16"/>
                <w:color w:val="auto"/>
              </w:rPr>
              <w:t>reduction</w:t>
            </w:r>
          </w:p>
        </w:tc>
      </w:tr>
      <w:tr>
        <w:trPr>
          <w:trHeight w:val="213"/>
        </w:trPr>
        <w:tc>
          <w:tcPr>
            <w:tcW w:w="3580" w:type="dxa"/>
            <w:vAlign w:val="bottom"/>
            <w:tcBorders>
              <w:left w:val="single" w:sz="8" w:color="auto"/>
              <w:bottom w:val="single" w:sz="8" w:color="auto"/>
              <w:right w:val="single" w:sz="8" w:color="auto"/>
            </w:tcBorders>
          </w:tcPr>
          <w:p>
            <w:pPr>
              <w:spacing w:after="0"/>
              <w:rPr>
                <w:sz w:val="18"/>
                <w:szCs w:val="18"/>
                <w:color w:val="auto"/>
              </w:rPr>
            </w:pPr>
          </w:p>
        </w:tc>
        <w:tc>
          <w:tcPr>
            <w:tcW w:w="366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6"/>
                <w:szCs w:val="16"/>
                <w:color w:val="auto"/>
              </w:rPr>
              <w:t>in long-term agreements</w:t>
            </w:r>
          </w:p>
        </w:tc>
        <w:tc>
          <w:tcPr>
            <w:tcW w:w="3560" w:type="dxa"/>
            <w:vAlign w:val="bottom"/>
            <w:tcBorders>
              <w:bottom w:val="single" w:sz="8" w:color="auto"/>
              <w:right w:val="single" w:sz="8" w:color="auto"/>
            </w:tcBorders>
          </w:tcPr>
          <w:p>
            <w:pPr>
              <w:spacing w:after="0"/>
              <w:rPr>
                <w:sz w:val="18"/>
                <w:szCs w:val="18"/>
                <w:color w:val="auto"/>
              </w:rPr>
            </w:pPr>
          </w:p>
        </w:tc>
      </w:tr>
    </w:tbl>
    <w:p>
      <w:pPr>
        <w:spacing w:after="0" w:line="195" w:lineRule="exact"/>
        <w:rPr>
          <w:sz w:val="20"/>
          <w:szCs w:val="20"/>
          <w:color w:val="auto"/>
        </w:rPr>
      </w:pPr>
    </w:p>
    <w:p>
      <w:pPr>
        <w:jc w:val="both"/>
        <w:ind w:left="160"/>
        <w:spacing w:after="0" w:line="243" w:lineRule="auto"/>
        <w:rPr>
          <w:sz w:val="20"/>
          <w:szCs w:val="20"/>
          <w:color w:val="auto"/>
        </w:rPr>
      </w:pPr>
      <w:r>
        <w:rPr>
          <w:rFonts w:ascii="Arial" w:cs="Arial" w:eastAsia="Arial" w:hAnsi="Arial"/>
          <w:sz w:val="18"/>
          <w:szCs w:val="18"/>
          <w:color w:val="auto"/>
        </w:rPr>
        <w:t>The GS Committee has taken express oversight of climate- and sustainability-related initiatives and other Company actions associated with the environment, explicitly incorporating this responsibility into its charter. As the Company forges ahead as a leader in combatting climate change in the semiconductor and manufacturing spaces, the GS Committee will assist the Board in providing guidance and oversight in respect of strategy, risk management, capital expenditures, opportunities and investments in the context of climate change.</w:t>
      </w:r>
    </w:p>
    <w:p>
      <w:pPr>
        <w:spacing w:after="0" w:line="172"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2B4772"/>
        </w:rPr>
        <w:t>Code of Business Conduct</w:t>
      </w:r>
    </w:p>
    <w:p>
      <w:pPr>
        <w:spacing w:after="0" w:line="226" w:lineRule="exact"/>
        <w:rPr>
          <w:sz w:val="20"/>
          <w:szCs w:val="20"/>
          <w:color w:val="auto"/>
        </w:rPr>
      </w:pPr>
    </w:p>
    <w:p>
      <w:pPr>
        <w:jc w:val="both"/>
        <w:ind w:left="160"/>
        <w:spacing w:after="0"/>
        <w:rPr>
          <w:sz w:val="20"/>
          <w:szCs w:val="20"/>
          <w:color w:val="auto"/>
        </w:rPr>
      </w:pPr>
      <w:r>
        <w:rPr>
          <w:rFonts w:ascii="Arial" w:cs="Arial" w:eastAsia="Arial" w:hAnsi="Arial"/>
          <w:sz w:val="18"/>
          <w:szCs w:val="18"/>
          <w:color w:val="auto"/>
        </w:rPr>
        <w:t xml:space="preserve">We have adopted a Code of Business Conduct that is applicable to all of our Directors, officers and employees, and we believe the Code of Business Conduct satisfies the standards promulgated by the SEC and Nasdaq. The Code of Business Conduct is available free of charge on our website at </w:t>
      </w:r>
      <w:r>
        <w:rPr>
          <w:rFonts w:ascii="Arial" w:cs="Arial" w:eastAsia="Arial" w:hAnsi="Arial"/>
          <w:sz w:val="18"/>
          <w:szCs w:val="18"/>
          <w:u w:val="single" w:color="auto"/>
          <w:color w:val="auto"/>
        </w:rPr>
        <w:t>www.onsemi.com</w:t>
      </w:r>
      <w:r>
        <w:rPr>
          <w:rFonts w:ascii="Arial" w:cs="Arial" w:eastAsia="Arial" w:hAnsi="Arial"/>
          <w:sz w:val="18"/>
          <w:szCs w:val="18"/>
          <w:color w:val="auto"/>
        </w:rPr>
        <w:t xml:space="preserve">, or a paper copy is available upon request by writing to our Investor Relations Department, ON Semiconductor Corporation, 5005 East McDowell Road, Phoenix, Arizona 85008, calling our Investor Relations Department at (602) 244-3437 or emailing your request to </w:t>
      </w:r>
      <w:r>
        <w:rPr>
          <w:rFonts w:ascii="Arial" w:cs="Arial" w:eastAsia="Arial" w:hAnsi="Arial"/>
          <w:sz w:val="18"/>
          <w:szCs w:val="18"/>
          <w:u w:val="single" w:color="auto"/>
          <w:color w:val="auto"/>
        </w:rPr>
        <w:t>investor@onsemi.com</w:t>
      </w:r>
      <w:r>
        <w:rPr>
          <w:rFonts w:ascii="Arial" w:cs="Arial" w:eastAsia="Arial" w:hAnsi="Arial"/>
          <w:sz w:val="18"/>
          <w:szCs w:val="18"/>
          <w:color w:val="auto"/>
        </w:rPr>
        <w:t>.</w:t>
      </w:r>
    </w:p>
    <w:p>
      <w:pPr>
        <w:spacing w:after="0" w:line="125" w:lineRule="exact"/>
        <w:rPr>
          <w:sz w:val="20"/>
          <w:szCs w:val="20"/>
          <w:color w:val="auto"/>
        </w:rPr>
      </w:pPr>
    </w:p>
    <w:p>
      <w:pPr>
        <w:ind w:left="160"/>
        <w:spacing w:after="0"/>
        <w:tabs>
          <w:tab w:leader="none" w:pos="500" w:val="left"/>
        </w:tabs>
        <w:rPr>
          <w:sz w:val="20"/>
          <w:szCs w:val="20"/>
          <w:color w:val="auto"/>
        </w:rPr>
      </w:pPr>
      <w:r>
        <w:rPr>
          <w:rFonts w:ascii="Arial" w:cs="Arial" w:eastAsia="Arial" w:hAnsi="Arial"/>
          <w:sz w:val="14"/>
          <w:szCs w:val="14"/>
          <w:color w:val="F75E14"/>
        </w:rPr>
        <w:t>28</w:t>
        <w:tab/>
        <w:t>onsemi 2022 Proxy Statement</w:t>
      </w:r>
    </w:p>
    <w:p>
      <w:pPr>
        <w:sectPr>
          <w:pgSz w:w="11900" w:h="16838" w:orient="portrait"/>
          <w:cols w:equalWidth="0" w:num="1">
            <w:col w:w="11080"/>
          </w:cols>
          <w:pgMar w:left="320" w:top="454" w:right="499" w:bottom="1440" w:gutter="0" w:footer="0" w:header="0"/>
        </w:sectPr>
      </w:pPr>
    </w:p>
    <w:bookmarkStart w:id="32" w:name="page33"/>
    <w:bookmarkEnd w:id="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2" w:lineRule="exact"/>
        <w:rPr>
          <w:sz w:val="20"/>
          <w:szCs w:val="20"/>
          <w:color w:val="auto"/>
        </w:rPr>
      </w:pPr>
    </w:p>
    <w:p>
      <w:pPr>
        <w:jc w:val="right"/>
        <w:spacing w:after="0"/>
        <w:rPr>
          <w:sz w:val="20"/>
          <w:szCs w:val="20"/>
          <w:color w:val="auto"/>
        </w:rPr>
      </w:pPr>
      <w:r>
        <w:rPr>
          <w:rFonts w:ascii="Arial" w:cs="Arial" w:eastAsia="Arial" w:hAnsi="Arial"/>
          <w:sz w:val="18"/>
          <w:szCs w:val="18"/>
          <w:color w:val="F75E14"/>
        </w:rPr>
        <w:t>The Board of Directors and Corporate Governance</w:t>
      </w:r>
    </w:p>
    <w:p>
      <w:pPr>
        <w:spacing w:after="0" w:line="135"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2B4772"/>
        </w:rPr>
        <w:t>Legal Compliance</w:t>
      </w:r>
    </w:p>
    <w:p>
      <w:pPr>
        <w:spacing w:after="0" w:line="226" w:lineRule="exact"/>
        <w:rPr>
          <w:sz w:val="20"/>
          <w:szCs w:val="20"/>
          <w:color w:val="auto"/>
        </w:rPr>
      </w:pPr>
    </w:p>
    <w:p>
      <w:pPr>
        <w:jc w:val="both"/>
        <w:ind w:left="160"/>
        <w:spacing w:after="0" w:line="243" w:lineRule="auto"/>
        <w:rPr>
          <w:sz w:val="20"/>
          <w:szCs w:val="20"/>
          <w:color w:val="auto"/>
        </w:rPr>
      </w:pPr>
      <w:r>
        <w:rPr>
          <w:rFonts w:ascii="Arial" w:cs="Arial" w:eastAsia="Arial" w:hAnsi="Arial"/>
          <w:sz w:val="18"/>
          <w:szCs w:val="18"/>
          <w:color w:val="auto"/>
        </w:rPr>
        <w:t>Working closely with the Corporate Internal Audit Department, the Law Department implements and manages ethics and legal compliance programs designed to prevent and detect violations of the Code of Business Conduct, related standards of conduct and the law by employees or third parties. Allegations of non-compliance with laws or regulations are thoroughly investigated and remediated, as appropriate.</w:t>
      </w:r>
    </w:p>
    <w:p>
      <w:pPr>
        <w:spacing w:after="0" w:line="178" w:lineRule="exact"/>
        <w:rPr>
          <w:sz w:val="20"/>
          <w:szCs w:val="20"/>
          <w:color w:val="auto"/>
        </w:rPr>
      </w:pPr>
    </w:p>
    <w:p>
      <w:pPr>
        <w:jc w:val="both"/>
        <w:ind w:left="160"/>
        <w:spacing w:after="0" w:line="239" w:lineRule="auto"/>
        <w:rPr>
          <w:sz w:val="20"/>
          <w:szCs w:val="20"/>
          <w:color w:val="auto"/>
        </w:rPr>
      </w:pPr>
      <w:r>
        <w:rPr>
          <w:rFonts w:ascii="Arial" w:cs="Arial" w:eastAsia="Arial" w:hAnsi="Arial"/>
          <w:sz w:val="18"/>
          <w:szCs w:val="18"/>
          <w:color w:val="auto"/>
        </w:rPr>
        <w:t>Our Audit Committee has compliance oversight responsibility, which entails obtaining reports from the Corporate Internal Audit Department and the Law Department regarding any known material non-compliance with the law, advising the Board with respect to the Company’s legal compliance policies and procedures and discussing with the Law Department potentially material legal matters, including material inquiries received from regulators or government agencies. For more information on the Board’s oversight responsibilities, including its responsibility to oversee risk and our ERM Program, see “The Board of Directors and Corporate Governance — Other Board Matters — The Board’s Role in Risk Oversight.”</w:t>
      </w:r>
    </w:p>
    <w:p>
      <w:pPr>
        <w:spacing w:after="0" w:line="124"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F75E14"/>
        </w:rPr>
        <w:t>onsemi 2022 Proxy Statement</w:t>
        <w:tab/>
        <w:t>29</w:t>
      </w:r>
    </w:p>
    <w:p>
      <w:pPr>
        <w:sectPr>
          <w:pgSz w:w="11900" w:h="16838" w:orient="portrait"/>
          <w:cols w:equalWidth="0" w:num="1">
            <w:col w:w="11080"/>
          </w:cols>
          <w:pgMar w:left="320" w:top="454" w:right="499" w:bottom="1440" w:gutter="0" w:footer="0" w:header="0"/>
        </w:sectPr>
      </w:pPr>
    </w:p>
    <w:bookmarkStart w:id="33" w:name="page34"/>
    <w:bookmarkEnd w:id="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6"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F75E14"/>
        </w:rPr>
        <w:t>COMPENSATION DISCUSSION AND ANALYSIS</w:t>
      </w:r>
    </w:p>
    <w:p>
      <w:pPr>
        <w:spacing w:after="0" w:line="9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Overview</w:t>
      </w:r>
    </w:p>
    <w:p>
      <w:pPr>
        <w:spacing w:after="0" w:line="101" w:lineRule="exact"/>
        <w:rPr>
          <w:sz w:val="20"/>
          <w:szCs w:val="20"/>
          <w:color w:val="auto"/>
        </w:rPr>
      </w:pPr>
    </w:p>
    <w:p>
      <w:pPr>
        <w:ind w:left="160"/>
        <w:spacing w:after="0" w:line="265" w:lineRule="auto"/>
        <w:rPr>
          <w:sz w:val="20"/>
          <w:szCs w:val="20"/>
          <w:color w:val="auto"/>
        </w:rPr>
      </w:pPr>
      <w:r>
        <w:rPr>
          <w:rFonts w:ascii="Arial" w:cs="Arial" w:eastAsia="Arial" w:hAnsi="Arial"/>
          <w:sz w:val="18"/>
          <w:szCs w:val="18"/>
          <w:color w:val="auto"/>
        </w:rPr>
        <w:t>This CD&amp;A contains material information about our compensation objectives and policies and explains the material elements of the disclosures that are contained in this proxy statement with respect to the compensation of our NEOs. For 2021, our NEOs were:</w:t>
      </w:r>
    </w:p>
    <w:p>
      <w:pPr>
        <w:spacing w:after="0" w:line="83" w:lineRule="exact"/>
        <w:rPr>
          <w:sz w:val="20"/>
          <w:szCs w:val="20"/>
          <w:color w:val="auto"/>
        </w:rPr>
      </w:pPr>
    </w:p>
    <w:tbl>
      <w:tblPr>
        <w:tblLayout w:type="fixed"/>
        <w:tblInd w:w="160" w:type="dxa"/>
        <w:tblCellMar>
          <w:top w:w="0" w:type="dxa"/>
          <w:left w:w="0" w:type="dxa"/>
          <w:bottom w:w="0" w:type="dxa"/>
          <w:right w:w="0" w:type="dxa"/>
        </w:tblCellMar>
      </w:tblPr>
      <w:tr>
        <w:trPr>
          <w:trHeight w:val="281"/>
        </w:trPr>
        <w:tc>
          <w:tcPr>
            <w:tcW w:w="3620" w:type="dxa"/>
            <w:vAlign w:val="bottom"/>
            <w:shd w:val="clear" w:color="auto" w:fill="F75E14"/>
          </w:tcPr>
          <w:p>
            <w:pPr>
              <w:ind w:left="60"/>
              <w:spacing w:after="0"/>
              <w:rPr>
                <w:sz w:val="20"/>
                <w:szCs w:val="20"/>
                <w:color w:val="auto"/>
              </w:rPr>
            </w:pPr>
            <w:r>
              <w:rPr>
                <w:rFonts w:ascii="Arial" w:cs="Arial" w:eastAsia="Arial" w:hAnsi="Arial"/>
                <w:sz w:val="16"/>
                <w:szCs w:val="16"/>
                <w:b w:val="1"/>
                <w:bCs w:val="1"/>
                <w:color w:val="FFFFFF"/>
              </w:rPr>
              <w:t>Name</w:t>
            </w:r>
          </w:p>
        </w:tc>
        <w:tc>
          <w:tcPr>
            <w:tcW w:w="7300" w:type="dxa"/>
            <w:vAlign w:val="bottom"/>
            <w:shd w:val="clear" w:color="auto" w:fill="F75E14"/>
          </w:tcPr>
          <w:p>
            <w:pPr>
              <w:ind w:left="100"/>
              <w:spacing w:after="0"/>
              <w:rPr>
                <w:sz w:val="20"/>
                <w:szCs w:val="20"/>
                <w:color w:val="auto"/>
              </w:rPr>
            </w:pPr>
            <w:r>
              <w:rPr>
                <w:rFonts w:ascii="Arial" w:cs="Arial" w:eastAsia="Arial" w:hAnsi="Arial"/>
                <w:sz w:val="16"/>
                <w:szCs w:val="16"/>
                <w:b w:val="1"/>
                <w:bCs w:val="1"/>
                <w:color w:val="FFFFFF"/>
              </w:rPr>
              <w:t>Position Held</w:t>
            </w:r>
          </w:p>
        </w:tc>
        <w:tc>
          <w:tcPr>
            <w:tcW w:w="0" w:type="dxa"/>
            <w:vAlign w:val="bottom"/>
          </w:tcPr>
          <w:p>
            <w:pPr>
              <w:spacing w:after="0"/>
              <w:rPr>
                <w:sz w:val="1"/>
                <w:szCs w:val="1"/>
                <w:color w:val="auto"/>
              </w:rPr>
            </w:pPr>
          </w:p>
        </w:tc>
      </w:tr>
      <w:tr>
        <w:trPr>
          <w:trHeight w:val="241"/>
        </w:trPr>
        <w:tc>
          <w:tcPr>
            <w:tcW w:w="3620" w:type="dxa"/>
            <w:vAlign w:val="bottom"/>
            <w:shd w:val="clear" w:color="auto" w:fill="D8E8EF"/>
          </w:tcPr>
          <w:p>
            <w:pPr>
              <w:ind w:left="60"/>
              <w:spacing w:after="0"/>
              <w:rPr>
                <w:sz w:val="20"/>
                <w:szCs w:val="20"/>
                <w:color w:val="auto"/>
              </w:rPr>
            </w:pPr>
            <w:r>
              <w:rPr>
                <w:rFonts w:ascii="Arial" w:cs="Arial" w:eastAsia="Arial" w:hAnsi="Arial"/>
                <w:sz w:val="16"/>
                <w:szCs w:val="16"/>
                <w:color w:val="auto"/>
              </w:rPr>
              <w:t>Hassane El-Khoury</w:t>
            </w:r>
          </w:p>
        </w:tc>
        <w:tc>
          <w:tcPr>
            <w:tcW w:w="7300" w:type="dxa"/>
            <w:vAlign w:val="bottom"/>
            <w:shd w:val="clear" w:color="auto" w:fill="D8E8EF"/>
          </w:tcPr>
          <w:p>
            <w:pPr>
              <w:ind w:left="100"/>
              <w:spacing w:after="0"/>
              <w:rPr>
                <w:sz w:val="20"/>
                <w:szCs w:val="20"/>
                <w:color w:val="auto"/>
              </w:rPr>
            </w:pPr>
            <w:r>
              <w:rPr>
                <w:rFonts w:ascii="Arial" w:cs="Arial" w:eastAsia="Arial" w:hAnsi="Arial"/>
                <w:sz w:val="16"/>
                <w:szCs w:val="16"/>
                <w:color w:val="auto"/>
              </w:rPr>
              <w:t>President and Chief Executive Officer</w:t>
            </w:r>
          </w:p>
        </w:tc>
        <w:tc>
          <w:tcPr>
            <w:tcW w:w="0" w:type="dxa"/>
            <w:vAlign w:val="bottom"/>
          </w:tcPr>
          <w:p>
            <w:pPr>
              <w:spacing w:after="0"/>
              <w:rPr>
                <w:sz w:val="1"/>
                <w:szCs w:val="1"/>
                <w:color w:val="auto"/>
              </w:rPr>
            </w:pPr>
          </w:p>
        </w:tc>
      </w:tr>
      <w:tr>
        <w:trPr>
          <w:trHeight w:val="232"/>
        </w:trPr>
        <w:tc>
          <w:tcPr>
            <w:tcW w:w="3620" w:type="dxa"/>
            <w:vAlign w:val="bottom"/>
          </w:tcPr>
          <w:p>
            <w:pPr>
              <w:ind w:left="60"/>
              <w:spacing w:after="0"/>
              <w:rPr>
                <w:sz w:val="20"/>
                <w:szCs w:val="20"/>
                <w:color w:val="auto"/>
              </w:rPr>
            </w:pPr>
            <w:r>
              <w:rPr>
                <w:rFonts w:ascii="Arial" w:cs="Arial" w:eastAsia="Arial" w:hAnsi="Arial"/>
                <w:sz w:val="16"/>
                <w:szCs w:val="16"/>
                <w:color w:val="auto"/>
              </w:rPr>
              <w:t>Thad Trent (1)</w:t>
            </w:r>
          </w:p>
        </w:tc>
        <w:tc>
          <w:tcPr>
            <w:tcW w:w="7300" w:type="dxa"/>
            <w:vAlign w:val="bottom"/>
          </w:tcPr>
          <w:p>
            <w:pPr>
              <w:ind w:left="100"/>
              <w:spacing w:after="0"/>
              <w:rPr>
                <w:sz w:val="20"/>
                <w:szCs w:val="20"/>
                <w:color w:val="auto"/>
              </w:rPr>
            </w:pPr>
            <w:r>
              <w:rPr>
                <w:rFonts w:ascii="Arial" w:cs="Arial" w:eastAsia="Arial" w:hAnsi="Arial"/>
                <w:sz w:val="16"/>
                <w:szCs w:val="16"/>
                <w:color w:val="auto"/>
              </w:rPr>
              <w:t>Executive Vice President, Chief Financial Officer and Treasurer</w:t>
            </w:r>
          </w:p>
        </w:tc>
        <w:tc>
          <w:tcPr>
            <w:tcW w:w="0" w:type="dxa"/>
            <w:vAlign w:val="bottom"/>
          </w:tcPr>
          <w:p>
            <w:pPr>
              <w:spacing w:after="0"/>
              <w:rPr>
                <w:sz w:val="1"/>
                <w:szCs w:val="1"/>
                <w:color w:val="auto"/>
              </w:rPr>
            </w:pPr>
          </w:p>
        </w:tc>
      </w:tr>
      <w:tr>
        <w:trPr>
          <w:trHeight w:val="249"/>
        </w:trPr>
        <w:tc>
          <w:tcPr>
            <w:tcW w:w="3620" w:type="dxa"/>
            <w:vAlign w:val="bottom"/>
            <w:shd w:val="clear" w:color="auto" w:fill="D8E8EF"/>
          </w:tcPr>
          <w:p>
            <w:pPr>
              <w:ind w:left="60"/>
              <w:spacing w:after="0"/>
              <w:rPr>
                <w:sz w:val="20"/>
                <w:szCs w:val="20"/>
                <w:color w:val="auto"/>
              </w:rPr>
            </w:pPr>
            <w:r>
              <w:rPr>
                <w:rFonts w:ascii="Arial" w:cs="Arial" w:eastAsia="Arial" w:hAnsi="Arial"/>
                <w:sz w:val="16"/>
                <w:szCs w:val="16"/>
                <w:color w:val="auto"/>
              </w:rPr>
              <w:t>Vincent C. Hopkin</w:t>
            </w:r>
          </w:p>
        </w:tc>
        <w:tc>
          <w:tcPr>
            <w:tcW w:w="7300" w:type="dxa"/>
            <w:vAlign w:val="bottom"/>
            <w:shd w:val="clear" w:color="auto" w:fill="D8E8EF"/>
          </w:tcPr>
          <w:p>
            <w:pPr>
              <w:ind w:left="100"/>
              <w:spacing w:after="0"/>
              <w:rPr>
                <w:sz w:val="20"/>
                <w:szCs w:val="20"/>
                <w:color w:val="auto"/>
              </w:rPr>
            </w:pPr>
            <w:r>
              <w:rPr>
                <w:rFonts w:ascii="Arial" w:cs="Arial" w:eastAsia="Arial" w:hAnsi="Arial"/>
                <w:sz w:val="16"/>
                <w:szCs w:val="16"/>
                <w:color w:val="auto"/>
              </w:rPr>
              <w:t>Executive Vice President and General Manager, Advanced Solutions Group</w:t>
            </w:r>
          </w:p>
        </w:tc>
        <w:tc>
          <w:tcPr>
            <w:tcW w:w="0" w:type="dxa"/>
            <w:vAlign w:val="bottom"/>
          </w:tcPr>
          <w:p>
            <w:pPr>
              <w:spacing w:after="0"/>
              <w:rPr>
                <w:sz w:val="1"/>
                <w:szCs w:val="1"/>
                <w:color w:val="auto"/>
              </w:rPr>
            </w:pPr>
          </w:p>
        </w:tc>
      </w:tr>
      <w:tr>
        <w:trPr>
          <w:trHeight w:val="232"/>
        </w:trPr>
        <w:tc>
          <w:tcPr>
            <w:tcW w:w="3620" w:type="dxa"/>
            <w:vAlign w:val="bottom"/>
          </w:tcPr>
          <w:p>
            <w:pPr>
              <w:ind w:left="60"/>
              <w:spacing w:after="0"/>
              <w:rPr>
                <w:sz w:val="20"/>
                <w:szCs w:val="20"/>
                <w:color w:val="auto"/>
              </w:rPr>
            </w:pPr>
            <w:r>
              <w:rPr>
                <w:rFonts w:ascii="Arial" w:cs="Arial" w:eastAsia="Arial" w:hAnsi="Arial"/>
                <w:sz w:val="16"/>
                <w:szCs w:val="16"/>
                <w:color w:val="auto"/>
              </w:rPr>
              <w:t>Simon Keeton</w:t>
            </w:r>
          </w:p>
        </w:tc>
        <w:tc>
          <w:tcPr>
            <w:tcW w:w="7300" w:type="dxa"/>
            <w:vAlign w:val="bottom"/>
          </w:tcPr>
          <w:p>
            <w:pPr>
              <w:ind w:left="100"/>
              <w:spacing w:after="0"/>
              <w:rPr>
                <w:sz w:val="20"/>
                <w:szCs w:val="20"/>
                <w:color w:val="auto"/>
              </w:rPr>
            </w:pPr>
            <w:r>
              <w:rPr>
                <w:rFonts w:ascii="Arial" w:cs="Arial" w:eastAsia="Arial" w:hAnsi="Arial"/>
                <w:sz w:val="16"/>
                <w:szCs w:val="16"/>
                <w:color w:val="auto"/>
              </w:rPr>
              <w:t>Executive Vice President and General Manager, Power Solutions Group</w:t>
            </w:r>
          </w:p>
        </w:tc>
        <w:tc>
          <w:tcPr>
            <w:tcW w:w="0" w:type="dxa"/>
            <w:vAlign w:val="bottom"/>
          </w:tcPr>
          <w:p>
            <w:pPr>
              <w:spacing w:after="0"/>
              <w:rPr>
                <w:sz w:val="1"/>
                <w:szCs w:val="1"/>
                <w:color w:val="auto"/>
              </w:rPr>
            </w:pPr>
          </w:p>
        </w:tc>
      </w:tr>
      <w:tr>
        <w:trPr>
          <w:trHeight w:val="249"/>
        </w:trPr>
        <w:tc>
          <w:tcPr>
            <w:tcW w:w="3620" w:type="dxa"/>
            <w:vAlign w:val="bottom"/>
            <w:shd w:val="clear" w:color="auto" w:fill="D8E8EF"/>
          </w:tcPr>
          <w:p>
            <w:pPr>
              <w:ind w:left="60"/>
              <w:spacing w:after="0"/>
              <w:rPr>
                <w:sz w:val="20"/>
                <w:szCs w:val="20"/>
                <w:color w:val="auto"/>
              </w:rPr>
            </w:pPr>
            <w:r>
              <w:rPr>
                <w:rFonts w:ascii="Arial" w:cs="Arial" w:eastAsia="Arial" w:hAnsi="Arial"/>
                <w:sz w:val="16"/>
                <w:szCs w:val="16"/>
                <w:color w:val="auto"/>
              </w:rPr>
              <w:t>Ross F. Jatou</w:t>
            </w:r>
          </w:p>
        </w:tc>
        <w:tc>
          <w:tcPr>
            <w:tcW w:w="7300" w:type="dxa"/>
            <w:vAlign w:val="bottom"/>
            <w:shd w:val="clear" w:color="auto" w:fill="D8E8EF"/>
          </w:tcPr>
          <w:p>
            <w:pPr>
              <w:ind w:left="100"/>
              <w:spacing w:after="0"/>
              <w:rPr>
                <w:sz w:val="20"/>
                <w:szCs w:val="20"/>
                <w:color w:val="auto"/>
              </w:rPr>
            </w:pPr>
            <w:r>
              <w:rPr>
                <w:rFonts w:ascii="Arial" w:cs="Arial" w:eastAsia="Arial" w:hAnsi="Arial"/>
                <w:sz w:val="16"/>
                <w:szCs w:val="16"/>
                <w:color w:val="auto"/>
              </w:rPr>
              <w:t>Senior Vice President and General Manager, Intelligent Sensing Group</w:t>
            </w:r>
          </w:p>
        </w:tc>
        <w:tc>
          <w:tcPr>
            <w:tcW w:w="0" w:type="dxa"/>
            <w:vAlign w:val="bottom"/>
          </w:tcPr>
          <w:p>
            <w:pPr>
              <w:spacing w:after="0"/>
              <w:rPr>
                <w:sz w:val="1"/>
                <w:szCs w:val="1"/>
                <w:color w:val="auto"/>
              </w:rPr>
            </w:pPr>
          </w:p>
        </w:tc>
      </w:tr>
      <w:tr>
        <w:trPr>
          <w:trHeight w:val="200"/>
        </w:trPr>
        <w:tc>
          <w:tcPr>
            <w:tcW w:w="3620" w:type="dxa"/>
            <w:vAlign w:val="bottom"/>
            <w:vMerge w:val="restart"/>
          </w:tcPr>
          <w:p>
            <w:pPr>
              <w:ind w:left="60"/>
              <w:spacing w:after="0"/>
              <w:rPr>
                <w:sz w:val="20"/>
                <w:szCs w:val="20"/>
                <w:color w:val="auto"/>
              </w:rPr>
            </w:pPr>
            <w:r>
              <w:rPr>
                <w:rFonts w:ascii="Arial" w:cs="Arial" w:eastAsia="Arial" w:hAnsi="Arial"/>
                <w:sz w:val="16"/>
                <w:szCs w:val="16"/>
                <w:color w:val="auto"/>
              </w:rPr>
              <w:t>George H. Cave (2)</w:t>
            </w:r>
          </w:p>
        </w:tc>
        <w:tc>
          <w:tcPr>
            <w:tcW w:w="7300" w:type="dxa"/>
            <w:vAlign w:val="bottom"/>
          </w:tcPr>
          <w:p>
            <w:pPr>
              <w:ind w:left="100"/>
              <w:spacing w:after="0"/>
              <w:rPr>
                <w:sz w:val="20"/>
                <w:szCs w:val="20"/>
                <w:color w:val="auto"/>
              </w:rPr>
            </w:pPr>
            <w:r>
              <w:rPr>
                <w:rFonts w:ascii="Arial" w:cs="Arial" w:eastAsia="Arial" w:hAnsi="Arial"/>
                <w:sz w:val="16"/>
                <w:szCs w:val="16"/>
                <w:color w:val="auto"/>
              </w:rPr>
              <w:t>Former Executive Vice President, General Counsel, Chief Compliance Officer, Chief Risk Officer and</w:t>
            </w:r>
          </w:p>
        </w:tc>
        <w:tc>
          <w:tcPr>
            <w:tcW w:w="0" w:type="dxa"/>
            <w:vAlign w:val="bottom"/>
          </w:tcPr>
          <w:p>
            <w:pPr>
              <w:spacing w:after="0"/>
              <w:rPr>
                <w:sz w:val="1"/>
                <w:szCs w:val="1"/>
                <w:color w:val="auto"/>
              </w:rPr>
            </w:pPr>
          </w:p>
        </w:tc>
      </w:tr>
      <w:tr>
        <w:trPr>
          <w:trHeight w:val="118"/>
        </w:trPr>
        <w:tc>
          <w:tcPr>
            <w:tcW w:w="3620" w:type="dxa"/>
            <w:vAlign w:val="bottom"/>
            <w:vMerge w:val="continue"/>
          </w:tcPr>
          <w:p>
            <w:pPr>
              <w:spacing w:after="0"/>
              <w:rPr>
                <w:sz w:val="10"/>
                <w:szCs w:val="10"/>
                <w:color w:val="auto"/>
              </w:rPr>
            </w:pPr>
          </w:p>
        </w:tc>
        <w:tc>
          <w:tcPr>
            <w:tcW w:w="7300" w:type="dxa"/>
            <w:vAlign w:val="bottom"/>
            <w:vMerge w:val="restart"/>
          </w:tcPr>
          <w:p>
            <w:pPr>
              <w:ind w:left="100"/>
              <w:spacing w:after="0"/>
              <w:rPr>
                <w:sz w:val="20"/>
                <w:szCs w:val="20"/>
                <w:color w:val="auto"/>
              </w:rPr>
            </w:pPr>
            <w:r>
              <w:rPr>
                <w:rFonts w:ascii="Arial" w:cs="Arial" w:eastAsia="Arial" w:hAnsi="Arial"/>
                <w:sz w:val="16"/>
                <w:szCs w:val="16"/>
                <w:color w:val="auto"/>
              </w:rPr>
              <w:t>Secretary</w:t>
            </w:r>
          </w:p>
        </w:tc>
        <w:tc>
          <w:tcPr>
            <w:tcW w:w="0" w:type="dxa"/>
            <w:vAlign w:val="bottom"/>
          </w:tcPr>
          <w:p>
            <w:pPr>
              <w:spacing w:after="0"/>
              <w:rPr>
                <w:sz w:val="1"/>
                <w:szCs w:val="1"/>
                <w:color w:val="auto"/>
              </w:rPr>
            </w:pPr>
          </w:p>
        </w:tc>
      </w:tr>
      <w:tr>
        <w:trPr>
          <w:trHeight w:val="102"/>
        </w:trPr>
        <w:tc>
          <w:tcPr>
            <w:tcW w:w="3620" w:type="dxa"/>
            <w:vAlign w:val="bottom"/>
          </w:tcPr>
          <w:p>
            <w:pPr>
              <w:spacing w:after="0"/>
              <w:rPr>
                <w:sz w:val="8"/>
                <w:szCs w:val="8"/>
                <w:color w:val="auto"/>
              </w:rPr>
            </w:pPr>
          </w:p>
        </w:tc>
        <w:tc>
          <w:tcPr>
            <w:tcW w:w="73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3620" w:type="dxa"/>
            <w:vAlign w:val="bottom"/>
            <w:tcBorders>
              <w:bottom w:val="single" w:sz="8" w:color="auto"/>
            </w:tcBorders>
            <w:shd w:val="clear" w:color="auto" w:fill="D8E8EF"/>
          </w:tcPr>
          <w:p>
            <w:pPr>
              <w:ind w:left="60"/>
              <w:spacing w:after="0"/>
              <w:rPr>
                <w:sz w:val="20"/>
                <w:szCs w:val="20"/>
                <w:color w:val="auto"/>
              </w:rPr>
            </w:pPr>
            <w:r>
              <w:rPr>
                <w:rFonts w:ascii="Arial" w:cs="Arial" w:eastAsia="Arial" w:hAnsi="Arial"/>
                <w:sz w:val="16"/>
                <w:szCs w:val="16"/>
                <w:color w:val="auto"/>
              </w:rPr>
              <w:t>Bernard Gutmann (3)</w:t>
            </w:r>
          </w:p>
        </w:tc>
        <w:tc>
          <w:tcPr>
            <w:tcW w:w="7300" w:type="dxa"/>
            <w:vAlign w:val="bottom"/>
            <w:tcBorders>
              <w:bottom w:val="single" w:sz="8" w:color="auto"/>
            </w:tcBorders>
            <w:shd w:val="clear" w:color="auto" w:fill="D8E8EF"/>
          </w:tcPr>
          <w:p>
            <w:pPr>
              <w:ind w:left="100"/>
              <w:spacing w:after="0"/>
              <w:rPr>
                <w:sz w:val="20"/>
                <w:szCs w:val="20"/>
                <w:color w:val="auto"/>
              </w:rPr>
            </w:pPr>
            <w:r>
              <w:rPr>
                <w:rFonts w:ascii="Arial" w:cs="Arial" w:eastAsia="Arial" w:hAnsi="Arial"/>
                <w:sz w:val="16"/>
                <w:szCs w:val="16"/>
                <w:color w:val="auto"/>
              </w:rPr>
              <w:t>Former Executive Vice President, Chief Financial Officer and Treasurer</w:t>
            </w:r>
          </w:p>
        </w:tc>
        <w:tc>
          <w:tcPr>
            <w:tcW w:w="0" w:type="dxa"/>
            <w:vAlign w:val="bottom"/>
          </w:tcPr>
          <w:p>
            <w:pPr>
              <w:spacing w:after="0"/>
              <w:rPr>
                <w:sz w:val="1"/>
                <w:szCs w:val="1"/>
                <w:color w:val="auto"/>
              </w:rPr>
            </w:pPr>
          </w:p>
        </w:tc>
      </w:tr>
    </w:tbl>
    <w:p>
      <w:pPr>
        <w:ind w:left="600" w:right="20" w:hanging="433"/>
        <w:spacing w:after="0" w:line="242" w:lineRule="auto"/>
        <w:tabs>
          <w:tab w:leader="none" w:pos="600" w:val="left"/>
        </w:tabs>
        <w:numPr>
          <w:ilvl w:val="0"/>
          <w:numId w:val="47"/>
        </w:numPr>
        <w:rPr>
          <w:rFonts w:ascii="Arial" w:cs="Arial" w:eastAsia="Arial" w:hAnsi="Arial"/>
          <w:sz w:val="14"/>
          <w:szCs w:val="14"/>
          <w:color w:val="auto"/>
        </w:rPr>
      </w:pPr>
      <w:r>
        <w:rPr>
          <w:rFonts w:ascii="Arial" w:cs="Arial" w:eastAsia="Arial" w:hAnsi="Arial"/>
          <w:sz w:val="14"/>
          <w:szCs w:val="14"/>
          <w:color w:val="auto"/>
        </w:rPr>
        <w:t>After the Board approved the appointment of Mr. Trent as Executive Vice President, Chief Financial Officer and Treasurer on January 24, 2021, Mr. Trent assumed the role effective immediately following the filing of the 2020 Form 10-K on February 16, 2021.</w:t>
      </w:r>
    </w:p>
    <w:p>
      <w:pPr>
        <w:spacing w:after="0" w:line="1" w:lineRule="exact"/>
        <w:rPr>
          <w:rFonts w:ascii="Arial" w:cs="Arial" w:eastAsia="Arial" w:hAnsi="Arial"/>
          <w:sz w:val="14"/>
          <w:szCs w:val="14"/>
          <w:color w:val="auto"/>
        </w:rPr>
      </w:pPr>
    </w:p>
    <w:p>
      <w:pPr>
        <w:ind w:left="600" w:hanging="433"/>
        <w:spacing w:after="0" w:line="239" w:lineRule="auto"/>
        <w:tabs>
          <w:tab w:leader="none" w:pos="600" w:val="left"/>
        </w:tabs>
        <w:numPr>
          <w:ilvl w:val="0"/>
          <w:numId w:val="47"/>
        </w:numPr>
        <w:rPr>
          <w:rFonts w:ascii="Arial" w:cs="Arial" w:eastAsia="Arial" w:hAnsi="Arial"/>
          <w:sz w:val="14"/>
          <w:szCs w:val="14"/>
          <w:color w:val="auto"/>
        </w:rPr>
      </w:pPr>
      <w:r>
        <w:rPr>
          <w:rFonts w:ascii="Arial" w:cs="Arial" w:eastAsia="Arial" w:hAnsi="Arial"/>
          <w:sz w:val="14"/>
          <w:szCs w:val="14"/>
          <w:color w:val="auto"/>
        </w:rPr>
        <w:t>Mr. Cave transitioned to an advisory role after Pamela Tondreau was named Executive Vice President, Chief Legal Officer, Chief Compliance Officer and Secretary of the Corporation effective as of October 11, 2021. He then remained employed in such advisory role until retiring as of April 1, 2022.</w:t>
      </w:r>
    </w:p>
    <w:p>
      <w:pPr>
        <w:ind w:left="600" w:right="20" w:hanging="433"/>
        <w:spacing w:after="0" w:line="260" w:lineRule="auto"/>
        <w:tabs>
          <w:tab w:leader="none" w:pos="600" w:val="left"/>
        </w:tabs>
        <w:numPr>
          <w:ilvl w:val="0"/>
          <w:numId w:val="47"/>
        </w:numPr>
        <w:rPr>
          <w:rFonts w:ascii="Arial" w:cs="Arial" w:eastAsia="Arial" w:hAnsi="Arial"/>
          <w:sz w:val="14"/>
          <w:szCs w:val="14"/>
          <w:color w:val="auto"/>
        </w:rPr>
      </w:pPr>
      <w:r>
        <w:rPr>
          <w:rFonts w:ascii="Arial" w:cs="Arial" w:eastAsia="Arial" w:hAnsi="Arial"/>
          <w:sz w:val="14"/>
          <w:szCs w:val="14"/>
          <w:color w:val="auto"/>
        </w:rPr>
        <w:t>Mr. Gutmann retired from his position as Executive Vice President, Chief Financial Officer and Treasurer, effective as of the filing of the 2020 Form 10-K on February 16, 2021.</w:t>
      </w:r>
    </w:p>
    <w:p>
      <w:pPr>
        <w:spacing w:after="0" w:line="16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Significant 2021 Compensation Changes</w:t>
      </w:r>
    </w:p>
    <w:p>
      <w:pPr>
        <w:spacing w:after="0" w:line="208" w:lineRule="exact"/>
        <w:rPr>
          <w:sz w:val="20"/>
          <w:szCs w:val="20"/>
          <w:color w:val="auto"/>
        </w:rPr>
      </w:pPr>
    </w:p>
    <w:p>
      <w:pPr>
        <w:ind w:left="160"/>
        <w:spacing w:after="0" w:line="265" w:lineRule="auto"/>
        <w:rPr>
          <w:sz w:val="20"/>
          <w:szCs w:val="20"/>
          <w:color w:val="auto"/>
        </w:rPr>
      </w:pPr>
      <w:r>
        <w:rPr>
          <w:rFonts w:ascii="Arial" w:cs="Arial" w:eastAsia="Arial" w:hAnsi="Arial"/>
          <w:sz w:val="18"/>
          <w:szCs w:val="18"/>
          <w:color w:val="auto"/>
        </w:rPr>
        <w:t>We undertook the following actions in 2021 to increase the pay-for-performance elements of our NEOs’ compensation and drive alignment with longer-term results:</w:t>
      </w:r>
    </w:p>
    <w:p>
      <w:pPr>
        <w:spacing w:after="0" w:line="64" w:lineRule="exact"/>
        <w:rPr>
          <w:sz w:val="20"/>
          <w:szCs w:val="20"/>
          <w:color w:val="auto"/>
        </w:rPr>
      </w:pPr>
    </w:p>
    <w:p>
      <w:pPr>
        <w:jc w:val="both"/>
        <w:ind w:left="1020" w:hanging="425"/>
        <w:spacing w:after="0" w:line="249" w:lineRule="auto"/>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To better align executive compensation with the performance goals that characterize the Company’s new strategic direction under Mr. El-Khoury, we used revenue, non-generally accepted accounting principles (“non-GAAP”) gross margin and non-GAAP operating expense as performance metrics in connection with the NEOs’ long-term incentive compensation.</w:t>
      </w:r>
    </w:p>
    <w:p>
      <w:pPr>
        <w:spacing w:after="0" w:line="77" w:lineRule="exact"/>
        <w:rPr>
          <w:rFonts w:ascii="Arial" w:cs="Arial" w:eastAsia="Arial" w:hAnsi="Arial"/>
          <w:sz w:val="18"/>
          <w:szCs w:val="18"/>
          <w:color w:val="auto"/>
        </w:rPr>
      </w:pPr>
    </w:p>
    <w:p>
      <w:pPr>
        <w:jc w:val="both"/>
        <w:ind w:left="1020" w:hanging="425"/>
        <w:spacing w:after="0" w:line="238" w:lineRule="auto"/>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To ensure a focus on the Company’s success within our industry and further promote stockholder interests, we further tailored the incorporation of a relative total stockholder return (“Relative TSR”) metric into our long-term incentive compensation structure. As modified, our Relative TSR performance may increase or decrease the amount of performance-based restricted stock units (“PBRSUs”) earned as follows (the “TSR Adjustment”): (i) a potential negative adjustment to a NEO’s earned PBRSUs if the Company’s Relative TSR is below the 25</w:t>
      </w:r>
      <w:r>
        <w:rPr>
          <w:rFonts w:ascii="Arial" w:cs="Arial" w:eastAsia="Arial" w:hAnsi="Arial"/>
          <w:sz w:val="15"/>
          <w:szCs w:val="15"/>
          <w:color w:val="auto"/>
        </w:rPr>
        <w:t>th</w:t>
      </w:r>
      <w:r>
        <w:rPr>
          <w:rFonts w:ascii="Arial" w:cs="Arial" w:eastAsia="Arial" w:hAnsi="Arial"/>
          <w:sz w:val="18"/>
          <w:szCs w:val="18"/>
          <w:color w:val="auto"/>
        </w:rPr>
        <w:t xml:space="preserve"> percentile, and (ii) a potential upside opportunity to earn additional PBRSUs if the Company’s Relative TSR is above the 50</w:t>
      </w:r>
      <w:r>
        <w:rPr>
          <w:rFonts w:ascii="Arial" w:cs="Arial" w:eastAsia="Arial" w:hAnsi="Arial"/>
          <w:sz w:val="15"/>
          <w:szCs w:val="15"/>
          <w:color w:val="auto"/>
        </w:rPr>
        <w:t>th</w:t>
      </w:r>
      <w:r>
        <w:rPr>
          <w:rFonts w:ascii="Arial" w:cs="Arial" w:eastAsia="Arial" w:hAnsi="Arial"/>
          <w:sz w:val="18"/>
          <w:szCs w:val="18"/>
          <w:color w:val="auto"/>
        </w:rPr>
        <w:t xml:space="preserve"> percentile (with a maximum achievement once the Company’s Relative TSR reaches the 75</w:t>
      </w:r>
      <w:r>
        <w:rPr>
          <w:rFonts w:ascii="Arial" w:cs="Arial" w:eastAsia="Arial" w:hAnsi="Arial"/>
          <w:sz w:val="15"/>
          <w:szCs w:val="15"/>
          <w:color w:val="auto"/>
        </w:rPr>
        <w:t>th</w:t>
      </w:r>
      <w:r>
        <w:rPr>
          <w:rFonts w:ascii="Arial" w:cs="Arial" w:eastAsia="Arial" w:hAnsi="Arial"/>
          <w:sz w:val="18"/>
          <w:szCs w:val="18"/>
          <w:color w:val="auto"/>
        </w:rPr>
        <w:t xml:space="preserve"> percentile).</w:t>
      </w:r>
    </w:p>
    <w:p>
      <w:pPr>
        <w:spacing w:after="0" w:line="124" w:lineRule="exact"/>
        <w:rPr>
          <w:sz w:val="20"/>
          <w:szCs w:val="20"/>
          <w:color w:val="auto"/>
        </w:rPr>
      </w:pPr>
    </w:p>
    <w:p>
      <w:pPr>
        <w:ind w:left="160"/>
        <w:spacing w:after="0"/>
        <w:tabs>
          <w:tab w:leader="none" w:pos="500" w:val="left"/>
        </w:tabs>
        <w:rPr>
          <w:sz w:val="20"/>
          <w:szCs w:val="20"/>
          <w:color w:val="auto"/>
        </w:rPr>
      </w:pPr>
      <w:r>
        <w:rPr>
          <w:rFonts w:ascii="Arial" w:cs="Arial" w:eastAsia="Arial" w:hAnsi="Arial"/>
          <w:sz w:val="14"/>
          <w:szCs w:val="14"/>
          <w:color w:val="F75E14"/>
        </w:rPr>
        <w:t>30</w:t>
        <w:tab/>
        <w:t>onsemi 2022 Proxy Statement</w:t>
      </w:r>
    </w:p>
    <w:p>
      <w:pPr>
        <w:sectPr>
          <w:pgSz w:w="11900" w:h="16838" w:orient="portrait"/>
          <w:cols w:equalWidth="0" w:num="1">
            <w:col w:w="11080"/>
          </w:cols>
          <w:pgMar w:left="320" w:top="454" w:right="499" w:bottom="1440" w:gutter="0" w:footer="0" w:header="0"/>
        </w:sectPr>
      </w:pPr>
    </w:p>
    <w:bookmarkStart w:id="34" w:name="page35"/>
    <w:bookmarkEnd w:id="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2" w:lineRule="exact"/>
        <w:rPr>
          <w:sz w:val="20"/>
          <w:szCs w:val="20"/>
          <w:color w:val="auto"/>
        </w:rPr>
      </w:pPr>
    </w:p>
    <w:p>
      <w:pPr>
        <w:jc w:val="right"/>
        <w:spacing w:after="0"/>
        <w:rPr>
          <w:sz w:val="20"/>
          <w:szCs w:val="20"/>
          <w:color w:val="auto"/>
        </w:rPr>
      </w:pPr>
      <w:r>
        <w:rPr>
          <w:rFonts w:ascii="Arial" w:cs="Arial" w:eastAsia="Arial" w:hAnsi="Arial"/>
          <w:sz w:val="18"/>
          <w:szCs w:val="18"/>
          <w:color w:val="F75E14"/>
        </w:rPr>
        <w:t>Compensation Discussion and Analysis</w:t>
      </w:r>
    </w:p>
    <w:p>
      <w:pPr>
        <w:spacing w:after="0" w:line="14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Compensation Program Highlights</w:t>
      </w:r>
    </w:p>
    <w:p>
      <w:pPr>
        <w:spacing w:after="0" w:line="208" w:lineRule="exact"/>
        <w:rPr>
          <w:sz w:val="20"/>
          <w:szCs w:val="20"/>
          <w:color w:val="auto"/>
        </w:rPr>
      </w:pPr>
    </w:p>
    <w:p>
      <w:pPr>
        <w:jc w:val="both"/>
        <w:ind w:left="160"/>
        <w:spacing w:after="0" w:line="249" w:lineRule="auto"/>
        <w:rPr>
          <w:sz w:val="20"/>
          <w:szCs w:val="20"/>
          <w:color w:val="auto"/>
        </w:rPr>
      </w:pPr>
      <w:r>
        <w:rPr>
          <w:rFonts w:ascii="Arial" w:cs="Arial" w:eastAsia="Arial" w:hAnsi="Arial"/>
          <w:sz w:val="18"/>
          <w:szCs w:val="18"/>
          <w:color w:val="auto"/>
        </w:rPr>
        <w:t>The HCC Committee believes that the features of our 2021 compensation program and our 2021 compensation actions advanced the Company’s 2021 strategic priorities and were consistent with market practices. Below are a few of the highlights of our compensation practices and policies for our 2021 NEO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386715</wp:posOffset>
            </wp:positionH>
            <wp:positionV relativeFrom="paragraph">
              <wp:posOffset>137795</wp:posOffset>
            </wp:positionV>
            <wp:extent cx="6369050" cy="322707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369050" cy="3227070"/>
                    </a:xfrm>
                    <a:prstGeom prst="rect">
                      <a:avLst/>
                    </a:prstGeom>
                    <a:noFill/>
                  </pic:spPr>
                </pic:pic>
              </a:graphicData>
            </a:graphic>
          </wp:anchor>
        </w:drawing>
      </w:r>
    </w:p>
    <w:p>
      <w:pPr>
        <w:sectPr>
          <w:pgSz w:w="11900" w:h="16838" w:orient="portrait"/>
          <w:cols w:equalWidth="0" w:num="1">
            <w:col w:w="11080"/>
          </w:cols>
          <w:pgMar w:left="320" w:top="454" w:right="499" w:bottom="1440" w:gutter="0" w:footer="0" w:header="0"/>
        </w:sectPr>
      </w:pPr>
    </w:p>
    <w:p>
      <w:pPr>
        <w:spacing w:after="0" w:line="312" w:lineRule="exact"/>
        <w:rPr>
          <w:sz w:val="20"/>
          <w:szCs w:val="20"/>
          <w:color w:val="auto"/>
        </w:rPr>
      </w:pPr>
    </w:p>
    <w:p>
      <w:pPr>
        <w:ind w:left="700"/>
        <w:spacing w:after="0"/>
        <w:rPr>
          <w:sz w:val="20"/>
          <w:szCs w:val="20"/>
          <w:color w:val="auto"/>
        </w:rPr>
      </w:pPr>
      <w:r>
        <w:rPr>
          <w:rFonts w:ascii="Arial" w:cs="Arial" w:eastAsia="Arial" w:hAnsi="Arial"/>
          <w:sz w:val="16"/>
          <w:szCs w:val="16"/>
          <w:b w:val="1"/>
          <w:bCs w:val="1"/>
          <w:i w:val="1"/>
          <w:iCs w:val="1"/>
          <w:color w:val="FFFFFF"/>
        </w:rPr>
        <w:t>WE DO:</w:t>
      </w:r>
    </w:p>
    <w:p>
      <w:pPr>
        <w:spacing w:after="0" w:line="41" w:lineRule="exact"/>
        <w:rPr>
          <w:sz w:val="20"/>
          <w:szCs w:val="20"/>
          <w:color w:val="auto"/>
        </w:rPr>
      </w:pPr>
    </w:p>
    <w:p>
      <w:pPr>
        <w:ind w:left="1180" w:hanging="472"/>
        <w:spacing w:after="0" w:line="258" w:lineRule="auto"/>
        <w:tabs>
          <w:tab w:leader="none" w:pos="1180" w:val="left"/>
        </w:tabs>
        <w:numPr>
          <w:ilvl w:val="0"/>
          <w:numId w:val="49"/>
        </w:numPr>
        <w:rPr>
          <w:rFonts w:ascii="MS PGothic" w:cs="MS PGothic" w:eastAsia="MS PGothic" w:hAnsi="MS PGothic"/>
          <w:sz w:val="18"/>
          <w:szCs w:val="18"/>
          <w:color w:val="1C6605"/>
        </w:rPr>
      </w:pPr>
      <w:r>
        <w:rPr>
          <w:rFonts w:ascii="Arial" w:cs="Arial" w:eastAsia="Arial" w:hAnsi="Arial"/>
          <w:sz w:val="16"/>
          <w:szCs w:val="16"/>
          <w:color w:val="auto"/>
        </w:rPr>
        <w:t>Incentivize our employees to achieve or exceed financial goals established for the Company and to deliver superior returns to our stockholders.</w:t>
      </w:r>
    </w:p>
    <w:p>
      <w:pPr>
        <w:spacing w:after="0" w:line="83" w:lineRule="exact"/>
        <w:rPr>
          <w:rFonts w:ascii="MS PGothic" w:cs="MS PGothic" w:eastAsia="MS PGothic" w:hAnsi="MS PGothic"/>
          <w:sz w:val="18"/>
          <w:szCs w:val="18"/>
          <w:color w:val="1C6605"/>
        </w:rPr>
      </w:pPr>
    </w:p>
    <w:p>
      <w:pPr>
        <w:ind w:left="1180" w:right="300" w:hanging="472"/>
        <w:spacing w:after="0" w:line="258" w:lineRule="auto"/>
        <w:tabs>
          <w:tab w:leader="none" w:pos="1180" w:val="left"/>
        </w:tabs>
        <w:numPr>
          <w:ilvl w:val="0"/>
          <w:numId w:val="49"/>
        </w:numPr>
        <w:rPr>
          <w:rFonts w:ascii="MS PGothic" w:cs="MS PGothic" w:eastAsia="MS PGothic" w:hAnsi="MS PGothic"/>
          <w:sz w:val="18"/>
          <w:szCs w:val="18"/>
          <w:color w:val="1C6605"/>
        </w:rPr>
      </w:pPr>
      <w:r>
        <w:rPr>
          <w:rFonts w:ascii="Arial" w:cs="Arial" w:eastAsia="Arial" w:hAnsi="Arial"/>
          <w:sz w:val="16"/>
          <w:szCs w:val="16"/>
          <w:color w:val="auto"/>
        </w:rPr>
        <w:t>Have stock ownership guidelines that are designed to align our executives’ interests with those of our stockholders.</w:t>
      </w:r>
    </w:p>
    <w:p>
      <w:pPr>
        <w:spacing w:after="0" w:line="270" w:lineRule="exact"/>
        <w:rPr>
          <w:rFonts w:ascii="MS PGothic" w:cs="MS PGothic" w:eastAsia="MS PGothic" w:hAnsi="MS PGothic"/>
          <w:sz w:val="18"/>
          <w:szCs w:val="18"/>
          <w:color w:val="1C6605"/>
        </w:rPr>
      </w:pPr>
    </w:p>
    <w:p>
      <w:pPr>
        <w:ind w:left="1180" w:right="200" w:hanging="472"/>
        <w:spacing w:after="0" w:line="258" w:lineRule="auto"/>
        <w:tabs>
          <w:tab w:leader="none" w:pos="1180" w:val="left"/>
        </w:tabs>
        <w:numPr>
          <w:ilvl w:val="0"/>
          <w:numId w:val="49"/>
        </w:numPr>
        <w:rPr>
          <w:rFonts w:ascii="MS PGothic" w:cs="MS PGothic" w:eastAsia="MS PGothic" w:hAnsi="MS PGothic"/>
          <w:sz w:val="18"/>
          <w:szCs w:val="18"/>
          <w:color w:val="1C6605"/>
        </w:rPr>
      </w:pPr>
      <w:r>
        <w:rPr>
          <w:rFonts w:ascii="Arial" w:cs="Arial" w:eastAsia="Arial" w:hAnsi="Arial"/>
          <w:sz w:val="16"/>
          <w:szCs w:val="16"/>
          <w:color w:val="auto"/>
        </w:rPr>
        <w:t>Provide long-term equity incentives that vest over a period of three years to ensure that our executives maintain a long-term commitment to stockholder value.</w:t>
      </w:r>
    </w:p>
    <w:p>
      <w:pPr>
        <w:spacing w:after="0" w:line="83" w:lineRule="exact"/>
        <w:rPr>
          <w:rFonts w:ascii="MS PGothic" w:cs="MS PGothic" w:eastAsia="MS PGothic" w:hAnsi="MS PGothic"/>
          <w:sz w:val="18"/>
          <w:szCs w:val="18"/>
          <w:color w:val="1C6605"/>
        </w:rPr>
      </w:pPr>
    </w:p>
    <w:p>
      <w:pPr>
        <w:ind w:left="1180" w:right="60" w:hanging="472"/>
        <w:spacing w:after="0" w:line="258" w:lineRule="auto"/>
        <w:tabs>
          <w:tab w:leader="none" w:pos="1180" w:val="left"/>
        </w:tabs>
        <w:numPr>
          <w:ilvl w:val="0"/>
          <w:numId w:val="49"/>
        </w:numPr>
        <w:rPr>
          <w:rFonts w:ascii="MS PGothic" w:cs="MS PGothic" w:eastAsia="MS PGothic" w:hAnsi="MS PGothic"/>
          <w:sz w:val="18"/>
          <w:szCs w:val="18"/>
          <w:color w:val="1C6605"/>
        </w:rPr>
      </w:pPr>
      <w:r>
        <w:rPr>
          <w:rFonts w:ascii="Arial" w:cs="Arial" w:eastAsia="Arial" w:hAnsi="Arial"/>
          <w:sz w:val="16"/>
          <w:szCs w:val="16"/>
          <w:color w:val="auto"/>
        </w:rPr>
        <w:t>Benchmark our industry to ensure that our compensation is appropriate for leadership retention, aligned with stockholder interests and not excessive for our industry.</w:t>
      </w:r>
    </w:p>
    <w:p>
      <w:pPr>
        <w:spacing w:after="0" w:line="83" w:lineRule="exact"/>
        <w:rPr>
          <w:rFonts w:ascii="MS PGothic" w:cs="MS PGothic" w:eastAsia="MS PGothic" w:hAnsi="MS PGothic"/>
          <w:sz w:val="18"/>
          <w:szCs w:val="18"/>
          <w:color w:val="1C6605"/>
        </w:rPr>
      </w:pPr>
    </w:p>
    <w:p>
      <w:pPr>
        <w:ind w:left="1180" w:right="140" w:hanging="472"/>
        <w:spacing w:after="0" w:line="258" w:lineRule="auto"/>
        <w:tabs>
          <w:tab w:leader="none" w:pos="1180" w:val="left"/>
        </w:tabs>
        <w:numPr>
          <w:ilvl w:val="0"/>
          <w:numId w:val="49"/>
        </w:numPr>
        <w:rPr>
          <w:rFonts w:ascii="MS PGothic" w:cs="MS PGothic" w:eastAsia="MS PGothic" w:hAnsi="MS PGothic"/>
          <w:sz w:val="18"/>
          <w:szCs w:val="18"/>
          <w:color w:val="1C6605"/>
        </w:rPr>
      </w:pPr>
      <w:r>
        <w:rPr>
          <w:rFonts w:ascii="Arial" w:cs="Arial" w:eastAsia="Arial" w:hAnsi="Arial"/>
          <w:sz w:val="16"/>
          <w:szCs w:val="16"/>
          <w:color w:val="auto"/>
        </w:rPr>
        <w:t>Have a minimum 12-month vesting period for full-value awards (e.g., RSUs and PBRSUs) granted to our NEOs under the SIP.</w:t>
      </w:r>
    </w:p>
    <w:p>
      <w:pPr>
        <w:spacing w:after="0" w:line="190" w:lineRule="exact"/>
        <w:rPr>
          <w:rFonts w:ascii="MS PGothic" w:cs="MS PGothic" w:eastAsia="MS PGothic" w:hAnsi="MS PGothic"/>
          <w:sz w:val="18"/>
          <w:szCs w:val="18"/>
          <w:color w:val="1C6605"/>
        </w:rPr>
      </w:pPr>
    </w:p>
    <w:p>
      <w:pPr>
        <w:ind w:left="1180" w:right="60" w:hanging="472"/>
        <w:spacing w:after="0" w:line="251" w:lineRule="auto"/>
        <w:tabs>
          <w:tab w:leader="none" w:pos="1180" w:val="left"/>
        </w:tabs>
        <w:numPr>
          <w:ilvl w:val="0"/>
          <w:numId w:val="49"/>
        </w:numPr>
        <w:rPr>
          <w:rFonts w:ascii="MS PGothic" w:cs="MS PGothic" w:eastAsia="MS PGothic" w:hAnsi="MS PGothic"/>
          <w:sz w:val="18"/>
          <w:szCs w:val="18"/>
          <w:color w:val="1C6605"/>
        </w:rPr>
      </w:pPr>
      <w:r>
        <w:rPr>
          <w:rFonts w:ascii="Arial" w:cs="Arial" w:eastAsia="Arial" w:hAnsi="Arial"/>
          <w:sz w:val="16"/>
          <w:szCs w:val="16"/>
          <w:color w:val="auto"/>
        </w:rPr>
        <w:t>Follow a responsible approach to equity-based compensation, including adopting “burn rates” well below the typical market practice for our peer group or applicable benchmark set by Institutional Shareholder Services Inc. (“ISS”). (1)</w:t>
      </w:r>
    </w:p>
    <w:p>
      <w:pPr>
        <w:spacing w:after="0" w:line="20" w:lineRule="exact"/>
        <w:rPr>
          <w:sz w:val="20"/>
          <w:szCs w:val="20"/>
          <w:color w:val="auto"/>
        </w:rPr>
      </w:pPr>
      <w:r>
        <w:rPr>
          <w:sz w:val="20"/>
          <w:szCs w:val="20"/>
          <w:color w:val="auto"/>
        </w:rPr>
        <w:br w:type="column"/>
      </w:r>
    </w:p>
    <w:p>
      <w:pPr>
        <w:spacing w:after="0" w:line="292" w:lineRule="exact"/>
        <w:rPr>
          <w:sz w:val="20"/>
          <w:szCs w:val="20"/>
          <w:color w:val="auto"/>
        </w:rPr>
      </w:pPr>
    </w:p>
    <w:p>
      <w:pPr>
        <w:ind w:left="180"/>
        <w:spacing w:after="0"/>
        <w:rPr>
          <w:sz w:val="20"/>
          <w:szCs w:val="20"/>
          <w:color w:val="auto"/>
        </w:rPr>
      </w:pPr>
      <w:r>
        <w:rPr>
          <w:rFonts w:ascii="Arial" w:cs="Arial" w:eastAsia="Arial" w:hAnsi="Arial"/>
          <w:sz w:val="16"/>
          <w:szCs w:val="16"/>
          <w:b w:val="1"/>
          <w:bCs w:val="1"/>
          <w:i w:val="1"/>
          <w:iCs w:val="1"/>
          <w:color w:val="FFFFFF"/>
        </w:rPr>
        <w:t>WE DO NOT:</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80" w:type="dxa"/>
            <w:vAlign w:val="bottom"/>
            <w:shd w:val="clear" w:color="auto" w:fill="F2F2F2"/>
          </w:tcPr>
          <w:p>
            <w:pPr>
              <w:spacing w:after="0"/>
              <w:rPr>
                <w:sz w:val="23"/>
                <w:szCs w:val="23"/>
                <w:color w:val="auto"/>
              </w:rPr>
            </w:pPr>
          </w:p>
        </w:tc>
        <w:tc>
          <w:tcPr>
            <w:tcW w:w="320" w:type="dxa"/>
            <w:vAlign w:val="bottom"/>
            <w:shd w:val="clear" w:color="auto" w:fill="F2F2F2"/>
          </w:tcPr>
          <w:p>
            <w:pPr>
              <w:ind w:left="100"/>
              <w:spacing w:after="0"/>
              <w:rPr>
                <w:sz w:val="20"/>
                <w:szCs w:val="20"/>
                <w:color w:val="auto"/>
              </w:rPr>
            </w:pPr>
            <w:r>
              <w:rPr>
                <w:rFonts w:ascii="Arial" w:cs="Arial" w:eastAsia="Arial" w:hAnsi="Arial"/>
                <w:sz w:val="18"/>
                <w:szCs w:val="18"/>
                <w:b w:val="1"/>
                <w:bCs w:val="1"/>
                <w:color w:val="FF0200"/>
              </w:rPr>
              <w:t>X</w:t>
            </w:r>
          </w:p>
        </w:tc>
        <w:tc>
          <w:tcPr>
            <w:tcW w:w="4500" w:type="dxa"/>
            <w:vAlign w:val="bottom"/>
            <w:shd w:val="clear" w:color="auto" w:fill="F2F2F2"/>
          </w:tcPr>
          <w:p>
            <w:pPr>
              <w:ind w:left="180"/>
              <w:spacing w:after="0"/>
              <w:rPr>
                <w:sz w:val="20"/>
                <w:szCs w:val="20"/>
                <w:color w:val="auto"/>
              </w:rPr>
            </w:pPr>
            <w:r>
              <w:rPr>
                <w:rFonts w:ascii="Arial" w:cs="Arial" w:eastAsia="Arial" w:hAnsi="Arial"/>
                <w:sz w:val="16"/>
                <w:szCs w:val="16"/>
                <w:color w:val="auto"/>
              </w:rPr>
              <w:t>Provide excessive perquisites to our executives.</w:t>
            </w:r>
          </w:p>
        </w:tc>
        <w:tc>
          <w:tcPr>
            <w:tcW w:w="0" w:type="dxa"/>
            <w:vAlign w:val="bottom"/>
          </w:tcPr>
          <w:p>
            <w:pPr>
              <w:spacing w:after="0"/>
              <w:rPr>
                <w:sz w:val="1"/>
                <w:szCs w:val="1"/>
                <w:color w:val="auto"/>
              </w:rPr>
            </w:pPr>
          </w:p>
        </w:tc>
      </w:tr>
      <w:tr>
        <w:trPr>
          <w:trHeight w:val="404"/>
        </w:trPr>
        <w:tc>
          <w:tcPr>
            <w:tcW w:w="80" w:type="dxa"/>
            <w:vAlign w:val="bottom"/>
            <w:shd w:val="clear" w:color="auto" w:fill="F2F2F2"/>
          </w:tcPr>
          <w:p>
            <w:pPr>
              <w:spacing w:after="0"/>
              <w:rPr>
                <w:sz w:val="24"/>
                <w:szCs w:val="24"/>
                <w:color w:val="auto"/>
              </w:rPr>
            </w:pPr>
          </w:p>
        </w:tc>
        <w:tc>
          <w:tcPr>
            <w:tcW w:w="320" w:type="dxa"/>
            <w:vAlign w:val="bottom"/>
            <w:vMerge w:val="restart"/>
            <w:shd w:val="clear" w:color="auto" w:fill="F2F2F2"/>
          </w:tcPr>
          <w:p>
            <w:pPr>
              <w:ind w:left="100"/>
              <w:spacing w:after="0"/>
              <w:rPr>
                <w:sz w:val="20"/>
                <w:szCs w:val="20"/>
                <w:color w:val="auto"/>
              </w:rPr>
            </w:pPr>
            <w:r>
              <w:rPr>
                <w:rFonts w:ascii="Arial" w:cs="Arial" w:eastAsia="Arial" w:hAnsi="Arial"/>
                <w:sz w:val="18"/>
                <w:szCs w:val="18"/>
                <w:b w:val="1"/>
                <w:bCs w:val="1"/>
                <w:color w:val="FF0200"/>
              </w:rPr>
              <w:t>X</w:t>
            </w:r>
          </w:p>
        </w:tc>
        <w:tc>
          <w:tcPr>
            <w:tcW w:w="4500" w:type="dxa"/>
            <w:vAlign w:val="bottom"/>
            <w:vMerge w:val="restart"/>
            <w:shd w:val="clear" w:color="auto" w:fill="F2F2F2"/>
          </w:tcPr>
          <w:p>
            <w:pPr>
              <w:ind w:left="180"/>
              <w:spacing w:after="0"/>
              <w:rPr>
                <w:sz w:val="20"/>
                <w:szCs w:val="20"/>
                <w:color w:val="auto"/>
              </w:rPr>
            </w:pPr>
            <w:r>
              <w:rPr>
                <w:rFonts w:ascii="Arial" w:cs="Arial" w:eastAsia="Arial" w:hAnsi="Arial"/>
                <w:sz w:val="16"/>
                <w:szCs w:val="16"/>
                <w:color w:val="auto"/>
              </w:rPr>
              <w:t>Allow our NEOs and other insiders to pledge or margin our</w:t>
            </w:r>
          </w:p>
        </w:tc>
        <w:tc>
          <w:tcPr>
            <w:tcW w:w="0" w:type="dxa"/>
            <w:vAlign w:val="bottom"/>
          </w:tcPr>
          <w:p>
            <w:pPr>
              <w:spacing w:after="0"/>
              <w:rPr>
                <w:sz w:val="1"/>
                <w:szCs w:val="1"/>
                <w:color w:val="auto"/>
              </w:rPr>
            </w:pPr>
          </w:p>
        </w:tc>
      </w:tr>
      <w:tr>
        <w:trPr>
          <w:trHeight w:val="186"/>
        </w:trPr>
        <w:tc>
          <w:tcPr>
            <w:tcW w:w="80" w:type="dxa"/>
            <w:vAlign w:val="bottom"/>
          </w:tcPr>
          <w:p>
            <w:pPr>
              <w:spacing w:after="0"/>
              <w:rPr>
                <w:sz w:val="16"/>
                <w:szCs w:val="16"/>
                <w:color w:val="auto"/>
              </w:rPr>
            </w:pPr>
          </w:p>
        </w:tc>
        <w:tc>
          <w:tcPr>
            <w:tcW w:w="320" w:type="dxa"/>
            <w:vAlign w:val="bottom"/>
            <w:vMerge w:val="continue"/>
            <w:shd w:val="clear" w:color="auto" w:fill="F2F2F2"/>
          </w:tcPr>
          <w:p>
            <w:pPr>
              <w:spacing w:after="0"/>
              <w:rPr>
                <w:sz w:val="16"/>
                <w:szCs w:val="16"/>
                <w:color w:val="auto"/>
              </w:rPr>
            </w:pPr>
          </w:p>
        </w:tc>
        <w:tc>
          <w:tcPr>
            <w:tcW w:w="4500" w:type="dxa"/>
            <w:vAlign w:val="bottom"/>
            <w:vMerge w:val="continue"/>
            <w:shd w:val="clear" w:color="auto" w:fill="F2F2F2"/>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80" w:type="dxa"/>
            <w:vAlign w:val="bottom"/>
          </w:tcPr>
          <w:p>
            <w:pPr>
              <w:spacing w:after="0"/>
              <w:rPr>
                <w:sz w:val="16"/>
                <w:szCs w:val="16"/>
                <w:color w:val="auto"/>
              </w:rPr>
            </w:pPr>
          </w:p>
        </w:tc>
        <w:tc>
          <w:tcPr>
            <w:tcW w:w="320" w:type="dxa"/>
            <w:vAlign w:val="bottom"/>
            <w:shd w:val="clear" w:color="auto" w:fill="F2F2F2"/>
          </w:tcPr>
          <w:p>
            <w:pPr>
              <w:spacing w:after="0"/>
              <w:rPr>
                <w:sz w:val="16"/>
                <w:szCs w:val="16"/>
                <w:color w:val="auto"/>
              </w:rPr>
            </w:pPr>
          </w:p>
        </w:tc>
        <w:tc>
          <w:tcPr>
            <w:tcW w:w="4500" w:type="dxa"/>
            <w:vAlign w:val="bottom"/>
            <w:shd w:val="clear" w:color="auto" w:fill="F2F2F2"/>
          </w:tcPr>
          <w:p>
            <w:pPr>
              <w:ind w:left="180"/>
              <w:spacing w:after="0"/>
              <w:rPr>
                <w:sz w:val="20"/>
                <w:szCs w:val="20"/>
                <w:color w:val="auto"/>
              </w:rPr>
            </w:pPr>
            <w:r>
              <w:rPr>
                <w:rFonts w:ascii="Arial" w:cs="Arial" w:eastAsia="Arial" w:hAnsi="Arial"/>
                <w:sz w:val="16"/>
                <w:szCs w:val="16"/>
                <w:color w:val="auto"/>
              </w:rPr>
              <w:t>stock, hedge their exposure to ownership of our stock or</w:t>
            </w:r>
          </w:p>
        </w:tc>
        <w:tc>
          <w:tcPr>
            <w:tcW w:w="0" w:type="dxa"/>
            <w:vAlign w:val="bottom"/>
          </w:tcPr>
          <w:p>
            <w:pPr>
              <w:spacing w:after="0"/>
              <w:rPr>
                <w:sz w:val="1"/>
                <w:szCs w:val="1"/>
                <w:color w:val="auto"/>
              </w:rPr>
            </w:pPr>
          </w:p>
        </w:tc>
      </w:tr>
      <w:tr>
        <w:trPr>
          <w:trHeight w:val="187"/>
        </w:trPr>
        <w:tc>
          <w:tcPr>
            <w:tcW w:w="80" w:type="dxa"/>
            <w:vAlign w:val="bottom"/>
          </w:tcPr>
          <w:p>
            <w:pPr>
              <w:spacing w:after="0"/>
              <w:rPr>
                <w:sz w:val="16"/>
                <w:szCs w:val="16"/>
                <w:color w:val="auto"/>
              </w:rPr>
            </w:pPr>
          </w:p>
        </w:tc>
        <w:tc>
          <w:tcPr>
            <w:tcW w:w="320" w:type="dxa"/>
            <w:vAlign w:val="bottom"/>
            <w:shd w:val="clear" w:color="auto" w:fill="F2F2F2"/>
          </w:tcPr>
          <w:p>
            <w:pPr>
              <w:spacing w:after="0"/>
              <w:rPr>
                <w:sz w:val="16"/>
                <w:szCs w:val="16"/>
                <w:color w:val="auto"/>
              </w:rPr>
            </w:pPr>
          </w:p>
        </w:tc>
        <w:tc>
          <w:tcPr>
            <w:tcW w:w="4500" w:type="dxa"/>
            <w:vAlign w:val="bottom"/>
            <w:shd w:val="clear" w:color="auto" w:fill="F2F2F2"/>
          </w:tcPr>
          <w:p>
            <w:pPr>
              <w:ind w:left="180"/>
              <w:spacing w:after="0"/>
              <w:rPr>
                <w:sz w:val="20"/>
                <w:szCs w:val="20"/>
                <w:color w:val="auto"/>
              </w:rPr>
            </w:pPr>
            <w:r>
              <w:rPr>
                <w:rFonts w:ascii="Arial" w:cs="Arial" w:eastAsia="Arial" w:hAnsi="Arial"/>
                <w:sz w:val="16"/>
                <w:szCs w:val="16"/>
                <w:color w:val="auto"/>
              </w:rPr>
              <w:t>engage in speculative transactions with respect to our</w:t>
            </w:r>
          </w:p>
        </w:tc>
        <w:tc>
          <w:tcPr>
            <w:tcW w:w="0" w:type="dxa"/>
            <w:vAlign w:val="bottom"/>
          </w:tcPr>
          <w:p>
            <w:pPr>
              <w:spacing w:after="0"/>
              <w:rPr>
                <w:sz w:val="1"/>
                <w:szCs w:val="1"/>
                <w:color w:val="auto"/>
              </w:rPr>
            </w:pPr>
          </w:p>
        </w:tc>
      </w:tr>
      <w:tr>
        <w:trPr>
          <w:trHeight w:val="211"/>
        </w:trPr>
        <w:tc>
          <w:tcPr>
            <w:tcW w:w="80" w:type="dxa"/>
            <w:vAlign w:val="bottom"/>
          </w:tcPr>
          <w:p>
            <w:pPr>
              <w:spacing w:after="0"/>
              <w:rPr>
                <w:sz w:val="18"/>
                <w:szCs w:val="18"/>
                <w:color w:val="auto"/>
              </w:rPr>
            </w:pPr>
          </w:p>
        </w:tc>
        <w:tc>
          <w:tcPr>
            <w:tcW w:w="320" w:type="dxa"/>
            <w:vAlign w:val="bottom"/>
            <w:shd w:val="clear" w:color="auto" w:fill="F2F2F2"/>
          </w:tcPr>
          <w:p>
            <w:pPr>
              <w:spacing w:after="0"/>
              <w:rPr>
                <w:sz w:val="18"/>
                <w:szCs w:val="18"/>
                <w:color w:val="auto"/>
              </w:rPr>
            </w:pPr>
          </w:p>
        </w:tc>
        <w:tc>
          <w:tcPr>
            <w:tcW w:w="4500" w:type="dxa"/>
            <w:vAlign w:val="bottom"/>
            <w:shd w:val="clear" w:color="auto" w:fill="F2F2F2"/>
          </w:tcPr>
          <w:p>
            <w:pPr>
              <w:ind w:left="180"/>
              <w:spacing w:after="0"/>
              <w:rPr>
                <w:sz w:val="20"/>
                <w:szCs w:val="20"/>
                <w:color w:val="auto"/>
              </w:rPr>
            </w:pPr>
            <w:r>
              <w:rPr>
                <w:rFonts w:ascii="Arial" w:cs="Arial" w:eastAsia="Arial" w:hAnsi="Arial"/>
                <w:sz w:val="16"/>
                <w:szCs w:val="16"/>
                <w:color w:val="auto"/>
              </w:rPr>
              <w:t>stock.</w:t>
            </w:r>
          </w:p>
        </w:tc>
        <w:tc>
          <w:tcPr>
            <w:tcW w:w="0" w:type="dxa"/>
            <w:vAlign w:val="bottom"/>
          </w:tcPr>
          <w:p>
            <w:pPr>
              <w:spacing w:after="0"/>
              <w:rPr>
                <w:sz w:val="1"/>
                <w:szCs w:val="1"/>
                <w:color w:val="auto"/>
              </w:rPr>
            </w:pPr>
          </w:p>
        </w:tc>
      </w:tr>
      <w:tr>
        <w:trPr>
          <w:trHeight w:val="97"/>
        </w:trPr>
        <w:tc>
          <w:tcPr>
            <w:tcW w:w="80" w:type="dxa"/>
            <w:vAlign w:val="bottom"/>
          </w:tcPr>
          <w:p>
            <w:pPr>
              <w:spacing w:after="0"/>
              <w:rPr>
                <w:sz w:val="8"/>
                <w:szCs w:val="8"/>
                <w:color w:val="auto"/>
              </w:rPr>
            </w:pPr>
          </w:p>
        </w:tc>
        <w:tc>
          <w:tcPr>
            <w:tcW w:w="320" w:type="dxa"/>
            <w:vAlign w:val="bottom"/>
            <w:shd w:val="clear" w:color="auto" w:fill="F2F2F2"/>
          </w:tcPr>
          <w:p>
            <w:pPr>
              <w:spacing w:after="0"/>
              <w:rPr>
                <w:sz w:val="8"/>
                <w:szCs w:val="8"/>
                <w:color w:val="auto"/>
              </w:rPr>
            </w:pPr>
          </w:p>
        </w:tc>
        <w:tc>
          <w:tcPr>
            <w:tcW w:w="4500" w:type="dxa"/>
            <w:vAlign w:val="bottom"/>
            <w:shd w:val="clear" w:color="auto" w:fill="F2F2F2"/>
          </w:tcPr>
          <w:p>
            <w:pPr>
              <w:spacing w:after="0"/>
              <w:rPr>
                <w:sz w:val="8"/>
                <w:szCs w:val="8"/>
                <w:color w:val="auto"/>
              </w:rPr>
            </w:pPr>
          </w:p>
        </w:tc>
        <w:tc>
          <w:tcPr>
            <w:tcW w:w="0" w:type="dxa"/>
            <w:vAlign w:val="bottom"/>
          </w:tcPr>
          <w:p>
            <w:pPr>
              <w:spacing w:after="0"/>
              <w:rPr>
                <w:sz w:val="1"/>
                <w:szCs w:val="1"/>
                <w:color w:val="auto"/>
              </w:rPr>
            </w:pPr>
          </w:p>
        </w:tc>
      </w:tr>
      <w:tr>
        <w:trPr>
          <w:trHeight w:val="186"/>
        </w:trPr>
        <w:tc>
          <w:tcPr>
            <w:tcW w:w="80" w:type="dxa"/>
            <w:vAlign w:val="bottom"/>
          </w:tcPr>
          <w:p>
            <w:pPr>
              <w:spacing w:after="0"/>
              <w:rPr>
                <w:sz w:val="16"/>
                <w:szCs w:val="16"/>
                <w:color w:val="auto"/>
              </w:rPr>
            </w:pPr>
          </w:p>
        </w:tc>
        <w:tc>
          <w:tcPr>
            <w:tcW w:w="320" w:type="dxa"/>
            <w:vAlign w:val="bottom"/>
          </w:tcPr>
          <w:p>
            <w:pPr>
              <w:ind w:left="100"/>
              <w:spacing w:after="0" w:line="187" w:lineRule="exact"/>
              <w:rPr>
                <w:sz w:val="20"/>
                <w:szCs w:val="20"/>
                <w:color w:val="auto"/>
              </w:rPr>
            </w:pPr>
            <w:r>
              <w:rPr>
                <w:rFonts w:ascii="Arial" w:cs="Arial" w:eastAsia="Arial" w:hAnsi="Arial"/>
                <w:sz w:val="18"/>
                <w:szCs w:val="18"/>
                <w:b w:val="1"/>
                <w:bCs w:val="1"/>
                <w:color w:val="FF0200"/>
              </w:rPr>
              <w:t>X</w:t>
            </w:r>
          </w:p>
        </w:tc>
        <w:tc>
          <w:tcPr>
            <w:tcW w:w="4500" w:type="dxa"/>
            <w:vAlign w:val="bottom"/>
            <w:shd w:val="clear" w:color="auto" w:fill="F2F2F2"/>
          </w:tcPr>
          <w:p>
            <w:pPr>
              <w:ind w:left="180"/>
              <w:spacing w:after="0"/>
              <w:rPr>
                <w:sz w:val="20"/>
                <w:szCs w:val="20"/>
                <w:color w:val="auto"/>
              </w:rPr>
            </w:pPr>
            <w:r>
              <w:rPr>
                <w:rFonts w:ascii="Arial" w:cs="Arial" w:eastAsia="Arial" w:hAnsi="Arial"/>
                <w:sz w:val="16"/>
                <w:szCs w:val="16"/>
                <w:color w:val="auto"/>
              </w:rPr>
              <w:t>Allow single triggers or excessive benefits in our change in</w:t>
            </w:r>
          </w:p>
        </w:tc>
        <w:tc>
          <w:tcPr>
            <w:tcW w:w="0" w:type="dxa"/>
            <w:vAlign w:val="bottom"/>
          </w:tcPr>
          <w:p>
            <w:pPr>
              <w:spacing w:after="0"/>
              <w:rPr>
                <w:sz w:val="1"/>
                <w:szCs w:val="1"/>
                <w:color w:val="auto"/>
              </w:rPr>
            </w:pPr>
          </w:p>
        </w:tc>
      </w:tr>
      <w:tr>
        <w:trPr>
          <w:trHeight w:val="211"/>
        </w:trPr>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00" w:type="dxa"/>
            <w:vAlign w:val="bottom"/>
            <w:shd w:val="clear" w:color="auto" w:fill="F2F2F2"/>
          </w:tcPr>
          <w:p>
            <w:pPr>
              <w:ind w:left="180"/>
              <w:spacing w:after="0"/>
              <w:rPr>
                <w:sz w:val="20"/>
                <w:szCs w:val="20"/>
                <w:color w:val="auto"/>
              </w:rPr>
            </w:pPr>
            <w:r>
              <w:rPr>
                <w:rFonts w:ascii="Arial" w:cs="Arial" w:eastAsia="Arial" w:hAnsi="Arial"/>
                <w:sz w:val="16"/>
                <w:szCs w:val="16"/>
                <w:color w:val="auto"/>
              </w:rPr>
              <w:t>control agreements or provide excise tax gross-ups.</w:t>
            </w:r>
          </w:p>
        </w:tc>
        <w:tc>
          <w:tcPr>
            <w:tcW w:w="0" w:type="dxa"/>
            <w:vAlign w:val="bottom"/>
          </w:tcPr>
          <w:p>
            <w:pPr>
              <w:spacing w:after="0"/>
              <w:rPr>
                <w:sz w:val="1"/>
                <w:szCs w:val="1"/>
                <w:color w:val="auto"/>
              </w:rPr>
            </w:pPr>
          </w:p>
        </w:tc>
      </w:tr>
      <w:tr>
        <w:trPr>
          <w:trHeight w:val="284"/>
        </w:trPr>
        <w:tc>
          <w:tcPr>
            <w:tcW w:w="80" w:type="dxa"/>
            <w:vAlign w:val="bottom"/>
          </w:tcPr>
          <w:p>
            <w:pPr>
              <w:spacing w:after="0"/>
              <w:rPr>
                <w:sz w:val="24"/>
                <w:szCs w:val="24"/>
                <w:color w:val="auto"/>
              </w:rPr>
            </w:pPr>
          </w:p>
        </w:tc>
        <w:tc>
          <w:tcPr>
            <w:tcW w:w="320" w:type="dxa"/>
            <w:vAlign w:val="bottom"/>
            <w:vMerge w:val="restart"/>
          </w:tcPr>
          <w:p>
            <w:pPr>
              <w:ind w:left="100"/>
              <w:spacing w:after="0"/>
              <w:rPr>
                <w:sz w:val="20"/>
                <w:szCs w:val="20"/>
                <w:color w:val="auto"/>
              </w:rPr>
            </w:pPr>
            <w:r>
              <w:rPr>
                <w:rFonts w:ascii="Arial" w:cs="Arial" w:eastAsia="Arial" w:hAnsi="Arial"/>
                <w:sz w:val="18"/>
                <w:szCs w:val="18"/>
                <w:b w:val="1"/>
                <w:bCs w:val="1"/>
                <w:color w:val="FF0200"/>
              </w:rPr>
              <w:t>X</w:t>
            </w:r>
          </w:p>
        </w:tc>
        <w:tc>
          <w:tcPr>
            <w:tcW w:w="4500" w:type="dxa"/>
            <w:vAlign w:val="bottom"/>
            <w:shd w:val="clear" w:color="auto" w:fill="F2F2F2"/>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80" w:type="dxa"/>
            <w:vAlign w:val="bottom"/>
          </w:tcPr>
          <w:p>
            <w:pPr>
              <w:spacing w:after="0"/>
              <w:rPr>
                <w:sz w:val="16"/>
                <w:szCs w:val="16"/>
                <w:color w:val="auto"/>
              </w:rPr>
            </w:pPr>
          </w:p>
        </w:tc>
        <w:tc>
          <w:tcPr>
            <w:tcW w:w="320" w:type="dxa"/>
            <w:vAlign w:val="bottom"/>
            <w:vMerge w:val="continue"/>
          </w:tcPr>
          <w:p>
            <w:pPr>
              <w:spacing w:after="0"/>
              <w:rPr>
                <w:sz w:val="16"/>
                <w:szCs w:val="16"/>
                <w:color w:val="auto"/>
              </w:rPr>
            </w:pPr>
          </w:p>
        </w:tc>
        <w:tc>
          <w:tcPr>
            <w:tcW w:w="4500" w:type="dxa"/>
            <w:vAlign w:val="bottom"/>
          </w:tcPr>
          <w:p>
            <w:pPr>
              <w:ind w:left="180"/>
              <w:spacing w:after="0"/>
              <w:rPr>
                <w:sz w:val="20"/>
                <w:szCs w:val="20"/>
                <w:color w:val="auto"/>
              </w:rPr>
            </w:pPr>
            <w:r>
              <w:rPr>
                <w:rFonts w:ascii="Arial" w:cs="Arial" w:eastAsia="Arial" w:hAnsi="Arial"/>
                <w:sz w:val="16"/>
                <w:szCs w:val="16"/>
                <w:color w:val="auto"/>
              </w:rPr>
              <w:t>Provide tax gross-ups on any perquisites other than</w:t>
            </w:r>
          </w:p>
        </w:tc>
        <w:tc>
          <w:tcPr>
            <w:tcW w:w="0" w:type="dxa"/>
            <w:vAlign w:val="bottom"/>
          </w:tcPr>
          <w:p>
            <w:pPr>
              <w:spacing w:after="0"/>
              <w:rPr>
                <w:sz w:val="1"/>
                <w:szCs w:val="1"/>
                <w:color w:val="auto"/>
              </w:rPr>
            </w:pPr>
          </w:p>
        </w:tc>
      </w:tr>
      <w:tr>
        <w:trPr>
          <w:trHeight w:val="187"/>
        </w:trPr>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500" w:type="dxa"/>
            <w:vAlign w:val="bottom"/>
          </w:tcPr>
          <w:p>
            <w:pPr>
              <w:ind w:left="180"/>
              <w:spacing w:after="0"/>
              <w:rPr>
                <w:sz w:val="20"/>
                <w:szCs w:val="20"/>
                <w:color w:val="auto"/>
              </w:rPr>
            </w:pPr>
            <w:r>
              <w:rPr>
                <w:rFonts w:ascii="Arial" w:cs="Arial" w:eastAsia="Arial" w:hAnsi="Arial"/>
                <w:sz w:val="16"/>
                <w:szCs w:val="16"/>
                <w:color w:val="auto"/>
              </w:rPr>
              <w:t>standard relocation benefits that are available to all</w:t>
            </w:r>
          </w:p>
        </w:tc>
        <w:tc>
          <w:tcPr>
            <w:tcW w:w="0" w:type="dxa"/>
            <w:vAlign w:val="bottom"/>
          </w:tcPr>
          <w:p>
            <w:pPr>
              <w:spacing w:after="0"/>
              <w:rPr>
                <w:sz w:val="1"/>
                <w:szCs w:val="1"/>
                <w:color w:val="auto"/>
              </w:rPr>
            </w:pPr>
          </w:p>
        </w:tc>
      </w:tr>
      <w:tr>
        <w:trPr>
          <w:trHeight w:val="211"/>
        </w:trPr>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00" w:type="dxa"/>
            <w:vAlign w:val="bottom"/>
          </w:tcPr>
          <w:p>
            <w:pPr>
              <w:ind w:left="180"/>
              <w:spacing w:after="0"/>
              <w:rPr>
                <w:sz w:val="20"/>
                <w:szCs w:val="20"/>
                <w:color w:val="auto"/>
              </w:rPr>
            </w:pPr>
            <w:r>
              <w:rPr>
                <w:rFonts w:ascii="Arial" w:cs="Arial" w:eastAsia="Arial" w:hAnsi="Arial"/>
                <w:sz w:val="16"/>
                <w:szCs w:val="16"/>
                <w:color w:val="auto"/>
              </w:rPr>
              <w:t>employees and amounts paid for expatriate assignments.</w:t>
            </w: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580" w:right="720" w:hanging="396"/>
        <w:spacing w:after="0" w:line="246" w:lineRule="auto"/>
        <w:tabs>
          <w:tab w:leader="none" w:pos="580" w:val="left"/>
        </w:tabs>
        <w:numPr>
          <w:ilvl w:val="0"/>
          <w:numId w:val="50"/>
        </w:numPr>
        <w:rPr>
          <w:rFonts w:ascii="Arial" w:cs="Arial" w:eastAsia="Arial" w:hAnsi="Arial"/>
          <w:sz w:val="18"/>
          <w:szCs w:val="18"/>
          <w:b w:val="1"/>
          <w:bCs w:val="1"/>
          <w:color w:val="FF0200"/>
        </w:rPr>
      </w:pPr>
      <w:r>
        <w:rPr>
          <w:rFonts w:ascii="Arial" w:cs="Arial" w:eastAsia="Arial" w:hAnsi="Arial"/>
          <w:sz w:val="16"/>
          <w:szCs w:val="16"/>
          <w:color w:val="auto"/>
        </w:rPr>
        <w:t>Design our compensation policies and practices in a way that poses a material risk to the Company or its stockholders.</w:t>
      </w:r>
    </w:p>
    <w:p>
      <w:pPr>
        <w:spacing w:after="0" w:line="1247" w:lineRule="exact"/>
        <w:rPr>
          <w:sz w:val="20"/>
          <w:szCs w:val="20"/>
          <w:color w:val="auto"/>
        </w:rPr>
      </w:pPr>
    </w:p>
    <w:p>
      <w:pPr>
        <w:sectPr>
          <w:pgSz w:w="11900" w:h="16838" w:orient="portrait"/>
          <w:cols w:equalWidth="0" w:num="2">
            <w:col w:w="5280" w:space="460"/>
            <w:col w:w="5340"/>
          </w:cols>
          <w:pgMar w:left="320" w:top="454" w:right="499" w:bottom="1440" w:gutter="0" w:footer="0" w:header="0"/>
          <w:type w:val="continuous"/>
        </w:sectPr>
      </w:pPr>
    </w:p>
    <w:p>
      <w:pPr>
        <w:jc w:val="both"/>
        <w:ind w:left="1140" w:right="220" w:hanging="545"/>
        <w:spacing w:after="0" w:line="249" w:lineRule="auto"/>
        <w:tabs>
          <w:tab w:leader="none" w:pos="1140" w:val="left"/>
        </w:tabs>
        <w:numPr>
          <w:ilvl w:val="0"/>
          <w:numId w:val="51"/>
        </w:numPr>
        <w:rPr>
          <w:rFonts w:ascii="Arial" w:cs="Arial" w:eastAsia="Arial" w:hAnsi="Arial"/>
          <w:sz w:val="14"/>
          <w:szCs w:val="14"/>
          <w:color w:val="auto"/>
        </w:rPr>
      </w:pPr>
      <w:r>
        <w:rPr>
          <w:rFonts w:ascii="Arial" w:cs="Arial" w:eastAsia="Arial" w:hAnsi="Arial"/>
          <w:sz w:val="14"/>
          <w:szCs w:val="14"/>
          <w:color w:val="auto"/>
        </w:rPr>
        <w:t>The Company’s three-year unadjusted average annual burn rate as of December 31, 2021 was 1.18% and was based on (a) the sum of options, stock awards, RSUs, PBRSUs and restricted stock awards granted divided by (b) weighted average shares outstanding. Under the adjusted burn rate approach utilized by ISS, the Company’s three-year adjusted average annual burn rate as of December 31, 2021 was 1.78%, approximately 28.57% of ISS’ applicable burn rate benchmark of 6.23% for our industry. The adjusted number reflects that ISS considers full-value awards to be more valuable than stock options. The adjustment is made based on the Company’s annual stock price volatility.</w:t>
      </w:r>
    </w:p>
    <w:p>
      <w:pPr>
        <w:spacing w:after="0" w:line="172"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CEO Realizable Pay-for-Performance Relative to Peer Group</w:t>
      </w:r>
    </w:p>
    <w:p>
      <w:pPr>
        <w:spacing w:after="0" w:line="208" w:lineRule="exact"/>
        <w:rPr>
          <w:sz w:val="20"/>
          <w:szCs w:val="20"/>
          <w:color w:val="auto"/>
        </w:rPr>
      </w:pPr>
    </w:p>
    <w:p>
      <w:pPr>
        <w:jc w:val="both"/>
        <w:ind w:left="160"/>
        <w:spacing w:after="0" w:line="237" w:lineRule="auto"/>
        <w:rPr>
          <w:sz w:val="20"/>
          <w:szCs w:val="20"/>
          <w:color w:val="auto"/>
        </w:rPr>
      </w:pPr>
      <w:r>
        <w:rPr>
          <w:rFonts w:ascii="Arial" w:cs="Arial" w:eastAsia="Arial" w:hAnsi="Arial"/>
          <w:sz w:val="18"/>
          <w:szCs w:val="18"/>
          <w:color w:val="auto"/>
        </w:rPr>
        <w:t>In the course of reviewing our overall executive compensation program each year, Pearl Meyer reviews the relationship between realizable total direct compensation (“TDC”) and our performance. This analysis influences the compensation decisions made by the HCC Committee as the HCC Committee routinely reviews realizable pay to assess program effectiveness. Given the shift that has occurred as a result of Mr. El-Khoury’s appointment as CEO in the end of 2020 and the new direction the Company has pursued under his leadership, we have elected to exclude the more thorough analysis of realizable pay-for-performance. Nevertheless, the HCC Committee prioritizes a compensation structure that aligns with its pay-for-performance philosophy and establishes a competitive pay structure amongst the Company’s peers. As a Company looking to push the boundaries of intelligent power and sensing technologies in fast-growing markets, such as electric vehicles, the HCC Committee sees the pay-for-performance compensation design as providing a results-based incentive to encourage management to strive toward achieving the Company’s ambitious goals.</w:t>
      </w:r>
    </w:p>
    <w:p>
      <w:pPr>
        <w:spacing w:after="0" w:line="180"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Compensation Philosophy and Guiding Principles</w:t>
      </w:r>
    </w:p>
    <w:p>
      <w:pPr>
        <w:spacing w:after="0" w:line="208" w:lineRule="exact"/>
        <w:rPr>
          <w:sz w:val="20"/>
          <w:szCs w:val="20"/>
          <w:color w:val="auto"/>
        </w:rPr>
      </w:pPr>
    </w:p>
    <w:p>
      <w:pPr>
        <w:jc w:val="both"/>
        <w:ind w:left="160"/>
        <w:spacing w:after="0" w:line="265" w:lineRule="auto"/>
        <w:rPr>
          <w:sz w:val="20"/>
          <w:szCs w:val="20"/>
          <w:color w:val="auto"/>
        </w:rPr>
      </w:pPr>
      <w:r>
        <w:rPr>
          <w:rFonts w:ascii="Arial" w:cs="Arial" w:eastAsia="Arial" w:hAnsi="Arial"/>
          <w:sz w:val="18"/>
          <w:szCs w:val="18"/>
          <w:color w:val="auto"/>
        </w:rPr>
        <w:t>Our HCC Committee is responsible for establishing and implementing our compensation philosophy and guiding principles and for monitoring their effectiveness. Our compensation philosophy is focused on the following core principles:</w:t>
      </w:r>
    </w:p>
    <w:p>
      <w:pPr>
        <w:spacing w:after="0" w:line="64" w:lineRule="exact"/>
        <w:rPr>
          <w:sz w:val="20"/>
          <w:szCs w:val="20"/>
          <w:color w:val="auto"/>
        </w:rPr>
      </w:pPr>
    </w:p>
    <w:p>
      <w:pPr>
        <w:ind w:left="1020" w:hanging="425"/>
        <w:spacing w:after="0" w:line="265" w:lineRule="auto"/>
        <w:tabs>
          <w:tab w:leader="none" w:pos="1020" w:val="left"/>
        </w:tabs>
        <w:numPr>
          <w:ilvl w:val="0"/>
          <w:numId w:val="52"/>
        </w:numPr>
        <w:rPr>
          <w:rFonts w:ascii="Arial" w:cs="Arial" w:eastAsia="Arial" w:hAnsi="Arial"/>
          <w:sz w:val="18"/>
          <w:szCs w:val="18"/>
          <w:color w:val="auto"/>
        </w:rPr>
      </w:pPr>
      <w:r>
        <w:rPr>
          <w:rFonts w:ascii="Arial" w:cs="Arial" w:eastAsia="Arial" w:hAnsi="Arial"/>
          <w:sz w:val="18"/>
          <w:szCs w:val="18"/>
          <w:b w:val="1"/>
          <w:bCs w:val="1"/>
          <w:i w:val="1"/>
          <w:iCs w:val="1"/>
          <w:color w:val="auto"/>
        </w:rPr>
        <w:t>Alignment with Stockholder Interests</w:t>
      </w:r>
      <w:r>
        <w:rPr>
          <w:rFonts w:ascii="Arial" w:cs="Arial" w:eastAsia="Arial" w:hAnsi="Arial"/>
          <w:sz w:val="18"/>
          <w:szCs w:val="18"/>
          <w:color w:val="auto"/>
        </w:rPr>
        <w:t>. Achieving corporate goals is a necessary condition for our executives to realize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targeted levels of compensation, particularly with respect to variable pay and long-term incentives. In</w:t>
      </w:r>
    </w:p>
    <w:p>
      <w:pPr>
        <w:spacing w:after="0" w:line="101"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F75E14"/>
        </w:rPr>
        <w:t>onsemi 2022 Proxy Statement</w:t>
        <w:tab/>
        <w:t>31</w:t>
      </w:r>
    </w:p>
    <w:p>
      <w:pPr>
        <w:sectPr>
          <w:pgSz w:w="11900" w:h="16838" w:orient="portrait"/>
          <w:cols w:equalWidth="0" w:num="1">
            <w:col w:w="11080"/>
          </w:cols>
          <w:pgMar w:left="320" w:top="454" w:right="499" w:bottom="1440" w:gutter="0" w:footer="0" w:header="0"/>
          <w:type w:val="continuous"/>
        </w:sectPr>
      </w:pPr>
    </w:p>
    <w:bookmarkStart w:id="35" w:name="page36"/>
    <w:bookmarkEnd w:id="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2" w:lineRule="exact"/>
        <w:rPr>
          <w:sz w:val="20"/>
          <w:szCs w:val="20"/>
          <w:color w:val="auto"/>
        </w:rPr>
      </w:pPr>
    </w:p>
    <w:p>
      <w:pPr>
        <w:ind w:left="160"/>
        <w:spacing w:after="0"/>
        <w:rPr>
          <w:sz w:val="20"/>
          <w:szCs w:val="20"/>
          <w:color w:val="auto"/>
        </w:rPr>
      </w:pPr>
      <w:r>
        <w:rPr>
          <w:rFonts w:ascii="Arial" w:cs="Arial" w:eastAsia="Arial" w:hAnsi="Arial"/>
          <w:sz w:val="18"/>
          <w:szCs w:val="18"/>
          <w:color w:val="F75E14"/>
        </w:rPr>
        <w:t>Compensation Discussion and Analysis</w:t>
      </w:r>
    </w:p>
    <w:p>
      <w:pPr>
        <w:spacing w:after="0" w:line="141" w:lineRule="exact"/>
        <w:rPr>
          <w:sz w:val="20"/>
          <w:szCs w:val="20"/>
          <w:color w:val="auto"/>
        </w:rPr>
      </w:pPr>
    </w:p>
    <w:p>
      <w:pPr>
        <w:ind w:left="1040" w:right="20"/>
        <w:spacing w:after="0" w:line="265" w:lineRule="auto"/>
        <w:rPr>
          <w:sz w:val="20"/>
          <w:szCs w:val="20"/>
          <w:color w:val="auto"/>
        </w:rPr>
      </w:pPr>
      <w:r>
        <w:rPr>
          <w:rFonts w:ascii="Arial" w:cs="Arial" w:eastAsia="Arial" w:hAnsi="Arial"/>
          <w:sz w:val="18"/>
          <w:szCs w:val="18"/>
          <w:color w:val="auto"/>
        </w:rPr>
        <w:t>addition, the use of stock-based incentives, which link variable pay to stockholder value, and stock ownership guidelines further aligns executives’ interests with those of our stockholders.</w:t>
      </w:r>
    </w:p>
    <w:p>
      <w:pPr>
        <w:spacing w:after="0" w:line="64" w:lineRule="exact"/>
        <w:rPr>
          <w:sz w:val="20"/>
          <w:szCs w:val="20"/>
          <w:color w:val="auto"/>
        </w:rPr>
      </w:pPr>
    </w:p>
    <w:p>
      <w:pPr>
        <w:ind w:left="1020" w:right="20" w:hanging="425"/>
        <w:spacing w:after="0" w:line="265" w:lineRule="auto"/>
        <w:tabs>
          <w:tab w:leader="none" w:pos="1020" w:val="left"/>
        </w:tabs>
        <w:numPr>
          <w:ilvl w:val="0"/>
          <w:numId w:val="53"/>
        </w:numPr>
        <w:rPr>
          <w:rFonts w:ascii="Arial" w:cs="Arial" w:eastAsia="Arial" w:hAnsi="Arial"/>
          <w:sz w:val="18"/>
          <w:szCs w:val="18"/>
          <w:color w:val="auto"/>
        </w:rPr>
      </w:pPr>
      <w:r>
        <w:rPr>
          <w:rFonts w:ascii="Arial" w:cs="Arial" w:eastAsia="Arial" w:hAnsi="Arial"/>
          <w:sz w:val="18"/>
          <w:szCs w:val="18"/>
          <w:b w:val="1"/>
          <w:bCs w:val="1"/>
          <w:i w:val="1"/>
          <w:iCs w:val="1"/>
          <w:color w:val="auto"/>
        </w:rPr>
        <w:t>Pay-for-Performance</w:t>
      </w:r>
      <w:r>
        <w:rPr>
          <w:rFonts w:ascii="Arial" w:cs="Arial" w:eastAsia="Arial" w:hAnsi="Arial"/>
          <w:sz w:val="18"/>
          <w:szCs w:val="18"/>
          <w:color w:val="auto"/>
        </w:rPr>
        <w:t>. A significant portion of compensation is variable and directly linked to Company AND individual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performance – both to incentivize goal-oriented performance and to reward individual contributions to our performance.</w:t>
      </w:r>
    </w:p>
    <w:p>
      <w:pPr>
        <w:spacing w:after="0" w:line="64" w:lineRule="exact"/>
        <w:rPr>
          <w:rFonts w:ascii="Arial" w:cs="Arial" w:eastAsia="Arial" w:hAnsi="Arial"/>
          <w:sz w:val="18"/>
          <w:szCs w:val="18"/>
          <w:color w:val="auto"/>
        </w:rPr>
      </w:pPr>
    </w:p>
    <w:p>
      <w:pPr>
        <w:jc w:val="both"/>
        <w:ind w:left="1020" w:hanging="425"/>
        <w:spacing w:after="0" w:line="243" w:lineRule="auto"/>
        <w:tabs>
          <w:tab w:leader="none" w:pos="1020" w:val="left"/>
        </w:tabs>
        <w:numPr>
          <w:ilvl w:val="0"/>
          <w:numId w:val="53"/>
        </w:numPr>
        <w:rPr>
          <w:rFonts w:ascii="Arial" w:cs="Arial" w:eastAsia="Arial" w:hAnsi="Arial"/>
          <w:sz w:val="18"/>
          <w:szCs w:val="18"/>
          <w:color w:val="auto"/>
        </w:rPr>
      </w:pPr>
      <w:r>
        <w:rPr>
          <w:rFonts w:ascii="Arial" w:cs="Arial" w:eastAsia="Arial" w:hAnsi="Arial"/>
          <w:sz w:val="18"/>
          <w:szCs w:val="18"/>
          <w:b w:val="1"/>
          <w:bCs w:val="1"/>
          <w:i w:val="1"/>
          <w:iCs w:val="1"/>
          <w:color w:val="auto"/>
        </w:rPr>
        <w:t>Market or Peer Company Comparison</w:t>
      </w:r>
      <w:r>
        <w:rPr>
          <w:rFonts w:ascii="Arial" w:cs="Arial" w:eastAsia="Arial" w:hAnsi="Arial"/>
          <w:sz w:val="18"/>
          <w:szCs w:val="18"/>
          <w:color w:val="auto"/>
        </w:rPr>
        <w:t>. As a general rule, we target the market median (50th percentile) for compensation,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although we may deviate from the market median due to exceptional performance or other factors. The Company considers other semiconductor and high-technology companies as its market and generally utilizes survey or peer company data in these sectors to analyze the competitiveness of the Company’s compensation design.</w:t>
      </w:r>
    </w:p>
    <w:p>
      <w:pPr>
        <w:spacing w:after="0" w:line="84" w:lineRule="exact"/>
        <w:rPr>
          <w:rFonts w:ascii="Arial" w:cs="Arial" w:eastAsia="Arial" w:hAnsi="Arial"/>
          <w:sz w:val="18"/>
          <w:szCs w:val="18"/>
          <w:color w:val="auto"/>
        </w:rPr>
      </w:pPr>
    </w:p>
    <w:p>
      <w:pPr>
        <w:jc w:val="both"/>
        <w:ind w:left="1020" w:hanging="425"/>
        <w:spacing w:after="0" w:line="237" w:lineRule="auto"/>
        <w:tabs>
          <w:tab w:leader="none" w:pos="1020" w:val="left"/>
        </w:tabs>
        <w:numPr>
          <w:ilvl w:val="0"/>
          <w:numId w:val="53"/>
        </w:numPr>
        <w:rPr>
          <w:rFonts w:ascii="Arial" w:cs="Arial" w:eastAsia="Arial" w:hAnsi="Arial"/>
          <w:sz w:val="18"/>
          <w:szCs w:val="18"/>
          <w:color w:val="auto"/>
        </w:rPr>
      </w:pPr>
      <w:r>
        <w:rPr>
          <w:rFonts w:ascii="Arial" w:cs="Arial" w:eastAsia="Arial" w:hAnsi="Arial"/>
          <w:sz w:val="18"/>
          <w:szCs w:val="18"/>
          <w:b w:val="1"/>
          <w:bCs w:val="1"/>
          <w:i w:val="1"/>
          <w:iCs w:val="1"/>
          <w:color w:val="auto"/>
        </w:rPr>
        <w:t>Attract, Motivate and Retain Talent</w:t>
      </w:r>
      <w:r>
        <w:rPr>
          <w:rFonts w:ascii="Arial" w:cs="Arial" w:eastAsia="Arial" w:hAnsi="Arial"/>
          <w:sz w:val="18"/>
          <w:szCs w:val="18"/>
          <w:color w:val="auto"/>
        </w:rPr>
        <w:t>. Our compensation program is designed to attract, motivate and retain highly talented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individuals critical to our success by providing competitive total compensation with retentive features. Additionally, the Company focuses on developing and retaining a diverse workforce with programs such as the Company’s sponsored Employee Resource Group on Science, Technology, Engineering and Math for Underrepresented Populations (STEM UP). The Company believes that the retention of talented and diverse employees will positively impact our innovation and performance. Lastly, our employment agreements with our NEOs contain certain severance and double-trigger change in control arrangements, and our stock-based awards are designed to retain our officers and other employees while also accomplishing our other compensation goals and objectives.</w:t>
      </w:r>
    </w:p>
    <w:p>
      <w:pPr>
        <w:spacing w:after="0" w:line="184"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Purpose of Compensation</w:t>
      </w:r>
    </w:p>
    <w:p>
      <w:pPr>
        <w:spacing w:after="0" w:line="208" w:lineRule="exact"/>
        <w:rPr>
          <w:sz w:val="20"/>
          <w:szCs w:val="20"/>
          <w:color w:val="auto"/>
        </w:rPr>
      </w:pPr>
    </w:p>
    <w:p>
      <w:pPr>
        <w:jc w:val="both"/>
        <w:ind w:left="160"/>
        <w:spacing w:after="0"/>
        <w:rPr>
          <w:sz w:val="20"/>
          <w:szCs w:val="20"/>
          <w:color w:val="auto"/>
        </w:rPr>
      </w:pPr>
      <w:r>
        <w:rPr>
          <w:rFonts w:ascii="Arial" w:cs="Arial" w:eastAsia="Arial" w:hAnsi="Arial"/>
          <w:sz w:val="18"/>
          <w:szCs w:val="18"/>
          <w:color w:val="auto"/>
        </w:rPr>
        <w:t>The goal of our compensation programs is to enhance stockholder value by delivering a competitive compensation package consisting of base salary, short-term incentives and long-term incentives. Taking into account these three components, but excluding other benefits described in the Summary Compensation Table below, approximately 91% of Mr. El-Khoury’s target TDC during 2021 was incentive-based compensation. The target TDC of all other NEOs (other than Bernard Gutmann) as a group during 2021 was approximately 84% incentive-based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1082675</wp:posOffset>
            </wp:positionH>
            <wp:positionV relativeFrom="paragraph">
              <wp:posOffset>187325</wp:posOffset>
            </wp:positionV>
            <wp:extent cx="4984750" cy="242887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4984750" cy="2428875"/>
                    </a:xfrm>
                    <a:prstGeom prst="rect">
                      <a:avLst/>
                    </a:prstGeom>
                    <a:noFill/>
                  </pic:spPr>
                </pic:pic>
              </a:graphicData>
            </a:graphic>
          </wp:anchor>
        </w:drawing>
      </w:r>
    </w:p>
    <w:p>
      <w:pPr>
        <w:sectPr>
          <w:pgSz w:w="11900" w:h="16838" w:orient="portrait"/>
          <w:cols w:equalWidth="0" w:num="1">
            <w:col w:w="11080"/>
          </w:cols>
          <w:pgMar w:left="320" w:top="454"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600"/>
        <w:spacing w:after="0"/>
        <w:rPr>
          <w:sz w:val="20"/>
          <w:szCs w:val="20"/>
          <w:color w:val="auto"/>
        </w:rPr>
      </w:pPr>
      <w:r>
        <w:rPr>
          <w:rFonts w:ascii="Arial" w:cs="Arial" w:eastAsia="Arial" w:hAnsi="Arial"/>
          <w:sz w:val="14"/>
          <w:szCs w:val="14"/>
          <w:color w:val="auto"/>
        </w:rPr>
        <w:t>STI: Short-term incentive</w:t>
      </w:r>
    </w:p>
    <w:p>
      <w:pPr>
        <w:spacing w:after="0" w:line="13" w:lineRule="exact"/>
        <w:rPr>
          <w:sz w:val="20"/>
          <w:szCs w:val="20"/>
          <w:color w:val="auto"/>
        </w:rPr>
      </w:pPr>
    </w:p>
    <w:p>
      <w:pPr>
        <w:ind w:left="2640"/>
        <w:spacing w:after="0"/>
        <w:rPr>
          <w:sz w:val="20"/>
          <w:szCs w:val="20"/>
          <w:color w:val="auto"/>
        </w:rPr>
      </w:pPr>
      <w:r>
        <w:rPr>
          <w:rFonts w:ascii="Arial" w:cs="Arial" w:eastAsia="Arial" w:hAnsi="Arial"/>
          <w:sz w:val="14"/>
          <w:szCs w:val="14"/>
          <w:color w:val="auto"/>
        </w:rPr>
        <w:t>LTI: Long-term incentive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4"/>
          <w:szCs w:val="14"/>
          <w:color w:val="auto"/>
        </w:rPr>
        <w:t>STI: Short-term incentive</w:t>
      </w:r>
    </w:p>
    <w:p>
      <w:pPr>
        <w:spacing w:after="0" w:line="13" w:lineRule="exact"/>
        <w:rPr>
          <w:sz w:val="20"/>
          <w:szCs w:val="20"/>
          <w:color w:val="auto"/>
        </w:rPr>
      </w:pPr>
    </w:p>
    <w:p>
      <w:pPr>
        <w:ind w:left="20"/>
        <w:spacing w:after="0"/>
        <w:rPr>
          <w:sz w:val="20"/>
          <w:szCs w:val="20"/>
          <w:color w:val="auto"/>
        </w:rPr>
      </w:pPr>
      <w:r>
        <w:rPr>
          <w:rFonts w:ascii="Arial" w:cs="Arial" w:eastAsia="Arial" w:hAnsi="Arial"/>
          <w:sz w:val="14"/>
          <w:szCs w:val="14"/>
          <w:color w:val="auto"/>
        </w:rPr>
        <w:t>LTI: Long-term incentive</w:t>
      </w:r>
    </w:p>
    <w:p>
      <w:pPr>
        <w:spacing w:after="0" w:line="200" w:lineRule="exact"/>
        <w:rPr>
          <w:sz w:val="20"/>
          <w:szCs w:val="20"/>
          <w:color w:val="auto"/>
        </w:rPr>
      </w:pPr>
    </w:p>
    <w:p>
      <w:pPr>
        <w:sectPr>
          <w:pgSz w:w="11900" w:h="16838" w:orient="portrait"/>
          <w:cols w:equalWidth="0" w:num="2">
            <w:col w:w="6340" w:space="720"/>
            <w:col w:w="4020"/>
          </w:cols>
          <w:pgMar w:left="320" w:top="454" w:right="499" w:bottom="1440" w:gutter="0" w:footer="0" w:header="0"/>
          <w:type w:val="continuous"/>
        </w:sectPr>
      </w:pPr>
    </w:p>
    <w:p>
      <w:pPr>
        <w:spacing w:after="0" w:line="3" w:lineRule="exact"/>
        <w:rPr>
          <w:sz w:val="20"/>
          <w:szCs w:val="20"/>
          <w:color w:val="auto"/>
        </w:rPr>
      </w:pPr>
    </w:p>
    <w:p>
      <w:pPr>
        <w:jc w:val="both"/>
        <w:ind w:left="160"/>
        <w:spacing w:after="0" w:line="238" w:lineRule="auto"/>
        <w:rPr>
          <w:sz w:val="20"/>
          <w:szCs w:val="20"/>
          <w:color w:val="auto"/>
        </w:rPr>
      </w:pPr>
      <w:r>
        <w:rPr>
          <w:rFonts w:ascii="Arial" w:cs="Arial" w:eastAsia="Arial" w:hAnsi="Arial"/>
          <w:sz w:val="18"/>
          <w:szCs w:val="18"/>
          <w:color w:val="auto"/>
        </w:rPr>
        <w:t>Short-term incentives in our compensation program are cash-based. Such incentives are intended to promote superior operational performance, disciplined cost management and increased productivity and efficiency that contribute significantly to positive results for our stockholders. Long-term incentives in our compensation program are stock-based. The aim of the long-term incentives is to motivate long-term performance while promoting employee retention. The long-term incentive grants also afford each NEO the opportunity to increase stock ownership, which further aligns the NEO’s interest with those of our stockholders and assists the NEO in complying with our stock ownership guidelines. While our emphasis in determining the total reward package for each NEO is on performance incentives, we also provide elements</w:t>
      </w:r>
    </w:p>
    <w:p>
      <w:pPr>
        <w:spacing w:after="0" w:line="124" w:lineRule="exact"/>
        <w:rPr>
          <w:sz w:val="20"/>
          <w:szCs w:val="20"/>
          <w:color w:val="auto"/>
        </w:rPr>
      </w:pPr>
    </w:p>
    <w:p>
      <w:pPr>
        <w:ind w:left="160"/>
        <w:spacing w:after="0"/>
        <w:tabs>
          <w:tab w:leader="none" w:pos="500" w:val="left"/>
        </w:tabs>
        <w:rPr>
          <w:sz w:val="20"/>
          <w:szCs w:val="20"/>
          <w:color w:val="auto"/>
        </w:rPr>
      </w:pPr>
      <w:r>
        <w:rPr>
          <w:rFonts w:ascii="Arial" w:cs="Arial" w:eastAsia="Arial" w:hAnsi="Arial"/>
          <w:sz w:val="14"/>
          <w:szCs w:val="14"/>
          <w:color w:val="F75E14"/>
        </w:rPr>
        <w:t>32</w:t>
        <w:tab/>
        <w:t>onsemi 2022 Proxy Statement</w:t>
      </w:r>
    </w:p>
    <w:p>
      <w:pPr>
        <w:sectPr>
          <w:pgSz w:w="11900" w:h="16838" w:orient="portrait"/>
          <w:cols w:equalWidth="0" w:num="1">
            <w:col w:w="11080"/>
          </w:cols>
          <w:pgMar w:left="320" w:top="454" w:right="499" w:bottom="1440" w:gutter="0" w:footer="0" w:header="0"/>
          <w:type w:val="continuous"/>
        </w:sectPr>
      </w:pPr>
    </w:p>
    <w:bookmarkStart w:id="36" w:name="page37"/>
    <w:bookmarkEnd w:id="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2" w:lineRule="exact"/>
        <w:rPr>
          <w:sz w:val="20"/>
          <w:szCs w:val="20"/>
          <w:color w:val="auto"/>
        </w:rPr>
      </w:pPr>
    </w:p>
    <w:p>
      <w:pPr>
        <w:ind w:left="7960"/>
        <w:spacing w:after="0"/>
        <w:rPr>
          <w:sz w:val="20"/>
          <w:szCs w:val="20"/>
          <w:color w:val="auto"/>
        </w:rPr>
      </w:pPr>
      <w:r>
        <w:rPr>
          <w:rFonts w:ascii="Arial" w:cs="Arial" w:eastAsia="Arial" w:hAnsi="Arial"/>
          <w:sz w:val="17"/>
          <w:szCs w:val="17"/>
          <w:color w:val="F75E14"/>
        </w:rPr>
        <w:t>Compensation Discussion and Analysis</w:t>
      </w:r>
    </w:p>
    <w:p>
      <w:pPr>
        <w:spacing w:after="0" w:line="152" w:lineRule="exact"/>
        <w:rPr>
          <w:sz w:val="20"/>
          <w:szCs w:val="20"/>
          <w:color w:val="auto"/>
        </w:rPr>
      </w:pPr>
    </w:p>
    <w:p>
      <w:pPr>
        <w:jc w:val="both"/>
        <w:ind w:left="160"/>
        <w:spacing w:after="0" w:line="249" w:lineRule="auto"/>
        <w:rPr>
          <w:sz w:val="20"/>
          <w:szCs w:val="20"/>
          <w:color w:val="auto"/>
        </w:rPr>
      </w:pPr>
      <w:r>
        <w:rPr>
          <w:rFonts w:ascii="Arial" w:cs="Arial" w:eastAsia="Arial" w:hAnsi="Arial"/>
          <w:sz w:val="18"/>
          <w:szCs w:val="18"/>
          <w:color w:val="auto"/>
        </w:rPr>
        <w:t>that are not solely performance-based, including base salary, time-based equity awards and limited perquisites. The HCC Committee considers peer group and market practices in determining the appropriate level of performance-based and non-performance-based elements in our compensation programs.</w:t>
      </w:r>
    </w:p>
    <w:p>
      <w:pPr>
        <w:spacing w:after="0" w:line="172"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Processes and Procedures for Considering and Determining Executive Compensation</w:t>
      </w:r>
    </w:p>
    <w:p>
      <w:pPr>
        <w:spacing w:after="0" w:line="208" w:lineRule="exact"/>
        <w:rPr>
          <w:sz w:val="20"/>
          <w:szCs w:val="20"/>
          <w:color w:val="auto"/>
        </w:rPr>
      </w:pPr>
    </w:p>
    <w:p>
      <w:pPr>
        <w:jc w:val="both"/>
        <w:ind w:left="160"/>
        <w:spacing w:after="0" w:line="249" w:lineRule="auto"/>
        <w:rPr>
          <w:sz w:val="20"/>
          <w:szCs w:val="20"/>
          <w:color w:val="auto"/>
        </w:rPr>
      </w:pPr>
      <w:r>
        <w:rPr>
          <w:rFonts w:ascii="Arial" w:cs="Arial" w:eastAsia="Arial" w:hAnsi="Arial"/>
          <w:sz w:val="18"/>
          <w:szCs w:val="18"/>
          <w:color w:val="auto"/>
        </w:rPr>
        <w:t>Among other responsibilities, our HCC Committee is primarily responsible for establishing the compensation programs for our NEOs and other senior executives, including the CEO, as well as monitoring, annually reviewing and approving the goals and objectives relevant to these programs.</w:t>
      </w:r>
    </w:p>
    <w:p>
      <w:pPr>
        <w:spacing w:after="0" w:line="172" w:lineRule="exact"/>
        <w:rPr>
          <w:sz w:val="20"/>
          <w:szCs w:val="20"/>
          <w:color w:val="auto"/>
        </w:rPr>
      </w:pPr>
    </w:p>
    <w:p>
      <w:pPr>
        <w:jc w:val="both"/>
        <w:ind w:left="160"/>
        <w:spacing w:after="0" w:line="238" w:lineRule="auto"/>
        <w:rPr>
          <w:sz w:val="20"/>
          <w:szCs w:val="20"/>
          <w:color w:val="auto"/>
        </w:rPr>
      </w:pPr>
      <w:r>
        <w:rPr>
          <w:rFonts w:ascii="Arial" w:cs="Arial" w:eastAsia="Arial" w:hAnsi="Arial"/>
          <w:sz w:val="18"/>
          <w:szCs w:val="18"/>
          <w:b w:val="1"/>
          <w:bCs w:val="1"/>
          <w:i w:val="1"/>
          <w:iCs w:val="1"/>
          <w:color w:val="auto"/>
        </w:rPr>
        <w:t>Our Stockholder Engagement Program</w:t>
      </w:r>
      <w:r>
        <w:rPr>
          <w:rFonts w:ascii="Arial" w:cs="Arial" w:eastAsia="Arial" w:hAnsi="Arial"/>
          <w:sz w:val="18"/>
          <w:szCs w:val="18"/>
          <w:color w:val="auto"/>
        </w:rPr>
        <w:t>. We emphasize transparency in our approach to stockholder communications and seek out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engagement and feedback from current and prospective stockholders on corporate strategy, executive compensation, corporate governance and other topics of importance. Through these engagements with our stockholders, we have received feedback in support of our existing executive compensation program and, in particular, the HCC Committee’s decision to further drive accountability and reinforce our culture of compliance, diversity, equity and inclusion, commitment to ESG principles and ethics. These discussions, our say-on-pay voting results, the alignment of the Company’s vision and strategic goals and other factors are key drivers in our ongoing assessment of our compensation programs and help shape future programs.</w:t>
      </w:r>
    </w:p>
    <w:p>
      <w:pPr>
        <w:spacing w:after="0" w:line="181" w:lineRule="exact"/>
        <w:rPr>
          <w:sz w:val="20"/>
          <w:szCs w:val="20"/>
          <w:color w:val="auto"/>
        </w:rPr>
      </w:pPr>
    </w:p>
    <w:p>
      <w:pPr>
        <w:jc w:val="both"/>
        <w:ind w:left="160"/>
        <w:spacing w:after="0" w:line="243" w:lineRule="auto"/>
        <w:rPr>
          <w:sz w:val="20"/>
          <w:szCs w:val="20"/>
          <w:color w:val="auto"/>
        </w:rPr>
      </w:pPr>
      <w:r>
        <w:rPr>
          <w:rFonts w:ascii="Arial" w:cs="Arial" w:eastAsia="Arial" w:hAnsi="Arial"/>
          <w:sz w:val="18"/>
          <w:szCs w:val="18"/>
          <w:b w:val="1"/>
          <w:bCs w:val="1"/>
          <w:i w:val="1"/>
          <w:iCs w:val="1"/>
          <w:color w:val="auto"/>
        </w:rPr>
        <w:t>Stockholder Approval of our Compensation Decisions</w:t>
      </w:r>
      <w:r>
        <w:rPr>
          <w:rFonts w:ascii="Arial" w:cs="Arial" w:eastAsia="Arial" w:hAnsi="Arial"/>
          <w:sz w:val="18"/>
          <w:szCs w:val="18"/>
          <w:color w:val="auto"/>
        </w:rPr>
        <w:t>. At the 2021 Annual Meeting, the Company’s stockholders approved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advisory (non-binding) vote on executive compensation by 89.8% of the votes cast. The HCC Committee considers this vote, as well as the Company’s record 2021 performance, a validation of its compensation philosophy and approach to executive compensation, and generally has continued its compensation processes and philosophy in making 2022 executive compensation decisions.</w:t>
      </w:r>
    </w:p>
    <w:p>
      <w:pPr>
        <w:spacing w:after="0" w:line="178" w:lineRule="exact"/>
        <w:rPr>
          <w:sz w:val="20"/>
          <w:szCs w:val="20"/>
          <w:color w:val="auto"/>
        </w:rPr>
      </w:pPr>
    </w:p>
    <w:p>
      <w:pPr>
        <w:jc w:val="both"/>
        <w:ind w:left="160"/>
        <w:spacing w:after="0" w:line="243" w:lineRule="auto"/>
        <w:rPr>
          <w:sz w:val="20"/>
          <w:szCs w:val="20"/>
          <w:color w:val="auto"/>
        </w:rPr>
      </w:pPr>
      <w:r>
        <w:rPr>
          <w:rFonts w:ascii="Arial" w:cs="Arial" w:eastAsia="Arial" w:hAnsi="Arial"/>
          <w:sz w:val="18"/>
          <w:szCs w:val="18"/>
          <w:b w:val="1"/>
          <w:bCs w:val="1"/>
          <w:i w:val="1"/>
          <w:iCs w:val="1"/>
          <w:color w:val="auto"/>
        </w:rPr>
        <w:t>Role of Compensation Consultants</w:t>
      </w:r>
      <w:r>
        <w:rPr>
          <w:rFonts w:ascii="Arial" w:cs="Arial" w:eastAsia="Arial" w:hAnsi="Arial"/>
          <w:sz w:val="18"/>
          <w:szCs w:val="18"/>
          <w:color w:val="auto"/>
        </w:rPr>
        <w:t>. In May 2012, the HCC Committee engaged Pearl Meyer as its primary independent compensation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consultant to assist in recommending the form and amount of executive and director compensation. The HCC Committee has reviewed the performance of Pearl Meyer annually since that date and continues to engage Pearl Meyer as its primary compensation consultant. Among other things, with respect to our 2021 compensation programs, Pearl Meyer was requested to:</w:t>
      </w:r>
    </w:p>
    <w:p>
      <w:pPr>
        <w:spacing w:after="0" w:line="205" w:lineRule="exact"/>
        <w:rPr>
          <w:sz w:val="20"/>
          <w:szCs w:val="20"/>
          <w:color w:val="auto"/>
        </w:rPr>
      </w:pPr>
    </w:p>
    <w:p>
      <w:pPr>
        <w:ind w:left="1020" w:hanging="425"/>
        <w:spacing w:after="0"/>
        <w:tabs>
          <w:tab w:leader="none" w:pos="10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perform an executive compensation review, including a peer group review and competitive pay assessments;</w:t>
      </w:r>
    </w:p>
    <w:p>
      <w:pPr>
        <w:spacing w:after="0" w:line="11" w:lineRule="exact"/>
        <w:rPr>
          <w:rFonts w:ascii="Arial" w:cs="Arial" w:eastAsia="Arial" w:hAnsi="Arial"/>
          <w:sz w:val="18"/>
          <w:szCs w:val="18"/>
          <w:color w:val="auto"/>
        </w:rPr>
      </w:pPr>
    </w:p>
    <w:p>
      <w:pPr>
        <w:ind w:left="1020" w:hanging="425"/>
        <w:spacing w:after="0" w:line="232" w:lineRule="auto"/>
        <w:tabs>
          <w:tab w:leader="none" w:pos="10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perform a short-term incentive plan and equity grant review;</w:t>
      </w:r>
    </w:p>
    <w:p>
      <w:pPr>
        <w:ind w:left="1020" w:hanging="425"/>
        <w:spacing w:after="0" w:line="232" w:lineRule="auto"/>
        <w:tabs>
          <w:tab w:leader="none" w:pos="10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perform a non-employee director compensation review;</w:t>
      </w:r>
    </w:p>
    <w:p>
      <w:pPr>
        <w:ind w:left="1020" w:hanging="425"/>
        <w:spacing w:after="0" w:line="232" w:lineRule="auto"/>
        <w:tabs>
          <w:tab w:leader="none" w:pos="10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provide legislative and regulatory updates;</w:t>
      </w:r>
    </w:p>
    <w:p>
      <w:pPr>
        <w:ind w:left="1020" w:hanging="425"/>
        <w:spacing w:after="0" w:line="232" w:lineRule="auto"/>
        <w:tabs>
          <w:tab w:leader="none" w:pos="10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provide additional assistance, as requested, in analyzing and determining senior executive compensation and reviewing the CD&amp;A; and</w:t>
      </w:r>
    </w:p>
    <w:p>
      <w:pPr>
        <w:spacing w:after="0" w:line="1" w:lineRule="exact"/>
        <w:rPr>
          <w:rFonts w:ascii="Arial" w:cs="Arial" w:eastAsia="Arial" w:hAnsi="Arial"/>
          <w:sz w:val="18"/>
          <w:szCs w:val="18"/>
          <w:color w:val="auto"/>
        </w:rPr>
      </w:pPr>
    </w:p>
    <w:p>
      <w:pPr>
        <w:ind w:left="1020" w:hanging="425"/>
        <w:spacing w:after="0"/>
        <w:tabs>
          <w:tab w:leader="none" w:pos="10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attend meetings of the HCC as requested.</w:t>
      </w:r>
    </w:p>
    <w:p>
      <w:pPr>
        <w:spacing w:after="0" w:line="190" w:lineRule="exact"/>
        <w:rPr>
          <w:sz w:val="20"/>
          <w:szCs w:val="20"/>
          <w:color w:val="auto"/>
        </w:rPr>
      </w:pPr>
    </w:p>
    <w:p>
      <w:pPr>
        <w:jc w:val="both"/>
        <w:ind w:left="160" w:right="20"/>
        <w:spacing w:after="0" w:line="265" w:lineRule="auto"/>
        <w:rPr>
          <w:sz w:val="20"/>
          <w:szCs w:val="20"/>
          <w:color w:val="auto"/>
        </w:rPr>
      </w:pPr>
      <w:r>
        <w:rPr>
          <w:rFonts w:ascii="Arial" w:cs="Arial" w:eastAsia="Arial" w:hAnsi="Arial"/>
          <w:sz w:val="18"/>
          <w:szCs w:val="18"/>
          <w:color w:val="auto"/>
        </w:rPr>
        <w:t>After considering the independence of Pearl Meyer in light of SEC rules and Nasdaq listing standards regarding compensation consultants, the HCC Committee concluded that Pearl Meyer’s work for the HCC Committee has not raised any conflict of interest.</w:t>
      </w:r>
    </w:p>
    <w:p>
      <w:pPr>
        <w:spacing w:after="0" w:line="158" w:lineRule="exact"/>
        <w:rPr>
          <w:sz w:val="20"/>
          <w:szCs w:val="20"/>
          <w:color w:val="auto"/>
        </w:rPr>
      </w:pPr>
    </w:p>
    <w:p>
      <w:pPr>
        <w:jc w:val="both"/>
        <w:ind w:left="160"/>
        <w:spacing w:after="0" w:line="239" w:lineRule="auto"/>
        <w:rPr>
          <w:sz w:val="20"/>
          <w:szCs w:val="20"/>
          <w:color w:val="auto"/>
        </w:rPr>
      </w:pPr>
      <w:r>
        <w:rPr>
          <w:rFonts w:ascii="Arial" w:cs="Arial" w:eastAsia="Arial" w:hAnsi="Arial"/>
          <w:sz w:val="18"/>
          <w:szCs w:val="18"/>
          <w:color w:val="auto"/>
        </w:rPr>
        <w:t>In determining compensation for our Outside Directors and executive officers, the HCC Committee considers information and advice provided by Pearl Meyer. The HCC Committee believes that Pearl Meyer has the requisite skills, knowledge, industry expertise and experience, as well as the necessary resources, to provide a comprehensive approach to executive and non-employee director compensation planning, strategy and governance. While the HCC Committee considers the advice and recommendations of its independent consultant, ultimately, the HCC Committee has the decision-making authority with respect to our compensation programs, including the specific amounts paid to our executive officers.</w:t>
      </w:r>
    </w:p>
    <w:p>
      <w:pPr>
        <w:spacing w:after="0" w:line="181" w:lineRule="exact"/>
        <w:rPr>
          <w:sz w:val="20"/>
          <w:szCs w:val="20"/>
          <w:color w:val="auto"/>
        </w:rPr>
      </w:pPr>
    </w:p>
    <w:p>
      <w:pPr>
        <w:jc w:val="both"/>
        <w:ind w:left="160"/>
        <w:spacing w:after="0" w:line="238" w:lineRule="auto"/>
        <w:rPr>
          <w:sz w:val="20"/>
          <w:szCs w:val="20"/>
          <w:color w:val="auto"/>
        </w:rPr>
      </w:pPr>
      <w:r>
        <w:rPr>
          <w:rFonts w:ascii="Arial" w:cs="Arial" w:eastAsia="Arial" w:hAnsi="Arial"/>
          <w:sz w:val="18"/>
          <w:szCs w:val="18"/>
          <w:b w:val="1"/>
          <w:bCs w:val="1"/>
          <w:i w:val="1"/>
          <w:iCs w:val="1"/>
          <w:color w:val="auto"/>
        </w:rPr>
        <w:t>Role of Senior Executives in Determining Executive Compensation</w:t>
      </w:r>
      <w:r>
        <w:rPr>
          <w:rFonts w:ascii="Arial" w:cs="Arial" w:eastAsia="Arial" w:hAnsi="Arial"/>
          <w:sz w:val="18"/>
          <w:szCs w:val="18"/>
          <w:color w:val="auto"/>
        </w:rPr>
        <w:t>. The HCC Committee made all compensation decisions related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NEO compensation in 2021. However, our CEO and other senior executives regularly provide information and recommendations to the HCC Committee on the compensation and performance of other officers. The senior executives also assist the HCC Committee in determining the level of achievement of the performance targets underlying performance-based awards and incentives and provide other information specifically requested by the HCC Committee from time to time. With respect to the compensation of the CEO, the independent consultant works directly with the HCC Committee. The CEO does not make, and the HCC Committee does not seek from him, recommendations on the level of his compensation, nor does any NEO or any other member of management.</w:t>
      </w:r>
    </w:p>
    <w:p>
      <w:pPr>
        <w:spacing w:after="0" w:line="124"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F75E14"/>
        </w:rPr>
        <w:t>onsemi 2022 Proxy Statement</w:t>
        <w:tab/>
        <w:t>33</w:t>
      </w:r>
    </w:p>
    <w:p>
      <w:pPr>
        <w:sectPr>
          <w:pgSz w:w="11900" w:h="16838" w:orient="portrait"/>
          <w:cols w:equalWidth="0" w:num="1">
            <w:col w:w="11080"/>
          </w:cols>
          <w:pgMar w:left="320" w:top="454" w:right="499" w:bottom="1440" w:gutter="0" w:footer="0" w:header="0"/>
        </w:sectPr>
      </w:pPr>
    </w:p>
    <w:bookmarkStart w:id="37" w:name="page38"/>
    <w:bookmarkEnd w:id="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2" w:lineRule="exact"/>
        <w:rPr>
          <w:sz w:val="20"/>
          <w:szCs w:val="20"/>
          <w:color w:val="auto"/>
        </w:rPr>
      </w:pPr>
    </w:p>
    <w:p>
      <w:pPr>
        <w:ind w:left="160"/>
        <w:spacing w:after="0"/>
        <w:rPr>
          <w:sz w:val="20"/>
          <w:szCs w:val="20"/>
          <w:color w:val="auto"/>
        </w:rPr>
      </w:pPr>
      <w:r>
        <w:rPr>
          <w:rFonts w:ascii="Arial" w:cs="Arial" w:eastAsia="Arial" w:hAnsi="Arial"/>
          <w:sz w:val="18"/>
          <w:szCs w:val="18"/>
          <w:color w:val="F75E14"/>
        </w:rPr>
        <w:t>Compensation Discussion and Analysis</w:t>
      </w:r>
    </w:p>
    <w:p>
      <w:pPr>
        <w:spacing w:after="0" w:line="141" w:lineRule="exact"/>
        <w:rPr>
          <w:sz w:val="20"/>
          <w:szCs w:val="20"/>
          <w:color w:val="auto"/>
        </w:rPr>
      </w:pPr>
    </w:p>
    <w:p>
      <w:pPr>
        <w:jc w:val="both"/>
        <w:ind w:left="160"/>
        <w:spacing w:after="0" w:line="237" w:lineRule="auto"/>
        <w:rPr>
          <w:sz w:val="20"/>
          <w:szCs w:val="20"/>
          <w:color w:val="auto"/>
        </w:rPr>
      </w:pPr>
      <w:r>
        <w:rPr>
          <w:rFonts w:ascii="Arial" w:cs="Arial" w:eastAsia="Arial" w:hAnsi="Arial"/>
          <w:sz w:val="18"/>
          <w:szCs w:val="18"/>
          <w:b w:val="1"/>
          <w:bCs w:val="1"/>
          <w:i w:val="1"/>
          <w:iCs w:val="1"/>
          <w:color w:val="auto"/>
        </w:rPr>
        <w:t>Use of Market Data</w:t>
      </w:r>
      <w:r>
        <w:rPr>
          <w:rFonts w:ascii="Arial" w:cs="Arial" w:eastAsia="Arial" w:hAnsi="Arial"/>
          <w:sz w:val="18"/>
          <w:szCs w:val="18"/>
          <w:color w:val="auto"/>
        </w:rPr>
        <w:t>. The HCC Committee considers competitive market data, among other factors, in determining the individual elements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our compensation programs and in allocating between cash and non-cash compensation and between short-term and long-term incentive compensation. Although the peer company or other survey data is a starting point and a significant factor in the HCC Committee’s compensation determinations, it is not the only factor. In late 2020, Pearl Meyer conducted an executive compensation study and made recommendations regarding changes to compensation design for the 2021 program (the “Pearl Meyer Report”). The HCC Committee used data provided in the Pearl Meyer Report to assist in structuring the 2021 compensation packages for our NEOs. Based on a peer group update prepared by Pearl Meyer in August 2020, the HCC Committee considered changes to the peer group in light of consolidation within the semiconductor industry and changes to the revenue and market capitalization of our peer group companies. Criteria used to screen the peer group generally included:</w:t>
      </w:r>
    </w:p>
    <w:p>
      <w:pPr>
        <w:spacing w:after="0" w:line="207" w:lineRule="exact"/>
        <w:rPr>
          <w:sz w:val="20"/>
          <w:szCs w:val="20"/>
          <w:color w:val="auto"/>
        </w:rPr>
      </w:pPr>
    </w:p>
    <w:p>
      <w:pPr>
        <w:ind w:left="1020" w:hanging="425"/>
        <w:spacing w:after="0"/>
        <w:tabs>
          <w:tab w:leader="none" w:pos="10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revenue between $2.2 billion and $16.2 billion, which was approximately 0.4 to 3 times the Company’s revenue;</w:t>
      </w:r>
    </w:p>
    <w:p>
      <w:pPr>
        <w:spacing w:after="0" w:line="11" w:lineRule="exact"/>
        <w:rPr>
          <w:rFonts w:ascii="Arial" w:cs="Arial" w:eastAsia="Arial" w:hAnsi="Arial"/>
          <w:sz w:val="18"/>
          <w:szCs w:val="18"/>
          <w:color w:val="auto"/>
        </w:rPr>
      </w:pPr>
    </w:p>
    <w:p>
      <w:pPr>
        <w:ind w:left="1020" w:hanging="425"/>
        <w:spacing w:after="0" w:line="232" w:lineRule="auto"/>
        <w:tabs>
          <w:tab w:leader="none" w:pos="10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market capitalization between $2.5 billion and $40.5 billion, which was approximately 0.33 to 5 times the Company’s market capitalization; and</w:t>
      </w:r>
    </w:p>
    <w:p>
      <w:pPr>
        <w:spacing w:after="0" w:line="1" w:lineRule="exact"/>
        <w:rPr>
          <w:rFonts w:ascii="Arial" w:cs="Arial" w:eastAsia="Arial" w:hAnsi="Arial"/>
          <w:sz w:val="18"/>
          <w:szCs w:val="18"/>
          <w:color w:val="auto"/>
        </w:rPr>
      </w:pPr>
    </w:p>
    <w:p>
      <w:pPr>
        <w:ind w:left="1020" w:hanging="425"/>
        <w:spacing w:after="0" w:line="244" w:lineRule="auto"/>
        <w:tabs>
          <w:tab w:leader="none" w:pos="10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other semiconductor or semiconductor equipment companies, including selected companies that may fall outside of the revenue and market capitalization ranges shown above.</w:t>
      </w:r>
    </w:p>
    <w:p>
      <w:pPr>
        <w:spacing w:after="0" w:line="176" w:lineRule="exact"/>
        <w:rPr>
          <w:sz w:val="20"/>
          <w:szCs w:val="20"/>
          <w:color w:val="auto"/>
        </w:rPr>
      </w:pPr>
    </w:p>
    <w:p>
      <w:pPr>
        <w:ind w:left="160"/>
        <w:spacing w:after="0" w:line="265" w:lineRule="auto"/>
        <w:rPr>
          <w:sz w:val="20"/>
          <w:szCs w:val="20"/>
          <w:color w:val="auto"/>
        </w:rPr>
      </w:pPr>
      <w:r>
        <w:rPr>
          <w:rFonts w:ascii="Arial" w:cs="Arial" w:eastAsia="Arial" w:hAnsi="Arial"/>
          <w:sz w:val="18"/>
          <w:szCs w:val="18"/>
          <w:color w:val="auto"/>
        </w:rPr>
        <w:t>After considering these criteria, the HCC Committee determined that the peer group identified in 2020 for 2021 compensation decisions (the “2021 Peer Group”) would consist of:</w:t>
      </w:r>
    </w:p>
    <w:p>
      <w:pPr>
        <w:spacing w:after="0" w:line="204" w:lineRule="exact"/>
        <w:rPr>
          <w:sz w:val="20"/>
          <w:szCs w:val="20"/>
          <w:color w:val="auto"/>
        </w:rPr>
      </w:pPr>
    </w:p>
    <w:tbl>
      <w:tblPr>
        <w:tblLayout w:type="fixed"/>
        <w:tblInd w:w="1820" w:type="dxa"/>
        <w:tblCellMar>
          <w:top w:w="0" w:type="dxa"/>
          <w:left w:w="0" w:type="dxa"/>
          <w:bottom w:w="0" w:type="dxa"/>
          <w:right w:w="0" w:type="dxa"/>
        </w:tblCellMar>
      </w:tblPr>
      <w:tr>
        <w:trPr>
          <w:trHeight w:val="261"/>
        </w:trPr>
        <w:tc>
          <w:tcPr>
            <w:tcW w:w="2700" w:type="dxa"/>
            <w:vAlign w:val="bottom"/>
            <w:tcBorders>
              <w:bottom w:val="single" w:sz="8" w:color="F75E14"/>
            </w:tcBorders>
            <w:shd w:val="clear" w:color="auto" w:fill="F75E14"/>
          </w:tcPr>
          <w:p>
            <w:pPr>
              <w:spacing w:after="0"/>
              <w:rPr>
                <w:sz w:val="22"/>
                <w:szCs w:val="22"/>
                <w:color w:val="auto"/>
              </w:rPr>
            </w:pPr>
          </w:p>
        </w:tc>
        <w:tc>
          <w:tcPr>
            <w:tcW w:w="4920" w:type="dxa"/>
            <w:vAlign w:val="bottom"/>
            <w:tcBorders>
              <w:bottom w:val="single" w:sz="8" w:color="F75E14"/>
            </w:tcBorders>
            <w:shd w:val="clear" w:color="auto" w:fill="F75E14"/>
          </w:tcPr>
          <w:p>
            <w:pPr>
              <w:ind w:left="540"/>
              <w:spacing w:after="0"/>
              <w:rPr>
                <w:sz w:val="20"/>
                <w:szCs w:val="20"/>
                <w:color w:val="auto"/>
              </w:rPr>
            </w:pPr>
            <w:r>
              <w:rPr>
                <w:rFonts w:ascii="Arial" w:cs="Arial" w:eastAsia="Arial" w:hAnsi="Arial"/>
                <w:sz w:val="14"/>
                <w:szCs w:val="14"/>
                <w:b w:val="1"/>
                <w:bCs w:val="1"/>
                <w:color w:val="FFFFFF"/>
              </w:rPr>
              <w:t>2021 Peer Group</w:t>
            </w:r>
          </w:p>
        </w:tc>
      </w:tr>
      <w:tr>
        <w:trPr>
          <w:trHeight w:val="281"/>
        </w:trPr>
        <w:tc>
          <w:tcPr>
            <w:tcW w:w="2700" w:type="dxa"/>
            <w:vAlign w:val="bottom"/>
            <w:shd w:val="clear" w:color="auto" w:fill="D8E8EF"/>
          </w:tcPr>
          <w:p>
            <w:pPr>
              <w:ind w:left="40"/>
              <w:spacing w:after="0"/>
              <w:rPr>
                <w:sz w:val="20"/>
                <w:szCs w:val="20"/>
                <w:color w:val="auto"/>
              </w:rPr>
            </w:pPr>
            <w:r>
              <w:rPr>
                <w:rFonts w:ascii="Arial" w:cs="Arial" w:eastAsia="Arial" w:hAnsi="Arial"/>
                <w:sz w:val="16"/>
                <w:szCs w:val="16"/>
                <w:color w:val="auto"/>
              </w:rPr>
              <w:t>Advanced Micro Devices, Inc.</w:t>
            </w:r>
          </w:p>
        </w:tc>
        <w:tc>
          <w:tcPr>
            <w:tcW w:w="4920" w:type="dxa"/>
            <w:vAlign w:val="bottom"/>
            <w:shd w:val="clear" w:color="auto" w:fill="D8E8EF"/>
          </w:tcPr>
          <w:p>
            <w:pPr>
              <w:ind w:left="1880"/>
              <w:spacing w:after="0"/>
              <w:rPr>
                <w:sz w:val="20"/>
                <w:szCs w:val="20"/>
                <w:color w:val="auto"/>
              </w:rPr>
            </w:pPr>
            <w:r>
              <w:rPr>
                <w:rFonts w:ascii="Arial" w:cs="Arial" w:eastAsia="Arial" w:hAnsi="Arial"/>
                <w:sz w:val="16"/>
                <w:szCs w:val="16"/>
                <w:color w:val="auto"/>
              </w:rPr>
              <w:t>Maxim Integrated Products, Inc. (1)</w:t>
            </w:r>
          </w:p>
        </w:tc>
      </w:tr>
      <w:tr>
        <w:trPr>
          <w:trHeight w:val="272"/>
        </w:trPr>
        <w:tc>
          <w:tcPr>
            <w:tcW w:w="2700" w:type="dxa"/>
            <w:vAlign w:val="bottom"/>
          </w:tcPr>
          <w:p>
            <w:pPr>
              <w:ind w:left="40"/>
              <w:spacing w:after="0"/>
              <w:rPr>
                <w:sz w:val="20"/>
                <w:szCs w:val="20"/>
                <w:color w:val="auto"/>
              </w:rPr>
            </w:pPr>
            <w:r>
              <w:rPr>
                <w:rFonts w:ascii="Arial" w:cs="Arial" w:eastAsia="Arial" w:hAnsi="Arial"/>
                <w:sz w:val="16"/>
                <w:szCs w:val="16"/>
                <w:color w:val="auto"/>
              </w:rPr>
              <w:t>Analog Devices, Inc.</w:t>
            </w:r>
          </w:p>
        </w:tc>
        <w:tc>
          <w:tcPr>
            <w:tcW w:w="4920" w:type="dxa"/>
            <w:vAlign w:val="bottom"/>
          </w:tcPr>
          <w:p>
            <w:pPr>
              <w:ind w:left="1880"/>
              <w:spacing w:after="0"/>
              <w:rPr>
                <w:sz w:val="20"/>
                <w:szCs w:val="20"/>
                <w:color w:val="auto"/>
              </w:rPr>
            </w:pPr>
            <w:r>
              <w:rPr>
                <w:rFonts w:ascii="Arial" w:cs="Arial" w:eastAsia="Arial" w:hAnsi="Arial"/>
                <w:sz w:val="16"/>
                <w:szCs w:val="16"/>
                <w:color w:val="auto"/>
              </w:rPr>
              <w:t>Microchip Technology Incorporated</w:t>
            </w:r>
          </w:p>
        </w:tc>
      </w:tr>
      <w:tr>
        <w:trPr>
          <w:trHeight w:val="289"/>
        </w:trPr>
        <w:tc>
          <w:tcPr>
            <w:tcW w:w="2700" w:type="dxa"/>
            <w:vAlign w:val="bottom"/>
            <w:shd w:val="clear" w:color="auto" w:fill="D8E8EF"/>
          </w:tcPr>
          <w:p>
            <w:pPr>
              <w:ind w:left="40"/>
              <w:spacing w:after="0"/>
              <w:rPr>
                <w:sz w:val="20"/>
                <w:szCs w:val="20"/>
                <w:color w:val="auto"/>
              </w:rPr>
            </w:pPr>
            <w:r>
              <w:rPr>
                <w:rFonts w:ascii="Arial" w:cs="Arial" w:eastAsia="Arial" w:hAnsi="Arial"/>
                <w:sz w:val="16"/>
                <w:szCs w:val="16"/>
                <w:color w:val="auto"/>
              </w:rPr>
              <w:t>Applied Materials, Inc.</w:t>
            </w:r>
          </w:p>
        </w:tc>
        <w:tc>
          <w:tcPr>
            <w:tcW w:w="4920" w:type="dxa"/>
            <w:vAlign w:val="bottom"/>
            <w:shd w:val="clear" w:color="auto" w:fill="D8E8EF"/>
          </w:tcPr>
          <w:p>
            <w:pPr>
              <w:ind w:left="1880"/>
              <w:spacing w:after="0"/>
              <w:rPr>
                <w:sz w:val="20"/>
                <w:szCs w:val="20"/>
                <w:color w:val="auto"/>
              </w:rPr>
            </w:pPr>
            <w:r>
              <w:rPr>
                <w:rFonts w:ascii="Arial" w:cs="Arial" w:eastAsia="Arial" w:hAnsi="Arial"/>
                <w:sz w:val="16"/>
                <w:szCs w:val="16"/>
                <w:color w:val="auto"/>
              </w:rPr>
              <w:t>Qorvo, Inc.</w:t>
            </w:r>
          </w:p>
        </w:tc>
      </w:tr>
      <w:tr>
        <w:trPr>
          <w:trHeight w:val="272"/>
        </w:trPr>
        <w:tc>
          <w:tcPr>
            <w:tcW w:w="2700" w:type="dxa"/>
            <w:vAlign w:val="bottom"/>
          </w:tcPr>
          <w:p>
            <w:pPr>
              <w:ind w:left="40"/>
              <w:spacing w:after="0"/>
              <w:rPr>
                <w:sz w:val="20"/>
                <w:szCs w:val="20"/>
                <w:color w:val="auto"/>
              </w:rPr>
            </w:pPr>
            <w:r>
              <w:rPr>
                <w:rFonts w:ascii="Arial" w:cs="Arial" w:eastAsia="Arial" w:hAnsi="Arial"/>
                <w:sz w:val="16"/>
                <w:szCs w:val="16"/>
                <w:color w:val="auto"/>
              </w:rPr>
              <w:t>Wolfspeed, Inc.</w:t>
            </w:r>
          </w:p>
        </w:tc>
        <w:tc>
          <w:tcPr>
            <w:tcW w:w="4920" w:type="dxa"/>
            <w:vAlign w:val="bottom"/>
          </w:tcPr>
          <w:p>
            <w:pPr>
              <w:ind w:left="1880"/>
              <w:spacing w:after="0"/>
              <w:rPr>
                <w:sz w:val="20"/>
                <w:szCs w:val="20"/>
                <w:color w:val="auto"/>
              </w:rPr>
            </w:pPr>
            <w:r>
              <w:rPr>
                <w:rFonts w:ascii="Arial" w:cs="Arial" w:eastAsia="Arial" w:hAnsi="Arial"/>
                <w:sz w:val="16"/>
                <w:szCs w:val="16"/>
                <w:color w:val="auto"/>
              </w:rPr>
              <w:t>Skyworks Solutions, Inc.</w:t>
            </w:r>
          </w:p>
        </w:tc>
      </w:tr>
      <w:tr>
        <w:trPr>
          <w:trHeight w:val="289"/>
        </w:trPr>
        <w:tc>
          <w:tcPr>
            <w:tcW w:w="2700" w:type="dxa"/>
            <w:vAlign w:val="bottom"/>
            <w:shd w:val="clear" w:color="auto" w:fill="D8E8EF"/>
          </w:tcPr>
          <w:p>
            <w:pPr>
              <w:ind w:left="40"/>
              <w:spacing w:after="0"/>
              <w:rPr>
                <w:sz w:val="20"/>
                <w:szCs w:val="20"/>
                <w:color w:val="auto"/>
              </w:rPr>
            </w:pPr>
            <w:r>
              <w:rPr>
                <w:rFonts w:ascii="Arial" w:cs="Arial" w:eastAsia="Arial" w:hAnsi="Arial"/>
                <w:sz w:val="16"/>
                <w:szCs w:val="16"/>
                <w:color w:val="auto"/>
              </w:rPr>
              <w:t>First Solar, Inc.</w:t>
            </w:r>
          </w:p>
        </w:tc>
        <w:tc>
          <w:tcPr>
            <w:tcW w:w="4920" w:type="dxa"/>
            <w:vAlign w:val="bottom"/>
            <w:shd w:val="clear" w:color="auto" w:fill="D8E8EF"/>
          </w:tcPr>
          <w:p>
            <w:pPr>
              <w:ind w:left="1880"/>
              <w:spacing w:after="0"/>
              <w:rPr>
                <w:sz w:val="20"/>
                <w:szCs w:val="20"/>
                <w:color w:val="auto"/>
              </w:rPr>
            </w:pPr>
            <w:r>
              <w:rPr>
                <w:rFonts w:ascii="Arial" w:cs="Arial" w:eastAsia="Arial" w:hAnsi="Arial"/>
                <w:sz w:val="16"/>
                <w:szCs w:val="16"/>
                <w:color w:val="auto"/>
              </w:rPr>
              <w:t>Texas Instruments Incorporated</w:t>
            </w:r>
          </w:p>
        </w:tc>
      </w:tr>
      <w:tr>
        <w:trPr>
          <w:trHeight w:val="272"/>
        </w:trPr>
        <w:tc>
          <w:tcPr>
            <w:tcW w:w="2700" w:type="dxa"/>
            <w:vAlign w:val="bottom"/>
          </w:tcPr>
          <w:p>
            <w:pPr>
              <w:ind w:left="40"/>
              <w:spacing w:after="0"/>
              <w:rPr>
                <w:sz w:val="20"/>
                <w:szCs w:val="20"/>
                <w:color w:val="auto"/>
              </w:rPr>
            </w:pPr>
            <w:r>
              <w:rPr>
                <w:rFonts w:ascii="Arial" w:cs="Arial" w:eastAsia="Arial" w:hAnsi="Arial"/>
                <w:sz w:val="16"/>
                <w:szCs w:val="16"/>
                <w:color w:val="auto"/>
              </w:rPr>
              <w:t>Lam Research Corporation</w:t>
            </w:r>
          </w:p>
        </w:tc>
        <w:tc>
          <w:tcPr>
            <w:tcW w:w="4920" w:type="dxa"/>
            <w:vAlign w:val="bottom"/>
          </w:tcPr>
          <w:p>
            <w:pPr>
              <w:ind w:left="1880"/>
              <w:spacing w:after="0"/>
              <w:rPr>
                <w:sz w:val="20"/>
                <w:szCs w:val="20"/>
                <w:color w:val="auto"/>
              </w:rPr>
            </w:pPr>
            <w:r>
              <w:rPr>
                <w:rFonts w:ascii="Arial" w:cs="Arial" w:eastAsia="Arial" w:hAnsi="Arial"/>
                <w:sz w:val="16"/>
                <w:szCs w:val="16"/>
                <w:color w:val="auto"/>
              </w:rPr>
              <w:t>Xilinx, Inc. (2)</w:t>
            </w:r>
          </w:p>
        </w:tc>
      </w:tr>
      <w:tr>
        <w:trPr>
          <w:trHeight w:val="289"/>
        </w:trPr>
        <w:tc>
          <w:tcPr>
            <w:tcW w:w="2700" w:type="dxa"/>
            <w:vAlign w:val="bottom"/>
            <w:shd w:val="clear" w:color="auto" w:fill="D8E8EF"/>
          </w:tcPr>
          <w:p>
            <w:pPr>
              <w:ind w:left="40"/>
              <w:spacing w:after="0"/>
              <w:rPr>
                <w:sz w:val="20"/>
                <w:szCs w:val="20"/>
                <w:color w:val="auto"/>
              </w:rPr>
            </w:pPr>
            <w:r>
              <w:rPr>
                <w:rFonts w:ascii="Arial" w:cs="Arial" w:eastAsia="Arial" w:hAnsi="Arial"/>
                <w:sz w:val="16"/>
                <w:szCs w:val="16"/>
                <w:color w:val="auto"/>
              </w:rPr>
              <w:t>Marvell Technology, Inc.</w:t>
            </w:r>
          </w:p>
        </w:tc>
        <w:tc>
          <w:tcPr>
            <w:tcW w:w="4920" w:type="dxa"/>
            <w:vAlign w:val="bottom"/>
            <w:shd w:val="clear" w:color="auto" w:fill="D8E8EF"/>
          </w:tcPr>
          <w:p>
            <w:pPr>
              <w:spacing w:after="0"/>
              <w:rPr>
                <w:sz w:val="24"/>
                <w:szCs w:val="24"/>
                <w:color w:val="auto"/>
              </w:rPr>
            </w:pPr>
          </w:p>
        </w:tc>
      </w:tr>
    </w:tbl>
    <w:p>
      <w:pPr>
        <w:ind w:left="2220" w:hanging="421"/>
        <w:spacing w:after="0"/>
        <w:tabs>
          <w:tab w:leader="none" w:pos="2220" w:val="left"/>
        </w:tabs>
        <w:numPr>
          <w:ilvl w:val="0"/>
          <w:numId w:val="56"/>
        </w:numPr>
        <w:rPr>
          <w:rFonts w:ascii="Arial" w:cs="Arial" w:eastAsia="Arial" w:hAnsi="Arial"/>
          <w:sz w:val="14"/>
          <w:szCs w:val="14"/>
          <w:color w:val="auto"/>
        </w:rPr>
      </w:pPr>
      <w:r>
        <w:rPr>
          <w:rFonts w:ascii="Arial" w:cs="Arial" w:eastAsia="Arial" w:hAnsi="Arial"/>
          <w:sz w:val="14"/>
          <w:szCs w:val="14"/>
          <w:color w:val="auto"/>
        </w:rPr>
        <w:t>Maxim Integrated Products, Inc. was acquired by Analog Devices, Inc. in August 2021.</w:t>
      </w:r>
    </w:p>
    <w:p>
      <w:pPr>
        <w:spacing w:after="0" w:line="4" w:lineRule="exact"/>
        <w:rPr>
          <w:rFonts w:ascii="Arial" w:cs="Arial" w:eastAsia="Arial" w:hAnsi="Arial"/>
          <w:sz w:val="14"/>
          <w:szCs w:val="14"/>
          <w:color w:val="auto"/>
        </w:rPr>
      </w:pPr>
    </w:p>
    <w:p>
      <w:pPr>
        <w:ind w:left="2220" w:hanging="421"/>
        <w:spacing w:after="0"/>
        <w:tabs>
          <w:tab w:leader="none" w:pos="2220" w:val="left"/>
        </w:tabs>
        <w:numPr>
          <w:ilvl w:val="0"/>
          <w:numId w:val="56"/>
        </w:numPr>
        <w:rPr>
          <w:rFonts w:ascii="Arial" w:cs="Arial" w:eastAsia="Arial" w:hAnsi="Arial"/>
          <w:sz w:val="14"/>
          <w:szCs w:val="14"/>
          <w:color w:val="auto"/>
        </w:rPr>
      </w:pPr>
      <w:r>
        <w:rPr>
          <w:rFonts w:ascii="Arial" w:cs="Arial" w:eastAsia="Arial" w:hAnsi="Arial"/>
          <w:sz w:val="14"/>
          <w:szCs w:val="14"/>
          <w:color w:val="auto"/>
        </w:rPr>
        <w:t>Xilinx, Inc. was acquired by Advanced Micro Devices, Inc. in February 2022.</w:t>
      </w:r>
    </w:p>
    <w:p>
      <w:pPr>
        <w:spacing w:after="0" w:line="190" w:lineRule="exact"/>
        <w:rPr>
          <w:sz w:val="20"/>
          <w:szCs w:val="20"/>
          <w:color w:val="auto"/>
        </w:rPr>
      </w:pPr>
    </w:p>
    <w:p>
      <w:pPr>
        <w:ind w:left="160"/>
        <w:spacing w:after="0" w:line="265" w:lineRule="auto"/>
        <w:rPr>
          <w:sz w:val="20"/>
          <w:szCs w:val="20"/>
          <w:color w:val="auto"/>
        </w:rPr>
      </w:pPr>
      <w:r>
        <w:rPr>
          <w:rFonts w:ascii="Arial" w:cs="Arial" w:eastAsia="Arial" w:hAnsi="Arial"/>
          <w:sz w:val="18"/>
          <w:szCs w:val="18"/>
          <w:color w:val="auto"/>
        </w:rPr>
        <w:t>Information provided by Pearl Meyer comparing certain Company information to the 25th percentile, 50th percentile, 75th percentile and average of the 2021 Peer Group follows:</w:t>
      </w:r>
    </w:p>
    <w:p>
      <w:pPr>
        <w:spacing w:after="0" w:line="193" w:lineRule="exact"/>
        <w:rPr>
          <w:sz w:val="20"/>
          <w:szCs w:val="20"/>
          <w:color w:val="auto"/>
        </w:rPr>
      </w:pPr>
    </w:p>
    <w:tbl>
      <w:tblPr>
        <w:tblLayout w:type="fixed"/>
        <w:tblInd w:w="160" w:type="dxa"/>
        <w:tblCellMar>
          <w:top w:w="0" w:type="dxa"/>
          <w:left w:w="0" w:type="dxa"/>
          <w:bottom w:w="0" w:type="dxa"/>
          <w:right w:w="0" w:type="dxa"/>
        </w:tblCellMar>
      </w:tblPr>
      <w:tr>
        <w:trPr>
          <w:trHeight w:val="184"/>
        </w:trPr>
        <w:tc>
          <w:tcPr>
            <w:tcW w:w="7380" w:type="dxa"/>
            <w:vAlign w:val="bottom"/>
            <w:shd w:val="clear" w:color="auto" w:fill="F75E14"/>
          </w:tcPr>
          <w:p>
            <w:pPr>
              <w:spacing w:after="0"/>
              <w:rPr>
                <w:sz w:val="16"/>
                <w:szCs w:val="16"/>
                <w:color w:val="auto"/>
              </w:rPr>
            </w:pPr>
          </w:p>
        </w:tc>
        <w:tc>
          <w:tcPr>
            <w:tcW w:w="1660" w:type="dxa"/>
            <w:vAlign w:val="bottom"/>
            <w:vMerge w:val="restart"/>
            <w:shd w:val="clear" w:color="auto" w:fill="F75E14"/>
          </w:tcPr>
          <w:p>
            <w:pPr>
              <w:ind w:left="580"/>
              <w:spacing w:after="0"/>
              <w:rPr>
                <w:sz w:val="20"/>
                <w:szCs w:val="20"/>
                <w:color w:val="auto"/>
              </w:rPr>
            </w:pPr>
            <w:r>
              <w:rPr>
                <w:rFonts w:ascii="Arial" w:cs="Arial" w:eastAsia="Arial" w:hAnsi="Arial"/>
                <w:sz w:val="16"/>
                <w:szCs w:val="16"/>
                <w:b w:val="1"/>
                <w:bCs w:val="1"/>
                <w:color w:val="FFFFFF"/>
              </w:rPr>
              <w:t>Revenue</w:t>
            </w:r>
          </w:p>
        </w:tc>
        <w:tc>
          <w:tcPr>
            <w:tcW w:w="1880" w:type="dxa"/>
            <w:vAlign w:val="bottom"/>
            <w:shd w:val="clear" w:color="auto" w:fill="F75E14"/>
          </w:tcPr>
          <w:p>
            <w:pPr>
              <w:ind w:left="320"/>
              <w:spacing w:after="0"/>
              <w:rPr>
                <w:sz w:val="20"/>
                <w:szCs w:val="20"/>
                <w:color w:val="auto"/>
              </w:rPr>
            </w:pPr>
            <w:r>
              <w:rPr>
                <w:rFonts w:ascii="Arial" w:cs="Arial" w:eastAsia="Arial" w:hAnsi="Arial"/>
                <w:sz w:val="16"/>
                <w:szCs w:val="16"/>
                <w:b w:val="1"/>
                <w:bCs w:val="1"/>
                <w:color w:val="FFFFFF"/>
              </w:rPr>
              <w:t>Market</w:t>
            </w:r>
          </w:p>
        </w:tc>
        <w:tc>
          <w:tcPr>
            <w:tcW w:w="0" w:type="dxa"/>
            <w:vAlign w:val="bottom"/>
          </w:tcPr>
          <w:p>
            <w:pPr>
              <w:spacing w:after="0"/>
              <w:rPr>
                <w:sz w:val="1"/>
                <w:szCs w:val="1"/>
                <w:color w:val="auto"/>
              </w:rPr>
            </w:pPr>
          </w:p>
        </w:tc>
      </w:tr>
      <w:tr>
        <w:trPr>
          <w:trHeight w:val="174"/>
        </w:trPr>
        <w:tc>
          <w:tcPr>
            <w:tcW w:w="7380" w:type="dxa"/>
            <w:vAlign w:val="bottom"/>
            <w:shd w:val="clear" w:color="auto" w:fill="F75E14"/>
          </w:tcPr>
          <w:p>
            <w:pPr>
              <w:spacing w:after="0"/>
              <w:rPr>
                <w:sz w:val="15"/>
                <w:szCs w:val="15"/>
                <w:color w:val="auto"/>
              </w:rPr>
            </w:pPr>
          </w:p>
        </w:tc>
        <w:tc>
          <w:tcPr>
            <w:tcW w:w="1660" w:type="dxa"/>
            <w:vAlign w:val="bottom"/>
            <w:vMerge w:val="continue"/>
            <w:shd w:val="clear" w:color="auto" w:fill="F75E14"/>
          </w:tcPr>
          <w:p>
            <w:pPr>
              <w:spacing w:after="0"/>
              <w:rPr>
                <w:sz w:val="15"/>
                <w:szCs w:val="15"/>
                <w:color w:val="auto"/>
              </w:rPr>
            </w:pPr>
          </w:p>
        </w:tc>
        <w:tc>
          <w:tcPr>
            <w:tcW w:w="1880" w:type="dxa"/>
            <w:vAlign w:val="bottom"/>
            <w:shd w:val="clear" w:color="auto" w:fill="F75E14"/>
          </w:tcPr>
          <w:p>
            <w:pPr>
              <w:ind w:left="320"/>
              <w:spacing w:after="0" w:line="174" w:lineRule="exact"/>
              <w:rPr>
                <w:sz w:val="20"/>
                <w:szCs w:val="20"/>
                <w:color w:val="auto"/>
              </w:rPr>
            </w:pPr>
            <w:r>
              <w:rPr>
                <w:rFonts w:ascii="Arial" w:cs="Arial" w:eastAsia="Arial" w:hAnsi="Arial"/>
                <w:sz w:val="16"/>
                <w:szCs w:val="16"/>
                <w:b w:val="1"/>
                <w:bCs w:val="1"/>
                <w:color w:val="FFFFFF"/>
              </w:rPr>
              <w:t>Capitalization</w:t>
            </w:r>
          </w:p>
        </w:tc>
        <w:tc>
          <w:tcPr>
            <w:tcW w:w="0" w:type="dxa"/>
            <w:vAlign w:val="bottom"/>
          </w:tcPr>
          <w:p>
            <w:pPr>
              <w:spacing w:after="0"/>
              <w:rPr>
                <w:sz w:val="1"/>
                <w:szCs w:val="1"/>
                <w:color w:val="auto"/>
              </w:rPr>
            </w:pPr>
          </w:p>
        </w:tc>
      </w:tr>
      <w:tr>
        <w:trPr>
          <w:trHeight w:val="248"/>
        </w:trPr>
        <w:tc>
          <w:tcPr>
            <w:tcW w:w="7380" w:type="dxa"/>
            <w:vAlign w:val="bottom"/>
            <w:tcBorders>
              <w:bottom w:val="single" w:sz="8" w:color="F75E14"/>
            </w:tcBorders>
            <w:shd w:val="clear" w:color="auto" w:fill="F75E14"/>
          </w:tcPr>
          <w:p>
            <w:pPr>
              <w:spacing w:after="0"/>
              <w:rPr>
                <w:sz w:val="21"/>
                <w:szCs w:val="21"/>
                <w:color w:val="auto"/>
              </w:rPr>
            </w:pPr>
          </w:p>
        </w:tc>
        <w:tc>
          <w:tcPr>
            <w:tcW w:w="1660" w:type="dxa"/>
            <w:vAlign w:val="bottom"/>
            <w:tcBorders>
              <w:bottom w:val="single" w:sz="8" w:color="F75E14"/>
            </w:tcBorders>
            <w:shd w:val="clear" w:color="auto" w:fill="F75E14"/>
          </w:tcPr>
          <w:p>
            <w:pPr>
              <w:ind w:left="580"/>
              <w:spacing w:after="0"/>
              <w:rPr>
                <w:sz w:val="20"/>
                <w:szCs w:val="20"/>
                <w:color w:val="auto"/>
              </w:rPr>
            </w:pPr>
            <w:r>
              <w:rPr>
                <w:rFonts w:ascii="Arial" w:cs="Arial" w:eastAsia="Arial" w:hAnsi="Arial"/>
                <w:sz w:val="16"/>
                <w:szCs w:val="16"/>
                <w:b w:val="1"/>
                <w:bCs w:val="1"/>
                <w:color w:val="FFFFFF"/>
              </w:rPr>
              <w:t>(1)(2)</w:t>
            </w:r>
          </w:p>
        </w:tc>
        <w:tc>
          <w:tcPr>
            <w:tcW w:w="1880" w:type="dxa"/>
            <w:vAlign w:val="bottom"/>
            <w:tcBorders>
              <w:bottom w:val="single" w:sz="8" w:color="F75E14"/>
            </w:tcBorders>
            <w:shd w:val="clear" w:color="auto" w:fill="F75E14"/>
          </w:tcPr>
          <w:p>
            <w:pPr>
              <w:ind w:left="320"/>
              <w:spacing w:after="0"/>
              <w:rPr>
                <w:sz w:val="20"/>
                <w:szCs w:val="20"/>
                <w:color w:val="auto"/>
              </w:rPr>
            </w:pPr>
            <w:r>
              <w:rPr>
                <w:rFonts w:ascii="Arial" w:cs="Arial" w:eastAsia="Arial" w:hAnsi="Arial"/>
                <w:sz w:val="16"/>
                <w:szCs w:val="16"/>
                <w:b w:val="1"/>
                <w:bCs w:val="1"/>
                <w:color w:val="FFFFFF"/>
              </w:rPr>
              <w:t>(1)(2)</w:t>
            </w:r>
          </w:p>
        </w:tc>
        <w:tc>
          <w:tcPr>
            <w:tcW w:w="0" w:type="dxa"/>
            <w:vAlign w:val="bottom"/>
          </w:tcPr>
          <w:p>
            <w:pPr>
              <w:spacing w:after="0"/>
              <w:rPr>
                <w:sz w:val="1"/>
                <w:szCs w:val="1"/>
                <w:color w:val="auto"/>
              </w:rPr>
            </w:pPr>
          </w:p>
        </w:tc>
      </w:tr>
      <w:tr>
        <w:trPr>
          <w:trHeight w:val="281"/>
        </w:trPr>
        <w:tc>
          <w:tcPr>
            <w:tcW w:w="7380" w:type="dxa"/>
            <w:vAlign w:val="bottom"/>
            <w:shd w:val="clear" w:color="auto" w:fill="D8E8EF"/>
          </w:tcPr>
          <w:p>
            <w:pPr>
              <w:ind w:left="60"/>
              <w:spacing w:after="0"/>
              <w:rPr>
                <w:sz w:val="20"/>
                <w:szCs w:val="20"/>
                <w:color w:val="auto"/>
              </w:rPr>
            </w:pPr>
            <w:r>
              <w:rPr>
                <w:rFonts w:ascii="Arial" w:cs="Arial" w:eastAsia="Arial" w:hAnsi="Arial"/>
                <w:sz w:val="16"/>
                <w:szCs w:val="16"/>
                <w:color w:val="auto"/>
              </w:rPr>
              <w:t>Peer Group 25th Percentile</w:t>
            </w:r>
          </w:p>
        </w:tc>
        <w:tc>
          <w:tcPr>
            <w:tcW w:w="1660" w:type="dxa"/>
            <w:vAlign w:val="bottom"/>
            <w:shd w:val="clear" w:color="auto" w:fill="D8E8EF"/>
          </w:tcPr>
          <w:p>
            <w:pPr>
              <w:jc w:val="right"/>
              <w:ind w:right="240"/>
              <w:spacing w:after="0"/>
              <w:rPr>
                <w:sz w:val="20"/>
                <w:szCs w:val="20"/>
                <w:color w:val="auto"/>
              </w:rPr>
            </w:pPr>
            <w:r>
              <w:rPr>
                <w:rFonts w:ascii="Arial" w:cs="Arial" w:eastAsia="Arial" w:hAnsi="Arial"/>
                <w:sz w:val="16"/>
                <w:szCs w:val="16"/>
                <w:color w:val="auto"/>
              </w:rPr>
              <w:t>3,063</w:t>
            </w:r>
          </w:p>
        </w:tc>
        <w:tc>
          <w:tcPr>
            <w:tcW w:w="1880" w:type="dxa"/>
            <w:vAlign w:val="bottom"/>
            <w:shd w:val="clear" w:color="auto" w:fill="D8E8EF"/>
          </w:tcPr>
          <w:p>
            <w:pPr>
              <w:jc w:val="right"/>
              <w:ind w:right="320"/>
              <w:spacing w:after="0"/>
              <w:rPr>
                <w:sz w:val="20"/>
                <w:szCs w:val="20"/>
                <w:color w:val="auto"/>
              </w:rPr>
            </w:pPr>
            <w:r>
              <w:rPr>
                <w:rFonts w:ascii="Arial" w:cs="Arial" w:eastAsia="Arial" w:hAnsi="Arial"/>
                <w:sz w:val="16"/>
                <w:szCs w:val="16"/>
                <w:color w:val="auto"/>
              </w:rPr>
              <w:t>18,545</w:t>
            </w:r>
          </w:p>
        </w:tc>
        <w:tc>
          <w:tcPr>
            <w:tcW w:w="0" w:type="dxa"/>
            <w:vAlign w:val="bottom"/>
          </w:tcPr>
          <w:p>
            <w:pPr>
              <w:spacing w:after="0"/>
              <w:rPr>
                <w:sz w:val="1"/>
                <w:szCs w:val="1"/>
                <w:color w:val="auto"/>
              </w:rPr>
            </w:pPr>
          </w:p>
        </w:tc>
      </w:tr>
      <w:tr>
        <w:trPr>
          <w:trHeight w:val="272"/>
        </w:trPr>
        <w:tc>
          <w:tcPr>
            <w:tcW w:w="7380" w:type="dxa"/>
            <w:vAlign w:val="bottom"/>
          </w:tcPr>
          <w:p>
            <w:pPr>
              <w:ind w:left="60"/>
              <w:spacing w:after="0"/>
              <w:rPr>
                <w:sz w:val="20"/>
                <w:szCs w:val="20"/>
                <w:color w:val="auto"/>
              </w:rPr>
            </w:pPr>
            <w:r>
              <w:rPr>
                <w:rFonts w:ascii="Arial" w:cs="Arial" w:eastAsia="Arial" w:hAnsi="Arial"/>
                <w:sz w:val="16"/>
                <w:szCs w:val="16"/>
                <w:color w:val="auto"/>
              </w:rPr>
              <w:t>Peer Group 50th Percentile</w:t>
            </w:r>
          </w:p>
        </w:tc>
        <w:tc>
          <w:tcPr>
            <w:tcW w:w="1660" w:type="dxa"/>
            <w:vAlign w:val="bottom"/>
          </w:tcPr>
          <w:p>
            <w:pPr>
              <w:jc w:val="right"/>
              <w:ind w:right="240"/>
              <w:spacing w:after="0"/>
              <w:rPr>
                <w:sz w:val="20"/>
                <w:szCs w:val="20"/>
                <w:color w:val="auto"/>
              </w:rPr>
            </w:pPr>
            <w:r>
              <w:rPr>
                <w:rFonts w:ascii="Arial" w:cs="Arial" w:eastAsia="Arial" w:hAnsi="Arial"/>
                <w:sz w:val="16"/>
                <w:szCs w:val="16"/>
                <w:color w:val="auto"/>
              </w:rPr>
              <w:t>3,257</w:t>
            </w:r>
          </w:p>
        </w:tc>
        <w:tc>
          <w:tcPr>
            <w:tcW w:w="1880" w:type="dxa"/>
            <w:vAlign w:val="bottom"/>
          </w:tcPr>
          <w:p>
            <w:pPr>
              <w:jc w:val="right"/>
              <w:ind w:right="320"/>
              <w:spacing w:after="0"/>
              <w:rPr>
                <w:sz w:val="20"/>
                <w:szCs w:val="20"/>
                <w:color w:val="auto"/>
              </w:rPr>
            </w:pPr>
            <w:r>
              <w:rPr>
                <w:rFonts w:ascii="Arial" w:cs="Arial" w:eastAsia="Arial" w:hAnsi="Arial"/>
                <w:sz w:val="16"/>
                <w:szCs w:val="16"/>
                <w:color w:val="auto"/>
              </w:rPr>
              <w:t>24,343</w:t>
            </w:r>
          </w:p>
        </w:tc>
        <w:tc>
          <w:tcPr>
            <w:tcW w:w="0" w:type="dxa"/>
            <w:vAlign w:val="bottom"/>
          </w:tcPr>
          <w:p>
            <w:pPr>
              <w:spacing w:after="0"/>
              <w:rPr>
                <w:sz w:val="1"/>
                <w:szCs w:val="1"/>
                <w:color w:val="auto"/>
              </w:rPr>
            </w:pPr>
          </w:p>
        </w:tc>
      </w:tr>
      <w:tr>
        <w:trPr>
          <w:trHeight w:val="289"/>
        </w:trPr>
        <w:tc>
          <w:tcPr>
            <w:tcW w:w="7380" w:type="dxa"/>
            <w:vAlign w:val="bottom"/>
            <w:shd w:val="clear" w:color="auto" w:fill="D8E8EF"/>
          </w:tcPr>
          <w:p>
            <w:pPr>
              <w:ind w:left="60"/>
              <w:spacing w:after="0"/>
              <w:rPr>
                <w:sz w:val="20"/>
                <w:szCs w:val="20"/>
                <w:color w:val="auto"/>
              </w:rPr>
            </w:pPr>
            <w:r>
              <w:rPr>
                <w:rFonts w:ascii="Arial" w:cs="Arial" w:eastAsia="Arial" w:hAnsi="Arial"/>
                <w:sz w:val="16"/>
                <w:szCs w:val="16"/>
                <w:color w:val="auto"/>
              </w:rPr>
              <w:t>Peer Group 75th Percentile</w:t>
            </w:r>
          </w:p>
        </w:tc>
        <w:tc>
          <w:tcPr>
            <w:tcW w:w="1660" w:type="dxa"/>
            <w:vAlign w:val="bottom"/>
            <w:shd w:val="clear" w:color="auto" w:fill="D8E8EF"/>
          </w:tcPr>
          <w:p>
            <w:pPr>
              <w:jc w:val="right"/>
              <w:ind w:right="240"/>
              <w:spacing w:after="0"/>
              <w:rPr>
                <w:sz w:val="20"/>
                <w:szCs w:val="20"/>
                <w:color w:val="auto"/>
              </w:rPr>
            </w:pPr>
            <w:r>
              <w:rPr>
                <w:rFonts w:ascii="Arial" w:cs="Arial" w:eastAsia="Arial" w:hAnsi="Arial"/>
                <w:sz w:val="16"/>
                <w:szCs w:val="16"/>
                <w:color w:val="auto"/>
              </w:rPr>
              <w:t>7,245</w:t>
            </w:r>
          </w:p>
        </w:tc>
        <w:tc>
          <w:tcPr>
            <w:tcW w:w="1880" w:type="dxa"/>
            <w:vAlign w:val="bottom"/>
            <w:shd w:val="clear" w:color="auto" w:fill="D8E8EF"/>
          </w:tcPr>
          <w:p>
            <w:pPr>
              <w:jc w:val="right"/>
              <w:ind w:right="320"/>
              <w:spacing w:after="0"/>
              <w:rPr>
                <w:sz w:val="20"/>
                <w:szCs w:val="20"/>
                <w:color w:val="auto"/>
              </w:rPr>
            </w:pPr>
            <w:r>
              <w:rPr>
                <w:rFonts w:ascii="Arial" w:cs="Arial" w:eastAsia="Arial" w:hAnsi="Arial"/>
                <w:sz w:val="16"/>
                <w:szCs w:val="16"/>
                <w:color w:val="auto"/>
              </w:rPr>
              <w:t>50,064</w:t>
            </w:r>
          </w:p>
        </w:tc>
        <w:tc>
          <w:tcPr>
            <w:tcW w:w="0" w:type="dxa"/>
            <w:vAlign w:val="bottom"/>
          </w:tcPr>
          <w:p>
            <w:pPr>
              <w:spacing w:after="0"/>
              <w:rPr>
                <w:sz w:val="1"/>
                <w:szCs w:val="1"/>
                <w:color w:val="auto"/>
              </w:rPr>
            </w:pPr>
          </w:p>
        </w:tc>
      </w:tr>
      <w:tr>
        <w:trPr>
          <w:trHeight w:val="272"/>
        </w:trPr>
        <w:tc>
          <w:tcPr>
            <w:tcW w:w="7380" w:type="dxa"/>
            <w:vAlign w:val="bottom"/>
          </w:tcPr>
          <w:p>
            <w:pPr>
              <w:ind w:left="60"/>
              <w:spacing w:after="0"/>
              <w:rPr>
                <w:sz w:val="20"/>
                <w:szCs w:val="20"/>
                <w:color w:val="auto"/>
              </w:rPr>
            </w:pPr>
            <w:r>
              <w:rPr>
                <w:rFonts w:ascii="Arial" w:cs="Arial" w:eastAsia="Arial" w:hAnsi="Arial"/>
                <w:sz w:val="16"/>
                <w:szCs w:val="16"/>
                <w:color w:val="auto"/>
              </w:rPr>
              <w:t>Peer Group Average</w:t>
            </w:r>
          </w:p>
        </w:tc>
        <w:tc>
          <w:tcPr>
            <w:tcW w:w="1660" w:type="dxa"/>
            <w:vAlign w:val="bottom"/>
          </w:tcPr>
          <w:p>
            <w:pPr>
              <w:jc w:val="right"/>
              <w:ind w:right="240"/>
              <w:spacing w:after="0"/>
              <w:rPr>
                <w:sz w:val="20"/>
                <w:szCs w:val="20"/>
                <w:color w:val="auto"/>
              </w:rPr>
            </w:pPr>
            <w:r>
              <w:rPr>
                <w:rFonts w:ascii="Arial" w:cs="Arial" w:eastAsia="Arial" w:hAnsi="Arial"/>
                <w:sz w:val="16"/>
                <w:szCs w:val="16"/>
                <w:color w:val="auto"/>
              </w:rPr>
              <w:t>5,833</w:t>
            </w:r>
          </w:p>
        </w:tc>
        <w:tc>
          <w:tcPr>
            <w:tcW w:w="1880" w:type="dxa"/>
            <w:vAlign w:val="bottom"/>
          </w:tcPr>
          <w:p>
            <w:pPr>
              <w:jc w:val="right"/>
              <w:ind w:right="320"/>
              <w:spacing w:after="0"/>
              <w:rPr>
                <w:sz w:val="20"/>
                <w:szCs w:val="20"/>
                <w:color w:val="auto"/>
              </w:rPr>
            </w:pPr>
            <w:r>
              <w:rPr>
                <w:rFonts w:ascii="Arial" w:cs="Arial" w:eastAsia="Arial" w:hAnsi="Arial"/>
                <w:sz w:val="16"/>
                <w:szCs w:val="16"/>
                <w:color w:val="auto"/>
              </w:rPr>
              <w:t>36,723</w:t>
            </w:r>
          </w:p>
        </w:tc>
        <w:tc>
          <w:tcPr>
            <w:tcW w:w="0" w:type="dxa"/>
            <w:vAlign w:val="bottom"/>
          </w:tcPr>
          <w:p>
            <w:pPr>
              <w:spacing w:after="0"/>
              <w:rPr>
                <w:sz w:val="1"/>
                <w:szCs w:val="1"/>
                <w:color w:val="auto"/>
              </w:rPr>
            </w:pPr>
          </w:p>
        </w:tc>
      </w:tr>
      <w:tr>
        <w:trPr>
          <w:trHeight w:val="289"/>
        </w:trPr>
        <w:tc>
          <w:tcPr>
            <w:tcW w:w="7380" w:type="dxa"/>
            <w:vAlign w:val="bottom"/>
            <w:shd w:val="clear" w:color="auto" w:fill="D8E8EF"/>
          </w:tcPr>
          <w:p>
            <w:pPr>
              <w:ind w:left="60"/>
              <w:spacing w:after="0"/>
              <w:rPr>
                <w:sz w:val="20"/>
                <w:szCs w:val="20"/>
                <w:color w:val="auto"/>
              </w:rPr>
            </w:pPr>
            <w:r>
              <w:rPr>
                <w:rFonts w:ascii="Arial" w:cs="Arial" w:eastAsia="Arial" w:hAnsi="Arial"/>
                <w:sz w:val="16"/>
                <w:szCs w:val="16"/>
                <w:b w:val="1"/>
                <w:bCs w:val="1"/>
                <w:color w:val="auto"/>
              </w:rPr>
              <w:t>onsemi</w:t>
            </w:r>
          </w:p>
        </w:tc>
        <w:tc>
          <w:tcPr>
            <w:tcW w:w="1660" w:type="dxa"/>
            <w:vAlign w:val="bottom"/>
            <w:shd w:val="clear" w:color="auto" w:fill="D8E8EF"/>
          </w:tcPr>
          <w:p>
            <w:pPr>
              <w:jc w:val="right"/>
              <w:ind w:right="240"/>
              <w:spacing w:after="0"/>
              <w:rPr>
                <w:sz w:val="20"/>
                <w:szCs w:val="20"/>
                <w:color w:val="auto"/>
              </w:rPr>
            </w:pPr>
            <w:r>
              <w:rPr>
                <w:rFonts w:ascii="Arial" w:cs="Arial" w:eastAsia="Arial" w:hAnsi="Arial"/>
                <w:sz w:val="16"/>
                <w:szCs w:val="16"/>
                <w:color w:val="auto"/>
              </w:rPr>
              <w:t>5,409</w:t>
            </w:r>
          </w:p>
        </w:tc>
        <w:tc>
          <w:tcPr>
            <w:tcW w:w="1880" w:type="dxa"/>
            <w:vAlign w:val="bottom"/>
            <w:shd w:val="clear" w:color="auto" w:fill="D8E8EF"/>
          </w:tcPr>
          <w:p>
            <w:pPr>
              <w:jc w:val="right"/>
              <w:ind w:right="320"/>
              <w:spacing w:after="0"/>
              <w:rPr>
                <w:sz w:val="20"/>
                <w:szCs w:val="20"/>
                <w:color w:val="auto"/>
              </w:rPr>
            </w:pPr>
            <w:r>
              <w:rPr>
                <w:rFonts w:ascii="Arial" w:cs="Arial" w:eastAsia="Arial" w:hAnsi="Arial"/>
                <w:sz w:val="16"/>
                <w:szCs w:val="16"/>
                <w:color w:val="auto"/>
              </w:rPr>
              <w:t>8,750</w:t>
            </w:r>
          </w:p>
        </w:tc>
        <w:tc>
          <w:tcPr>
            <w:tcW w:w="0" w:type="dxa"/>
            <w:vAlign w:val="bottom"/>
          </w:tcPr>
          <w:p>
            <w:pPr>
              <w:spacing w:after="0"/>
              <w:rPr>
                <w:sz w:val="1"/>
                <w:szCs w:val="1"/>
                <w:color w:val="auto"/>
              </w:rPr>
            </w:pPr>
          </w:p>
        </w:tc>
      </w:tr>
      <w:tr>
        <w:trPr>
          <w:trHeight w:val="274"/>
        </w:trPr>
        <w:tc>
          <w:tcPr>
            <w:tcW w:w="7380" w:type="dxa"/>
            <w:vAlign w:val="bottom"/>
          </w:tcPr>
          <w:p>
            <w:pPr>
              <w:ind w:left="60"/>
              <w:spacing w:after="0"/>
              <w:rPr>
                <w:sz w:val="20"/>
                <w:szCs w:val="20"/>
                <w:color w:val="auto"/>
              </w:rPr>
            </w:pPr>
            <w:r>
              <w:rPr>
                <w:rFonts w:ascii="Arial" w:cs="Arial" w:eastAsia="Arial" w:hAnsi="Arial"/>
                <w:sz w:val="16"/>
                <w:szCs w:val="16"/>
                <w:b w:val="1"/>
                <w:bCs w:val="1"/>
                <w:color w:val="auto"/>
              </w:rPr>
              <w:t xml:space="preserve">onsemi </w:t>
            </w:r>
            <w:r>
              <w:rPr>
                <w:rFonts w:ascii="Arial" w:cs="Arial" w:eastAsia="Arial" w:hAnsi="Arial"/>
                <w:sz w:val="16"/>
                <w:szCs w:val="16"/>
                <w:color w:val="auto"/>
              </w:rPr>
              <w:t>Percentile Rank</w:t>
            </w:r>
          </w:p>
        </w:tc>
        <w:tc>
          <w:tcPr>
            <w:tcW w:w="1660" w:type="dxa"/>
            <w:vAlign w:val="bottom"/>
          </w:tcPr>
          <w:p>
            <w:pPr>
              <w:jc w:val="right"/>
              <w:ind w:right="240"/>
              <w:spacing w:after="0"/>
              <w:rPr>
                <w:sz w:val="20"/>
                <w:szCs w:val="20"/>
                <w:color w:val="auto"/>
              </w:rPr>
            </w:pPr>
            <w:r>
              <w:rPr>
                <w:rFonts w:ascii="Arial" w:cs="Arial" w:eastAsia="Arial" w:hAnsi="Arial"/>
                <w:sz w:val="16"/>
                <w:szCs w:val="16"/>
                <w:color w:val="auto"/>
              </w:rPr>
              <w:t>62%</w:t>
            </w:r>
          </w:p>
        </w:tc>
        <w:tc>
          <w:tcPr>
            <w:tcW w:w="1880" w:type="dxa"/>
            <w:vAlign w:val="bottom"/>
          </w:tcPr>
          <w:p>
            <w:pPr>
              <w:jc w:val="right"/>
              <w:ind w:right="320"/>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4445</wp:posOffset>
            </wp:positionV>
            <wp:extent cx="692975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31" w:lineRule="exact"/>
        <w:rPr>
          <w:sz w:val="20"/>
          <w:szCs w:val="20"/>
          <w:color w:val="auto"/>
        </w:rPr>
      </w:pPr>
    </w:p>
    <w:p>
      <w:pPr>
        <w:ind w:left="160"/>
        <w:spacing w:after="0"/>
        <w:rPr>
          <w:sz w:val="20"/>
          <w:szCs w:val="20"/>
          <w:color w:val="auto"/>
        </w:rPr>
      </w:pPr>
      <w:r>
        <w:rPr>
          <w:rFonts w:ascii="Arial" w:cs="Arial" w:eastAsia="Arial" w:hAnsi="Arial"/>
          <w:sz w:val="14"/>
          <w:szCs w:val="14"/>
          <w:color w:val="auto"/>
        </w:rPr>
        <w:t>All amounts in the table above are U.S. dollars in millions except for percentages.</w:t>
      </w:r>
    </w:p>
    <w:p>
      <w:pPr>
        <w:spacing w:after="0" w:line="40" w:lineRule="exact"/>
        <w:rPr>
          <w:sz w:val="20"/>
          <w:szCs w:val="20"/>
          <w:color w:val="auto"/>
        </w:rPr>
      </w:pPr>
    </w:p>
    <w:p>
      <w:pPr>
        <w:ind w:left="600" w:hanging="433"/>
        <w:spacing w:after="0"/>
        <w:tabs>
          <w:tab w:leader="none" w:pos="600" w:val="left"/>
        </w:tabs>
        <w:numPr>
          <w:ilvl w:val="0"/>
          <w:numId w:val="57"/>
        </w:numPr>
        <w:rPr>
          <w:rFonts w:ascii="Arial" w:cs="Arial" w:eastAsia="Arial" w:hAnsi="Arial"/>
          <w:sz w:val="14"/>
          <w:szCs w:val="14"/>
          <w:color w:val="auto"/>
        </w:rPr>
      </w:pPr>
      <w:r>
        <w:rPr>
          <w:rFonts w:ascii="Arial" w:cs="Arial" w:eastAsia="Arial" w:hAnsi="Arial"/>
          <w:sz w:val="14"/>
          <w:szCs w:val="14"/>
          <w:color w:val="auto"/>
        </w:rPr>
        <w:t>Reflects trailing 12 months as of July 16, 2020.</w:t>
      </w:r>
    </w:p>
    <w:p>
      <w:pPr>
        <w:spacing w:after="0" w:line="39" w:lineRule="exact"/>
        <w:rPr>
          <w:rFonts w:ascii="Arial" w:cs="Arial" w:eastAsia="Arial" w:hAnsi="Arial"/>
          <w:sz w:val="14"/>
          <w:szCs w:val="14"/>
          <w:color w:val="auto"/>
        </w:rPr>
      </w:pPr>
    </w:p>
    <w:p>
      <w:pPr>
        <w:ind w:left="600" w:hanging="433"/>
        <w:spacing w:after="0"/>
        <w:tabs>
          <w:tab w:leader="none" w:pos="600" w:val="left"/>
        </w:tabs>
        <w:numPr>
          <w:ilvl w:val="0"/>
          <w:numId w:val="57"/>
        </w:numPr>
        <w:rPr>
          <w:rFonts w:ascii="Arial" w:cs="Arial" w:eastAsia="Arial" w:hAnsi="Arial"/>
          <w:sz w:val="14"/>
          <w:szCs w:val="14"/>
          <w:color w:val="auto"/>
        </w:rPr>
      </w:pPr>
      <w:r>
        <w:rPr>
          <w:rFonts w:ascii="Arial" w:cs="Arial" w:eastAsia="Arial" w:hAnsi="Arial"/>
          <w:sz w:val="14"/>
          <w:szCs w:val="14"/>
          <w:color w:val="auto"/>
        </w:rPr>
        <w:t>As of July 16, 2020.</w:t>
      </w:r>
    </w:p>
    <w:p>
      <w:pPr>
        <w:spacing w:after="0" w:line="204" w:lineRule="exact"/>
        <w:rPr>
          <w:sz w:val="20"/>
          <w:szCs w:val="20"/>
          <w:color w:val="auto"/>
        </w:rPr>
      </w:pPr>
    </w:p>
    <w:p>
      <w:pPr>
        <w:jc w:val="both"/>
        <w:ind w:left="160"/>
        <w:spacing w:after="0" w:line="238" w:lineRule="auto"/>
        <w:rPr>
          <w:sz w:val="20"/>
          <w:szCs w:val="20"/>
          <w:color w:val="auto"/>
        </w:rPr>
      </w:pPr>
      <w:r>
        <w:rPr>
          <w:rFonts w:ascii="Arial" w:cs="Arial" w:eastAsia="Arial" w:hAnsi="Arial"/>
          <w:sz w:val="18"/>
          <w:szCs w:val="18"/>
          <w:color w:val="auto"/>
        </w:rPr>
        <w:t>In evaluating the competitiveness of the Company’s compensation program, the Pearl Meyer Report compared the compensation of senior executives to that of their functional matches (e.g., CFO compensation is compared to the compensation of peer company CFOs). The Pearl Meyer Report included information on each executive’s competitive position for base salary, total cash compensation at target (base salary and target bonus), actual total cash compensation, long-term incentives (based on grant date fair value) and TDC at target and actual (base salary, bonus and equity). In determining market data, Pearl Meyer utilized proxy statement data for the 2021 Peer Group, as well as data from three compensation surveys — the 2020 Radford Executive Survey, the 2020 Pearl Meyer Executive and Senior Management</w:t>
      </w:r>
    </w:p>
    <w:p>
      <w:pPr>
        <w:sectPr>
          <w:pgSz w:w="11900" w:h="16838" w:orient="portrait"/>
          <w:cols w:equalWidth="0" w:num="1">
            <w:col w:w="11080"/>
          </w:cols>
          <w:pgMar w:left="320" w:top="454" w:right="499" w:bottom="1440" w:gutter="0" w:footer="0" w:header="0"/>
        </w:sectPr>
      </w:pPr>
    </w:p>
    <w:p>
      <w:pPr>
        <w:spacing w:after="0" w:line="124" w:lineRule="exact"/>
        <w:rPr>
          <w:sz w:val="20"/>
          <w:szCs w:val="20"/>
          <w:color w:val="auto"/>
        </w:rPr>
      </w:pPr>
    </w:p>
    <w:p>
      <w:pPr>
        <w:ind w:left="160"/>
        <w:spacing w:after="0"/>
        <w:tabs>
          <w:tab w:leader="none" w:pos="500" w:val="left"/>
        </w:tabs>
        <w:rPr>
          <w:sz w:val="20"/>
          <w:szCs w:val="20"/>
          <w:color w:val="auto"/>
        </w:rPr>
      </w:pPr>
      <w:r>
        <w:rPr>
          <w:rFonts w:ascii="Arial" w:cs="Arial" w:eastAsia="Arial" w:hAnsi="Arial"/>
          <w:sz w:val="14"/>
          <w:szCs w:val="14"/>
          <w:color w:val="F75E14"/>
        </w:rPr>
        <w:t>34</w:t>
        <w:tab/>
        <w:t>onsemi 2022 Proxy Statement</w:t>
      </w:r>
    </w:p>
    <w:p>
      <w:pPr>
        <w:sectPr>
          <w:pgSz w:w="11900" w:h="16838" w:orient="portrait"/>
          <w:cols w:equalWidth="0" w:num="1">
            <w:col w:w="11080"/>
          </w:cols>
          <w:pgMar w:left="320" w:top="454" w:right="499" w:bottom="1440" w:gutter="0" w:footer="0" w:header="0"/>
          <w:type w:val="continuous"/>
        </w:sectPr>
      </w:pPr>
    </w:p>
    <w:bookmarkStart w:id="38" w:name="page39"/>
    <w:bookmarkEnd w:id="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2" w:lineRule="exact"/>
        <w:rPr>
          <w:sz w:val="20"/>
          <w:szCs w:val="20"/>
          <w:color w:val="auto"/>
        </w:rPr>
      </w:pPr>
    </w:p>
    <w:p>
      <w:pPr>
        <w:ind w:left="7960"/>
        <w:spacing w:after="0"/>
        <w:rPr>
          <w:sz w:val="20"/>
          <w:szCs w:val="20"/>
          <w:color w:val="auto"/>
        </w:rPr>
      </w:pPr>
      <w:r>
        <w:rPr>
          <w:rFonts w:ascii="Arial" w:cs="Arial" w:eastAsia="Arial" w:hAnsi="Arial"/>
          <w:sz w:val="17"/>
          <w:szCs w:val="17"/>
          <w:color w:val="F75E14"/>
        </w:rPr>
        <w:t>Compensation Discussion and Analysis</w:t>
      </w:r>
    </w:p>
    <w:p>
      <w:pPr>
        <w:spacing w:after="0" w:line="152" w:lineRule="exact"/>
        <w:rPr>
          <w:sz w:val="20"/>
          <w:szCs w:val="20"/>
          <w:color w:val="auto"/>
        </w:rPr>
      </w:pPr>
    </w:p>
    <w:p>
      <w:pPr>
        <w:jc w:val="both"/>
        <w:ind w:left="160"/>
        <w:spacing w:after="0" w:line="265" w:lineRule="auto"/>
        <w:rPr>
          <w:sz w:val="20"/>
          <w:szCs w:val="20"/>
          <w:color w:val="auto"/>
        </w:rPr>
      </w:pPr>
      <w:r>
        <w:rPr>
          <w:rFonts w:ascii="Arial" w:cs="Arial" w:eastAsia="Arial" w:hAnsi="Arial"/>
          <w:sz w:val="18"/>
          <w:szCs w:val="18"/>
          <w:color w:val="auto"/>
        </w:rPr>
        <w:t>Survey and the 2020 Equilar Compensation Survey – that are primarily reflective of companies in the semiconductor industry, broader technology segments and general industry.</w:t>
      </w:r>
    </w:p>
    <w:p>
      <w:pPr>
        <w:spacing w:after="0" w:line="158" w:lineRule="exact"/>
        <w:rPr>
          <w:sz w:val="20"/>
          <w:szCs w:val="20"/>
          <w:color w:val="auto"/>
        </w:rPr>
      </w:pPr>
    </w:p>
    <w:p>
      <w:pPr>
        <w:jc w:val="both"/>
        <w:ind w:left="160"/>
        <w:spacing w:after="0" w:line="249" w:lineRule="auto"/>
        <w:rPr>
          <w:sz w:val="20"/>
          <w:szCs w:val="20"/>
          <w:color w:val="auto"/>
        </w:rPr>
      </w:pPr>
      <w:r>
        <w:rPr>
          <w:rFonts w:ascii="Arial" w:cs="Arial" w:eastAsia="Arial" w:hAnsi="Arial"/>
          <w:sz w:val="18"/>
          <w:szCs w:val="18"/>
          <w:color w:val="auto"/>
        </w:rPr>
        <w:t>Among other things, the Pearl Meyer Report summarized 2020 target and actual compensation for the NEOs, which analyzes how each NEO’s compensation varies from the competitive median. In the table below, negative amounts indicate that our compensation is below the competitive median and positive amounts indicate our compensation is above the competitive median.</w:t>
      </w:r>
    </w:p>
    <w:p>
      <w:pPr>
        <w:spacing w:after="0" w:line="217" w:lineRule="exact"/>
        <w:rPr>
          <w:sz w:val="20"/>
          <w:szCs w:val="20"/>
          <w:color w:val="auto"/>
        </w:rPr>
      </w:pPr>
    </w:p>
    <w:tbl>
      <w:tblPr>
        <w:tblLayout w:type="fixed"/>
        <w:tblInd w:w="940" w:type="dxa"/>
        <w:tblCellMar>
          <w:top w:w="0" w:type="dxa"/>
          <w:left w:w="0" w:type="dxa"/>
          <w:bottom w:w="0" w:type="dxa"/>
          <w:right w:w="0" w:type="dxa"/>
        </w:tblCellMar>
      </w:tblPr>
      <w:tr>
        <w:trPr>
          <w:trHeight w:val="294"/>
        </w:trPr>
        <w:tc>
          <w:tcPr>
            <w:tcW w:w="2320" w:type="dxa"/>
            <w:vAlign w:val="bottom"/>
            <w:shd w:val="clear" w:color="auto" w:fill="F75E14"/>
          </w:tcPr>
          <w:p>
            <w:pPr>
              <w:ind w:left="40"/>
              <w:spacing w:after="0"/>
              <w:rPr>
                <w:sz w:val="20"/>
                <w:szCs w:val="20"/>
                <w:color w:val="auto"/>
              </w:rPr>
            </w:pPr>
            <w:r>
              <w:rPr>
                <w:rFonts w:ascii="Arial" w:cs="Arial" w:eastAsia="Arial" w:hAnsi="Arial"/>
                <w:sz w:val="16"/>
                <w:szCs w:val="16"/>
                <w:b w:val="1"/>
                <w:bCs w:val="1"/>
                <w:color w:val="FFFFFF"/>
              </w:rPr>
              <w:t>NEO (1)</w:t>
            </w:r>
          </w:p>
        </w:tc>
        <w:tc>
          <w:tcPr>
            <w:tcW w:w="620" w:type="dxa"/>
            <w:vAlign w:val="bottom"/>
            <w:shd w:val="clear" w:color="auto" w:fill="F75E14"/>
          </w:tcPr>
          <w:p>
            <w:pPr>
              <w:jc w:val="right"/>
              <w:spacing w:after="0"/>
              <w:rPr>
                <w:sz w:val="20"/>
                <w:szCs w:val="20"/>
                <w:color w:val="auto"/>
              </w:rPr>
            </w:pPr>
            <w:r>
              <w:rPr>
                <w:rFonts w:ascii="Arial" w:cs="Arial" w:eastAsia="Arial" w:hAnsi="Arial"/>
                <w:sz w:val="16"/>
                <w:szCs w:val="16"/>
                <w:b w:val="1"/>
                <w:bCs w:val="1"/>
                <w:color w:val="FFFFFF"/>
              </w:rPr>
              <w:t>Salary</w:t>
            </w:r>
          </w:p>
        </w:tc>
        <w:tc>
          <w:tcPr>
            <w:tcW w:w="1080" w:type="dxa"/>
            <w:vAlign w:val="bottom"/>
            <w:shd w:val="clear" w:color="auto" w:fill="F75E14"/>
          </w:tcPr>
          <w:p>
            <w:pPr>
              <w:jc w:val="right"/>
              <w:ind w:right="60"/>
              <w:spacing w:after="0"/>
              <w:rPr>
                <w:sz w:val="20"/>
                <w:szCs w:val="20"/>
                <w:color w:val="auto"/>
              </w:rPr>
            </w:pPr>
            <w:r>
              <w:rPr>
                <w:rFonts w:ascii="Arial" w:cs="Arial" w:eastAsia="Arial" w:hAnsi="Arial"/>
                <w:sz w:val="16"/>
                <w:szCs w:val="16"/>
                <w:b w:val="1"/>
                <w:bCs w:val="1"/>
                <w:color w:val="FFFFFF"/>
              </w:rPr>
              <w:t>Total Target</w:t>
            </w:r>
          </w:p>
        </w:tc>
        <w:tc>
          <w:tcPr>
            <w:tcW w:w="1280" w:type="dxa"/>
            <w:vAlign w:val="bottom"/>
            <w:shd w:val="clear" w:color="auto" w:fill="F75E14"/>
          </w:tcPr>
          <w:p>
            <w:pPr>
              <w:jc w:val="right"/>
              <w:ind w:right="160"/>
              <w:spacing w:after="0"/>
              <w:rPr>
                <w:sz w:val="20"/>
                <w:szCs w:val="20"/>
                <w:color w:val="auto"/>
              </w:rPr>
            </w:pPr>
            <w:r>
              <w:rPr>
                <w:rFonts w:ascii="Arial" w:cs="Arial" w:eastAsia="Arial" w:hAnsi="Arial"/>
                <w:sz w:val="16"/>
                <w:szCs w:val="16"/>
                <w:b w:val="1"/>
                <w:bCs w:val="1"/>
                <w:color w:val="FFFFFF"/>
              </w:rPr>
              <w:t>Total Actual</w:t>
            </w:r>
          </w:p>
        </w:tc>
        <w:tc>
          <w:tcPr>
            <w:tcW w:w="1500" w:type="dxa"/>
            <w:vAlign w:val="bottom"/>
            <w:shd w:val="clear" w:color="auto" w:fill="F75E14"/>
          </w:tcPr>
          <w:p>
            <w:pPr>
              <w:jc w:val="right"/>
              <w:ind w:right="60"/>
              <w:spacing w:after="0"/>
              <w:rPr>
                <w:sz w:val="20"/>
                <w:szCs w:val="20"/>
                <w:color w:val="auto"/>
              </w:rPr>
            </w:pPr>
            <w:r>
              <w:rPr>
                <w:rFonts w:ascii="Arial" w:cs="Arial" w:eastAsia="Arial" w:hAnsi="Arial"/>
                <w:sz w:val="16"/>
                <w:szCs w:val="16"/>
                <w:b w:val="1"/>
                <w:bCs w:val="1"/>
                <w:color w:val="FFFFFF"/>
              </w:rPr>
              <w:t>2020 LTI Grant</w:t>
            </w:r>
          </w:p>
        </w:tc>
        <w:tc>
          <w:tcPr>
            <w:tcW w:w="1080" w:type="dxa"/>
            <w:vAlign w:val="bottom"/>
            <w:shd w:val="clear" w:color="auto" w:fill="F75E14"/>
          </w:tcPr>
          <w:p>
            <w:pPr>
              <w:jc w:val="right"/>
              <w:ind w:right="240"/>
              <w:spacing w:after="0"/>
              <w:rPr>
                <w:sz w:val="20"/>
                <w:szCs w:val="20"/>
                <w:color w:val="auto"/>
              </w:rPr>
            </w:pPr>
            <w:r>
              <w:rPr>
                <w:rFonts w:ascii="Arial" w:cs="Arial" w:eastAsia="Arial" w:hAnsi="Arial"/>
                <w:sz w:val="16"/>
                <w:szCs w:val="16"/>
                <w:b w:val="1"/>
                <w:bCs w:val="1"/>
                <w:color w:val="FFFFFF"/>
              </w:rPr>
              <w:t>TDC</w:t>
            </w:r>
          </w:p>
        </w:tc>
        <w:tc>
          <w:tcPr>
            <w:tcW w:w="1500" w:type="dxa"/>
            <w:vAlign w:val="bottom"/>
            <w:shd w:val="clear" w:color="auto" w:fill="F75E14"/>
          </w:tcPr>
          <w:p>
            <w:pPr>
              <w:jc w:val="right"/>
              <w:spacing w:after="0"/>
              <w:rPr>
                <w:sz w:val="20"/>
                <w:szCs w:val="20"/>
                <w:color w:val="auto"/>
              </w:rPr>
            </w:pPr>
            <w:r>
              <w:rPr>
                <w:rFonts w:ascii="Arial" w:cs="Arial" w:eastAsia="Arial" w:hAnsi="Arial"/>
                <w:sz w:val="16"/>
                <w:szCs w:val="16"/>
                <w:b w:val="1"/>
                <w:bCs w:val="1"/>
                <w:color w:val="FFFFFF"/>
              </w:rPr>
              <w:t>Total Actual Direct</w:t>
            </w:r>
          </w:p>
        </w:tc>
      </w:tr>
      <w:tr>
        <w:trPr>
          <w:trHeight w:val="214"/>
        </w:trPr>
        <w:tc>
          <w:tcPr>
            <w:tcW w:w="2320" w:type="dxa"/>
            <w:vAlign w:val="bottom"/>
            <w:shd w:val="clear" w:color="auto" w:fill="F75E14"/>
          </w:tcPr>
          <w:p>
            <w:pPr>
              <w:spacing w:after="0"/>
              <w:rPr>
                <w:sz w:val="18"/>
                <w:szCs w:val="18"/>
                <w:color w:val="auto"/>
              </w:rPr>
            </w:pPr>
          </w:p>
        </w:tc>
        <w:tc>
          <w:tcPr>
            <w:tcW w:w="620" w:type="dxa"/>
            <w:vAlign w:val="bottom"/>
            <w:shd w:val="clear" w:color="auto" w:fill="F75E14"/>
          </w:tcPr>
          <w:p>
            <w:pPr>
              <w:spacing w:after="0"/>
              <w:rPr>
                <w:sz w:val="18"/>
                <w:szCs w:val="18"/>
                <w:color w:val="auto"/>
              </w:rPr>
            </w:pPr>
          </w:p>
        </w:tc>
        <w:tc>
          <w:tcPr>
            <w:tcW w:w="1080" w:type="dxa"/>
            <w:vAlign w:val="bottom"/>
            <w:shd w:val="clear" w:color="auto" w:fill="F75E14"/>
          </w:tcPr>
          <w:p>
            <w:pPr>
              <w:jc w:val="right"/>
              <w:ind w:right="200"/>
              <w:spacing w:after="0"/>
              <w:rPr>
                <w:sz w:val="20"/>
                <w:szCs w:val="20"/>
                <w:color w:val="auto"/>
              </w:rPr>
            </w:pPr>
            <w:r>
              <w:rPr>
                <w:rFonts w:ascii="Arial" w:cs="Arial" w:eastAsia="Arial" w:hAnsi="Arial"/>
                <w:sz w:val="16"/>
                <w:szCs w:val="16"/>
                <w:b w:val="1"/>
                <w:bCs w:val="1"/>
                <w:color w:val="FFFFFF"/>
              </w:rPr>
              <w:t>Cash (2)</w:t>
            </w:r>
          </w:p>
        </w:tc>
        <w:tc>
          <w:tcPr>
            <w:tcW w:w="1280" w:type="dxa"/>
            <w:vAlign w:val="bottom"/>
            <w:shd w:val="clear" w:color="auto" w:fill="F75E14"/>
          </w:tcPr>
          <w:p>
            <w:pPr>
              <w:jc w:val="right"/>
              <w:ind w:right="300"/>
              <w:spacing w:after="0"/>
              <w:rPr>
                <w:sz w:val="20"/>
                <w:szCs w:val="20"/>
                <w:color w:val="auto"/>
              </w:rPr>
            </w:pPr>
            <w:r>
              <w:rPr>
                <w:rFonts w:ascii="Arial" w:cs="Arial" w:eastAsia="Arial" w:hAnsi="Arial"/>
                <w:sz w:val="16"/>
                <w:szCs w:val="16"/>
                <w:b w:val="1"/>
                <w:bCs w:val="1"/>
                <w:color w:val="FFFFFF"/>
              </w:rPr>
              <w:t>Cash (3)</w:t>
            </w:r>
          </w:p>
        </w:tc>
        <w:tc>
          <w:tcPr>
            <w:tcW w:w="1500" w:type="dxa"/>
            <w:vAlign w:val="bottom"/>
            <w:shd w:val="clear" w:color="auto" w:fill="F75E14"/>
          </w:tcPr>
          <w:p>
            <w:pPr>
              <w:jc w:val="right"/>
              <w:ind w:right="280"/>
              <w:spacing w:after="0"/>
              <w:rPr>
                <w:sz w:val="20"/>
                <w:szCs w:val="20"/>
                <w:color w:val="auto"/>
              </w:rPr>
            </w:pPr>
            <w:r>
              <w:rPr>
                <w:rFonts w:ascii="Arial" w:cs="Arial" w:eastAsia="Arial" w:hAnsi="Arial"/>
                <w:sz w:val="16"/>
                <w:szCs w:val="16"/>
                <w:b w:val="1"/>
                <w:bCs w:val="1"/>
                <w:color w:val="FFFFFF"/>
              </w:rPr>
              <w:t>Value (4)</w:t>
            </w:r>
          </w:p>
        </w:tc>
        <w:tc>
          <w:tcPr>
            <w:tcW w:w="1080" w:type="dxa"/>
            <w:vAlign w:val="bottom"/>
            <w:shd w:val="clear" w:color="auto" w:fill="F75E14"/>
          </w:tcPr>
          <w:p>
            <w:pPr>
              <w:jc w:val="right"/>
              <w:spacing w:after="0"/>
              <w:rPr>
                <w:sz w:val="20"/>
                <w:szCs w:val="20"/>
                <w:color w:val="auto"/>
              </w:rPr>
            </w:pPr>
            <w:r>
              <w:rPr>
                <w:rFonts w:ascii="Arial" w:cs="Arial" w:eastAsia="Arial" w:hAnsi="Arial"/>
                <w:sz w:val="16"/>
                <w:szCs w:val="16"/>
                <w:b w:val="1"/>
                <w:bCs w:val="1"/>
                <w:color w:val="FFFFFF"/>
              </w:rPr>
              <w:t>at Target (4)</w:t>
            </w:r>
          </w:p>
        </w:tc>
        <w:tc>
          <w:tcPr>
            <w:tcW w:w="1500" w:type="dxa"/>
            <w:vAlign w:val="bottom"/>
            <w:shd w:val="clear" w:color="auto" w:fill="F75E14"/>
          </w:tcPr>
          <w:p>
            <w:pPr>
              <w:jc w:val="right"/>
              <w:spacing w:after="0"/>
              <w:rPr>
                <w:sz w:val="20"/>
                <w:szCs w:val="20"/>
                <w:color w:val="auto"/>
              </w:rPr>
            </w:pPr>
            <w:r>
              <w:rPr>
                <w:rFonts w:ascii="Arial" w:cs="Arial" w:eastAsia="Arial" w:hAnsi="Arial"/>
                <w:sz w:val="16"/>
                <w:szCs w:val="16"/>
                <w:b w:val="1"/>
                <w:bCs w:val="1"/>
                <w:color w:val="FFFFFF"/>
              </w:rPr>
              <w:t>Compensation (5)</w:t>
            </w:r>
          </w:p>
        </w:tc>
      </w:tr>
      <w:tr>
        <w:trPr>
          <w:trHeight w:val="281"/>
        </w:trPr>
        <w:tc>
          <w:tcPr>
            <w:tcW w:w="2320" w:type="dxa"/>
            <w:vAlign w:val="bottom"/>
            <w:shd w:val="clear" w:color="auto" w:fill="D8E8EF"/>
          </w:tcPr>
          <w:p>
            <w:pPr>
              <w:ind w:left="40"/>
              <w:spacing w:after="0"/>
              <w:rPr>
                <w:sz w:val="20"/>
                <w:szCs w:val="20"/>
                <w:color w:val="auto"/>
              </w:rPr>
            </w:pPr>
            <w:r>
              <w:rPr>
                <w:rFonts w:ascii="Arial" w:cs="Arial" w:eastAsia="Arial" w:hAnsi="Arial"/>
                <w:sz w:val="16"/>
                <w:szCs w:val="16"/>
                <w:color w:val="auto"/>
              </w:rPr>
              <w:t>Hassane El-Khoury (6)</w:t>
            </w:r>
          </w:p>
        </w:tc>
        <w:tc>
          <w:tcPr>
            <w:tcW w:w="620" w:type="dxa"/>
            <w:vAlign w:val="bottom"/>
            <w:shd w:val="clear" w:color="auto" w:fill="D8E8EF"/>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D8E8EF"/>
          </w:tcPr>
          <w:p>
            <w:pPr>
              <w:jc w:val="right"/>
              <w:ind w:right="180"/>
              <w:spacing w:after="0"/>
              <w:rPr>
                <w:sz w:val="20"/>
                <w:szCs w:val="20"/>
                <w:color w:val="auto"/>
              </w:rPr>
            </w:pPr>
            <w:r>
              <w:rPr>
                <w:rFonts w:ascii="Arial" w:cs="Arial" w:eastAsia="Arial" w:hAnsi="Arial"/>
                <w:sz w:val="16"/>
                <w:szCs w:val="16"/>
                <w:color w:val="auto"/>
              </w:rPr>
              <w:t>—</w:t>
            </w:r>
          </w:p>
        </w:tc>
        <w:tc>
          <w:tcPr>
            <w:tcW w:w="1280" w:type="dxa"/>
            <w:vAlign w:val="bottom"/>
            <w:shd w:val="clear" w:color="auto" w:fill="D8E8EF"/>
          </w:tcPr>
          <w:p>
            <w:pPr>
              <w:jc w:val="right"/>
              <w:ind w:right="400"/>
              <w:spacing w:after="0"/>
              <w:rPr>
                <w:sz w:val="20"/>
                <w:szCs w:val="20"/>
                <w:color w:val="auto"/>
              </w:rPr>
            </w:pPr>
            <w:r>
              <w:rPr>
                <w:rFonts w:ascii="Arial" w:cs="Arial" w:eastAsia="Arial" w:hAnsi="Arial"/>
                <w:sz w:val="16"/>
                <w:szCs w:val="16"/>
                <w:color w:val="auto"/>
              </w:rPr>
              <w:t>—</w:t>
            </w:r>
          </w:p>
        </w:tc>
        <w:tc>
          <w:tcPr>
            <w:tcW w:w="1500" w:type="dxa"/>
            <w:vAlign w:val="bottom"/>
            <w:shd w:val="clear" w:color="auto" w:fill="D8E8EF"/>
          </w:tcPr>
          <w:p>
            <w:pPr>
              <w:jc w:val="right"/>
              <w:ind w:right="400"/>
              <w:spacing w:after="0"/>
              <w:rPr>
                <w:sz w:val="20"/>
                <w:szCs w:val="20"/>
                <w:color w:val="auto"/>
              </w:rPr>
            </w:pPr>
            <w:r>
              <w:rPr>
                <w:rFonts w:ascii="Arial" w:cs="Arial" w:eastAsia="Arial" w:hAnsi="Arial"/>
                <w:sz w:val="16"/>
                <w:szCs w:val="16"/>
                <w:color w:val="auto"/>
              </w:rPr>
              <w:t>—</w:t>
            </w:r>
          </w:p>
        </w:tc>
        <w:tc>
          <w:tcPr>
            <w:tcW w:w="1080" w:type="dxa"/>
            <w:vAlign w:val="bottom"/>
            <w:shd w:val="clear" w:color="auto" w:fill="D8E8EF"/>
          </w:tcPr>
          <w:p>
            <w:pPr>
              <w:jc w:val="right"/>
              <w:ind w:right="120"/>
              <w:spacing w:after="0"/>
              <w:rPr>
                <w:sz w:val="20"/>
                <w:szCs w:val="20"/>
                <w:color w:val="auto"/>
              </w:rPr>
            </w:pPr>
            <w:r>
              <w:rPr>
                <w:rFonts w:ascii="Arial" w:cs="Arial" w:eastAsia="Arial" w:hAnsi="Arial"/>
                <w:sz w:val="16"/>
                <w:szCs w:val="16"/>
                <w:color w:val="auto"/>
              </w:rPr>
              <w:t>—</w:t>
            </w:r>
          </w:p>
        </w:tc>
        <w:tc>
          <w:tcPr>
            <w:tcW w:w="1500" w:type="dxa"/>
            <w:vAlign w:val="bottom"/>
            <w:shd w:val="clear" w:color="auto" w:fill="D8E8EF"/>
          </w:tcPr>
          <w:p>
            <w:pPr>
              <w:jc w:val="right"/>
              <w:ind w:right="320"/>
              <w:spacing w:after="0"/>
              <w:rPr>
                <w:sz w:val="20"/>
                <w:szCs w:val="20"/>
                <w:color w:val="auto"/>
              </w:rPr>
            </w:pPr>
            <w:r>
              <w:rPr>
                <w:rFonts w:ascii="Arial" w:cs="Arial" w:eastAsia="Arial" w:hAnsi="Arial"/>
                <w:sz w:val="16"/>
                <w:szCs w:val="16"/>
                <w:color w:val="auto"/>
              </w:rPr>
              <w:t>—</w:t>
            </w:r>
          </w:p>
        </w:tc>
      </w:tr>
      <w:tr>
        <w:trPr>
          <w:trHeight w:val="272"/>
        </w:trPr>
        <w:tc>
          <w:tcPr>
            <w:tcW w:w="2320" w:type="dxa"/>
            <w:vAlign w:val="bottom"/>
          </w:tcPr>
          <w:p>
            <w:pPr>
              <w:ind w:left="40"/>
              <w:spacing w:after="0"/>
              <w:rPr>
                <w:sz w:val="20"/>
                <w:szCs w:val="20"/>
                <w:color w:val="auto"/>
              </w:rPr>
            </w:pPr>
            <w:r>
              <w:rPr>
                <w:rFonts w:ascii="Arial" w:cs="Arial" w:eastAsia="Arial" w:hAnsi="Arial"/>
                <w:sz w:val="16"/>
                <w:szCs w:val="16"/>
                <w:color w:val="auto"/>
              </w:rPr>
              <w:t>Thad Trent (7)</w:t>
            </w: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80"/>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400"/>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40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320"/>
              <w:spacing w:after="0"/>
              <w:rPr>
                <w:sz w:val="20"/>
                <w:szCs w:val="20"/>
                <w:color w:val="auto"/>
              </w:rPr>
            </w:pPr>
            <w:r>
              <w:rPr>
                <w:rFonts w:ascii="Arial" w:cs="Arial" w:eastAsia="Arial" w:hAnsi="Arial"/>
                <w:sz w:val="16"/>
                <w:szCs w:val="16"/>
                <w:color w:val="auto"/>
              </w:rPr>
              <w:t>—</w:t>
            </w:r>
          </w:p>
        </w:tc>
      </w:tr>
      <w:tr>
        <w:trPr>
          <w:trHeight w:val="289"/>
        </w:trPr>
        <w:tc>
          <w:tcPr>
            <w:tcW w:w="2320" w:type="dxa"/>
            <w:vAlign w:val="bottom"/>
            <w:shd w:val="clear" w:color="auto" w:fill="D8E8EF"/>
          </w:tcPr>
          <w:p>
            <w:pPr>
              <w:ind w:left="40"/>
              <w:spacing w:after="0"/>
              <w:rPr>
                <w:sz w:val="20"/>
                <w:szCs w:val="20"/>
                <w:color w:val="auto"/>
              </w:rPr>
            </w:pPr>
            <w:r>
              <w:rPr>
                <w:rFonts w:ascii="Arial" w:cs="Arial" w:eastAsia="Arial" w:hAnsi="Arial"/>
                <w:sz w:val="16"/>
                <w:szCs w:val="16"/>
                <w:color w:val="auto"/>
              </w:rPr>
              <w:t>Vincent C. Hopkin</w:t>
            </w:r>
          </w:p>
        </w:tc>
        <w:tc>
          <w:tcPr>
            <w:tcW w:w="620" w:type="dxa"/>
            <w:vAlign w:val="bottom"/>
            <w:shd w:val="clear" w:color="auto" w:fill="D8E8EF"/>
          </w:tcPr>
          <w:p>
            <w:pPr>
              <w:jc w:val="right"/>
              <w:spacing w:after="0"/>
              <w:rPr>
                <w:sz w:val="20"/>
                <w:szCs w:val="20"/>
                <w:color w:val="auto"/>
              </w:rPr>
            </w:pPr>
            <w:r>
              <w:rPr>
                <w:rFonts w:ascii="Arial" w:cs="Arial" w:eastAsia="Arial" w:hAnsi="Arial"/>
                <w:sz w:val="16"/>
                <w:szCs w:val="16"/>
                <w:color w:val="auto"/>
              </w:rPr>
              <w:t>-11%</w:t>
            </w:r>
          </w:p>
        </w:tc>
        <w:tc>
          <w:tcPr>
            <w:tcW w:w="1080" w:type="dxa"/>
            <w:vAlign w:val="bottom"/>
            <w:shd w:val="clear" w:color="auto" w:fill="D8E8EF"/>
          </w:tcPr>
          <w:p>
            <w:pPr>
              <w:jc w:val="right"/>
              <w:ind w:right="180"/>
              <w:spacing w:after="0"/>
              <w:rPr>
                <w:sz w:val="20"/>
                <w:szCs w:val="20"/>
                <w:color w:val="auto"/>
              </w:rPr>
            </w:pPr>
            <w:r>
              <w:rPr>
                <w:rFonts w:ascii="Arial" w:cs="Arial" w:eastAsia="Arial" w:hAnsi="Arial"/>
                <w:sz w:val="16"/>
                <w:szCs w:val="16"/>
                <w:color w:val="auto"/>
              </w:rPr>
              <w:t>-14%</w:t>
            </w:r>
          </w:p>
        </w:tc>
        <w:tc>
          <w:tcPr>
            <w:tcW w:w="1280" w:type="dxa"/>
            <w:vAlign w:val="bottom"/>
            <w:shd w:val="clear" w:color="auto" w:fill="D8E8EF"/>
          </w:tcPr>
          <w:p>
            <w:pPr>
              <w:jc w:val="right"/>
              <w:ind w:right="400"/>
              <w:spacing w:after="0"/>
              <w:rPr>
                <w:sz w:val="20"/>
                <w:szCs w:val="20"/>
                <w:color w:val="auto"/>
              </w:rPr>
            </w:pPr>
            <w:r>
              <w:rPr>
                <w:rFonts w:ascii="Arial" w:cs="Arial" w:eastAsia="Arial" w:hAnsi="Arial"/>
                <w:sz w:val="16"/>
                <w:szCs w:val="16"/>
                <w:color w:val="auto"/>
              </w:rPr>
              <w:t>-49%</w:t>
            </w:r>
          </w:p>
        </w:tc>
        <w:tc>
          <w:tcPr>
            <w:tcW w:w="1500" w:type="dxa"/>
            <w:vAlign w:val="bottom"/>
            <w:shd w:val="clear" w:color="auto" w:fill="D8E8EF"/>
          </w:tcPr>
          <w:p>
            <w:pPr>
              <w:jc w:val="right"/>
              <w:ind w:right="400"/>
              <w:spacing w:after="0"/>
              <w:rPr>
                <w:sz w:val="20"/>
                <w:szCs w:val="20"/>
                <w:color w:val="auto"/>
              </w:rPr>
            </w:pPr>
            <w:r>
              <w:rPr>
                <w:rFonts w:ascii="Arial" w:cs="Arial" w:eastAsia="Arial" w:hAnsi="Arial"/>
                <w:sz w:val="16"/>
                <w:szCs w:val="16"/>
                <w:color w:val="auto"/>
              </w:rPr>
              <w:t>+5%</w:t>
            </w:r>
          </w:p>
        </w:tc>
        <w:tc>
          <w:tcPr>
            <w:tcW w:w="1080" w:type="dxa"/>
            <w:vAlign w:val="bottom"/>
            <w:shd w:val="clear" w:color="auto" w:fill="D8E8EF"/>
          </w:tcPr>
          <w:p>
            <w:pPr>
              <w:jc w:val="right"/>
              <w:ind w:right="120"/>
              <w:spacing w:after="0"/>
              <w:rPr>
                <w:sz w:val="20"/>
                <w:szCs w:val="20"/>
                <w:color w:val="auto"/>
              </w:rPr>
            </w:pPr>
            <w:r>
              <w:rPr>
                <w:rFonts w:ascii="Arial" w:cs="Arial" w:eastAsia="Arial" w:hAnsi="Arial"/>
                <w:sz w:val="16"/>
                <w:szCs w:val="16"/>
                <w:color w:val="auto"/>
              </w:rPr>
              <w:t>0%</w:t>
            </w:r>
          </w:p>
        </w:tc>
        <w:tc>
          <w:tcPr>
            <w:tcW w:w="1500" w:type="dxa"/>
            <w:vAlign w:val="bottom"/>
            <w:shd w:val="clear" w:color="auto" w:fill="D8E8EF"/>
          </w:tcPr>
          <w:p>
            <w:pPr>
              <w:jc w:val="right"/>
              <w:ind w:right="320"/>
              <w:spacing w:after="0"/>
              <w:rPr>
                <w:sz w:val="20"/>
                <w:szCs w:val="20"/>
                <w:color w:val="auto"/>
              </w:rPr>
            </w:pPr>
            <w:r>
              <w:rPr>
                <w:rFonts w:ascii="Arial" w:cs="Arial" w:eastAsia="Arial" w:hAnsi="Arial"/>
                <w:sz w:val="16"/>
                <w:szCs w:val="16"/>
                <w:color w:val="auto"/>
              </w:rPr>
              <w:t>-3%</w:t>
            </w:r>
          </w:p>
        </w:tc>
      </w:tr>
      <w:tr>
        <w:trPr>
          <w:trHeight w:val="272"/>
        </w:trPr>
        <w:tc>
          <w:tcPr>
            <w:tcW w:w="2320" w:type="dxa"/>
            <w:vAlign w:val="bottom"/>
          </w:tcPr>
          <w:p>
            <w:pPr>
              <w:ind w:left="40"/>
              <w:spacing w:after="0"/>
              <w:rPr>
                <w:sz w:val="20"/>
                <w:szCs w:val="20"/>
                <w:color w:val="auto"/>
              </w:rPr>
            </w:pPr>
            <w:r>
              <w:rPr>
                <w:rFonts w:ascii="Arial" w:cs="Arial" w:eastAsia="Arial" w:hAnsi="Arial"/>
                <w:sz w:val="16"/>
                <w:szCs w:val="16"/>
                <w:color w:val="auto"/>
              </w:rPr>
              <w:t>Simon Keeton</w:t>
            </w:r>
          </w:p>
        </w:tc>
        <w:tc>
          <w:tcPr>
            <w:tcW w:w="620" w:type="dxa"/>
            <w:vAlign w:val="bottom"/>
          </w:tcPr>
          <w:p>
            <w:pPr>
              <w:jc w:val="right"/>
              <w:spacing w:after="0"/>
              <w:rPr>
                <w:sz w:val="20"/>
                <w:szCs w:val="20"/>
                <w:color w:val="auto"/>
              </w:rPr>
            </w:pPr>
            <w:r>
              <w:rPr>
                <w:rFonts w:ascii="Arial" w:cs="Arial" w:eastAsia="Arial" w:hAnsi="Arial"/>
                <w:sz w:val="16"/>
                <w:szCs w:val="16"/>
                <w:color w:val="auto"/>
              </w:rPr>
              <w:t>-11%</w:t>
            </w:r>
          </w:p>
        </w:tc>
        <w:tc>
          <w:tcPr>
            <w:tcW w:w="1080" w:type="dxa"/>
            <w:vAlign w:val="bottom"/>
          </w:tcPr>
          <w:p>
            <w:pPr>
              <w:jc w:val="right"/>
              <w:ind w:right="180"/>
              <w:spacing w:after="0"/>
              <w:rPr>
                <w:sz w:val="20"/>
                <w:szCs w:val="20"/>
                <w:color w:val="auto"/>
              </w:rPr>
            </w:pPr>
            <w:r>
              <w:rPr>
                <w:rFonts w:ascii="Arial" w:cs="Arial" w:eastAsia="Arial" w:hAnsi="Arial"/>
                <w:sz w:val="16"/>
                <w:szCs w:val="16"/>
                <w:color w:val="auto"/>
              </w:rPr>
              <w:t>-14%</w:t>
            </w:r>
          </w:p>
        </w:tc>
        <w:tc>
          <w:tcPr>
            <w:tcW w:w="1280" w:type="dxa"/>
            <w:vAlign w:val="bottom"/>
          </w:tcPr>
          <w:p>
            <w:pPr>
              <w:jc w:val="right"/>
              <w:ind w:right="400"/>
              <w:spacing w:after="0"/>
              <w:rPr>
                <w:sz w:val="20"/>
                <w:szCs w:val="20"/>
                <w:color w:val="auto"/>
              </w:rPr>
            </w:pPr>
            <w:r>
              <w:rPr>
                <w:rFonts w:ascii="Arial" w:cs="Arial" w:eastAsia="Arial" w:hAnsi="Arial"/>
                <w:sz w:val="16"/>
                <w:szCs w:val="16"/>
                <w:color w:val="auto"/>
              </w:rPr>
              <w:t>-49%</w:t>
            </w:r>
          </w:p>
        </w:tc>
        <w:tc>
          <w:tcPr>
            <w:tcW w:w="1500" w:type="dxa"/>
            <w:vAlign w:val="bottom"/>
          </w:tcPr>
          <w:p>
            <w:pPr>
              <w:jc w:val="right"/>
              <w:ind w:right="400"/>
              <w:spacing w:after="0"/>
              <w:rPr>
                <w:sz w:val="20"/>
                <w:szCs w:val="20"/>
                <w:color w:val="auto"/>
              </w:rPr>
            </w:pPr>
            <w:r>
              <w:rPr>
                <w:rFonts w:ascii="Arial" w:cs="Arial" w:eastAsia="Arial" w:hAnsi="Arial"/>
                <w:sz w:val="16"/>
                <w:szCs w:val="16"/>
                <w:color w:val="auto"/>
              </w:rPr>
              <w:t>+5%</w:t>
            </w:r>
          </w:p>
        </w:tc>
        <w:tc>
          <w:tcPr>
            <w:tcW w:w="1080" w:type="dxa"/>
            <w:vAlign w:val="bottom"/>
          </w:tcPr>
          <w:p>
            <w:pPr>
              <w:jc w:val="right"/>
              <w:ind w:right="120"/>
              <w:spacing w:after="0"/>
              <w:rPr>
                <w:sz w:val="20"/>
                <w:szCs w:val="20"/>
                <w:color w:val="auto"/>
              </w:rPr>
            </w:pPr>
            <w:r>
              <w:rPr>
                <w:rFonts w:ascii="Arial" w:cs="Arial" w:eastAsia="Arial" w:hAnsi="Arial"/>
                <w:sz w:val="16"/>
                <w:szCs w:val="16"/>
                <w:color w:val="auto"/>
              </w:rPr>
              <w:t>0%</w:t>
            </w:r>
          </w:p>
        </w:tc>
        <w:tc>
          <w:tcPr>
            <w:tcW w:w="1500" w:type="dxa"/>
            <w:vAlign w:val="bottom"/>
          </w:tcPr>
          <w:p>
            <w:pPr>
              <w:jc w:val="right"/>
              <w:ind w:right="320"/>
              <w:spacing w:after="0"/>
              <w:rPr>
                <w:sz w:val="20"/>
                <w:szCs w:val="20"/>
                <w:color w:val="auto"/>
              </w:rPr>
            </w:pPr>
            <w:r>
              <w:rPr>
                <w:rFonts w:ascii="Arial" w:cs="Arial" w:eastAsia="Arial" w:hAnsi="Arial"/>
                <w:sz w:val="16"/>
                <w:szCs w:val="16"/>
                <w:color w:val="auto"/>
              </w:rPr>
              <w:t>-3%</w:t>
            </w:r>
          </w:p>
        </w:tc>
      </w:tr>
      <w:tr>
        <w:trPr>
          <w:trHeight w:val="289"/>
        </w:trPr>
        <w:tc>
          <w:tcPr>
            <w:tcW w:w="2320" w:type="dxa"/>
            <w:vAlign w:val="bottom"/>
            <w:shd w:val="clear" w:color="auto" w:fill="D8E8EF"/>
          </w:tcPr>
          <w:p>
            <w:pPr>
              <w:ind w:left="40"/>
              <w:spacing w:after="0"/>
              <w:rPr>
                <w:sz w:val="20"/>
                <w:szCs w:val="20"/>
                <w:color w:val="auto"/>
              </w:rPr>
            </w:pPr>
            <w:r>
              <w:rPr>
                <w:rFonts w:ascii="Arial" w:cs="Arial" w:eastAsia="Arial" w:hAnsi="Arial"/>
                <w:sz w:val="16"/>
                <w:szCs w:val="16"/>
                <w:color w:val="auto"/>
              </w:rPr>
              <w:t>Ross F. Jatou</w:t>
            </w:r>
          </w:p>
        </w:tc>
        <w:tc>
          <w:tcPr>
            <w:tcW w:w="620" w:type="dxa"/>
            <w:vAlign w:val="bottom"/>
            <w:shd w:val="clear" w:color="auto" w:fill="D8E8EF"/>
          </w:tcPr>
          <w:p>
            <w:pPr>
              <w:jc w:val="right"/>
              <w:spacing w:after="0"/>
              <w:rPr>
                <w:sz w:val="20"/>
                <w:szCs w:val="20"/>
                <w:color w:val="auto"/>
              </w:rPr>
            </w:pPr>
            <w:r>
              <w:rPr>
                <w:rFonts w:ascii="Arial" w:cs="Arial" w:eastAsia="Arial" w:hAnsi="Arial"/>
                <w:sz w:val="16"/>
                <w:szCs w:val="16"/>
                <w:color w:val="auto"/>
              </w:rPr>
              <w:t>-7%</w:t>
            </w:r>
          </w:p>
        </w:tc>
        <w:tc>
          <w:tcPr>
            <w:tcW w:w="1080" w:type="dxa"/>
            <w:vAlign w:val="bottom"/>
            <w:shd w:val="clear" w:color="auto" w:fill="D8E8EF"/>
          </w:tcPr>
          <w:p>
            <w:pPr>
              <w:jc w:val="right"/>
              <w:ind w:right="180"/>
              <w:spacing w:after="0"/>
              <w:rPr>
                <w:sz w:val="20"/>
                <w:szCs w:val="20"/>
                <w:color w:val="auto"/>
              </w:rPr>
            </w:pPr>
            <w:r>
              <w:rPr>
                <w:rFonts w:ascii="Arial" w:cs="Arial" w:eastAsia="Arial" w:hAnsi="Arial"/>
                <w:sz w:val="16"/>
                <w:szCs w:val="16"/>
                <w:color w:val="auto"/>
              </w:rPr>
              <w:t>-10%</w:t>
            </w:r>
          </w:p>
        </w:tc>
        <w:tc>
          <w:tcPr>
            <w:tcW w:w="1280" w:type="dxa"/>
            <w:vAlign w:val="bottom"/>
            <w:shd w:val="clear" w:color="auto" w:fill="D8E8EF"/>
          </w:tcPr>
          <w:p>
            <w:pPr>
              <w:jc w:val="right"/>
              <w:ind w:right="400"/>
              <w:spacing w:after="0"/>
              <w:rPr>
                <w:sz w:val="20"/>
                <w:szCs w:val="20"/>
                <w:color w:val="auto"/>
              </w:rPr>
            </w:pPr>
            <w:r>
              <w:rPr>
                <w:rFonts w:ascii="Arial" w:cs="Arial" w:eastAsia="Arial" w:hAnsi="Arial"/>
                <w:sz w:val="16"/>
                <w:szCs w:val="16"/>
                <w:color w:val="auto"/>
              </w:rPr>
              <w:t>-46%</w:t>
            </w:r>
          </w:p>
        </w:tc>
        <w:tc>
          <w:tcPr>
            <w:tcW w:w="1500" w:type="dxa"/>
            <w:vAlign w:val="bottom"/>
            <w:shd w:val="clear" w:color="auto" w:fill="D8E8EF"/>
          </w:tcPr>
          <w:p>
            <w:pPr>
              <w:jc w:val="right"/>
              <w:ind w:right="400"/>
              <w:spacing w:after="0"/>
              <w:rPr>
                <w:sz w:val="20"/>
                <w:szCs w:val="20"/>
                <w:color w:val="auto"/>
              </w:rPr>
            </w:pPr>
            <w:r>
              <w:rPr>
                <w:rFonts w:ascii="Arial" w:cs="Arial" w:eastAsia="Arial" w:hAnsi="Arial"/>
                <w:sz w:val="16"/>
                <w:szCs w:val="16"/>
                <w:color w:val="auto"/>
              </w:rPr>
              <w:t>-72%</w:t>
            </w:r>
          </w:p>
        </w:tc>
        <w:tc>
          <w:tcPr>
            <w:tcW w:w="1080" w:type="dxa"/>
            <w:vAlign w:val="bottom"/>
            <w:shd w:val="clear" w:color="auto" w:fill="D8E8EF"/>
          </w:tcPr>
          <w:p>
            <w:pPr>
              <w:jc w:val="right"/>
              <w:ind w:right="120"/>
              <w:spacing w:after="0"/>
              <w:rPr>
                <w:sz w:val="20"/>
                <w:szCs w:val="20"/>
                <w:color w:val="auto"/>
              </w:rPr>
            </w:pPr>
            <w:r>
              <w:rPr>
                <w:rFonts w:ascii="Arial" w:cs="Arial" w:eastAsia="Arial" w:hAnsi="Arial"/>
                <w:sz w:val="16"/>
                <w:szCs w:val="16"/>
                <w:color w:val="auto"/>
              </w:rPr>
              <w:t>-47%</w:t>
            </w:r>
          </w:p>
        </w:tc>
        <w:tc>
          <w:tcPr>
            <w:tcW w:w="1500" w:type="dxa"/>
            <w:vAlign w:val="bottom"/>
            <w:shd w:val="clear" w:color="auto" w:fill="D8E8EF"/>
          </w:tcPr>
          <w:p>
            <w:pPr>
              <w:jc w:val="right"/>
              <w:ind w:right="320"/>
              <w:spacing w:after="0"/>
              <w:rPr>
                <w:sz w:val="20"/>
                <w:szCs w:val="20"/>
                <w:color w:val="auto"/>
              </w:rPr>
            </w:pPr>
            <w:r>
              <w:rPr>
                <w:rFonts w:ascii="Arial" w:cs="Arial" w:eastAsia="Arial" w:hAnsi="Arial"/>
                <w:sz w:val="16"/>
                <w:szCs w:val="16"/>
                <w:color w:val="auto"/>
              </w:rPr>
              <w:t>-59%</w:t>
            </w:r>
          </w:p>
        </w:tc>
      </w:tr>
      <w:tr>
        <w:trPr>
          <w:trHeight w:val="264"/>
        </w:trPr>
        <w:tc>
          <w:tcPr>
            <w:tcW w:w="2320" w:type="dxa"/>
            <w:vAlign w:val="bottom"/>
          </w:tcPr>
          <w:p>
            <w:pPr>
              <w:ind w:left="40"/>
              <w:spacing w:after="0"/>
              <w:rPr>
                <w:sz w:val="20"/>
                <w:szCs w:val="20"/>
                <w:color w:val="auto"/>
              </w:rPr>
            </w:pPr>
            <w:r>
              <w:rPr>
                <w:rFonts w:ascii="Arial" w:cs="Arial" w:eastAsia="Arial" w:hAnsi="Arial"/>
                <w:sz w:val="16"/>
                <w:szCs w:val="16"/>
                <w:color w:val="auto"/>
              </w:rPr>
              <w:t>George H. Cave</w:t>
            </w:r>
          </w:p>
        </w:tc>
        <w:tc>
          <w:tcPr>
            <w:tcW w:w="620" w:type="dxa"/>
            <w:vAlign w:val="bottom"/>
          </w:tcPr>
          <w:p>
            <w:pPr>
              <w:jc w:val="right"/>
              <w:spacing w:after="0"/>
              <w:rPr>
                <w:sz w:val="20"/>
                <w:szCs w:val="20"/>
                <w:color w:val="auto"/>
              </w:rPr>
            </w:pPr>
            <w:r>
              <w:rPr>
                <w:rFonts w:ascii="Arial" w:cs="Arial" w:eastAsia="Arial" w:hAnsi="Arial"/>
                <w:sz w:val="16"/>
                <w:szCs w:val="16"/>
                <w:color w:val="auto"/>
              </w:rPr>
              <w:t>+2%</w:t>
            </w:r>
          </w:p>
        </w:tc>
        <w:tc>
          <w:tcPr>
            <w:tcW w:w="1080" w:type="dxa"/>
            <w:vAlign w:val="bottom"/>
          </w:tcPr>
          <w:p>
            <w:pPr>
              <w:jc w:val="right"/>
              <w:ind w:right="180"/>
              <w:spacing w:after="0"/>
              <w:rPr>
                <w:sz w:val="20"/>
                <w:szCs w:val="20"/>
                <w:color w:val="auto"/>
              </w:rPr>
            </w:pPr>
            <w:r>
              <w:rPr>
                <w:rFonts w:ascii="Arial" w:cs="Arial" w:eastAsia="Arial" w:hAnsi="Arial"/>
                <w:sz w:val="16"/>
                <w:szCs w:val="16"/>
                <w:color w:val="auto"/>
              </w:rPr>
              <w:t>-1%</w:t>
            </w:r>
          </w:p>
        </w:tc>
        <w:tc>
          <w:tcPr>
            <w:tcW w:w="1280" w:type="dxa"/>
            <w:vAlign w:val="bottom"/>
          </w:tcPr>
          <w:p>
            <w:pPr>
              <w:jc w:val="right"/>
              <w:ind w:right="400"/>
              <w:spacing w:after="0"/>
              <w:rPr>
                <w:sz w:val="20"/>
                <w:szCs w:val="20"/>
                <w:color w:val="auto"/>
              </w:rPr>
            </w:pPr>
            <w:r>
              <w:rPr>
                <w:rFonts w:ascii="Arial" w:cs="Arial" w:eastAsia="Arial" w:hAnsi="Arial"/>
                <w:sz w:val="16"/>
                <w:szCs w:val="16"/>
                <w:color w:val="auto"/>
              </w:rPr>
              <w:t>-43%</w:t>
            </w:r>
          </w:p>
        </w:tc>
        <w:tc>
          <w:tcPr>
            <w:tcW w:w="1500" w:type="dxa"/>
            <w:vAlign w:val="bottom"/>
          </w:tcPr>
          <w:p>
            <w:pPr>
              <w:jc w:val="right"/>
              <w:ind w:right="400"/>
              <w:spacing w:after="0"/>
              <w:rPr>
                <w:sz w:val="20"/>
                <w:szCs w:val="20"/>
                <w:color w:val="auto"/>
              </w:rPr>
            </w:pPr>
            <w:r>
              <w:rPr>
                <w:rFonts w:ascii="Arial" w:cs="Arial" w:eastAsia="Arial" w:hAnsi="Arial"/>
                <w:sz w:val="16"/>
                <w:szCs w:val="16"/>
                <w:color w:val="auto"/>
              </w:rPr>
              <w:t>-16%</w:t>
            </w:r>
          </w:p>
        </w:tc>
        <w:tc>
          <w:tcPr>
            <w:tcW w:w="1080" w:type="dxa"/>
            <w:vAlign w:val="bottom"/>
          </w:tcPr>
          <w:p>
            <w:pPr>
              <w:jc w:val="right"/>
              <w:ind w:right="120"/>
              <w:spacing w:after="0"/>
              <w:rPr>
                <w:sz w:val="20"/>
                <w:szCs w:val="20"/>
                <w:color w:val="auto"/>
              </w:rPr>
            </w:pPr>
            <w:r>
              <w:rPr>
                <w:rFonts w:ascii="Arial" w:cs="Arial" w:eastAsia="Arial" w:hAnsi="Arial"/>
                <w:sz w:val="16"/>
                <w:szCs w:val="16"/>
                <w:color w:val="auto"/>
              </w:rPr>
              <w:t>-10%</w:t>
            </w:r>
          </w:p>
        </w:tc>
        <w:tc>
          <w:tcPr>
            <w:tcW w:w="1500" w:type="dxa"/>
            <w:vAlign w:val="bottom"/>
          </w:tcPr>
          <w:p>
            <w:pPr>
              <w:jc w:val="right"/>
              <w:ind w:right="320"/>
              <w:spacing w:after="0"/>
              <w:rPr>
                <w:sz w:val="20"/>
                <w:szCs w:val="20"/>
                <w:color w:val="auto"/>
              </w:rPr>
            </w:pPr>
            <w:r>
              <w:rPr>
                <w:rFonts w:ascii="Arial" w:cs="Arial" w:eastAsia="Arial" w:hAnsi="Arial"/>
                <w:sz w:val="16"/>
                <w:szCs w:val="16"/>
                <w:color w:val="auto"/>
              </w:rPr>
              <w:t>-24%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598805</wp:posOffset>
            </wp:positionH>
            <wp:positionV relativeFrom="paragraph">
              <wp:posOffset>10795</wp:posOffset>
            </wp:positionV>
            <wp:extent cx="595312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953125" cy="8255"/>
                    </a:xfrm>
                    <a:prstGeom prst="rect">
                      <a:avLst/>
                    </a:prstGeom>
                    <a:noFill/>
                  </pic:spPr>
                </pic:pic>
              </a:graphicData>
            </a:graphic>
          </wp:anchor>
        </w:drawing>
      </w:r>
    </w:p>
    <w:p>
      <w:pPr>
        <w:spacing w:after="0" w:line="1" w:lineRule="exact"/>
        <w:rPr>
          <w:sz w:val="20"/>
          <w:szCs w:val="20"/>
          <w:color w:val="auto"/>
        </w:rPr>
      </w:pPr>
    </w:p>
    <w:p>
      <w:pPr>
        <w:ind w:left="1360" w:right="780" w:hanging="430"/>
        <w:spacing w:after="0" w:line="249" w:lineRule="auto"/>
        <w:tabs>
          <w:tab w:leader="none" w:pos="1360" w:val="left"/>
        </w:tabs>
        <w:numPr>
          <w:ilvl w:val="0"/>
          <w:numId w:val="58"/>
        </w:numPr>
        <w:rPr>
          <w:rFonts w:ascii="Arial" w:cs="Arial" w:eastAsia="Arial" w:hAnsi="Arial"/>
          <w:sz w:val="14"/>
          <w:szCs w:val="14"/>
          <w:color w:val="auto"/>
        </w:rPr>
      </w:pPr>
      <w:r>
        <w:rPr>
          <w:rFonts w:ascii="Arial" w:cs="Arial" w:eastAsia="Arial" w:hAnsi="Arial"/>
          <w:sz w:val="14"/>
          <w:szCs w:val="14"/>
          <w:color w:val="auto"/>
        </w:rPr>
        <w:t>Mr. Gutmann was not included in the HCC Committee’s review since he had given notice of his retirement prior to when the HCC Committee considered the structure of the Company’s 2021 compensation program.</w:t>
      </w:r>
    </w:p>
    <w:p>
      <w:pPr>
        <w:ind w:left="1360" w:right="780" w:hanging="430"/>
        <w:spacing w:after="0" w:line="239" w:lineRule="auto"/>
        <w:tabs>
          <w:tab w:leader="none" w:pos="1360" w:val="left"/>
        </w:tabs>
        <w:numPr>
          <w:ilvl w:val="0"/>
          <w:numId w:val="58"/>
        </w:numPr>
        <w:rPr>
          <w:rFonts w:ascii="Arial" w:cs="Arial" w:eastAsia="Arial" w:hAnsi="Arial"/>
          <w:sz w:val="14"/>
          <w:szCs w:val="14"/>
          <w:color w:val="auto"/>
        </w:rPr>
      </w:pPr>
      <w:r>
        <w:rPr>
          <w:rFonts w:ascii="Arial" w:cs="Arial" w:eastAsia="Arial" w:hAnsi="Arial"/>
          <w:sz w:val="14"/>
          <w:szCs w:val="14"/>
          <w:color w:val="auto"/>
        </w:rPr>
        <w:t>Total target cash consists of 2020 base salary plus 2020 target annual incentive. Market annual incentive is based on target incentive opportunity for 2019. Data was aged 3% per year to January 1, 2021.</w:t>
      </w:r>
    </w:p>
    <w:p>
      <w:pPr>
        <w:ind w:left="1360" w:right="780" w:hanging="430"/>
        <w:spacing w:after="0" w:line="239" w:lineRule="auto"/>
        <w:tabs>
          <w:tab w:leader="none" w:pos="1360" w:val="left"/>
        </w:tabs>
        <w:numPr>
          <w:ilvl w:val="0"/>
          <w:numId w:val="58"/>
        </w:numPr>
        <w:rPr>
          <w:rFonts w:ascii="Arial" w:cs="Arial" w:eastAsia="Arial" w:hAnsi="Arial"/>
          <w:sz w:val="14"/>
          <w:szCs w:val="14"/>
          <w:color w:val="auto"/>
        </w:rPr>
      </w:pPr>
      <w:r>
        <w:rPr>
          <w:rFonts w:ascii="Arial" w:cs="Arial" w:eastAsia="Arial" w:hAnsi="Arial"/>
          <w:sz w:val="14"/>
          <w:szCs w:val="14"/>
          <w:color w:val="auto"/>
        </w:rPr>
        <w:t>Total actual cash consists of 2020 base salary and actual 2020 annual incentive paid. Market annual incentive is based on actual incentive earned for 2019. Data was aged 3% per year to January 1, 2021.</w:t>
      </w:r>
    </w:p>
    <w:p>
      <w:pPr>
        <w:ind w:left="1360" w:right="760" w:hanging="430"/>
        <w:spacing w:after="0" w:line="239" w:lineRule="auto"/>
        <w:tabs>
          <w:tab w:leader="none" w:pos="1360" w:val="left"/>
        </w:tabs>
        <w:numPr>
          <w:ilvl w:val="0"/>
          <w:numId w:val="58"/>
        </w:numPr>
        <w:rPr>
          <w:rFonts w:ascii="Arial" w:cs="Arial" w:eastAsia="Arial" w:hAnsi="Arial"/>
          <w:sz w:val="14"/>
          <w:szCs w:val="14"/>
          <w:color w:val="auto"/>
        </w:rPr>
      </w:pPr>
      <w:r>
        <w:rPr>
          <w:rFonts w:ascii="Arial" w:cs="Arial" w:eastAsia="Arial" w:hAnsi="Arial"/>
          <w:sz w:val="14"/>
          <w:szCs w:val="14"/>
          <w:color w:val="auto"/>
        </w:rPr>
        <w:t>Peer company long-term incentive awards reflect the three-year average grant value of awards. Market annual incentive is based on target incentive opportunity for 2019.</w:t>
      </w:r>
    </w:p>
    <w:p>
      <w:pPr>
        <w:ind w:left="1360" w:right="760" w:hanging="430"/>
        <w:spacing w:after="0" w:line="239" w:lineRule="auto"/>
        <w:tabs>
          <w:tab w:leader="none" w:pos="1360" w:val="left"/>
        </w:tabs>
        <w:numPr>
          <w:ilvl w:val="0"/>
          <w:numId w:val="58"/>
        </w:numPr>
        <w:rPr>
          <w:rFonts w:ascii="Arial" w:cs="Arial" w:eastAsia="Arial" w:hAnsi="Arial"/>
          <w:sz w:val="14"/>
          <w:szCs w:val="14"/>
          <w:color w:val="auto"/>
        </w:rPr>
      </w:pPr>
      <w:r>
        <w:rPr>
          <w:rFonts w:ascii="Arial" w:cs="Arial" w:eastAsia="Arial" w:hAnsi="Arial"/>
          <w:sz w:val="14"/>
          <w:szCs w:val="14"/>
          <w:color w:val="auto"/>
        </w:rPr>
        <w:t>Total actual direct compensation consists of 2020 base salary, actual 2020 annual incentive paid and the grant date fair value of the 2020 long-term incentive awards. Market annual incentive is based on actual incentive earned for 2019.</w:t>
      </w:r>
    </w:p>
    <w:p>
      <w:pPr>
        <w:ind w:left="1360" w:hanging="430"/>
        <w:spacing w:after="0"/>
        <w:tabs>
          <w:tab w:leader="none" w:pos="1360" w:val="left"/>
        </w:tabs>
        <w:numPr>
          <w:ilvl w:val="0"/>
          <w:numId w:val="58"/>
        </w:numPr>
        <w:rPr>
          <w:rFonts w:ascii="Arial" w:cs="Arial" w:eastAsia="Arial" w:hAnsi="Arial"/>
          <w:sz w:val="14"/>
          <w:szCs w:val="14"/>
          <w:color w:val="auto"/>
        </w:rPr>
      </w:pPr>
      <w:r>
        <w:rPr>
          <w:rFonts w:ascii="Arial" w:cs="Arial" w:eastAsia="Arial" w:hAnsi="Arial"/>
          <w:sz w:val="14"/>
          <w:szCs w:val="14"/>
          <w:color w:val="auto"/>
        </w:rPr>
        <w:t>Mr. El-Khoury was not included in the Pearl Meyer Report since he joined the Company shortly after the Pearl Meyer’s review was completed.</w:t>
      </w:r>
    </w:p>
    <w:p>
      <w:pPr>
        <w:ind w:left="1360" w:hanging="430"/>
        <w:spacing w:after="0"/>
        <w:tabs>
          <w:tab w:leader="none" w:pos="1360" w:val="left"/>
        </w:tabs>
        <w:numPr>
          <w:ilvl w:val="0"/>
          <w:numId w:val="58"/>
        </w:numPr>
        <w:rPr>
          <w:rFonts w:ascii="Arial" w:cs="Arial" w:eastAsia="Arial" w:hAnsi="Arial"/>
          <w:sz w:val="14"/>
          <w:szCs w:val="14"/>
          <w:color w:val="auto"/>
        </w:rPr>
      </w:pPr>
      <w:r>
        <w:rPr>
          <w:rFonts w:ascii="Arial" w:cs="Arial" w:eastAsia="Arial" w:hAnsi="Arial"/>
          <w:sz w:val="14"/>
          <w:szCs w:val="14"/>
          <w:color w:val="auto"/>
        </w:rPr>
        <w:t>Mr. Trent was not included in the Pearl Meyer Report since he did not join the Company until 2021.</w:t>
      </w:r>
    </w:p>
    <w:p>
      <w:pPr>
        <w:spacing w:after="0" w:line="190" w:lineRule="exact"/>
        <w:rPr>
          <w:sz w:val="20"/>
          <w:szCs w:val="20"/>
          <w:color w:val="auto"/>
        </w:rPr>
      </w:pPr>
    </w:p>
    <w:p>
      <w:pPr>
        <w:jc w:val="both"/>
        <w:ind w:left="160"/>
        <w:spacing w:after="0" w:line="238" w:lineRule="auto"/>
        <w:rPr>
          <w:sz w:val="20"/>
          <w:szCs w:val="20"/>
          <w:color w:val="auto"/>
        </w:rPr>
      </w:pPr>
      <w:r>
        <w:rPr>
          <w:rFonts w:ascii="Arial" w:cs="Arial" w:eastAsia="Arial" w:hAnsi="Arial"/>
          <w:sz w:val="18"/>
          <w:szCs w:val="18"/>
          <w:b w:val="1"/>
          <w:bCs w:val="1"/>
          <w:i w:val="1"/>
          <w:iCs w:val="1"/>
          <w:color w:val="auto"/>
        </w:rPr>
        <w:t>Other Factors</w:t>
      </w:r>
      <w:r>
        <w:rPr>
          <w:rFonts w:ascii="Arial" w:cs="Arial" w:eastAsia="Arial" w:hAnsi="Arial"/>
          <w:sz w:val="18"/>
          <w:szCs w:val="18"/>
          <w:color w:val="auto"/>
        </w:rPr>
        <w:t>. In addition to the market data provided by Pearl Meyer, the HCC Committee also assesses other factors when making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compensation decisions, including, but not limited to, the executive’s individual responsibilities, skills, expertise and value added through performance, as well as prior award accumulation. Our CEO presents the HCC Committee with an individual performance overview for each executive officer, describing the officer’s accomplishments for the prior year, as well as his or her strengths, areas of improvement and development plans. The HCC Committee separately reviews CEO performance based on, among other factors considered relevant, Company performance, including revenue growth, earnings growth, gross margin improvement, free cash flow and earnings per share, and further considers downturns or volatility in general economic conditions and other issues facing the Company.</w:t>
      </w:r>
    </w:p>
    <w:p>
      <w:pPr>
        <w:spacing w:after="0" w:line="181" w:lineRule="exact"/>
        <w:rPr>
          <w:sz w:val="20"/>
          <w:szCs w:val="20"/>
          <w:color w:val="auto"/>
        </w:rPr>
      </w:pPr>
    </w:p>
    <w:p>
      <w:pPr>
        <w:jc w:val="both"/>
        <w:ind w:left="160"/>
        <w:spacing w:after="0" w:line="239" w:lineRule="auto"/>
        <w:rPr>
          <w:sz w:val="20"/>
          <w:szCs w:val="20"/>
          <w:color w:val="auto"/>
        </w:rPr>
      </w:pPr>
      <w:r>
        <w:rPr>
          <w:rFonts w:ascii="Arial" w:cs="Arial" w:eastAsia="Arial" w:hAnsi="Arial"/>
          <w:sz w:val="18"/>
          <w:szCs w:val="18"/>
          <w:i w:val="1"/>
          <w:iCs w:val="1"/>
          <w:u w:val="single" w:color="auto"/>
          <w:color w:val="auto"/>
        </w:rPr>
        <w:t>Prior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In considering awards and other adjustments to the total compensation of each NEO, the HCC Committee considers</w:t>
      </w:r>
      <w:r>
        <w:rPr>
          <w:rFonts w:ascii="Arial" w:cs="Arial" w:eastAsia="Arial" w:hAnsi="Arial"/>
          <w:sz w:val="18"/>
          <w:szCs w:val="18"/>
          <w:i w:val="1"/>
          <w:iCs w:val="1"/>
          <w:color w:val="auto"/>
        </w:rPr>
        <w:t xml:space="preserve"> </w:t>
      </w:r>
      <w:r>
        <w:rPr>
          <w:rFonts w:ascii="Arial" w:cs="Arial" w:eastAsia="Arial" w:hAnsi="Arial"/>
          <w:sz w:val="18"/>
          <w:szCs w:val="18"/>
          <w:color w:val="auto"/>
        </w:rPr>
        <w:t>the value of previous compensation, including then-outstanding equity grants. On a quarterly basis, management also provides the HCC Committee with information concerning expectations regarding the vesting of outstanding long-term incentive awards. The HCC Committee uses this data to evaluate whether the NEO’s compensation and existing incentive opportunities from prior awards reflect Company operating performance and stockholder value, as well as the particular officer’s performance, the extent to which they continue to motivate the officer and whether adjustments are required to the program or an individual officer’s compensation.</w:t>
      </w:r>
    </w:p>
    <w:p>
      <w:pPr>
        <w:spacing w:after="0" w:line="181" w:lineRule="exact"/>
        <w:rPr>
          <w:sz w:val="20"/>
          <w:szCs w:val="20"/>
          <w:color w:val="auto"/>
        </w:rPr>
      </w:pPr>
    </w:p>
    <w:p>
      <w:pPr>
        <w:jc w:val="both"/>
        <w:ind w:left="160"/>
        <w:spacing w:after="0" w:line="249" w:lineRule="auto"/>
        <w:rPr>
          <w:sz w:val="20"/>
          <w:szCs w:val="20"/>
          <w:color w:val="auto"/>
        </w:rPr>
      </w:pPr>
      <w:r>
        <w:rPr>
          <w:rFonts w:ascii="Arial" w:cs="Arial" w:eastAsia="Arial" w:hAnsi="Arial"/>
          <w:sz w:val="18"/>
          <w:szCs w:val="18"/>
          <w:i w:val="1"/>
          <w:iCs w:val="1"/>
          <w:u w:val="single" w:color="auto"/>
          <w:color w:val="auto"/>
        </w:rPr>
        <w:t>Contractual Commitments</w:t>
      </w:r>
      <w:r>
        <w:rPr>
          <w:rFonts w:ascii="Arial" w:cs="Arial" w:eastAsia="Arial" w:hAnsi="Arial"/>
          <w:sz w:val="18"/>
          <w:szCs w:val="18"/>
          <w:i w:val="1"/>
          <w:iCs w:val="1"/>
          <w:color w:val="auto"/>
        </w:rPr>
        <w:t xml:space="preserve">. </w:t>
      </w:r>
      <w:r>
        <w:rPr>
          <w:rFonts w:ascii="Arial" w:cs="Arial" w:eastAsia="Arial" w:hAnsi="Arial"/>
          <w:sz w:val="18"/>
          <w:szCs w:val="18"/>
          <w:color w:val="auto"/>
        </w:rPr>
        <w:t>The HCC Committee also considers contractual commitments in determining or recommending executive pay.</w:t>
      </w:r>
      <w:r>
        <w:rPr>
          <w:rFonts w:ascii="Arial" w:cs="Arial" w:eastAsia="Arial" w:hAnsi="Arial"/>
          <w:sz w:val="18"/>
          <w:szCs w:val="18"/>
          <w:i w:val="1"/>
          <w:iCs w:val="1"/>
          <w:color w:val="auto"/>
        </w:rPr>
        <w:t xml:space="preserve"> </w:t>
      </w:r>
      <w:r>
        <w:rPr>
          <w:rFonts w:ascii="Arial" w:cs="Arial" w:eastAsia="Arial" w:hAnsi="Arial"/>
          <w:sz w:val="18"/>
          <w:szCs w:val="18"/>
          <w:color w:val="auto"/>
        </w:rPr>
        <w:t>The employment agreements for our NEOs generally provide for an initial level of annual salary, a target percentage of annual salary that can be earned pursuant to our short-term cash incentive plans and limited perquisites.</w:t>
      </w:r>
    </w:p>
    <w:p>
      <w:pPr>
        <w:spacing w:after="0" w:line="172" w:lineRule="exact"/>
        <w:rPr>
          <w:sz w:val="20"/>
          <w:szCs w:val="20"/>
          <w:color w:val="auto"/>
        </w:rPr>
      </w:pPr>
    </w:p>
    <w:p>
      <w:pPr>
        <w:jc w:val="both"/>
        <w:ind w:left="160"/>
        <w:spacing w:after="0" w:line="243" w:lineRule="auto"/>
        <w:rPr>
          <w:sz w:val="20"/>
          <w:szCs w:val="20"/>
          <w:color w:val="auto"/>
        </w:rPr>
      </w:pPr>
      <w:r>
        <w:rPr>
          <w:rFonts w:ascii="Arial" w:cs="Arial" w:eastAsia="Arial" w:hAnsi="Arial"/>
          <w:sz w:val="18"/>
          <w:szCs w:val="18"/>
          <w:i w:val="1"/>
          <w:iCs w:val="1"/>
          <w:u w:val="single" w:color="auto"/>
          <w:color w:val="auto"/>
        </w:rPr>
        <w:t>Use and Availability of Equity</w:t>
      </w:r>
      <w:r>
        <w:rPr>
          <w:rFonts w:ascii="Arial" w:cs="Arial" w:eastAsia="Arial" w:hAnsi="Arial"/>
          <w:sz w:val="18"/>
          <w:szCs w:val="18"/>
          <w:i w:val="1"/>
          <w:iCs w:val="1"/>
          <w:color w:val="auto"/>
        </w:rPr>
        <w:t xml:space="preserve">. </w:t>
      </w:r>
      <w:r>
        <w:rPr>
          <w:rFonts w:ascii="Arial" w:cs="Arial" w:eastAsia="Arial" w:hAnsi="Arial"/>
          <w:sz w:val="18"/>
          <w:szCs w:val="18"/>
          <w:color w:val="auto"/>
        </w:rPr>
        <w:t>When considering equity awards to our officers, including the NEOs, the HCC Committee considers our</w:t>
      </w:r>
      <w:r>
        <w:rPr>
          <w:rFonts w:ascii="Arial" w:cs="Arial" w:eastAsia="Arial" w:hAnsi="Arial"/>
          <w:sz w:val="18"/>
          <w:szCs w:val="18"/>
          <w:i w:val="1"/>
          <w:iCs w:val="1"/>
          <w:color w:val="auto"/>
        </w:rPr>
        <w:t xml:space="preserve"> </w:t>
      </w:r>
      <w:r>
        <w:rPr>
          <w:rFonts w:ascii="Arial" w:cs="Arial" w:eastAsia="Arial" w:hAnsi="Arial"/>
          <w:sz w:val="18"/>
          <w:szCs w:val="18"/>
          <w:color w:val="auto"/>
        </w:rPr>
        <w:t>equity availability and usage, the potential voting power dilution to our stockholders and the projected impact on our earnings per share for the relevant years. The Company believes that its share usage and potential dilution have generally been conservative compared to its peer group.</w:t>
      </w:r>
    </w:p>
    <w:p>
      <w:pPr>
        <w:spacing w:after="0" w:line="121"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F75E14"/>
        </w:rPr>
        <w:t>onsemi 2022 Proxy Statement</w:t>
        <w:tab/>
        <w:t>35</w:t>
      </w:r>
    </w:p>
    <w:p>
      <w:pPr>
        <w:sectPr>
          <w:pgSz w:w="11900" w:h="16838" w:orient="portrait"/>
          <w:cols w:equalWidth="0" w:num="1">
            <w:col w:w="11080"/>
          </w:cols>
          <w:pgMar w:left="320" w:top="454" w:right="499" w:bottom="1440" w:gutter="0" w:footer="0" w:header="0"/>
        </w:sectPr>
      </w:pPr>
    </w:p>
    <w:bookmarkStart w:id="39" w:name="page40"/>
    <w:bookmarkEnd w:id="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2" w:lineRule="exact"/>
        <w:rPr>
          <w:sz w:val="20"/>
          <w:szCs w:val="20"/>
          <w:color w:val="auto"/>
        </w:rPr>
      </w:pPr>
    </w:p>
    <w:p>
      <w:pPr>
        <w:ind w:left="160"/>
        <w:spacing w:after="0"/>
        <w:rPr>
          <w:sz w:val="20"/>
          <w:szCs w:val="20"/>
          <w:color w:val="auto"/>
        </w:rPr>
      </w:pPr>
      <w:r>
        <w:rPr>
          <w:rFonts w:ascii="Arial" w:cs="Arial" w:eastAsia="Arial" w:hAnsi="Arial"/>
          <w:sz w:val="18"/>
          <w:szCs w:val="18"/>
          <w:color w:val="F75E14"/>
        </w:rPr>
        <w:t>Compensation Discussion and Analysis</w:t>
      </w:r>
    </w:p>
    <w:p>
      <w:pPr>
        <w:spacing w:after="0" w:line="141" w:lineRule="exact"/>
        <w:rPr>
          <w:sz w:val="20"/>
          <w:szCs w:val="20"/>
          <w:color w:val="auto"/>
        </w:rPr>
      </w:pPr>
    </w:p>
    <w:p>
      <w:pPr>
        <w:jc w:val="both"/>
        <w:ind w:left="160"/>
        <w:spacing w:after="0" w:line="243" w:lineRule="auto"/>
        <w:rPr>
          <w:sz w:val="20"/>
          <w:szCs w:val="20"/>
          <w:color w:val="auto"/>
        </w:rPr>
      </w:pPr>
      <w:r>
        <w:rPr>
          <w:rFonts w:ascii="Arial" w:cs="Arial" w:eastAsia="Arial" w:hAnsi="Arial"/>
          <w:sz w:val="18"/>
          <w:szCs w:val="18"/>
          <w:i w:val="1"/>
          <w:iCs w:val="1"/>
          <w:u w:val="single" w:color="auto"/>
          <w:color w:val="auto"/>
        </w:rPr>
        <w:t>Internal Pay Equity</w:t>
      </w:r>
      <w:r>
        <w:rPr>
          <w:rFonts w:ascii="Arial" w:cs="Arial" w:eastAsia="Arial" w:hAnsi="Arial"/>
          <w:sz w:val="18"/>
          <w:szCs w:val="18"/>
          <w:i w:val="1"/>
          <w:iCs w:val="1"/>
          <w:color w:val="auto"/>
        </w:rPr>
        <w:t xml:space="preserve">. </w:t>
      </w:r>
      <w:r>
        <w:rPr>
          <w:rFonts w:ascii="Arial" w:cs="Arial" w:eastAsia="Arial" w:hAnsi="Arial"/>
          <w:sz w:val="18"/>
          <w:szCs w:val="18"/>
          <w:color w:val="auto"/>
        </w:rPr>
        <w:t>While the HCC Committee considers internal pay equity in making compensation decisions, we do not have a policy</w:t>
      </w:r>
      <w:r>
        <w:rPr>
          <w:rFonts w:ascii="Arial" w:cs="Arial" w:eastAsia="Arial" w:hAnsi="Arial"/>
          <w:sz w:val="18"/>
          <w:szCs w:val="18"/>
          <w:i w:val="1"/>
          <w:iCs w:val="1"/>
          <w:color w:val="auto"/>
        </w:rPr>
        <w:t xml:space="preserve"> </w:t>
      </w:r>
      <w:r>
        <w:rPr>
          <w:rFonts w:ascii="Arial" w:cs="Arial" w:eastAsia="Arial" w:hAnsi="Arial"/>
          <w:sz w:val="18"/>
          <w:szCs w:val="18"/>
          <w:color w:val="auto"/>
        </w:rPr>
        <w:t>requiring any set levels of internal pay differentiation. As previously discussed, we generally target the compensation levels among our executives to be competitive with market median. As compensation is competitively determined, the HCC Committee believes that the differentiation between the pay of Mr. El-Khoury and the other NEOs was appropriate.</w:t>
      </w:r>
    </w:p>
    <w:p>
      <w:pPr>
        <w:spacing w:after="0" w:line="178" w:lineRule="exact"/>
        <w:rPr>
          <w:sz w:val="20"/>
          <w:szCs w:val="20"/>
          <w:color w:val="auto"/>
        </w:rPr>
      </w:pPr>
    </w:p>
    <w:p>
      <w:pPr>
        <w:jc w:val="both"/>
        <w:ind w:left="160"/>
        <w:spacing w:after="0" w:line="243" w:lineRule="auto"/>
        <w:rPr>
          <w:sz w:val="20"/>
          <w:szCs w:val="20"/>
          <w:color w:val="auto"/>
        </w:rPr>
      </w:pPr>
      <w:r>
        <w:rPr>
          <w:rFonts w:ascii="Arial" w:cs="Arial" w:eastAsia="Arial" w:hAnsi="Arial"/>
          <w:sz w:val="18"/>
          <w:szCs w:val="18"/>
          <w:b w:val="1"/>
          <w:bCs w:val="1"/>
          <w:i w:val="1"/>
          <w:iCs w:val="1"/>
          <w:color w:val="auto"/>
        </w:rPr>
        <w:t>Risk Analysis</w:t>
      </w:r>
      <w:r>
        <w:rPr>
          <w:rFonts w:ascii="Arial" w:cs="Arial" w:eastAsia="Arial" w:hAnsi="Arial"/>
          <w:sz w:val="18"/>
          <w:szCs w:val="18"/>
          <w:color w:val="auto"/>
        </w:rPr>
        <w:t>. The HCC Committee considers the potential for unacceptable risk-taking in its compensation design and performs periodic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risk assessments with respect to its duties and actions. The HCC Committee believes that the design of our executive compensation program does not unduly incentivize our executives to take actions that may conflict with our long-term best interests. Material risk in our compensation design is mitigated in several ways, including as follows:</w:t>
      </w:r>
    </w:p>
    <w:p>
      <w:pPr>
        <w:spacing w:after="0" w:line="85" w:lineRule="exact"/>
        <w:rPr>
          <w:sz w:val="20"/>
          <w:szCs w:val="20"/>
          <w:color w:val="auto"/>
        </w:rPr>
      </w:pPr>
    </w:p>
    <w:p>
      <w:pPr>
        <w:ind w:left="1020" w:right="20" w:hanging="425"/>
        <w:spacing w:after="0" w:line="243" w:lineRule="auto"/>
        <w:tabs>
          <w:tab w:leader="none" w:pos="10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Performance-based pay opportunities are designed with goals that are aggressive but attainable without the need to take inappropriate risks and with the goal of driving long-term value to our stockholders.</w:t>
      </w:r>
    </w:p>
    <w:p>
      <w:pPr>
        <w:ind w:left="1020" w:hanging="425"/>
        <w:spacing w:after="0" w:line="232" w:lineRule="auto"/>
        <w:tabs>
          <w:tab w:leader="none" w:pos="10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There is an appropriate mix of pay elements, with total compensation not overly weighted toward any one compensation component.</w:t>
      </w:r>
    </w:p>
    <w:p>
      <w:pPr>
        <w:spacing w:after="0" w:line="1" w:lineRule="exact"/>
        <w:rPr>
          <w:rFonts w:ascii="Arial" w:cs="Arial" w:eastAsia="Arial" w:hAnsi="Arial"/>
          <w:sz w:val="18"/>
          <w:szCs w:val="18"/>
          <w:color w:val="auto"/>
        </w:rPr>
      </w:pPr>
    </w:p>
    <w:p>
      <w:pPr>
        <w:ind w:left="1020" w:hanging="425"/>
        <w:spacing w:after="0" w:line="232" w:lineRule="auto"/>
        <w:tabs>
          <w:tab w:leader="none" w:pos="10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base salaries of our NEOs, although comprising a relatively modest component of aggregate total compensation, nevertheless are adequate to discourage undue risk-taking.</w:t>
      </w:r>
    </w:p>
    <w:p>
      <w:pPr>
        <w:spacing w:after="0" w:line="1" w:lineRule="exact"/>
        <w:rPr>
          <w:rFonts w:ascii="Arial" w:cs="Arial" w:eastAsia="Arial" w:hAnsi="Arial"/>
          <w:sz w:val="18"/>
          <w:szCs w:val="18"/>
          <w:color w:val="auto"/>
        </w:rPr>
      </w:pPr>
    </w:p>
    <w:p>
      <w:pPr>
        <w:ind w:left="1020" w:hanging="425"/>
        <w:spacing w:after="0" w:line="232" w:lineRule="auto"/>
        <w:tabs>
          <w:tab w:leader="none" w:pos="10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Opportunities under our short-term and long-term incentive programs are capped so that the upside potential is not so large as to encourage excessive risk-taking.</w:t>
      </w:r>
    </w:p>
    <w:p>
      <w:pPr>
        <w:spacing w:after="0" w:line="1" w:lineRule="exact"/>
        <w:rPr>
          <w:rFonts w:ascii="Arial" w:cs="Arial" w:eastAsia="Arial" w:hAnsi="Arial"/>
          <w:sz w:val="18"/>
          <w:szCs w:val="18"/>
          <w:color w:val="auto"/>
        </w:rPr>
      </w:pPr>
    </w:p>
    <w:p>
      <w:pPr>
        <w:ind w:left="1020" w:right="20" w:hanging="425"/>
        <w:spacing w:after="0" w:line="232" w:lineRule="auto"/>
        <w:tabs>
          <w:tab w:leader="none" w:pos="10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Our stock-based incentives vest or are earned over a multi-year period, which provides long-term upside potential, but also requires the executive to bear the economic risk of the award over the vesting period.</w:t>
      </w:r>
    </w:p>
    <w:p>
      <w:pPr>
        <w:spacing w:after="0" w:line="1" w:lineRule="exact"/>
        <w:rPr>
          <w:rFonts w:ascii="Arial" w:cs="Arial" w:eastAsia="Arial" w:hAnsi="Arial"/>
          <w:sz w:val="18"/>
          <w:szCs w:val="18"/>
          <w:color w:val="auto"/>
        </w:rPr>
      </w:pPr>
    </w:p>
    <w:p>
      <w:pPr>
        <w:ind w:left="1020" w:hanging="425"/>
        <w:spacing w:after="0" w:line="232" w:lineRule="auto"/>
        <w:tabs>
          <w:tab w:leader="none" w:pos="10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We generally use different performance metrics in different programs and awards, which provides balance and lessens the opportunity to take undue risk in meeting a single goal.</w:t>
      </w:r>
    </w:p>
    <w:p>
      <w:pPr>
        <w:spacing w:after="0" w:line="1" w:lineRule="exact"/>
        <w:rPr>
          <w:rFonts w:ascii="Arial" w:cs="Arial" w:eastAsia="Arial" w:hAnsi="Arial"/>
          <w:sz w:val="18"/>
          <w:szCs w:val="18"/>
          <w:color w:val="auto"/>
        </w:rPr>
      </w:pPr>
    </w:p>
    <w:p>
      <w:pPr>
        <w:ind w:left="1020" w:hanging="425"/>
        <w:spacing w:after="0" w:line="232" w:lineRule="auto"/>
        <w:tabs>
          <w:tab w:leader="none" w:pos="10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stock components inherent in our long-term incentive program, combined with our stock ownership guidelines, align the interests of our executives with a goal of long-term preservation and appreciation of stockholder value.</w:t>
      </w:r>
    </w:p>
    <w:p>
      <w:pPr>
        <w:spacing w:after="0" w:line="1" w:lineRule="exact"/>
        <w:rPr>
          <w:rFonts w:ascii="Arial" w:cs="Arial" w:eastAsia="Arial" w:hAnsi="Arial"/>
          <w:sz w:val="18"/>
          <w:szCs w:val="18"/>
          <w:color w:val="auto"/>
        </w:rPr>
      </w:pPr>
    </w:p>
    <w:p>
      <w:pPr>
        <w:ind w:left="1020" w:hanging="425"/>
        <w:spacing w:after="0" w:line="232" w:lineRule="auto"/>
        <w:tabs>
          <w:tab w:leader="none" w:pos="10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Incentive payments and awards are subject to clawback in the event of a material restatement of our financial results and in certain other cases.</w:t>
      </w:r>
    </w:p>
    <w:p>
      <w:pPr>
        <w:spacing w:after="0" w:line="1" w:lineRule="exact"/>
        <w:rPr>
          <w:rFonts w:ascii="Arial" w:cs="Arial" w:eastAsia="Arial" w:hAnsi="Arial"/>
          <w:sz w:val="18"/>
          <w:szCs w:val="18"/>
          <w:color w:val="auto"/>
        </w:rPr>
      </w:pPr>
    </w:p>
    <w:p>
      <w:pPr>
        <w:ind w:left="1020" w:hanging="425"/>
        <w:spacing w:after="0" w:line="232" w:lineRule="auto"/>
        <w:tabs>
          <w:tab w:leader="none" w:pos="10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HCC Committee considers information from comparator companies in compensation design, thereby avoiding unusually high pay opportunities relative to the Company’s peers.</w:t>
      </w:r>
    </w:p>
    <w:p>
      <w:pPr>
        <w:spacing w:after="0" w:line="1" w:lineRule="exact"/>
        <w:rPr>
          <w:rFonts w:ascii="Arial" w:cs="Arial" w:eastAsia="Arial" w:hAnsi="Arial"/>
          <w:sz w:val="18"/>
          <w:szCs w:val="18"/>
          <w:color w:val="auto"/>
        </w:rPr>
      </w:pPr>
    </w:p>
    <w:p>
      <w:pPr>
        <w:ind w:left="1020" w:hanging="425"/>
        <w:spacing w:after="0" w:line="244" w:lineRule="auto"/>
        <w:tabs>
          <w:tab w:leader="none" w:pos="10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To retain our executives, the Company maintains severance programs with reasonable terms and a double-trigger change in control provision.</w:t>
      </w:r>
    </w:p>
    <w:p>
      <w:pPr>
        <w:spacing w:after="0" w:line="17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Elements of Our Compensation Program</w:t>
      </w:r>
    </w:p>
    <w:p>
      <w:pPr>
        <w:spacing w:after="0" w:line="208" w:lineRule="exact"/>
        <w:rPr>
          <w:sz w:val="20"/>
          <w:szCs w:val="20"/>
          <w:color w:val="auto"/>
        </w:rPr>
      </w:pPr>
    </w:p>
    <w:p>
      <w:pPr>
        <w:ind w:left="160"/>
        <w:spacing w:after="0" w:line="265" w:lineRule="auto"/>
        <w:rPr>
          <w:sz w:val="20"/>
          <w:szCs w:val="20"/>
          <w:color w:val="auto"/>
        </w:rPr>
      </w:pPr>
      <w:r>
        <w:rPr>
          <w:rFonts w:ascii="Arial" w:cs="Arial" w:eastAsia="Arial" w:hAnsi="Arial"/>
          <w:sz w:val="18"/>
          <w:szCs w:val="18"/>
          <w:color w:val="auto"/>
        </w:rPr>
        <w:t>Our compensation program is designed to provide a competitive total compensation package consistent with our performance in the marketplace and our desire to retain talented management. The 2021 compensation program for each of our NEOs includes:</w:t>
      </w:r>
    </w:p>
    <w:p>
      <w:pPr>
        <w:spacing w:after="0" w:line="64" w:lineRule="exact"/>
        <w:rPr>
          <w:sz w:val="20"/>
          <w:szCs w:val="20"/>
          <w:color w:val="auto"/>
        </w:rPr>
      </w:pPr>
    </w:p>
    <w:p>
      <w:pPr>
        <w:ind w:left="1020" w:hanging="425"/>
        <w:spacing w:after="0"/>
        <w:tabs>
          <w:tab w:leader="none" w:pos="10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base salary;</w:t>
      </w:r>
    </w:p>
    <w:p>
      <w:pPr>
        <w:spacing w:after="0" w:line="11" w:lineRule="exact"/>
        <w:rPr>
          <w:rFonts w:ascii="Arial" w:cs="Arial" w:eastAsia="Arial" w:hAnsi="Arial"/>
          <w:sz w:val="18"/>
          <w:szCs w:val="18"/>
          <w:color w:val="auto"/>
        </w:rPr>
      </w:pPr>
    </w:p>
    <w:p>
      <w:pPr>
        <w:ind w:left="1020" w:hanging="425"/>
        <w:spacing w:after="0" w:line="232" w:lineRule="auto"/>
        <w:tabs>
          <w:tab w:leader="none" w:pos="10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short-term cash incentive awards;</w:t>
      </w:r>
    </w:p>
    <w:p>
      <w:pPr>
        <w:ind w:left="1020" w:hanging="425"/>
        <w:spacing w:after="0" w:line="232" w:lineRule="auto"/>
        <w:tabs>
          <w:tab w:leader="none" w:pos="10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long-term equity incentive awards;</w:t>
      </w:r>
    </w:p>
    <w:p>
      <w:pPr>
        <w:ind w:left="1020" w:hanging="425"/>
        <w:spacing w:after="0" w:line="232" w:lineRule="auto"/>
        <w:tabs>
          <w:tab w:leader="none" w:pos="10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post-termination compensation;</w:t>
      </w:r>
    </w:p>
    <w:p>
      <w:pPr>
        <w:ind w:left="1020" w:hanging="425"/>
        <w:spacing w:after="0" w:line="232" w:lineRule="auto"/>
        <w:tabs>
          <w:tab w:leader="none" w:pos="10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limited perquisites; and</w:t>
      </w:r>
    </w:p>
    <w:p>
      <w:pPr>
        <w:ind w:left="1020" w:hanging="425"/>
        <w:spacing w:after="0"/>
        <w:tabs>
          <w:tab w:leader="none" w:pos="10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other benefit plans and programs.</w:t>
      </w:r>
    </w:p>
    <w:p>
      <w:pPr>
        <w:spacing w:after="0" w:line="190" w:lineRule="exact"/>
        <w:rPr>
          <w:sz w:val="20"/>
          <w:szCs w:val="20"/>
          <w:color w:val="auto"/>
        </w:rPr>
      </w:pPr>
    </w:p>
    <w:p>
      <w:pPr>
        <w:jc w:val="both"/>
        <w:ind w:left="160"/>
        <w:spacing w:after="0" w:line="249" w:lineRule="auto"/>
        <w:rPr>
          <w:sz w:val="20"/>
          <w:szCs w:val="20"/>
          <w:color w:val="auto"/>
        </w:rPr>
      </w:pPr>
      <w:r>
        <w:rPr>
          <w:rFonts w:ascii="Arial" w:cs="Arial" w:eastAsia="Arial" w:hAnsi="Arial"/>
          <w:sz w:val="18"/>
          <w:szCs w:val="18"/>
          <w:color w:val="auto"/>
        </w:rPr>
        <w:t>While executives have more of their total compensation at risk than other employees, we believe that corporate and individual performance drive incentive compensation and the principles that serve as the basis for executive compensation practices generally apply to the compensation plans for all employees.</w:t>
      </w:r>
    </w:p>
    <w:p>
      <w:pPr>
        <w:spacing w:after="0" w:line="172" w:lineRule="exact"/>
        <w:rPr>
          <w:sz w:val="20"/>
          <w:szCs w:val="20"/>
          <w:color w:val="auto"/>
        </w:rPr>
      </w:pPr>
    </w:p>
    <w:p>
      <w:pPr>
        <w:jc w:val="both"/>
        <w:ind w:left="160"/>
        <w:spacing w:after="0" w:line="243" w:lineRule="auto"/>
        <w:rPr>
          <w:sz w:val="20"/>
          <w:szCs w:val="20"/>
          <w:color w:val="auto"/>
        </w:rPr>
      </w:pPr>
      <w:r>
        <w:rPr>
          <w:rFonts w:ascii="Arial" w:cs="Arial" w:eastAsia="Arial" w:hAnsi="Arial"/>
          <w:sz w:val="18"/>
          <w:szCs w:val="18"/>
          <w:b w:val="1"/>
          <w:bCs w:val="1"/>
          <w:i w:val="1"/>
          <w:iCs w:val="1"/>
          <w:color w:val="auto"/>
        </w:rPr>
        <w:t>Base Salary</w:t>
      </w:r>
      <w:r>
        <w:rPr>
          <w:rFonts w:ascii="Arial" w:cs="Arial" w:eastAsia="Arial" w:hAnsi="Arial"/>
          <w:sz w:val="18"/>
          <w:szCs w:val="18"/>
          <w:color w:val="auto"/>
        </w:rPr>
        <w:t>. The primary objectives for the base salary component were to: (i) reward and retain our NEOs; and (ii) provide fixed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compensation that was competitive in our market and commensurate with each NEO’s level of responsibility. The HCC Committee generally targets executive pay, including short-term and long-term incentive compensation, at the median of benchmarked market data. In addition, differences in salary among officers are based on market median data and other factors as described in this CD&amp;A.</w:t>
      </w:r>
    </w:p>
    <w:p>
      <w:pPr>
        <w:spacing w:after="0" w:line="178" w:lineRule="exact"/>
        <w:rPr>
          <w:sz w:val="20"/>
          <w:szCs w:val="20"/>
          <w:color w:val="auto"/>
        </w:rPr>
      </w:pPr>
    </w:p>
    <w:p>
      <w:pPr>
        <w:jc w:val="both"/>
        <w:ind w:left="160"/>
        <w:spacing w:after="0" w:line="265" w:lineRule="auto"/>
        <w:rPr>
          <w:sz w:val="20"/>
          <w:szCs w:val="20"/>
          <w:color w:val="auto"/>
        </w:rPr>
      </w:pPr>
      <w:r>
        <w:rPr>
          <w:rFonts w:ascii="Arial" w:cs="Arial" w:eastAsia="Arial" w:hAnsi="Arial"/>
          <w:sz w:val="18"/>
          <w:szCs w:val="18"/>
          <w:color w:val="auto"/>
        </w:rPr>
        <w:t>Due to the continued impact of COVID-19 on the Company’s operations and outlook, as well as the recency of Mr. El-Khoury’s and Mr. Trent’s joining the Company, the HCC Committee determined not to increase base salaries for</w:t>
      </w:r>
    </w:p>
    <w:p>
      <w:pPr>
        <w:spacing w:after="0" w:line="101" w:lineRule="exact"/>
        <w:rPr>
          <w:sz w:val="20"/>
          <w:szCs w:val="20"/>
          <w:color w:val="auto"/>
        </w:rPr>
      </w:pPr>
    </w:p>
    <w:p>
      <w:pPr>
        <w:ind w:left="160"/>
        <w:spacing w:after="0"/>
        <w:tabs>
          <w:tab w:leader="none" w:pos="500" w:val="left"/>
        </w:tabs>
        <w:rPr>
          <w:sz w:val="20"/>
          <w:szCs w:val="20"/>
          <w:color w:val="auto"/>
        </w:rPr>
      </w:pPr>
      <w:r>
        <w:rPr>
          <w:rFonts w:ascii="Arial" w:cs="Arial" w:eastAsia="Arial" w:hAnsi="Arial"/>
          <w:sz w:val="14"/>
          <w:szCs w:val="14"/>
          <w:color w:val="F75E14"/>
        </w:rPr>
        <w:t>36</w:t>
        <w:tab/>
        <w:t>onsemi 2022 Proxy Statement</w:t>
      </w:r>
    </w:p>
    <w:p>
      <w:pPr>
        <w:sectPr>
          <w:pgSz w:w="11900" w:h="16838" w:orient="portrait"/>
          <w:cols w:equalWidth="0" w:num="1">
            <w:col w:w="11080"/>
          </w:cols>
          <w:pgMar w:left="320" w:top="454" w:right="499" w:bottom="1440" w:gutter="0" w:footer="0" w:header="0"/>
        </w:sectPr>
      </w:pPr>
    </w:p>
    <w:bookmarkStart w:id="40" w:name="page41"/>
    <w:bookmarkEnd w:id="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2" w:lineRule="exact"/>
        <w:rPr>
          <w:sz w:val="20"/>
          <w:szCs w:val="20"/>
          <w:color w:val="auto"/>
        </w:rPr>
      </w:pPr>
    </w:p>
    <w:p>
      <w:pPr>
        <w:ind w:left="7960"/>
        <w:spacing w:after="0"/>
        <w:rPr>
          <w:sz w:val="20"/>
          <w:szCs w:val="20"/>
          <w:color w:val="auto"/>
        </w:rPr>
      </w:pPr>
      <w:r>
        <w:rPr>
          <w:rFonts w:ascii="Arial" w:cs="Arial" w:eastAsia="Arial" w:hAnsi="Arial"/>
          <w:sz w:val="17"/>
          <w:szCs w:val="17"/>
          <w:color w:val="F75E14"/>
        </w:rPr>
        <w:t>Compensation Discussion and Analysis</w:t>
      </w:r>
    </w:p>
    <w:p>
      <w:pPr>
        <w:spacing w:after="0" w:line="152" w:lineRule="exact"/>
        <w:rPr>
          <w:sz w:val="20"/>
          <w:szCs w:val="20"/>
          <w:color w:val="auto"/>
        </w:rPr>
      </w:pPr>
    </w:p>
    <w:p>
      <w:pPr>
        <w:jc w:val="both"/>
        <w:ind w:left="160"/>
        <w:spacing w:after="0" w:line="237" w:lineRule="auto"/>
        <w:rPr>
          <w:sz w:val="20"/>
          <w:szCs w:val="20"/>
          <w:color w:val="auto"/>
        </w:rPr>
      </w:pPr>
      <w:r>
        <w:rPr>
          <w:rFonts w:ascii="Arial" w:cs="Arial" w:eastAsia="Arial" w:hAnsi="Arial"/>
          <w:sz w:val="18"/>
          <w:szCs w:val="18"/>
          <w:color w:val="auto"/>
        </w:rPr>
        <w:t>the 2021 fiscal year at the time of its customary annual review in February 2021. During a review of the executive pay conducted by the HCC Committee in June 2021, however, the HCC Committee determined that the base salary for each of Messrs. Hopkin and Keeton would be significantly and adversely impacted by economic conditions and the marketplace for key talent such that the resulting effect would be that this compensation component for Messrs. Hopkin and Keeton would be significantly below market levels. Given that the base salary for each of Messrs. Hopkin and Keeton was positioned between the 25</w:t>
      </w:r>
      <w:r>
        <w:rPr>
          <w:rFonts w:ascii="Arial" w:cs="Arial" w:eastAsia="Arial" w:hAnsi="Arial"/>
          <w:sz w:val="15"/>
          <w:szCs w:val="15"/>
          <w:color w:val="auto"/>
        </w:rPr>
        <w:t>th</w:t>
      </w:r>
      <w:r>
        <w:rPr>
          <w:rFonts w:ascii="Arial" w:cs="Arial" w:eastAsia="Arial" w:hAnsi="Arial"/>
          <w:sz w:val="18"/>
          <w:szCs w:val="18"/>
          <w:color w:val="auto"/>
        </w:rPr>
        <w:t xml:space="preserve"> percentile and median of the market, the HCC Committee approved certain awards designed to align the base salaries of Messrs. Hopkin and Keeton more closely with the median of the benchmarked data. The retention measures included an increase in the annual base salary for each of Messrs. Hopkin and Keeton to $500,000. The Company believes that the retention measures taken with respect to Messrs. Hopkin and Keeton, including the base salary increases described above, were reasonable in magnitude and represent an isolated practice.</w:t>
      </w:r>
    </w:p>
    <w:p>
      <w:pPr>
        <w:spacing w:after="0" w:line="180" w:lineRule="exact"/>
        <w:rPr>
          <w:sz w:val="20"/>
          <w:szCs w:val="20"/>
          <w:color w:val="auto"/>
        </w:rPr>
      </w:pPr>
    </w:p>
    <w:p>
      <w:pPr>
        <w:jc w:val="both"/>
        <w:ind w:left="160"/>
        <w:spacing w:after="0" w:line="265" w:lineRule="auto"/>
        <w:rPr>
          <w:sz w:val="20"/>
          <w:szCs w:val="20"/>
          <w:color w:val="auto"/>
        </w:rPr>
      </w:pPr>
      <w:r>
        <w:rPr>
          <w:rFonts w:ascii="Arial" w:cs="Arial" w:eastAsia="Arial" w:hAnsi="Arial"/>
          <w:sz w:val="18"/>
          <w:szCs w:val="18"/>
          <w:b w:val="1"/>
          <w:bCs w:val="1"/>
          <w:i w:val="1"/>
          <w:iCs w:val="1"/>
          <w:color w:val="auto"/>
        </w:rPr>
        <w:t>Short-Term Cash Incentive Program</w:t>
      </w:r>
      <w:r>
        <w:rPr>
          <w:rFonts w:ascii="Arial" w:cs="Arial" w:eastAsia="Arial" w:hAnsi="Arial"/>
          <w:sz w:val="18"/>
          <w:szCs w:val="18"/>
          <w:color w:val="auto"/>
        </w:rPr>
        <w:t>. The primary objectives of the 2021 short-term incentive award program (the “2021 Bonus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Program”) were to:</w:t>
      </w:r>
    </w:p>
    <w:p>
      <w:pPr>
        <w:spacing w:after="0" w:line="64" w:lineRule="exact"/>
        <w:rPr>
          <w:sz w:val="20"/>
          <w:szCs w:val="20"/>
          <w:color w:val="auto"/>
        </w:rPr>
      </w:pPr>
    </w:p>
    <w:p>
      <w:pPr>
        <w:ind w:left="1020" w:hanging="425"/>
        <w:spacing w:after="0"/>
        <w:tabs>
          <w:tab w:leader="none" w:pos="10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maximize return to stockholders;</w:t>
      </w:r>
    </w:p>
    <w:p>
      <w:pPr>
        <w:spacing w:after="0" w:line="11" w:lineRule="exact"/>
        <w:rPr>
          <w:rFonts w:ascii="Arial" w:cs="Arial" w:eastAsia="Arial" w:hAnsi="Arial"/>
          <w:sz w:val="18"/>
          <w:szCs w:val="18"/>
          <w:color w:val="auto"/>
        </w:rPr>
      </w:pPr>
    </w:p>
    <w:p>
      <w:pPr>
        <w:ind w:left="1020" w:hanging="425"/>
        <w:spacing w:after="0" w:line="232" w:lineRule="auto"/>
        <w:tabs>
          <w:tab w:leader="none" w:pos="10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reward and retain our top performers;</w:t>
      </w:r>
    </w:p>
    <w:p>
      <w:pPr>
        <w:ind w:left="1020" w:hanging="425"/>
        <w:spacing w:after="0" w:line="232" w:lineRule="auto"/>
        <w:tabs>
          <w:tab w:leader="none" w:pos="10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reward achievement of short-term financial performance goals;</w:t>
      </w:r>
    </w:p>
    <w:p>
      <w:pPr>
        <w:ind w:left="1020" w:hanging="425"/>
        <w:spacing w:after="0" w:line="232" w:lineRule="auto"/>
        <w:tabs>
          <w:tab w:leader="none" w:pos="10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use objective and verifiable metrics;</w:t>
      </w:r>
    </w:p>
    <w:p>
      <w:pPr>
        <w:ind w:left="1020" w:hanging="425"/>
        <w:spacing w:after="0" w:line="232" w:lineRule="auto"/>
        <w:tabs>
          <w:tab w:leader="none" w:pos="10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utilize a single program for all eligible employees; and</w:t>
      </w:r>
    </w:p>
    <w:p>
      <w:pPr>
        <w:ind w:left="1020" w:hanging="425"/>
        <w:spacing w:after="0"/>
        <w:tabs>
          <w:tab w:leader="none" w:pos="10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target bonus percentages based on benchmarked market data.</w:t>
      </w:r>
    </w:p>
    <w:p>
      <w:pPr>
        <w:spacing w:after="0" w:line="190" w:lineRule="exact"/>
        <w:rPr>
          <w:sz w:val="20"/>
          <w:szCs w:val="20"/>
          <w:color w:val="auto"/>
        </w:rPr>
      </w:pPr>
    </w:p>
    <w:p>
      <w:pPr>
        <w:ind w:left="160"/>
        <w:spacing w:after="0"/>
        <w:rPr>
          <w:sz w:val="20"/>
          <w:szCs w:val="20"/>
          <w:color w:val="auto"/>
        </w:rPr>
      </w:pPr>
      <w:r>
        <w:rPr>
          <w:rFonts w:ascii="Arial" w:cs="Arial" w:eastAsia="Arial" w:hAnsi="Arial"/>
          <w:sz w:val="18"/>
          <w:szCs w:val="18"/>
          <w:i w:val="1"/>
          <w:iCs w:val="1"/>
          <w:u w:val="single" w:color="auto"/>
          <w:color w:val="auto"/>
        </w:rPr>
        <w:t>Summary of Features</w:t>
      </w:r>
      <w:r>
        <w:rPr>
          <w:rFonts w:ascii="Arial" w:cs="Arial" w:eastAsia="Arial" w:hAnsi="Arial"/>
          <w:sz w:val="18"/>
          <w:szCs w:val="18"/>
          <w:color w:val="auto"/>
        </w:rPr>
        <w:t>. The 2021 Bonus Program had the following features:</w:t>
      </w:r>
    </w:p>
    <w:p>
      <w:pPr>
        <w:spacing w:after="0" w:line="234" w:lineRule="exact"/>
        <w:rPr>
          <w:sz w:val="20"/>
          <w:szCs w:val="20"/>
          <w:color w:val="auto"/>
        </w:rPr>
      </w:pPr>
    </w:p>
    <w:p>
      <w:pPr>
        <w:ind w:left="1020" w:hanging="425"/>
        <w:spacing w:after="0"/>
        <w:tabs>
          <w:tab w:leader="none" w:pos="10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 annual plan providing for award opportunities based on full-year 2021 results;</w:t>
      </w:r>
    </w:p>
    <w:p>
      <w:pPr>
        <w:spacing w:after="0" w:line="234" w:lineRule="exact"/>
        <w:rPr>
          <w:rFonts w:ascii="Arial" w:cs="Arial" w:eastAsia="Arial" w:hAnsi="Arial"/>
          <w:sz w:val="18"/>
          <w:szCs w:val="18"/>
          <w:color w:val="auto"/>
        </w:rPr>
      </w:pPr>
    </w:p>
    <w:p>
      <w:pPr>
        <w:jc w:val="both"/>
        <w:ind w:left="1020" w:hanging="425"/>
        <w:spacing w:after="0" w:line="238" w:lineRule="auto"/>
        <w:tabs>
          <w:tab w:leader="none" w:pos="10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performance goals based on both (i) financial results, including revenue and earnings before interest and taxes (“EBIT”) targets, to ensure funding of the 2021 Bonus Program was in line with the Company’s Annual Operating Plan (the achievement of both financial metrics, the “Corporate Multiplier”), and (ii) individually-scored performance goals based on both financial metrics (including revenue growth, gross margin increase and EBIT earnings growth) and certain non-financial metrics (including the definition and deployment of management’s new corporate strategy and the planning and execution of certain transformation initiatives) (the achievement of such individually-scored metrics, the “Individual Goal Achievement Percentage”), as applicable, for each NEO;</w:t>
      </w:r>
    </w:p>
    <w:p>
      <w:pPr>
        <w:spacing w:after="0" w:line="87" w:lineRule="exact"/>
        <w:rPr>
          <w:rFonts w:ascii="Arial" w:cs="Arial" w:eastAsia="Arial" w:hAnsi="Arial"/>
          <w:sz w:val="18"/>
          <w:szCs w:val="18"/>
          <w:color w:val="auto"/>
        </w:rPr>
      </w:pPr>
    </w:p>
    <w:p>
      <w:pPr>
        <w:jc w:val="both"/>
        <w:ind w:left="1020" w:hanging="425"/>
        <w:spacing w:after="0" w:line="243" w:lineRule="auto"/>
        <w:tabs>
          <w:tab w:leader="none" w:pos="10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payouts determined on a linear basis (i) from the 0% payout level to the 100% payout level for both the Corporate Multiplier and non-financial metrics included in the Individual Goal Achievement Percentage, and (ii) from the 0% payout level to 100% payout level and from the 100% payout level to the 200% payout level for the financial metrics included in the Individual Goal Achievement Percentage; and</w:t>
      </w:r>
    </w:p>
    <w:p>
      <w:pPr>
        <w:spacing w:after="0" w:line="84" w:lineRule="exact"/>
        <w:rPr>
          <w:rFonts w:ascii="Arial" w:cs="Arial" w:eastAsia="Arial" w:hAnsi="Arial"/>
          <w:sz w:val="18"/>
          <w:szCs w:val="18"/>
          <w:color w:val="auto"/>
        </w:rPr>
      </w:pPr>
    </w:p>
    <w:p>
      <w:pPr>
        <w:jc w:val="both"/>
        <w:ind w:left="1020" w:hanging="425"/>
        <w:spacing w:after="0" w:line="249" w:lineRule="auto"/>
        <w:tabs>
          <w:tab w:leader="none" w:pos="10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HCC Committee had the ability to exercise positive or negative discretion and pay such greater or lesser amounts as it determined to be appropriate in connection with the achievement of the Company’s goals and the furtherance of the objectives of the Company’s compensation programs.</w:t>
      </w:r>
    </w:p>
    <w:p>
      <w:pPr>
        <w:spacing w:after="0" w:line="172" w:lineRule="exact"/>
        <w:rPr>
          <w:sz w:val="20"/>
          <w:szCs w:val="20"/>
          <w:color w:val="auto"/>
        </w:rPr>
      </w:pPr>
    </w:p>
    <w:p>
      <w:pPr>
        <w:jc w:val="both"/>
        <w:ind w:left="160"/>
        <w:spacing w:after="0" w:line="235" w:lineRule="auto"/>
        <w:rPr>
          <w:sz w:val="20"/>
          <w:szCs w:val="20"/>
          <w:color w:val="auto"/>
        </w:rPr>
      </w:pPr>
      <w:r>
        <w:rPr>
          <w:rFonts w:ascii="Arial" w:cs="Arial" w:eastAsia="Arial" w:hAnsi="Arial"/>
          <w:sz w:val="18"/>
          <w:szCs w:val="18"/>
          <w:i w:val="1"/>
          <w:iCs w:val="1"/>
          <w:u w:val="single" w:color="auto"/>
          <w:color w:val="auto"/>
        </w:rPr>
        <w:t>Alignment with New Company Strategy</w:t>
      </w:r>
      <w:r>
        <w:rPr>
          <w:rFonts w:ascii="Arial" w:cs="Arial" w:eastAsia="Arial" w:hAnsi="Arial"/>
          <w:sz w:val="18"/>
          <w:szCs w:val="18"/>
          <w:color w:val="auto"/>
        </w:rPr>
        <w:t>. In designing the 2021 Bonus Program, the HCC Committee considered its primary short-term</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objectives, including maximizing total return to stockholders, the expectations of Company performance, projected market expectations and expectations regarding individual performance and the Company’s objectives for 2021. In particular, to directly align the 2021 Bonus Program with the Company’s 2021 strategic and transformation objectives and encourage our executives to maximize profitability, growth and operational efficiency, the HCC Committee determined to include the following components in the 2021 Bonus Program: revenue, EBIT and gross margin (the “Individual Financial Components”); and certain other metrics specifically tailored to each NEO’s area of expertise and strategic focus, including non-financial goals and other metrics based on the definition and deployment of management’s new corporate strategy and the planning and execution of certain transformation initiatives (the “Individual Strategic Components”). As further described below, the interplay between the Corporate Multiplier and each NEO’s Individual Goal Achievement Percentage highlights the Company’s compensation philosophy, which is based on both Company and individual performance. The Company’s performance is embedded in the Corporate Multiplier. Meanwhile, a portion of the Individual Goal Achievement Percentage (between 40% and 50%) is tied to Company-wide financial targets and the remaining portion of the Individual Goal Achievement Percentage (between 50% and 60%) is tied to individualized performance targets pertaining to each NEO’s execution of strategic initiatives.</w:t>
      </w:r>
    </w:p>
    <w:p>
      <w:pPr>
        <w:spacing w:after="0" w:line="128"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F75E14"/>
        </w:rPr>
        <w:t>onsemi 2022 Proxy Statement</w:t>
        <w:tab/>
        <w:t>37</w:t>
      </w:r>
    </w:p>
    <w:p>
      <w:pPr>
        <w:sectPr>
          <w:pgSz w:w="11900" w:h="16838" w:orient="portrait"/>
          <w:cols w:equalWidth="0" w:num="1">
            <w:col w:w="11080"/>
          </w:cols>
          <w:pgMar w:left="320" w:top="454" w:right="499" w:bottom="1440" w:gutter="0" w:footer="0" w:header="0"/>
        </w:sectPr>
      </w:pPr>
    </w:p>
    <w:bookmarkStart w:id="41" w:name="page42"/>
    <w:bookmarkEnd w:id="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2" w:lineRule="exact"/>
        <w:rPr>
          <w:sz w:val="20"/>
          <w:szCs w:val="20"/>
          <w:color w:val="auto"/>
        </w:rPr>
      </w:pPr>
    </w:p>
    <w:p>
      <w:pPr>
        <w:ind w:left="160"/>
        <w:spacing w:after="0"/>
        <w:rPr>
          <w:sz w:val="20"/>
          <w:szCs w:val="20"/>
          <w:color w:val="auto"/>
        </w:rPr>
      </w:pPr>
      <w:r>
        <w:rPr>
          <w:rFonts w:ascii="Arial" w:cs="Arial" w:eastAsia="Arial" w:hAnsi="Arial"/>
          <w:sz w:val="18"/>
          <w:szCs w:val="18"/>
          <w:color w:val="F75E14"/>
        </w:rPr>
        <w:t>Compensation Discussion and Analysis</w:t>
      </w:r>
    </w:p>
    <w:p>
      <w:pPr>
        <w:spacing w:after="0" w:line="14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Under the 2021 Bonus Program, a NEO’s payout was determined according to the formula below:</w:t>
      </w:r>
    </w:p>
    <w:p>
      <w:pPr>
        <w:spacing w:after="0" w:line="208"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2021 Bonus Program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1354455</wp:posOffset>
            </wp:positionH>
            <wp:positionV relativeFrom="paragraph">
              <wp:posOffset>160655</wp:posOffset>
            </wp:positionV>
            <wp:extent cx="4441825" cy="66230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4441825" cy="662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left="160"/>
        <w:spacing w:after="0" w:line="239" w:lineRule="auto"/>
        <w:rPr>
          <w:sz w:val="20"/>
          <w:szCs w:val="20"/>
          <w:color w:val="auto"/>
        </w:rPr>
      </w:pPr>
      <w:r>
        <w:rPr>
          <w:rFonts w:ascii="Arial" w:cs="Arial" w:eastAsia="Arial" w:hAnsi="Arial"/>
          <w:sz w:val="18"/>
          <w:szCs w:val="18"/>
          <w:i w:val="1"/>
          <w:iCs w:val="1"/>
          <w:u w:val="single" w:color="auto"/>
          <w:color w:val="auto"/>
        </w:rPr>
        <w:t>Corporate Multiplier Component of the 2021 Bonus Program</w:t>
      </w:r>
      <w:r>
        <w:rPr>
          <w:rFonts w:ascii="Arial" w:cs="Arial" w:eastAsia="Arial" w:hAnsi="Arial"/>
          <w:sz w:val="18"/>
          <w:szCs w:val="18"/>
          <w:color w:val="auto"/>
        </w:rPr>
        <w:t>. As structured, cash bonuses under the 2021 Bonus Program were only</w:t>
      </w:r>
      <w:r>
        <w:rPr>
          <w:rFonts w:ascii="Arial" w:cs="Arial" w:eastAsia="Arial" w:hAnsi="Arial"/>
          <w:sz w:val="18"/>
          <w:szCs w:val="18"/>
          <w:i w:val="1"/>
          <w:iCs w:val="1"/>
          <w:color w:val="auto"/>
        </w:rPr>
        <w:t xml:space="preserve"> </w:t>
      </w:r>
      <w:r>
        <w:rPr>
          <w:rFonts w:ascii="Arial" w:cs="Arial" w:eastAsia="Arial" w:hAnsi="Arial"/>
          <w:sz w:val="18"/>
          <w:szCs w:val="18"/>
          <w:color w:val="auto"/>
        </w:rPr>
        <w:t>payable if the minimum financial targets comprising the Corporate Multiplier (i.e., each of the revenue and EBIT targets) were met or exceeded (up to a maximum Corporate Multiplier attainment of 100%). The scoring of the financial targets comprising the Corporate Multiplier was based on the levels of achievement of the revenue growth and EBIT growth set forth in the table below, with straight line interpolation between the threshold and target levels. For 2021, the Company achieved revenue of $6.74 billion and EBIT of $1,478 million, resulting in a Corporate Multiplier of 100%.</w:t>
      </w:r>
    </w:p>
    <w:p>
      <w:pPr>
        <w:spacing w:after="0" w:line="226" w:lineRule="exact"/>
        <w:rPr>
          <w:sz w:val="20"/>
          <w:szCs w:val="20"/>
          <w:color w:val="auto"/>
        </w:rPr>
      </w:pPr>
    </w:p>
    <w:tbl>
      <w:tblPr>
        <w:tblLayout w:type="fixed"/>
        <w:tblInd w:w="600" w:type="dxa"/>
        <w:tblCellMar>
          <w:top w:w="0" w:type="dxa"/>
          <w:left w:w="0" w:type="dxa"/>
          <w:bottom w:w="0" w:type="dxa"/>
          <w:right w:w="0" w:type="dxa"/>
        </w:tblCellMar>
      </w:tblPr>
      <w:tr>
        <w:trPr>
          <w:trHeight w:val="240"/>
        </w:trPr>
        <w:tc>
          <w:tcPr>
            <w:tcW w:w="4880" w:type="dxa"/>
            <w:vAlign w:val="bottom"/>
            <w:shd w:val="clear" w:color="auto" w:fill="F75E14"/>
          </w:tcPr>
          <w:p>
            <w:pPr>
              <w:spacing w:after="0"/>
              <w:rPr>
                <w:sz w:val="20"/>
                <w:szCs w:val="20"/>
                <w:color w:val="auto"/>
              </w:rPr>
            </w:pPr>
          </w:p>
        </w:tc>
        <w:tc>
          <w:tcPr>
            <w:tcW w:w="2740" w:type="dxa"/>
            <w:vAlign w:val="bottom"/>
            <w:shd w:val="clear" w:color="auto" w:fill="F75E14"/>
          </w:tcPr>
          <w:p>
            <w:pPr>
              <w:jc w:val="center"/>
              <w:ind w:left="180"/>
              <w:spacing w:after="0"/>
              <w:rPr>
                <w:sz w:val="20"/>
                <w:szCs w:val="20"/>
                <w:color w:val="auto"/>
              </w:rPr>
            </w:pPr>
            <w:r>
              <w:rPr>
                <w:rFonts w:ascii="Arial" w:cs="Arial" w:eastAsia="Arial" w:hAnsi="Arial"/>
                <w:sz w:val="16"/>
                <w:szCs w:val="16"/>
                <w:b w:val="1"/>
                <w:bCs w:val="1"/>
                <w:color w:val="FFFFFF"/>
              </w:rPr>
              <w:t>0% Achievement</w:t>
            </w:r>
          </w:p>
        </w:tc>
        <w:tc>
          <w:tcPr>
            <w:tcW w:w="2420" w:type="dxa"/>
            <w:vAlign w:val="bottom"/>
            <w:shd w:val="clear" w:color="auto" w:fill="F75E14"/>
          </w:tcPr>
          <w:p>
            <w:pPr>
              <w:jc w:val="center"/>
              <w:ind w:left="180"/>
              <w:spacing w:after="0"/>
              <w:rPr>
                <w:sz w:val="20"/>
                <w:szCs w:val="20"/>
                <w:color w:val="auto"/>
              </w:rPr>
            </w:pPr>
            <w:r>
              <w:rPr>
                <w:rFonts w:ascii="Arial" w:cs="Arial" w:eastAsia="Arial" w:hAnsi="Arial"/>
                <w:sz w:val="16"/>
                <w:szCs w:val="16"/>
                <w:b w:val="1"/>
                <w:bCs w:val="1"/>
                <w:color w:val="FFFFFF"/>
                <w:w w:val="99"/>
              </w:rPr>
              <w:t>100% Achievement</w:t>
            </w:r>
          </w:p>
        </w:tc>
      </w:tr>
      <w:tr>
        <w:trPr>
          <w:trHeight w:val="241"/>
        </w:trPr>
        <w:tc>
          <w:tcPr>
            <w:tcW w:w="4880" w:type="dxa"/>
            <w:vAlign w:val="bottom"/>
            <w:shd w:val="clear" w:color="auto" w:fill="F75E14"/>
          </w:tcPr>
          <w:p>
            <w:pPr>
              <w:ind w:left="60"/>
              <w:spacing w:after="0"/>
              <w:rPr>
                <w:sz w:val="20"/>
                <w:szCs w:val="20"/>
                <w:color w:val="auto"/>
              </w:rPr>
            </w:pPr>
            <w:r>
              <w:rPr>
                <w:rFonts w:ascii="Arial" w:cs="Arial" w:eastAsia="Arial" w:hAnsi="Arial"/>
                <w:sz w:val="16"/>
                <w:szCs w:val="16"/>
                <w:b w:val="1"/>
                <w:bCs w:val="1"/>
                <w:color w:val="FFFFFF"/>
              </w:rPr>
              <w:t>Corporate Multiplier Component</w:t>
            </w:r>
          </w:p>
        </w:tc>
        <w:tc>
          <w:tcPr>
            <w:tcW w:w="2740" w:type="dxa"/>
            <w:vAlign w:val="bottom"/>
            <w:shd w:val="clear" w:color="auto" w:fill="F75E14"/>
          </w:tcPr>
          <w:p>
            <w:pPr>
              <w:jc w:val="center"/>
              <w:ind w:left="180"/>
              <w:spacing w:after="0"/>
              <w:rPr>
                <w:sz w:val="20"/>
                <w:szCs w:val="20"/>
                <w:color w:val="auto"/>
              </w:rPr>
            </w:pPr>
            <w:r>
              <w:rPr>
                <w:rFonts w:ascii="Arial" w:cs="Arial" w:eastAsia="Arial" w:hAnsi="Arial"/>
                <w:sz w:val="16"/>
                <w:szCs w:val="16"/>
                <w:b w:val="1"/>
                <w:bCs w:val="1"/>
                <w:color w:val="FFFFFF"/>
                <w:w w:val="99"/>
              </w:rPr>
              <w:t>(Threshold)</w:t>
            </w:r>
          </w:p>
        </w:tc>
        <w:tc>
          <w:tcPr>
            <w:tcW w:w="2420" w:type="dxa"/>
            <w:vAlign w:val="bottom"/>
            <w:shd w:val="clear" w:color="auto" w:fill="F75E14"/>
          </w:tcPr>
          <w:p>
            <w:pPr>
              <w:jc w:val="center"/>
              <w:ind w:left="160"/>
              <w:spacing w:after="0"/>
              <w:rPr>
                <w:sz w:val="20"/>
                <w:szCs w:val="20"/>
                <w:color w:val="auto"/>
              </w:rPr>
            </w:pPr>
            <w:r>
              <w:rPr>
                <w:rFonts w:ascii="Arial" w:cs="Arial" w:eastAsia="Arial" w:hAnsi="Arial"/>
                <w:sz w:val="16"/>
                <w:szCs w:val="16"/>
                <w:b w:val="1"/>
                <w:bCs w:val="1"/>
                <w:color w:val="FFFFFF"/>
                <w:w w:val="97"/>
              </w:rPr>
              <w:t>(Target)</w:t>
            </w:r>
          </w:p>
        </w:tc>
      </w:tr>
      <w:tr>
        <w:trPr>
          <w:trHeight w:val="281"/>
        </w:trPr>
        <w:tc>
          <w:tcPr>
            <w:tcW w:w="4880" w:type="dxa"/>
            <w:vAlign w:val="bottom"/>
            <w:shd w:val="clear" w:color="auto" w:fill="D8E8EF"/>
          </w:tcPr>
          <w:p>
            <w:pPr>
              <w:ind w:left="60"/>
              <w:spacing w:after="0"/>
              <w:rPr>
                <w:sz w:val="20"/>
                <w:szCs w:val="20"/>
                <w:color w:val="auto"/>
              </w:rPr>
            </w:pPr>
            <w:r>
              <w:rPr>
                <w:rFonts w:ascii="Arial" w:cs="Arial" w:eastAsia="Arial" w:hAnsi="Arial"/>
                <w:sz w:val="16"/>
                <w:szCs w:val="16"/>
                <w:color w:val="auto"/>
              </w:rPr>
              <w:t>Revenue</w:t>
            </w:r>
          </w:p>
        </w:tc>
        <w:tc>
          <w:tcPr>
            <w:tcW w:w="2740" w:type="dxa"/>
            <w:vAlign w:val="bottom"/>
            <w:shd w:val="clear" w:color="auto" w:fill="D8E8EF"/>
          </w:tcPr>
          <w:p>
            <w:pPr>
              <w:jc w:val="center"/>
              <w:ind w:left="180"/>
              <w:spacing w:after="0"/>
              <w:rPr>
                <w:sz w:val="20"/>
                <w:szCs w:val="20"/>
                <w:color w:val="auto"/>
              </w:rPr>
            </w:pPr>
            <w:r>
              <w:rPr>
                <w:rFonts w:ascii="Arial" w:cs="Arial" w:eastAsia="Arial" w:hAnsi="Arial"/>
                <w:sz w:val="16"/>
                <w:szCs w:val="16"/>
                <w:color w:val="auto"/>
                <w:w w:val="98"/>
              </w:rPr>
              <w:t>$5.25 billion (1)</w:t>
            </w:r>
          </w:p>
        </w:tc>
        <w:tc>
          <w:tcPr>
            <w:tcW w:w="2420" w:type="dxa"/>
            <w:vAlign w:val="bottom"/>
            <w:shd w:val="clear" w:color="auto" w:fill="D8E8EF"/>
          </w:tcPr>
          <w:p>
            <w:pPr>
              <w:jc w:val="center"/>
              <w:ind w:left="160"/>
              <w:spacing w:after="0"/>
              <w:rPr>
                <w:sz w:val="20"/>
                <w:szCs w:val="20"/>
                <w:color w:val="auto"/>
              </w:rPr>
            </w:pPr>
            <w:r>
              <w:rPr>
                <w:rFonts w:ascii="Arial" w:cs="Arial" w:eastAsia="Arial" w:hAnsi="Arial"/>
                <w:sz w:val="16"/>
                <w:szCs w:val="16"/>
                <w:color w:val="auto"/>
              </w:rPr>
              <w:t>$5.70 billion</w:t>
            </w:r>
          </w:p>
        </w:tc>
      </w:tr>
      <w:tr>
        <w:trPr>
          <w:trHeight w:val="264"/>
        </w:trPr>
        <w:tc>
          <w:tcPr>
            <w:tcW w:w="4880" w:type="dxa"/>
            <w:vAlign w:val="bottom"/>
          </w:tcPr>
          <w:p>
            <w:pPr>
              <w:ind w:left="60"/>
              <w:spacing w:after="0"/>
              <w:rPr>
                <w:sz w:val="20"/>
                <w:szCs w:val="20"/>
                <w:color w:val="auto"/>
              </w:rPr>
            </w:pPr>
            <w:r>
              <w:rPr>
                <w:rFonts w:ascii="Arial" w:cs="Arial" w:eastAsia="Arial" w:hAnsi="Arial"/>
                <w:sz w:val="16"/>
                <w:szCs w:val="16"/>
                <w:color w:val="auto"/>
              </w:rPr>
              <w:t>EBIT</w:t>
            </w:r>
          </w:p>
        </w:tc>
        <w:tc>
          <w:tcPr>
            <w:tcW w:w="2740" w:type="dxa"/>
            <w:vAlign w:val="bottom"/>
          </w:tcPr>
          <w:p>
            <w:pPr>
              <w:jc w:val="center"/>
              <w:ind w:left="180"/>
              <w:spacing w:after="0"/>
              <w:rPr>
                <w:sz w:val="20"/>
                <w:szCs w:val="20"/>
                <w:color w:val="auto"/>
              </w:rPr>
            </w:pPr>
            <w:r>
              <w:rPr>
                <w:rFonts w:ascii="Arial" w:cs="Arial" w:eastAsia="Arial" w:hAnsi="Arial"/>
                <w:sz w:val="16"/>
                <w:szCs w:val="16"/>
                <w:color w:val="auto"/>
                <w:w w:val="98"/>
              </w:rPr>
              <w:t>$536 million (2)</w:t>
            </w:r>
          </w:p>
        </w:tc>
        <w:tc>
          <w:tcPr>
            <w:tcW w:w="2420" w:type="dxa"/>
            <w:vAlign w:val="bottom"/>
          </w:tcPr>
          <w:p>
            <w:pPr>
              <w:jc w:val="center"/>
              <w:ind w:left="160"/>
              <w:spacing w:after="0"/>
              <w:rPr>
                <w:sz w:val="20"/>
                <w:szCs w:val="20"/>
                <w:color w:val="auto"/>
              </w:rPr>
            </w:pPr>
            <w:r>
              <w:rPr>
                <w:rFonts w:ascii="Arial" w:cs="Arial" w:eastAsia="Arial" w:hAnsi="Arial"/>
                <w:sz w:val="16"/>
                <w:szCs w:val="16"/>
                <w:color w:val="auto"/>
              </w:rPr>
              <w:t>$773 million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386715</wp:posOffset>
            </wp:positionH>
            <wp:positionV relativeFrom="paragraph">
              <wp:posOffset>10795</wp:posOffset>
            </wp:positionV>
            <wp:extent cx="636905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369050" cy="8255"/>
                    </a:xfrm>
                    <a:prstGeom prst="rect">
                      <a:avLst/>
                    </a:prstGeom>
                    <a:noFill/>
                  </pic:spPr>
                </pic:pic>
              </a:graphicData>
            </a:graphic>
          </wp:anchor>
        </w:drawing>
      </w:r>
    </w:p>
    <w:p>
      <w:pPr>
        <w:spacing w:after="0" w:line="1" w:lineRule="exact"/>
        <w:rPr>
          <w:sz w:val="20"/>
          <w:szCs w:val="20"/>
          <w:color w:val="auto"/>
        </w:rPr>
      </w:pPr>
    </w:p>
    <w:p>
      <w:pPr>
        <w:ind w:left="1020" w:right="440" w:hanging="425"/>
        <w:spacing w:after="0" w:line="249" w:lineRule="auto"/>
        <w:tabs>
          <w:tab w:leader="none" w:pos="1020" w:val="left"/>
        </w:tabs>
        <w:numPr>
          <w:ilvl w:val="0"/>
          <w:numId w:val="63"/>
        </w:numPr>
        <w:rPr>
          <w:rFonts w:ascii="Arial" w:cs="Arial" w:eastAsia="Arial" w:hAnsi="Arial"/>
          <w:sz w:val="14"/>
          <w:szCs w:val="14"/>
          <w:color w:val="auto"/>
        </w:rPr>
      </w:pPr>
      <w:r>
        <w:rPr>
          <w:rFonts w:ascii="Arial" w:cs="Arial" w:eastAsia="Arial" w:hAnsi="Arial"/>
          <w:sz w:val="14"/>
          <w:szCs w:val="14"/>
          <w:color w:val="auto"/>
        </w:rPr>
        <w:t>The target goal represented an 8.6% increase relative to 2020 revenue. Revenue was as reported in the Company’s financial statements included in the earnings release reporting earnings for the 2021 fiscal year.</w:t>
      </w:r>
    </w:p>
    <w:p>
      <w:pPr>
        <w:ind w:left="1020" w:right="440" w:hanging="425"/>
        <w:spacing w:after="0" w:line="260" w:lineRule="auto"/>
        <w:tabs>
          <w:tab w:leader="none" w:pos="1020" w:val="left"/>
        </w:tabs>
        <w:numPr>
          <w:ilvl w:val="0"/>
          <w:numId w:val="63"/>
        </w:numPr>
        <w:rPr>
          <w:rFonts w:ascii="Arial" w:cs="Arial" w:eastAsia="Arial" w:hAnsi="Arial"/>
          <w:sz w:val="14"/>
          <w:szCs w:val="14"/>
          <w:color w:val="auto"/>
        </w:rPr>
      </w:pPr>
      <w:r>
        <w:rPr>
          <w:rFonts w:ascii="Arial" w:cs="Arial" w:eastAsia="Arial" w:hAnsi="Arial"/>
          <w:sz w:val="14"/>
          <w:szCs w:val="14"/>
          <w:color w:val="auto"/>
        </w:rPr>
        <w:t>The target goal represented a 44.2% increase relative to 2020 EBIT. EBIT was as reported in the Company’s financial statements included in the earnings release reporting earnings for the 2021 fiscal year.</w:t>
      </w:r>
    </w:p>
    <w:p>
      <w:pPr>
        <w:spacing w:after="0" w:line="163" w:lineRule="exact"/>
        <w:rPr>
          <w:sz w:val="20"/>
          <w:szCs w:val="20"/>
          <w:color w:val="auto"/>
        </w:rPr>
      </w:pPr>
    </w:p>
    <w:p>
      <w:pPr>
        <w:jc w:val="both"/>
        <w:ind w:left="160"/>
        <w:spacing w:after="0" w:line="243" w:lineRule="auto"/>
        <w:rPr>
          <w:sz w:val="20"/>
          <w:szCs w:val="20"/>
          <w:color w:val="auto"/>
        </w:rPr>
      </w:pPr>
      <w:r>
        <w:rPr>
          <w:rFonts w:ascii="Arial" w:cs="Arial" w:eastAsia="Arial" w:hAnsi="Arial"/>
          <w:sz w:val="18"/>
          <w:szCs w:val="18"/>
          <w:i w:val="1"/>
          <w:iCs w:val="1"/>
          <w:u w:val="single" w:color="auto"/>
          <w:color w:val="auto"/>
        </w:rPr>
        <w:t>Individual Goal Achievement Percentage Component of 2021 Bonus Program</w:t>
      </w:r>
      <w:r>
        <w:rPr>
          <w:rFonts w:ascii="Arial" w:cs="Arial" w:eastAsia="Arial" w:hAnsi="Arial"/>
          <w:sz w:val="18"/>
          <w:szCs w:val="18"/>
          <w:color w:val="auto"/>
        </w:rPr>
        <w:t>. In addition to the Corporate Multiplier, each NEO received</w:t>
      </w:r>
      <w:r>
        <w:rPr>
          <w:rFonts w:ascii="Arial" w:cs="Arial" w:eastAsia="Arial" w:hAnsi="Arial"/>
          <w:sz w:val="18"/>
          <w:szCs w:val="18"/>
          <w:i w:val="1"/>
          <w:iCs w:val="1"/>
          <w:color w:val="auto"/>
        </w:rPr>
        <w:t xml:space="preserve"> </w:t>
      </w:r>
      <w:r>
        <w:rPr>
          <w:rFonts w:ascii="Arial" w:cs="Arial" w:eastAsia="Arial" w:hAnsi="Arial"/>
          <w:sz w:val="18"/>
          <w:szCs w:val="18"/>
          <w:color w:val="auto"/>
        </w:rPr>
        <w:t>a score based on the level of achievement of each Individual Financial Component and each Individual Strategic Component, as described below. The aggregate scores, including all Individual Financial Components and all Individual Strategic Components, were then translated to the Individual Goal Achievement Percentage that the HCC Committee utilized in calculating the total bonus payout.</w:t>
      </w:r>
    </w:p>
    <w:p>
      <w:pPr>
        <w:spacing w:after="0" w:line="121" w:lineRule="exact"/>
        <w:rPr>
          <w:sz w:val="20"/>
          <w:szCs w:val="20"/>
          <w:color w:val="auto"/>
        </w:rPr>
      </w:pPr>
    </w:p>
    <w:p>
      <w:pPr>
        <w:ind w:left="160"/>
        <w:spacing w:after="0"/>
        <w:tabs>
          <w:tab w:leader="none" w:pos="500" w:val="left"/>
        </w:tabs>
        <w:rPr>
          <w:sz w:val="20"/>
          <w:szCs w:val="20"/>
          <w:color w:val="auto"/>
        </w:rPr>
      </w:pPr>
      <w:r>
        <w:rPr>
          <w:rFonts w:ascii="Arial" w:cs="Arial" w:eastAsia="Arial" w:hAnsi="Arial"/>
          <w:sz w:val="14"/>
          <w:szCs w:val="14"/>
          <w:color w:val="F75E14"/>
        </w:rPr>
        <w:t>38</w:t>
        <w:tab/>
        <w:t>onsemi 2022 Proxy Statement</w:t>
      </w:r>
    </w:p>
    <w:p>
      <w:pPr>
        <w:sectPr>
          <w:pgSz w:w="11900" w:h="16838" w:orient="portrait"/>
          <w:cols w:equalWidth="0" w:num="1">
            <w:col w:w="11080"/>
          </w:cols>
          <w:pgMar w:left="320" w:top="454" w:right="499" w:bottom="1440" w:gutter="0" w:footer="0" w:header="0"/>
        </w:sectPr>
      </w:pPr>
    </w:p>
    <w:bookmarkStart w:id="42" w:name="page43"/>
    <w:bookmarkEnd w:id="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2" w:lineRule="exact"/>
        <w:rPr>
          <w:sz w:val="20"/>
          <w:szCs w:val="20"/>
          <w:color w:val="auto"/>
        </w:rPr>
      </w:pPr>
    </w:p>
    <w:p>
      <w:pPr>
        <w:ind w:left="7960"/>
        <w:spacing w:after="0"/>
        <w:rPr>
          <w:sz w:val="20"/>
          <w:szCs w:val="20"/>
          <w:color w:val="auto"/>
        </w:rPr>
      </w:pPr>
      <w:r>
        <w:rPr>
          <w:rFonts w:ascii="Arial" w:cs="Arial" w:eastAsia="Arial" w:hAnsi="Arial"/>
          <w:sz w:val="17"/>
          <w:szCs w:val="17"/>
          <w:color w:val="F75E14"/>
        </w:rPr>
        <w:t>Compensation Discussion and Analysis</w:t>
      </w:r>
    </w:p>
    <w:p>
      <w:pPr>
        <w:spacing w:after="0" w:line="152" w:lineRule="exact"/>
        <w:rPr>
          <w:sz w:val="20"/>
          <w:szCs w:val="20"/>
          <w:color w:val="auto"/>
        </w:rPr>
      </w:pPr>
    </w:p>
    <w:p>
      <w:pPr>
        <w:jc w:val="both"/>
        <w:ind w:left="160"/>
        <w:spacing w:after="0" w:line="236" w:lineRule="auto"/>
        <w:rPr>
          <w:sz w:val="20"/>
          <w:szCs w:val="20"/>
          <w:color w:val="auto"/>
        </w:rPr>
      </w:pPr>
      <w:r>
        <w:rPr>
          <w:rFonts w:ascii="Arial" w:cs="Arial" w:eastAsia="Arial" w:hAnsi="Arial"/>
          <w:sz w:val="18"/>
          <w:szCs w:val="18"/>
          <w:color w:val="auto"/>
        </w:rPr>
        <w:t>The scoring of the Individual Financial Components was based on the level of achievement of revenue, EBIT and non-GAAP gross margin described in the table below. Once above-threshold levels were achieved, results of the Individual Financial Components could result in attainment of up to 200% for results at or above the stretch levels, with straight-line interpolation between the threshold and target levels and between the target and stretch levels. For each of Messrs. El-Khoury, Trent and Cave, each of the threshold, target and stretch financial metrics were determined based on Company-wide revenue, EBIT and non-GAAP gross margin growth. For each of Messrs. Hopkin, Keeton and Jatou, each of the threshold, target and stretch financial metrics were determined based on revenue, EBIT and non-GAAP gross margin growth within ASG, PSG and ISG, respectively. For 2021, the Company and each of ASG, PSG and ISG attained the financial performance for 2021 set forth in the table below, resulting in a 200% achievement for the Individual Financial Components for each of Messrs. El-Khoury, Trent, Hopkin, Keeton and Cave and a 194.8% achievement for the Individual Financial Components for Mr. Jatou.</w:t>
      </w:r>
    </w:p>
    <w:p>
      <w:pPr>
        <w:spacing w:after="0" w:line="230" w:lineRule="exact"/>
        <w:rPr>
          <w:sz w:val="20"/>
          <w:szCs w:val="20"/>
          <w:color w:val="auto"/>
        </w:rPr>
      </w:pPr>
    </w:p>
    <w:tbl>
      <w:tblPr>
        <w:tblLayout w:type="fixed"/>
        <w:tblInd w:w="160" w:type="dxa"/>
        <w:tblCellMar>
          <w:top w:w="0" w:type="dxa"/>
          <w:left w:w="0" w:type="dxa"/>
          <w:bottom w:w="0" w:type="dxa"/>
          <w:right w:w="0" w:type="dxa"/>
        </w:tblCellMar>
      </w:tblPr>
      <w:tr>
        <w:trPr>
          <w:trHeight w:val="240"/>
        </w:trPr>
        <w:tc>
          <w:tcPr>
            <w:tcW w:w="2840" w:type="dxa"/>
            <w:vAlign w:val="bottom"/>
            <w:vMerge w:val="restart"/>
            <w:shd w:val="clear" w:color="auto" w:fill="F75E14"/>
          </w:tcPr>
          <w:p>
            <w:pPr>
              <w:ind w:left="100"/>
              <w:spacing w:after="0"/>
              <w:rPr>
                <w:sz w:val="20"/>
                <w:szCs w:val="20"/>
                <w:color w:val="auto"/>
              </w:rPr>
            </w:pPr>
            <w:r>
              <w:rPr>
                <w:rFonts w:ascii="Arial" w:cs="Arial" w:eastAsia="Arial" w:hAnsi="Arial"/>
                <w:sz w:val="16"/>
                <w:szCs w:val="16"/>
                <w:b w:val="1"/>
                <w:bCs w:val="1"/>
                <w:color w:val="FFFFFF"/>
              </w:rPr>
              <w:t>Target</w:t>
            </w:r>
          </w:p>
        </w:tc>
        <w:tc>
          <w:tcPr>
            <w:tcW w:w="120" w:type="dxa"/>
            <w:vAlign w:val="bottom"/>
            <w:shd w:val="clear" w:color="auto" w:fill="F75E14"/>
          </w:tcPr>
          <w:p>
            <w:pPr>
              <w:spacing w:after="0"/>
              <w:rPr>
                <w:sz w:val="20"/>
                <w:szCs w:val="20"/>
                <w:color w:val="auto"/>
              </w:rPr>
            </w:pPr>
          </w:p>
        </w:tc>
        <w:tc>
          <w:tcPr>
            <w:tcW w:w="1800" w:type="dxa"/>
            <w:vAlign w:val="bottom"/>
            <w:gridSpan w:val="3"/>
            <w:shd w:val="clear" w:color="auto" w:fill="F75E14"/>
          </w:tcPr>
          <w:p>
            <w:pPr>
              <w:jc w:val="center"/>
              <w:spacing w:after="0"/>
              <w:rPr>
                <w:sz w:val="20"/>
                <w:szCs w:val="20"/>
                <w:color w:val="auto"/>
              </w:rPr>
            </w:pPr>
            <w:r>
              <w:rPr>
                <w:rFonts w:ascii="Arial" w:cs="Arial" w:eastAsia="Arial" w:hAnsi="Arial"/>
                <w:sz w:val="16"/>
                <w:szCs w:val="16"/>
                <w:b w:val="1"/>
                <w:bCs w:val="1"/>
                <w:color w:val="FFFFFF"/>
                <w:w w:val="99"/>
              </w:rPr>
              <w:t>0% Achievement</w:t>
            </w:r>
          </w:p>
        </w:tc>
        <w:tc>
          <w:tcPr>
            <w:tcW w:w="160" w:type="dxa"/>
            <w:vAlign w:val="bottom"/>
            <w:shd w:val="clear" w:color="auto" w:fill="F75E14"/>
          </w:tcPr>
          <w:p>
            <w:pPr>
              <w:spacing w:after="0"/>
              <w:rPr>
                <w:sz w:val="20"/>
                <w:szCs w:val="20"/>
                <w:color w:val="auto"/>
              </w:rPr>
            </w:pPr>
          </w:p>
        </w:tc>
        <w:tc>
          <w:tcPr>
            <w:tcW w:w="1980" w:type="dxa"/>
            <w:vAlign w:val="bottom"/>
            <w:gridSpan w:val="3"/>
            <w:shd w:val="clear" w:color="auto" w:fill="F75E14"/>
          </w:tcPr>
          <w:p>
            <w:pPr>
              <w:jc w:val="center"/>
              <w:ind w:right="40"/>
              <w:spacing w:after="0"/>
              <w:rPr>
                <w:sz w:val="20"/>
                <w:szCs w:val="20"/>
                <w:color w:val="auto"/>
              </w:rPr>
            </w:pPr>
            <w:r>
              <w:rPr>
                <w:rFonts w:ascii="Arial" w:cs="Arial" w:eastAsia="Arial" w:hAnsi="Arial"/>
                <w:sz w:val="16"/>
                <w:szCs w:val="16"/>
                <w:b w:val="1"/>
                <w:bCs w:val="1"/>
                <w:color w:val="FFFFFF"/>
              </w:rPr>
              <w:t>100% Achievement</w:t>
            </w:r>
          </w:p>
        </w:tc>
        <w:tc>
          <w:tcPr>
            <w:tcW w:w="2060" w:type="dxa"/>
            <w:vAlign w:val="bottom"/>
            <w:gridSpan w:val="3"/>
            <w:shd w:val="clear" w:color="auto" w:fill="F75E14"/>
          </w:tcPr>
          <w:p>
            <w:pPr>
              <w:jc w:val="center"/>
              <w:ind w:right="40"/>
              <w:spacing w:after="0"/>
              <w:rPr>
                <w:sz w:val="20"/>
                <w:szCs w:val="20"/>
                <w:color w:val="auto"/>
              </w:rPr>
            </w:pPr>
            <w:r>
              <w:rPr>
                <w:rFonts w:ascii="Arial" w:cs="Arial" w:eastAsia="Arial" w:hAnsi="Arial"/>
                <w:sz w:val="16"/>
                <w:szCs w:val="16"/>
                <w:b w:val="1"/>
                <w:bCs w:val="1"/>
                <w:color w:val="FFFFFF"/>
              </w:rPr>
              <w:t>200% Achievement</w:t>
            </w:r>
          </w:p>
        </w:tc>
        <w:tc>
          <w:tcPr>
            <w:tcW w:w="320" w:type="dxa"/>
            <w:vAlign w:val="bottom"/>
            <w:shd w:val="clear" w:color="auto" w:fill="F75E14"/>
          </w:tcPr>
          <w:p>
            <w:pPr>
              <w:spacing w:after="0"/>
              <w:rPr>
                <w:sz w:val="20"/>
                <w:szCs w:val="20"/>
                <w:color w:val="auto"/>
              </w:rPr>
            </w:pPr>
          </w:p>
        </w:tc>
        <w:tc>
          <w:tcPr>
            <w:tcW w:w="80" w:type="dxa"/>
            <w:vAlign w:val="bottom"/>
            <w:shd w:val="clear" w:color="auto" w:fill="F75E14"/>
          </w:tcPr>
          <w:p>
            <w:pPr>
              <w:spacing w:after="0"/>
              <w:rPr>
                <w:sz w:val="20"/>
                <w:szCs w:val="20"/>
                <w:color w:val="auto"/>
              </w:rPr>
            </w:pPr>
          </w:p>
        </w:tc>
        <w:tc>
          <w:tcPr>
            <w:tcW w:w="340" w:type="dxa"/>
            <w:vAlign w:val="bottom"/>
            <w:shd w:val="clear" w:color="auto" w:fill="F75E14"/>
          </w:tcPr>
          <w:p>
            <w:pPr>
              <w:spacing w:after="0"/>
              <w:rPr>
                <w:sz w:val="20"/>
                <w:szCs w:val="20"/>
                <w:color w:val="auto"/>
              </w:rPr>
            </w:pPr>
          </w:p>
        </w:tc>
        <w:tc>
          <w:tcPr>
            <w:tcW w:w="1220" w:type="dxa"/>
            <w:vAlign w:val="bottom"/>
            <w:shd w:val="clear" w:color="auto" w:fill="F75E14"/>
          </w:tcPr>
          <w:p>
            <w:pPr>
              <w:spacing w:after="0"/>
              <w:rPr>
                <w:sz w:val="20"/>
                <w:szCs w:val="20"/>
                <w:color w:val="auto"/>
              </w:rPr>
            </w:pPr>
          </w:p>
        </w:tc>
        <w:tc>
          <w:tcPr>
            <w:tcW w:w="0" w:type="dxa"/>
            <w:vAlign w:val="bottom"/>
          </w:tcPr>
          <w:p>
            <w:pPr>
              <w:spacing w:after="0"/>
              <w:rPr>
                <w:sz w:val="1"/>
                <w:szCs w:val="1"/>
                <w:color w:val="auto"/>
              </w:rPr>
            </w:pPr>
          </w:p>
        </w:tc>
      </w:tr>
      <w:tr>
        <w:trPr>
          <w:trHeight w:val="128"/>
        </w:trPr>
        <w:tc>
          <w:tcPr>
            <w:tcW w:w="2840" w:type="dxa"/>
            <w:vAlign w:val="bottom"/>
            <w:vMerge w:val="continue"/>
            <w:shd w:val="clear" w:color="auto" w:fill="F75E14"/>
          </w:tcPr>
          <w:p>
            <w:pPr>
              <w:spacing w:after="0"/>
              <w:rPr>
                <w:sz w:val="11"/>
                <w:szCs w:val="11"/>
                <w:color w:val="auto"/>
              </w:rPr>
            </w:pPr>
          </w:p>
        </w:tc>
        <w:tc>
          <w:tcPr>
            <w:tcW w:w="120" w:type="dxa"/>
            <w:vAlign w:val="bottom"/>
            <w:shd w:val="clear" w:color="auto" w:fill="F75E14"/>
          </w:tcPr>
          <w:p>
            <w:pPr>
              <w:spacing w:after="0"/>
              <w:rPr>
                <w:sz w:val="11"/>
                <w:szCs w:val="11"/>
                <w:color w:val="auto"/>
              </w:rPr>
            </w:pPr>
          </w:p>
        </w:tc>
        <w:tc>
          <w:tcPr>
            <w:tcW w:w="380" w:type="dxa"/>
            <w:vAlign w:val="bottom"/>
            <w:tcBorders>
              <w:right w:val="single" w:sz="8" w:color="F75E14"/>
            </w:tcBorders>
            <w:shd w:val="clear" w:color="auto" w:fill="F75E14"/>
          </w:tcPr>
          <w:p>
            <w:pPr>
              <w:spacing w:after="0"/>
              <w:rPr>
                <w:sz w:val="11"/>
                <w:szCs w:val="11"/>
                <w:color w:val="auto"/>
              </w:rPr>
            </w:pPr>
          </w:p>
        </w:tc>
        <w:tc>
          <w:tcPr>
            <w:tcW w:w="1420" w:type="dxa"/>
            <w:vAlign w:val="bottom"/>
            <w:gridSpan w:val="2"/>
            <w:vMerge w:val="restart"/>
            <w:shd w:val="clear" w:color="auto" w:fill="F75E14"/>
          </w:tcPr>
          <w:p>
            <w:pPr>
              <w:jc w:val="center"/>
              <w:ind w:right="260"/>
              <w:spacing w:after="0"/>
              <w:rPr>
                <w:sz w:val="20"/>
                <w:szCs w:val="20"/>
                <w:color w:val="auto"/>
              </w:rPr>
            </w:pPr>
            <w:r>
              <w:rPr>
                <w:rFonts w:ascii="Arial" w:cs="Arial" w:eastAsia="Arial" w:hAnsi="Arial"/>
                <w:sz w:val="16"/>
                <w:szCs w:val="16"/>
                <w:b w:val="1"/>
                <w:bCs w:val="1"/>
                <w:color w:val="FFFFFF"/>
                <w:w w:val="99"/>
              </w:rPr>
              <w:t>(Threshold)</w:t>
            </w:r>
          </w:p>
        </w:tc>
        <w:tc>
          <w:tcPr>
            <w:tcW w:w="160" w:type="dxa"/>
            <w:vAlign w:val="bottom"/>
            <w:shd w:val="clear" w:color="auto" w:fill="F75E14"/>
          </w:tcPr>
          <w:p>
            <w:pPr>
              <w:spacing w:after="0"/>
              <w:rPr>
                <w:sz w:val="11"/>
                <w:szCs w:val="11"/>
                <w:color w:val="auto"/>
              </w:rPr>
            </w:pPr>
          </w:p>
        </w:tc>
        <w:tc>
          <w:tcPr>
            <w:tcW w:w="400" w:type="dxa"/>
            <w:vAlign w:val="bottom"/>
            <w:tcBorders>
              <w:right w:val="single" w:sz="8" w:color="F75E14"/>
            </w:tcBorders>
            <w:shd w:val="clear" w:color="auto" w:fill="F75E14"/>
          </w:tcPr>
          <w:p>
            <w:pPr>
              <w:spacing w:after="0"/>
              <w:rPr>
                <w:sz w:val="11"/>
                <w:szCs w:val="11"/>
                <w:color w:val="auto"/>
              </w:rPr>
            </w:pPr>
          </w:p>
        </w:tc>
        <w:tc>
          <w:tcPr>
            <w:tcW w:w="1580" w:type="dxa"/>
            <w:vAlign w:val="bottom"/>
            <w:gridSpan w:val="2"/>
            <w:vMerge w:val="restart"/>
            <w:shd w:val="clear" w:color="auto" w:fill="F75E14"/>
          </w:tcPr>
          <w:p>
            <w:pPr>
              <w:jc w:val="center"/>
              <w:ind w:right="440"/>
              <w:spacing w:after="0"/>
              <w:rPr>
                <w:sz w:val="20"/>
                <w:szCs w:val="20"/>
                <w:color w:val="auto"/>
              </w:rPr>
            </w:pPr>
            <w:r>
              <w:rPr>
                <w:rFonts w:ascii="Arial" w:cs="Arial" w:eastAsia="Arial" w:hAnsi="Arial"/>
                <w:sz w:val="16"/>
                <w:szCs w:val="16"/>
                <w:b w:val="1"/>
                <w:bCs w:val="1"/>
                <w:color w:val="FFFFFF"/>
                <w:w w:val="97"/>
              </w:rPr>
              <w:t>(Target)</w:t>
            </w:r>
          </w:p>
        </w:tc>
        <w:tc>
          <w:tcPr>
            <w:tcW w:w="380" w:type="dxa"/>
            <w:vAlign w:val="bottom"/>
            <w:tcBorders>
              <w:right w:val="single" w:sz="8" w:color="F75E14"/>
            </w:tcBorders>
            <w:shd w:val="clear" w:color="auto" w:fill="F75E14"/>
          </w:tcPr>
          <w:p>
            <w:pPr>
              <w:spacing w:after="0"/>
              <w:rPr>
                <w:sz w:val="11"/>
                <w:szCs w:val="11"/>
                <w:color w:val="auto"/>
              </w:rPr>
            </w:pPr>
          </w:p>
        </w:tc>
        <w:tc>
          <w:tcPr>
            <w:tcW w:w="1680" w:type="dxa"/>
            <w:vAlign w:val="bottom"/>
            <w:gridSpan w:val="2"/>
            <w:vMerge w:val="restart"/>
            <w:shd w:val="clear" w:color="auto" w:fill="F75E14"/>
          </w:tcPr>
          <w:p>
            <w:pPr>
              <w:jc w:val="center"/>
              <w:ind w:right="420"/>
              <w:spacing w:after="0"/>
              <w:rPr>
                <w:sz w:val="20"/>
                <w:szCs w:val="20"/>
                <w:color w:val="auto"/>
              </w:rPr>
            </w:pPr>
            <w:r>
              <w:rPr>
                <w:rFonts w:ascii="Arial" w:cs="Arial" w:eastAsia="Arial" w:hAnsi="Arial"/>
                <w:sz w:val="16"/>
                <w:szCs w:val="16"/>
                <w:b w:val="1"/>
                <w:bCs w:val="1"/>
                <w:color w:val="FFFFFF"/>
              </w:rPr>
              <w:t>(Stretch)</w:t>
            </w:r>
          </w:p>
        </w:tc>
        <w:tc>
          <w:tcPr>
            <w:tcW w:w="1960" w:type="dxa"/>
            <w:vAlign w:val="bottom"/>
            <w:gridSpan w:val="4"/>
            <w:vMerge w:val="restart"/>
            <w:shd w:val="clear" w:color="auto" w:fill="F75E14"/>
          </w:tcPr>
          <w:p>
            <w:pPr>
              <w:ind w:left="220"/>
              <w:spacing w:after="0"/>
              <w:rPr>
                <w:sz w:val="20"/>
                <w:szCs w:val="20"/>
                <w:color w:val="auto"/>
              </w:rPr>
            </w:pPr>
            <w:r>
              <w:rPr>
                <w:rFonts w:ascii="Arial" w:cs="Arial" w:eastAsia="Arial" w:hAnsi="Arial"/>
                <w:sz w:val="16"/>
                <w:szCs w:val="16"/>
                <w:b w:val="1"/>
                <w:bCs w:val="1"/>
                <w:color w:val="FFFFFF"/>
              </w:rPr>
              <w:t>Actual Achievement</w:t>
            </w:r>
          </w:p>
        </w:tc>
        <w:tc>
          <w:tcPr>
            <w:tcW w:w="0" w:type="dxa"/>
            <w:vAlign w:val="bottom"/>
          </w:tcPr>
          <w:p>
            <w:pPr>
              <w:spacing w:after="0"/>
              <w:rPr>
                <w:sz w:val="1"/>
                <w:szCs w:val="1"/>
                <w:color w:val="auto"/>
              </w:rPr>
            </w:pPr>
          </w:p>
        </w:tc>
      </w:tr>
      <w:tr>
        <w:trPr>
          <w:trHeight w:val="100"/>
        </w:trPr>
        <w:tc>
          <w:tcPr>
            <w:tcW w:w="2840" w:type="dxa"/>
            <w:vAlign w:val="bottom"/>
            <w:shd w:val="clear" w:color="auto" w:fill="F75E14"/>
          </w:tcPr>
          <w:p>
            <w:pPr>
              <w:spacing w:after="0"/>
              <w:rPr>
                <w:sz w:val="8"/>
                <w:szCs w:val="8"/>
                <w:color w:val="auto"/>
              </w:rPr>
            </w:pPr>
          </w:p>
        </w:tc>
        <w:tc>
          <w:tcPr>
            <w:tcW w:w="120" w:type="dxa"/>
            <w:vAlign w:val="bottom"/>
            <w:shd w:val="clear" w:color="auto" w:fill="F75E14"/>
          </w:tcPr>
          <w:p>
            <w:pPr>
              <w:spacing w:after="0"/>
              <w:rPr>
                <w:sz w:val="8"/>
                <w:szCs w:val="8"/>
                <w:color w:val="auto"/>
              </w:rPr>
            </w:pPr>
          </w:p>
        </w:tc>
        <w:tc>
          <w:tcPr>
            <w:tcW w:w="380" w:type="dxa"/>
            <w:vAlign w:val="bottom"/>
            <w:tcBorders>
              <w:right w:val="single" w:sz="8" w:color="F75E14"/>
            </w:tcBorders>
            <w:shd w:val="clear" w:color="auto" w:fill="F75E14"/>
          </w:tcPr>
          <w:p>
            <w:pPr>
              <w:spacing w:after="0"/>
              <w:rPr>
                <w:sz w:val="8"/>
                <w:szCs w:val="8"/>
                <w:color w:val="auto"/>
              </w:rPr>
            </w:pPr>
          </w:p>
        </w:tc>
        <w:tc>
          <w:tcPr>
            <w:tcW w:w="1420" w:type="dxa"/>
            <w:vAlign w:val="bottom"/>
            <w:gridSpan w:val="2"/>
            <w:vMerge w:val="continue"/>
            <w:shd w:val="clear" w:color="auto" w:fill="F75E14"/>
          </w:tcPr>
          <w:p>
            <w:pPr>
              <w:spacing w:after="0"/>
              <w:rPr>
                <w:sz w:val="8"/>
                <w:szCs w:val="8"/>
                <w:color w:val="auto"/>
              </w:rPr>
            </w:pPr>
          </w:p>
        </w:tc>
        <w:tc>
          <w:tcPr>
            <w:tcW w:w="160" w:type="dxa"/>
            <w:vAlign w:val="bottom"/>
            <w:shd w:val="clear" w:color="auto" w:fill="F75E14"/>
          </w:tcPr>
          <w:p>
            <w:pPr>
              <w:spacing w:after="0"/>
              <w:rPr>
                <w:sz w:val="8"/>
                <w:szCs w:val="8"/>
                <w:color w:val="auto"/>
              </w:rPr>
            </w:pPr>
          </w:p>
        </w:tc>
        <w:tc>
          <w:tcPr>
            <w:tcW w:w="400" w:type="dxa"/>
            <w:vAlign w:val="bottom"/>
            <w:tcBorders>
              <w:right w:val="single" w:sz="8" w:color="F75E14"/>
            </w:tcBorders>
            <w:shd w:val="clear" w:color="auto" w:fill="F75E14"/>
          </w:tcPr>
          <w:p>
            <w:pPr>
              <w:spacing w:after="0"/>
              <w:rPr>
                <w:sz w:val="8"/>
                <w:szCs w:val="8"/>
                <w:color w:val="auto"/>
              </w:rPr>
            </w:pPr>
          </w:p>
        </w:tc>
        <w:tc>
          <w:tcPr>
            <w:tcW w:w="1580" w:type="dxa"/>
            <w:vAlign w:val="bottom"/>
            <w:gridSpan w:val="2"/>
            <w:vMerge w:val="continue"/>
            <w:shd w:val="clear" w:color="auto" w:fill="F75E14"/>
          </w:tcPr>
          <w:p>
            <w:pPr>
              <w:spacing w:after="0"/>
              <w:rPr>
                <w:sz w:val="8"/>
                <w:szCs w:val="8"/>
                <w:color w:val="auto"/>
              </w:rPr>
            </w:pPr>
          </w:p>
        </w:tc>
        <w:tc>
          <w:tcPr>
            <w:tcW w:w="380" w:type="dxa"/>
            <w:vAlign w:val="bottom"/>
            <w:tcBorders>
              <w:right w:val="single" w:sz="8" w:color="F75E14"/>
            </w:tcBorders>
            <w:shd w:val="clear" w:color="auto" w:fill="F75E14"/>
          </w:tcPr>
          <w:p>
            <w:pPr>
              <w:spacing w:after="0"/>
              <w:rPr>
                <w:sz w:val="8"/>
                <w:szCs w:val="8"/>
                <w:color w:val="auto"/>
              </w:rPr>
            </w:pPr>
          </w:p>
        </w:tc>
        <w:tc>
          <w:tcPr>
            <w:tcW w:w="1680" w:type="dxa"/>
            <w:vAlign w:val="bottom"/>
            <w:gridSpan w:val="2"/>
            <w:vMerge w:val="continue"/>
            <w:shd w:val="clear" w:color="auto" w:fill="F75E14"/>
          </w:tcPr>
          <w:p>
            <w:pPr>
              <w:spacing w:after="0"/>
              <w:rPr>
                <w:sz w:val="8"/>
                <w:szCs w:val="8"/>
                <w:color w:val="auto"/>
              </w:rPr>
            </w:pPr>
          </w:p>
        </w:tc>
        <w:tc>
          <w:tcPr>
            <w:tcW w:w="1960" w:type="dxa"/>
            <w:vAlign w:val="bottom"/>
            <w:gridSpan w:val="4"/>
            <w:vMerge w:val="continue"/>
            <w:shd w:val="clear" w:color="auto" w:fill="F75E14"/>
          </w:tcPr>
          <w:p>
            <w:pPr>
              <w:spacing w:after="0"/>
              <w:rPr>
                <w:sz w:val="8"/>
                <w:szCs w:val="8"/>
                <w:color w:val="auto"/>
              </w:rPr>
            </w:pPr>
          </w:p>
        </w:tc>
        <w:tc>
          <w:tcPr>
            <w:tcW w:w="0" w:type="dxa"/>
            <w:vAlign w:val="bottom"/>
          </w:tcPr>
          <w:p>
            <w:pPr>
              <w:spacing w:after="0"/>
              <w:rPr>
                <w:sz w:val="1"/>
                <w:szCs w:val="1"/>
                <w:color w:val="auto"/>
              </w:rPr>
            </w:pPr>
          </w:p>
        </w:tc>
      </w:tr>
      <w:tr>
        <w:trPr>
          <w:trHeight w:val="227"/>
        </w:trPr>
        <w:tc>
          <w:tcPr>
            <w:tcW w:w="2840" w:type="dxa"/>
            <w:vAlign w:val="bottom"/>
            <w:shd w:val="clear" w:color="auto" w:fill="D8E8EF"/>
          </w:tcPr>
          <w:p>
            <w:pPr>
              <w:spacing w:after="0"/>
              <w:rPr>
                <w:sz w:val="19"/>
                <w:szCs w:val="19"/>
                <w:color w:val="auto"/>
              </w:rPr>
            </w:pPr>
          </w:p>
        </w:tc>
        <w:tc>
          <w:tcPr>
            <w:tcW w:w="120" w:type="dxa"/>
            <w:vAlign w:val="bottom"/>
            <w:shd w:val="clear" w:color="auto" w:fill="D8E8EF"/>
          </w:tcPr>
          <w:p>
            <w:pPr>
              <w:spacing w:after="0"/>
              <w:rPr>
                <w:sz w:val="19"/>
                <w:szCs w:val="19"/>
                <w:color w:val="auto"/>
              </w:rPr>
            </w:pPr>
          </w:p>
        </w:tc>
        <w:tc>
          <w:tcPr>
            <w:tcW w:w="1800" w:type="dxa"/>
            <w:vAlign w:val="bottom"/>
            <w:gridSpan w:val="3"/>
            <w:shd w:val="clear" w:color="auto" w:fill="D8E8EF"/>
          </w:tcPr>
          <w:p>
            <w:pPr>
              <w:spacing w:after="0"/>
              <w:rPr>
                <w:sz w:val="20"/>
                <w:szCs w:val="20"/>
                <w:color w:val="auto"/>
              </w:rPr>
            </w:pPr>
            <w:r>
              <w:rPr>
                <w:rFonts w:ascii="Arial" w:cs="Arial" w:eastAsia="Arial" w:hAnsi="Arial"/>
                <w:sz w:val="16"/>
                <w:szCs w:val="16"/>
                <w:color w:val="auto"/>
              </w:rPr>
              <w:t>Company: $5.25 billion</w:t>
            </w:r>
          </w:p>
        </w:tc>
        <w:tc>
          <w:tcPr>
            <w:tcW w:w="2140" w:type="dxa"/>
            <w:vAlign w:val="bottom"/>
            <w:gridSpan w:val="4"/>
            <w:shd w:val="clear" w:color="auto" w:fill="D8E8EF"/>
          </w:tcPr>
          <w:p>
            <w:pPr>
              <w:ind w:left="160"/>
              <w:spacing w:after="0"/>
              <w:rPr>
                <w:sz w:val="20"/>
                <w:szCs w:val="20"/>
                <w:color w:val="auto"/>
              </w:rPr>
            </w:pPr>
            <w:r>
              <w:rPr>
                <w:rFonts w:ascii="Arial" w:cs="Arial" w:eastAsia="Arial" w:hAnsi="Arial"/>
                <w:sz w:val="16"/>
                <w:szCs w:val="16"/>
                <w:color w:val="auto"/>
              </w:rPr>
              <w:t>Company: $5.70 billion</w:t>
            </w:r>
          </w:p>
        </w:tc>
        <w:tc>
          <w:tcPr>
            <w:tcW w:w="2060" w:type="dxa"/>
            <w:vAlign w:val="bottom"/>
            <w:gridSpan w:val="3"/>
            <w:shd w:val="clear" w:color="auto" w:fill="D8E8EF"/>
          </w:tcPr>
          <w:p>
            <w:pPr>
              <w:spacing w:after="0"/>
              <w:rPr>
                <w:sz w:val="20"/>
                <w:szCs w:val="20"/>
                <w:color w:val="auto"/>
              </w:rPr>
            </w:pPr>
            <w:r>
              <w:rPr>
                <w:rFonts w:ascii="Arial" w:cs="Arial" w:eastAsia="Arial" w:hAnsi="Arial"/>
                <w:sz w:val="16"/>
                <w:szCs w:val="16"/>
                <w:color w:val="auto"/>
              </w:rPr>
              <w:t>Company: $6.53 billion</w:t>
            </w:r>
          </w:p>
        </w:tc>
        <w:tc>
          <w:tcPr>
            <w:tcW w:w="1960" w:type="dxa"/>
            <w:vAlign w:val="bottom"/>
            <w:gridSpan w:val="4"/>
            <w:shd w:val="clear" w:color="auto" w:fill="D8E8EF"/>
          </w:tcPr>
          <w:p>
            <w:pPr>
              <w:spacing w:after="0"/>
              <w:rPr>
                <w:sz w:val="20"/>
                <w:szCs w:val="20"/>
                <w:color w:val="auto"/>
              </w:rPr>
            </w:pPr>
            <w:r>
              <w:rPr>
                <w:rFonts w:ascii="Arial" w:cs="Arial" w:eastAsia="Arial" w:hAnsi="Arial"/>
                <w:sz w:val="16"/>
                <w:szCs w:val="16"/>
                <w:color w:val="auto"/>
              </w:rPr>
              <w:t>Company: $6.74 billion</w:t>
            </w:r>
          </w:p>
        </w:tc>
        <w:tc>
          <w:tcPr>
            <w:tcW w:w="0" w:type="dxa"/>
            <w:vAlign w:val="bottom"/>
          </w:tcPr>
          <w:p>
            <w:pPr>
              <w:spacing w:after="0"/>
              <w:rPr>
                <w:sz w:val="1"/>
                <w:szCs w:val="1"/>
                <w:color w:val="auto"/>
              </w:rPr>
            </w:pPr>
          </w:p>
        </w:tc>
      </w:tr>
      <w:tr>
        <w:trPr>
          <w:trHeight w:val="20"/>
        </w:trPr>
        <w:tc>
          <w:tcPr>
            <w:tcW w:w="2840" w:type="dxa"/>
            <w:vAlign w:val="bottom"/>
            <w:shd w:val="clear" w:color="auto" w:fill="D8E8EF"/>
          </w:tcPr>
          <w:p>
            <w:pPr>
              <w:spacing w:after="0" w:line="20" w:lineRule="exact"/>
              <w:rPr>
                <w:sz w:val="1"/>
                <w:szCs w:val="1"/>
                <w:color w:val="auto"/>
              </w:rPr>
            </w:pPr>
          </w:p>
        </w:tc>
        <w:tc>
          <w:tcPr>
            <w:tcW w:w="120" w:type="dxa"/>
            <w:vAlign w:val="bottom"/>
            <w:shd w:val="clear" w:color="auto" w:fill="D8E8EF"/>
          </w:tcPr>
          <w:p>
            <w:pPr>
              <w:spacing w:after="0" w:line="20" w:lineRule="exact"/>
              <w:rPr>
                <w:sz w:val="1"/>
                <w:szCs w:val="1"/>
                <w:color w:val="auto"/>
              </w:rPr>
            </w:pPr>
          </w:p>
        </w:tc>
        <w:tc>
          <w:tcPr>
            <w:tcW w:w="380" w:type="dxa"/>
            <w:vAlign w:val="bottom"/>
            <w:tcBorders>
              <w:right w:val="single" w:sz="8" w:color="auto"/>
            </w:tcBorders>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60" w:type="dxa"/>
            <w:vAlign w:val="bottom"/>
            <w:shd w:val="clear" w:color="auto" w:fill="D8E8EF"/>
          </w:tcPr>
          <w:p>
            <w:pPr>
              <w:spacing w:after="0" w:line="20" w:lineRule="exact"/>
              <w:rPr>
                <w:sz w:val="1"/>
                <w:szCs w:val="1"/>
                <w:color w:val="auto"/>
              </w:rPr>
            </w:pPr>
          </w:p>
        </w:tc>
        <w:tc>
          <w:tcPr>
            <w:tcW w:w="160" w:type="dxa"/>
            <w:vAlign w:val="bottom"/>
            <w:vMerge w:val="restart"/>
            <w:shd w:val="clear" w:color="auto" w:fill="D8E8EF"/>
          </w:tcPr>
          <w:p>
            <w:pPr>
              <w:spacing w:after="0" w:line="20" w:lineRule="exact"/>
              <w:rPr>
                <w:sz w:val="1"/>
                <w:szCs w:val="1"/>
                <w:color w:val="auto"/>
              </w:rPr>
            </w:pPr>
          </w:p>
        </w:tc>
        <w:tc>
          <w:tcPr>
            <w:tcW w:w="400" w:type="dxa"/>
            <w:vAlign w:val="bottom"/>
            <w:tcBorders>
              <w:right w:val="single" w:sz="8" w:color="auto"/>
            </w:tcBorders>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40" w:type="dxa"/>
            <w:vAlign w:val="bottom"/>
            <w:shd w:val="clear" w:color="auto" w:fill="D8E8EF"/>
          </w:tcPr>
          <w:p>
            <w:pPr>
              <w:spacing w:after="0" w:line="20" w:lineRule="exact"/>
              <w:rPr>
                <w:sz w:val="1"/>
                <w:szCs w:val="1"/>
                <w:color w:val="auto"/>
              </w:rPr>
            </w:pPr>
          </w:p>
        </w:tc>
        <w:tc>
          <w:tcPr>
            <w:tcW w:w="380" w:type="dxa"/>
            <w:vAlign w:val="bottom"/>
            <w:tcBorders>
              <w:right w:val="single" w:sz="8" w:color="auto"/>
            </w:tcBorders>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340" w:type="dxa"/>
            <w:vAlign w:val="bottom"/>
            <w:shd w:val="clear" w:color="auto" w:fill="D8E8E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20" w:type="dxa"/>
            <w:vAlign w:val="bottom"/>
            <w:shd w:val="clear" w:color="auto" w:fill="D8E8E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2840" w:type="dxa"/>
            <w:vAlign w:val="bottom"/>
            <w:vMerge w:val="restart"/>
            <w:shd w:val="clear" w:color="auto" w:fill="D8E8EF"/>
          </w:tcPr>
          <w:p>
            <w:pPr>
              <w:ind w:left="100"/>
              <w:spacing w:after="0"/>
              <w:rPr>
                <w:sz w:val="20"/>
                <w:szCs w:val="20"/>
                <w:color w:val="auto"/>
              </w:rPr>
            </w:pPr>
            <w:r>
              <w:rPr>
                <w:rFonts w:ascii="Arial" w:cs="Arial" w:eastAsia="Arial" w:hAnsi="Arial"/>
                <w:sz w:val="16"/>
                <w:szCs w:val="16"/>
                <w:color w:val="auto"/>
              </w:rPr>
              <w:t>Revenue</w:t>
            </w:r>
          </w:p>
        </w:tc>
        <w:tc>
          <w:tcPr>
            <w:tcW w:w="120" w:type="dxa"/>
            <w:vAlign w:val="bottom"/>
            <w:shd w:val="clear" w:color="auto" w:fill="D8E8EF"/>
          </w:tcPr>
          <w:p>
            <w:pPr>
              <w:spacing w:after="0"/>
              <w:rPr>
                <w:sz w:val="14"/>
                <w:szCs w:val="14"/>
                <w:color w:val="auto"/>
              </w:rPr>
            </w:pPr>
          </w:p>
        </w:tc>
        <w:tc>
          <w:tcPr>
            <w:tcW w:w="1800" w:type="dxa"/>
            <w:vAlign w:val="bottom"/>
            <w:gridSpan w:val="3"/>
            <w:shd w:val="clear" w:color="auto" w:fill="D8E8EF"/>
          </w:tcPr>
          <w:p>
            <w:pPr>
              <w:spacing w:after="0" w:line="168" w:lineRule="exact"/>
              <w:rPr>
                <w:sz w:val="20"/>
                <w:szCs w:val="20"/>
                <w:color w:val="auto"/>
              </w:rPr>
            </w:pPr>
            <w:r>
              <w:rPr>
                <w:rFonts w:ascii="Arial" w:cs="Arial" w:eastAsia="Arial" w:hAnsi="Arial"/>
                <w:sz w:val="16"/>
                <w:szCs w:val="16"/>
                <w:color w:val="auto"/>
              </w:rPr>
              <w:t>ASG: $1.923 billion</w:t>
            </w:r>
          </w:p>
        </w:tc>
        <w:tc>
          <w:tcPr>
            <w:tcW w:w="160" w:type="dxa"/>
            <w:vAlign w:val="bottom"/>
            <w:vMerge w:val="continue"/>
            <w:shd w:val="clear" w:color="auto" w:fill="D8E8EF"/>
          </w:tcPr>
          <w:p>
            <w:pPr>
              <w:spacing w:after="0"/>
              <w:rPr>
                <w:sz w:val="14"/>
                <w:szCs w:val="14"/>
                <w:color w:val="auto"/>
              </w:rPr>
            </w:pPr>
          </w:p>
        </w:tc>
        <w:tc>
          <w:tcPr>
            <w:tcW w:w="1980" w:type="dxa"/>
            <w:vAlign w:val="bottom"/>
            <w:gridSpan w:val="3"/>
            <w:shd w:val="clear" w:color="auto" w:fill="D8E8EF"/>
          </w:tcPr>
          <w:p>
            <w:pPr>
              <w:spacing w:after="0" w:line="168" w:lineRule="exact"/>
              <w:rPr>
                <w:sz w:val="20"/>
                <w:szCs w:val="20"/>
                <w:color w:val="auto"/>
              </w:rPr>
            </w:pPr>
            <w:r>
              <w:rPr>
                <w:rFonts w:ascii="Arial" w:cs="Arial" w:eastAsia="Arial" w:hAnsi="Arial"/>
                <w:sz w:val="16"/>
                <w:szCs w:val="16"/>
                <w:color w:val="auto"/>
              </w:rPr>
              <w:t>ASG: $2.069 billion</w:t>
            </w:r>
          </w:p>
        </w:tc>
        <w:tc>
          <w:tcPr>
            <w:tcW w:w="2060" w:type="dxa"/>
            <w:vAlign w:val="bottom"/>
            <w:gridSpan w:val="3"/>
            <w:shd w:val="clear" w:color="auto" w:fill="D8E8EF"/>
          </w:tcPr>
          <w:p>
            <w:pPr>
              <w:spacing w:after="0" w:line="168" w:lineRule="exact"/>
              <w:rPr>
                <w:sz w:val="20"/>
                <w:szCs w:val="20"/>
                <w:color w:val="auto"/>
              </w:rPr>
            </w:pPr>
            <w:r>
              <w:rPr>
                <w:rFonts w:ascii="Arial" w:cs="Arial" w:eastAsia="Arial" w:hAnsi="Arial"/>
                <w:sz w:val="16"/>
                <w:szCs w:val="16"/>
                <w:color w:val="auto"/>
              </w:rPr>
              <w:t>ASG: $2.369 billion</w:t>
            </w:r>
          </w:p>
        </w:tc>
        <w:tc>
          <w:tcPr>
            <w:tcW w:w="1960" w:type="dxa"/>
            <w:vAlign w:val="bottom"/>
            <w:gridSpan w:val="4"/>
            <w:shd w:val="clear" w:color="auto" w:fill="D8E8EF"/>
          </w:tcPr>
          <w:p>
            <w:pPr>
              <w:spacing w:after="0" w:line="168" w:lineRule="exact"/>
              <w:rPr>
                <w:sz w:val="20"/>
                <w:szCs w:val="20"/>
                <w:color w:val="auto"/>
              </w:rPr>
            </w:pPr>
            <w:r>
              <w:rPr>
                <w:rFonts w:ascii="Arial" w:cs="Arial" w:eastAsia="Arial" w:hAnsi="Arial"/>
                <w:sz w:val="16"/>
                <w:szCs w:val="16"/>
                <w:color w:val="auto"/>
              </w:rPr>
              <w:t>ASG: $2.399 billion</w:t>
            </w:r>
          </w:p>
        </w:tc>
        <w:tc>
          <w:tcPr>
            <w:tcW w:w="0" w:type="dxa"/>
            <w:vAlign w:val="bottom"/>
          </w:tcPr>
          <w:p>
            <w:pPr>
              <w:spacing w:after="0"/>
              <w:rPr>
                <w:sz w:val="1"/>
                <w:szCs w:val="1"/>
                <w:color w:val="auto"/>
              </w:rPr>
            </w:pPr>
          </w:p>
        </w:tc>
      </w:tr>
      <w:tr>
        <w:trPr>
          <w:trHeight w:val="167"/>
        </w:trPr>
        <w:tc>
          <w:tcPr>
            <w:tcW w:w="2840" w:type="dxa"/>
            <w:vAlign w:val="bottom"/>
            <w:tcBorders>
              <w:top w:val="single" w:sz="8" w:color="D8E8EF"/>
              <w:bottom w:val="single" w:sz="8" w:color="D8E8EF"/>
            </w:tcBorders>
            <w:vMerge w:val="continue"/>
            <w:shd w:val="clear" w:color="auto" w:fill="D8E8EF"/>
          </w:tcPr>
          <w:p>
            <w:pPr>
              <w:spacing w:after="0"/>
              <w:rPr>
                <w:sz w:val="14"/>
                <w:szCs w:val="14"/>
                <w:color w:val="auto"/>
              </w:rPr>
            </w:pPr>
          </w:p>
        </w:tc>
        <w:tc>
          <w:tcPr>
            <w:tcW w:w="120" w:type="dxa"/>
            <w:vAlign w:val="bottom"/>
            <w:tcBorders>
              <w:top w:val="single" w:sz="8" w:color="D8E8EF"/>
              <w:bottom w:val="single" w:sz="8" w:color="D8E8EF"/>
            </w:tcBorders>
            <w:shd w:val="clear" w:color="auto" w:fill="D8E8EF"/>
          </w:tcPr>
          <w:p>
            <w:pPr>
              <w:spacing w:after="0"/>
              <w:rPr>
                <w:sz w:val="14"/>
                <w:szCs w:val="14"/>
                <w:color w:val="auto"/>
              </w:rPr>
            </w:pPr>
          </w:p>
        </w:tc>
        <w:tc>
          <w:tcPr>
            <w:tcW w:w="380" w:type="dxa"/>
            <w:vAlign w:val="bottom"/>
            <w:tcBorders>
              <w:top w:val="single" w:sz="8" w:color="auto"/>
              <w:bottom w:val="single" w:sz="8" w:color="auto"/>
              <w:right w:val="single" w:sz="8" w:color="D8E8EF"/>
            </w:tcBorders>
            <w:shd w:val="clear" w:color="auto" w:fill="D8E8EF"/>
          </w:tcPr>
          <w:p>
            <w:pPr>
              <w:spacing w:after="0" w:line="168" w:lineRule="exact"/>
              <w:rPr>
                <w:sz w:val="20"/>
                <w:szCs w:val="20"/>
                <w:color w:val="auto"/>
              </w:rPr>
            </w:pPr>
            <w:r>
              <w:rPr>
                <w:rFonts w:ascii="Arial" w:cs="Arial" w:eastAsia="Arial" w:hAnsi="Arial"/>
                <w:sz w:val="16"/>
                <w:szCs w:val="16"/>
                <w:color w:val="auto"/>
                <w:w w:val="88"/>
              </w:rPr>
              <w:t>PSG:</w:t>
            </w:r>
          </w:p>
        </w:tc>
        <w:tc>
          <w:tcPr>
            <w:tcW w:w="1420" w:type="dxa"/>
            <w:vAlign w:val="bottom"/>
            <w:tcBorders>
              <w:top w:val="single" w:sz="8" w:color="D8E8EF"/>
              <w:bottom w:val="single" w:sz="8" w:color="D8E8EF"/>
            </w:tcBorders>
            <w:gridSpan w:val="2"/>
            <w:shd w:val="clear" w:color="auto" w:fill="D8E8EF"/>
          </w:tcPr>
          <w:p>
            <w:pPr>
              <w:jc w:val="right"/>
              <w:ind w:right="440"/>
              <w:spacing w:after="0" w:line="168" w:lineRule="exact"/>
              <w:rPr>
                <w:sz w:val="20"/>
                <w:szCs w:val="20"/>
                <w:color w:val="auto"/>
              </w:rPr>
            </w:pPr>
            <w:r>
              <w:rPr>
                <w:rFonts w:ascii="Arial" w:cs="Arial" w:eastAsia="Arial" w:hAnsi="Arial"/>
                <w:sz w:val="16"/>
                <w:szCs w:val="16"/>
                <w:color w:val="auto"/>
              </w:rPr>
              <w:t>$2.59 billion</w:t>
            </w:r>
          </w:p>
        </w:tc>
        <w:tc>
          <w:tcPr>
            <w:tcW w:w="160" w:type="dxa"/>
            <w:vAlign w:val="bottom"/>
            <w:tcBorders>
              <w:top w:val="single" w:sz="8" w:color="D8E8EF"/>
              <w:bottom w:val="single" w:sz="8" w:color="D8E8EF"/>
            </w:tcBorders>
            <w:shd w:val="clear" w:color="auto" w:fill="D8E8EF"/>
          </w:tcPr>
          <w:p>
            <w:pPr>
              <w:spacing w:after="0"/>
              <w:rPr>
                <w:sz w:val="14"/>
                <w:szCs w:val="14"/>
                <w:color w:val="auto"/>
              </w:rPr>
            </w:pPr>
          </w:p>
        </w:tc>
        <w:tc>
          <w:tcPr>
            <w:tcW w:w="400" w:type="dxa"/>
            <w:vAlign w:val="bottom"/>
            <w:tcBorders>
              <w:top w:val="single" w:sz="8" w:color="auto"/>
              <w:bottom w:val="single" w:sz="8" w:color="auto"/>
              <w:right w:val="single" w:sz="8" w:color="D8E8EF"/>
            </w:tcBorders>
            <w:shd w:val="clear" w:color="auto" w:fill="D8E8EF"/>
          </w:tcPr>
          <w:p>
            <w:pPr>
              <w:spacing w:after="0" w:line="168" w:lineRule="exact"/>
              <w:rPr>
                <w:sz w:val="20"/>
                <w:szCs w:val="20"/>
                <w:color w:val="auto"/>
              </w:rPr>
            </w:pPr>
            <w:r>
              <w:rPr>
                <w:rFonts w:ascii="Arial" w:cs="Arial" w:eastAsia="Arial" w:hAnsi="Arial"/>
                <w:sz w:val="16"/>
                <w:szCs w:val="16"/>
                <w:color w:val="auto"/>
                <w:w w:val="94"/>
              </w:rPr>
              <w:t>PSG:</w:t>
            </w:r>
          </w:p>
        </w:tc>
        <w:tc>
          <w:tcPr>
            <w:tcW w:w="1580" w:type="dxa"/>
            <w:vAlign w:val="bottom"/>
            <w:tcBorders>
              <w:top w:val="single" w:sz="8" w:color="D8E8EF"/>
              <w:bottom w:val="single" w:sz="8" w:color="D8E8EF"/>
            </w:tcBorders>
            <w:gridSpan w:val="2"/>
            <w:shd w:val="clear" w:color="auto" w:fill="D8E8EF"/>
          </w:tcPr>
          <w:p>
            <w:pPr>
              <w:jc w:val="right"/>
              <w:ind w:right="600"/>
              <w:spacing w:after="0" w:line="168" w:lineRule="exact"/>
              <w:rPr>
                <w:sz w:val="20"/>
                <w:szCs w:val="20"/>
                <w:color w:val="auto"/>
              </w:rPr>
            </w:pPr>
            <w:r>
              <w:rPr>
                <w:rFonts w:ascii="Arial" w:cs="Arial" w:eastAsia="Arial" w:hAnsi="Arial"/>
                <w:sz w:val="16"/>
                <w:szCs w:val="16"/>
                <w:color w:val="auto"/>
              </w:rPr>
              <w:t>$2.82 billion</w:t>
            </w:r>
          </w:p>
        </w:tc>
        <w:tc>
          <w:tcPr>
            <w:tcW w:w="380" w:type="dxa"/>
            <w:vAlign w:val="bottom"/>
            <w:tcBorders>
              <w:top w:val="single" w:sz="8" w:color="auto"/>
              <w:bottom w:val="single" w:sz="8" w:color="auto"/>
              <w:right w:val="single" w:sz="8" w:color="D8E8EF"/>
            </w:tcBorders>
            <w:shd w:val="clear" w:color="auto" w:fill="D8E8EF"/>
          </w:tcPr>
          <w:p>
            <w:pPr>
              <w:spacing w:after="0" w:line="168" w:lineRule="exact"/>
              <w:rPr>
                <w:sz w:val="20"/>
                <w:szCs w:val="20"/>
                <w:color w:val="auto"/>
              </w:rPr>
            </w:pPr>
            <w:r>
              <w:rPr>
                <w:rFonts w:ascii="Arial" w:cs="Arial" w:eastAsia="Arial" w:hAnsi="Arial"/>
                <w:sz w:val="16"/>
                <w:szCs w:val="16"/>
                <w:color w:val="auto"/>
                <w:w w:val="88"/>
              </w:rPr>
              <w:t>PSG:</w:t>
            </w:r>
          </w:p>
        </w:tc>
        <w:tc>
          <w:tcPr>
            <w:tcW w:w="1680" w:type="dxa"/>
            <w:vAlign w:val="bottom"/>
            <w:tcBorders>
              <w:top w:val="single" w:sz="8" w:color="D8E8EF"/>
              <w:bottom w:val="single" w:sz="8" w:color="D8E8EF"/>
            </w:tcBorders>
            <w:gridSpan w:val="2"/>
            <w:shd w:val="clear" w:color="auto" w:fill="D8E8EF"/>
          </w:tcPr>
          <w:p>
            <w:pPr>
              <w:jc w:val="right"/>
              <w:ind w:right="700"/>
              <w:spacing w:after="0" w:line="168" w:lineRule="exact"/>
              <w:rPr>
                <w:sz w:val="20"/>
                <w:szCs w:val="20"/>
                <w:color w:val="auto"/>
              </w:rPr>
            </w:pPr>
            <w:r>
              <w:rPr>
                <w:rFonts w:ascii="Arial" w:cs="Arial" w:eastAsia="Arial" w:hAnsi="Arial"/>
                <w:sz w:val="16"/>
                <w:szCs w:val="16"/>
                <w:color w:val="auto"/>
              </w:rPr>
              <w:t>$3.23 billion</w:t>
            </w:r>
          </w:p>
        </w:tc>
        <w:tc>
          <w:tcPr>
            <w:tcW w:w="400" w:type="dxa"/>
            <w:vAlign w:val="bottom"/>
            <w:tcBorders>
              <w:top w:val="single" w:sz="8" w:color="auto"/>
              <w:bottom w:val="single" w:sz="8" w:color="auto"/>
            </w:tcBorders>
            <w:gridSpan w:val="2"/>
            <w:shd w:val="clear" w:color="auto" w:fill="D8E8EF"/>
          </w:tcPr>
          <w:p>
            <w:pPr>
              <w:spacing w:after="0" w:line="168" w:lineRule="exact"/>
              <w:rPr>
                <w:sz w:val="20"/>
                <w:szCs w:val="20"/>
                <w:color w:val="auto"/>
              </w:rPr>
            </w:pPr>
            <w:r>
              <w:rPr>
                <w:rFonts w:ascii="Arial" w:cs="Arial" w:eastAsia="Arial" w:hAnsi="Arial"/>
                <w:sz w:val="16"/>
                <w:szCs w:val="16"/>
                <w:color w:val="auto"/>
                <w:w w:val="99"/>
              </w:rPr>
              <w:t>PSG:</w:t>
            </w:r>
          </w:p>
        </w:tc>
        <w:tc>
          <w:tcPr>
            <w:tcW w:w="1560" w:type="dxa"/>
            <w:vAlign w:val="bottom"/>
            <w:tcBorders>
              <w:top w:val="single" w:sz="8" w:color="D8E8EF"/>
              <w:bottom w:val="single" w:sz="8" w:color="D8E8EF"/>
            </w:tcBorders>
            <w:gridSpan w:val="2"/>
            <w:shd w:val="clear" w:color="auto" w:fill="D8E8EF"/>
          </w:tcPr>
          <w:p>
            <w:pPr>
              <w:ind w:left="40"/>
              <w:spacing w:after="0" w:line="168" w:lineRule="exact"/>
              <w:rPr>
                <w:sz w:val="20"/>
                <w:szCs w:val="20"/>
                <w:color w:val="auto"/>
              </w:rPr>
            </w:pPr>
            <w:r>
              <w:rPr>
                <w:rFonts w:ascii="Arial" w:cs="Arial" w:eastAsia="Arial" w:hAnsi="Arial"/>
                <w:sz w:val="16"/>
                <w:szCs w:val="16"/>
                <w:color w:val="auto"/>
              </w:rPr>
              <w:t>$3.44 billion</w:t>
            </w:r>
          </w:p>
        </w:tc>
        <w:tc>
          <w:tcPr>
            <w:tcW w:w="0" w:type="dxa"/>
            <w:vAlign w:val="bottom"/>
          </w:tcPr>
          <w:p>
            <w:pPr>
              <w:spacing w:after="0"/>
              <w:rPr>
                <w:sz w:val="1"/>
                <w:szCs w:val="1"/>
                <w:color w:val="auto"/>
              </w:rPr>
            </w:pPr>
          </w:p>
        </w:tc>
      </w:tr>
      <w:tr>
        <w:trPr>
          <w:trHeight w:val="167"/>
        </w:trPr>
        <w:tc>
          <w:tcPr>
            <w:tcW w:w="2840" w:type="dxa"/>
            <w:vAlign w:val="bottom"/>
            <w:shd w:val="clear" w:color="auto" w:fill="D8E8EF"/>
          </w:tcPr>
          <w:p>
            <w:pPr>
              <w:spacing w:after="0"/>
              <w:rPr>
                <w:sz w:val="14"/>
                <w:szCs w:val="14"/>
                <w:color w:val="auto"/>
              </w:rPr>
            </w:pPr>
          </w:p>
        </w:tc>
        <w:tc>
          <w:tcPr>
            <w:tcW w:w="120" w:type="dxa"/>
            <w:vAlign w:val="bottom"/>
            <w:shd w:val="clear" w:color="auto" w:fill="D8E8EF"/>
          </w:tcPr>
          <w:p>
            <w:pPr>
              <w:spacing w:after="0"/>
              <w:rPr>
                <w:sz w:val="14"/>
                <w:szCs w:val="14"/>
                <w:color w:val="auto"/>
              </w:rPr>
            </w:pPr>
          </w:p>
        </w:tc>
        <w:tc>
          <w:tcPr>
            <w:tcW w:w="380" w:type="dxa"/>
            <w:vAlign w:val="bottom"/>
            <w:tcBorders>
              <w:right w:val="single" w:sz="8" w:color="D8E8EF"/>
            </w:tcBorders>
            <w:shd w:val="clear" w:color="auto" w:fill="D8E8EF"/>
          </w:tcPr>
          <w:p>
            <w:pPr>
              <w:spacing w:after="0" w:line="168" w:lineRule="exact"/>
              <w:rPr>
                <w:sz w:val="20"/>
                <w:szCs w:val="20"/>
                <w:color w:val="auto"/>
              </w:rPr>
            </w:pPr>
            <w:r>
              <w:rPr>
                <w:rFonts w:ascii="Arial" w:cs="Arial" w:eastAsia="Arial" w:hAnsi="Arial"/>
                <w:sz w:val="16"/>
                <w:szCs w:val="16"/>
                <w:color w:val="auto"/>
              </w:rPr>
              <w:t>ISG:</w:t>
            </w:r>
          </w:p>
        </w:tc>
        <w:tc>
          <w:tcPr>
            <w:tcW w:w="1420" w:type="dxa"/>
            <w:vAlign w:val="bottom"/>
            <w:gridSpan w:val="2"/>
            <w:shd w:val="clear" w:color="auto" w:fill="D8E8EF"/>
          </w:tcPr>
          <w:p>
            <w:pPr>
              <w:spacing w:after="0" w:line="168" w:lineRule="exact"/>
              <w:rPr>
                <w:sz w:val="20"/>
                <w:szCs w:val="20"/>
                <w:color w:val="auto"/>
              </w:rPr>
            </w:pPr>
            <w:r>
              <w:rPr>
                <w:rFonts w:ascii="Arial" w:cs="Arial" w:eastAsia="Arial" w:hAnsi="Arial"/>
                <w:sz w:val="16"/>
                <w:szCs w:val="16"/>
                <w:color w:val="auto"/>
              </w:rPr>
              <w:t>$739 million</w:t>
            </w:r>
          </w:p>
        </w:tc>
        <w:tc>
          <w:tcPr>
            <w:tcW w:w="160" w:type="dxa"/>
            <w:vAlign w:val="bottom"/>
            <w:shd w:val="clear" w:color="auto" w:fill="D8E8EF"/>
          </w:tcPr>
          <w:p>
            <w:pPr>
              <w:spacing w:after="0"/>
              <w:rPr>
                <w:sz w:val="14"/>
                <w:szCs w:val="14"/>
                <w:color w:val="auto"/>
              </w:rPr>
            </w:pPr>
          </w:p>
        </w:tc>
        <w:tc>
          <w:tcPr>
            <w:tcW w:w="400" w:type="dxa"/>
            <w:vAlign w:val="bottom"/>
            <w:tcBorders>
              <w:right w:val="single" w:sz="8" w:color="D8E8EF"/>
            </w:tcBorders>
            <w:shd w:val="clear" w:color="auto" w:fill="D8E8EF"/>
          </w:tcPr>
          <w:p>
            <w:pPr>
              <w:spacing w:after="0" w:line="168" w:lineRule="exact"/>
              <w:rPr>
                <w:sz w:val="20"/>
                <w:szCs w:val="20"/>
                <w:color w:val="auto"/>
              </w:rPr>
            </w:pPr>
            <w:r>
              <w:rPr>
                <w:rFonts w:ascii="Arial" w:cs="Arial" w:eastAsia="Arial" w:hAnsi="Arial"/>
                <w:sz w:val="16"/>
                <w:szCs w:val="16"/>
                <w:color w:val="auto"/>
              </w:rPr>
              <w:t>ISG:</w:t>
            </w:r>
          </w:p>
        </w:tc>
        <w:tc>
          <w:tcPr>
            <w:tcW w:w="1580" w:type="dxa"/>
            <w:vAlign w:val="bottom"/>
            <w:gridSpan w:val="2"/>
            <w:shd w:val="clear" w:color="auto" w:fill="D8E8EF"/>
          </w:tcPr>
          <w:p>
            <w:pPr>
              <w:spacing w:after="0" w:line="168" w:lineRule="exact"/>
              <w:rPr>
                <w:sz w:val="20"/>
                <w:szCs w:val="20"/>
                <w:color w:val="auto"/>
              </w:rPr>
            </w:pPr>
            <w:r>
              <w:rPr>
                <w:rFonts w:ascii="Arial" w:cs="Arial" w:eastAsia="Arial" w:hAnsi="Arial"/>
                <w:sz w:val="16"/>
                <w:szCs w:val="16"/>
                <w:color w:val="auto"/>
              </w:rPr>
              <w:t>$813 million</w:t>
            </w:r>
          </w:p>
        </w:tc>
        <w:tc>
          <w:tcPr>
            <w:tcW w:w="380" w:type="dxa"/>
            <w:vAlign w:val="bottom"/>
            <w:tcBorders>
              <w:right w:val="single" w:sz="8" w:color="D8E8EF"/>
            </w:tcBorders>
            <w:shd w:val="clear" w:color="auto" w:fill="D8E8EF"/>
          </w:tcPr>
          <w:p>
            <w:pPr>
              <w:spacing w:after="0" w:line="168" w:lineRule="exact"/>
              <w:rPr>
                <w:sz w:val="20"/>
                <w:szCs w:val="20"/>
                <w:color w:val="auto"/>
              </w:rPr>
            </w:pPr>
            <w:r>
              <w:rPr>
                <w:rFonts w:ascii="Arial" w:cs="Arial" w:eastAsia="Arial" w:hAnsi="Arial"/>
                <w:sz w:val="16"/>
                <w:szCs w:val="16"/>
                <w:color w:val="auto"/>
              </w:rPr>
              <w:t>ISG:</w:t>
            </w:r>
          </w:p>
        </w:tc>
        <w:tc>
          <w:tcPr>
            <w:tcW w:w="1680" w:type="dxa"/>
            <w:vAlign w:val="bottom"/>
            <w:gridSpan w:val="2"/>
            <w:shd w:val="clear" w:color="auto" w:fill="D8E8EF"/>
          </w:tcPr>
          <w:p>
            <w:pPr>
              <w:spacing w:after="0" w:line="168" w:lineRule="exact"/>
              <w:rPr>
                <w:sz w:val="20"/>
                <w:szCs w:val="20"/>
                <w:color w:val="auto"/>
              </w:rPr>
            </w:pPr>
            <w:r>
              <w:rPr>
                <w:rFonts w:ascii="Arial" w:cs="Arial" w:eastAsia="Arial" w:hAnsi="Arial"/>
                <w:sz w:val="16"/>
                <w:szCs w:val="16"/>
                <w:color w:val="auto"/>
              </w:rPr>
              <w:t>$931 million</w:t>
            </w:r>
          </w:p>
        </w:tc>
        <w:tc>
          <w:tcPr>
            <w:tcW w:w="400" w:type="dxa"/>
            <w:vAlign w:val="bottom"/>
            <w:gridSpan w:val="2"/>
            <w:shd w:val="clear" w:color="auto" w:fill="D8E8EF"/>
          </w:tcPr>
          <w:p>
            <w:pPr>
              <w:spacing w:after="0" w:line="168" w:lineRule="exact"/>
              <w:rPr>
                <w:sz w:val="20"/>
                <w:szCs w:val="20"/>
                <w:color w:val="auto"/>
              </w:rPr>
            </w:pPr>
            <w:r>
              <w:rPr>
                <w:rFonts w:ascii="Arial" w:cs="Arial" w:eastAsia="Arial" w:hAnsi="Arial"/>
                <w:sz w:val="16"/>
                <w:szCs w:val="16"/>
                <w:color w:val="auto"/>
              </w:rPr>
              <w:t>ISG:</w:t>
            </w:r>
          </w:p>
        </w:tc>
        <w:tc>
          <w:tcPr>
            <w:tcW w:w="1560" w:type="dxa"/>
            <w:vAlign w:val="bottom"/>
            <w:gridSpan w:val="2"/>
            <w:shd w:val="clear" w:color="auto" w:fill="D8E8EF"/>
          </w:tcPr>
          <w:p>
            <w:pPr>
              <w:spacing w:after="0" w:line="168" w:lineRule="exact"/>
              <w:rPr>
                <w:sz w:val="20"/>
                <w:szCs w:val="20"/>
                <w:color w:val="auto"/>
              </w:rPr>
            </w:pPr>
            <w:r>
              <w:rPr>
                <w:rFonts w:ascii="Arial" w:cs="Arial" w:eastAsia="Arial" w:hAnsi="Arial"/>
                <w:sz w:val="16"/>
                <w:szCs w:val="16"/>
                <w:color w:val="auto"/>
              </w:rPr>
              <w:t>$900.8 million</w:t>
            </w:r>
          </w:p>
        </w:tc>
        <w:tc>
          <w:tcPr>
            <w:tcW w:w="0" w:type="dxa"/>
            <w:vAlign w:val="bottom"/>
          </w:tcPr>
          <w:p>
            <w:pPr>
              <w:spacing w:after="0"/>
              <w:rPr>
                <w:sz w:val="1"/>
                <w:szCs w:val="1"/>
                <w:color w:val="auto"/>
              </w:rPr>
            </w:pPr>
          </w:p>
        </w:tc>
      </w:tr>
      <w:tr>
        <w:trPr>
          <w:trHeight w:val="47"/>
        </w:trPr>
        <w:tc>
          <w:tcPr>
            <w:tcW w:w="2840" w:type="dxa"/>
            <w:vAlign w:val="bottom"/>
            <w:tcBorders>
              <w:top w:val="single" w:sz="8" w:color="D8E8EF"/>
            </w:tcBorders>
            <w:shd w:val="clear" w:color="auto" w:fill="D8E8EF"/>
          </w:tcPr>
          <w:p>
            <w:pPr>
              <w:spacing w:after="0"/>
              <w:rPr>
                <w:sz w:val="4"/>
                <w:szCs w:val="4"/>
                <w:color w:val="auto"/>
              </w:rPr>
            </w:pPr>
          </w:p>
        </w:tc>
        <w:tc>
          <w:tcPr>
            <w:tcW w:w="120" w:type="dxa"/>
            <w:vAlign w:val="bottom"/>
            <w:tcBorders>
              <w:top w:val="single" w:sz="8" w:color="D8E8EF"/>
            </w:tcBorders>
            <w:shd w:val="clear" w:color="auto" w:fill="D8E8EF"/>
          </w:tcPr>
          <w:p>
            <w:pPr>
              <w:spacing w:after="0"/>
              <w:rPr>
                <w:sz w:val="4"/>
                <w:szCs w:val="4"/>
                <w:color w:val="auto"/>
              </w:rPr>
            </w:pPr>
          </w:p>
        </w:tc>
        <w:tc>
          <w:tcPr>
            <w:tcW w:w="380" w:type="dxa"/>
            <w:vAlign w:val="bottom"/>
            <w:tcBorders>
              <w:top w:val="single" w:sz="8" w:color="auto"/>
              <w:right w:val="single" w:sz="8" w:color="D8E8EF"/>
            </w:tcBorders>
            <w:shd w:val="clear" w:color="auto" w:fill="D8E8EF"/>
          </w:tcPr>
          <w:p>
            <w:pPr>
              <w:spacing w:after="0"/>
              <w:rPr>
                <w:sz w:val="4"/>
                <w:szCs w:val="4"/>
                <w:color w:val="auto"/>
              </w:rPr>
            </w:pPr>
          </w:p>
        </w:tc>
        <w:tc>
          <w:tcPr>
            <w:tcW w:w="360" w:type="dxa"/>
            <w:vAlign w:val="bottom"/>
            <w:tcBorders>
              <w:top w:val="single" w:sz="8" w:color="D8E8EF"/>
            </w:tcBorders>
            <w:shd w:val="clear" w:color="auto" w:fill="D8E8EF"/>
          </w:tcPr>
          <w:p>
            <w:pPr>
              <w:spacing w:after="0"/>
              <w:rPr>
                <w:sz w:val="4"/>
                <w:szCs w:val="4"/>
                <w:color w:val="auto"/>
              </w:rPr>
            </w:pPr>
          </w:p>
        </w:tc>
        <w:tc>
          <w:tcPr>
            <w:tcW w:w="1060" w:type="dxa"/>
            <w:vAlign w:val="bottom"/>
            <w:tcBorders>
              <w:top w:val="single" w:sz="8" w:color="D8E8EF"/>
            </w:tcBorders>
            <w:shd w:val="clear" w:color="auto" w:fill="D8E8EF"/>
          </w:tcPr>
          <w:p>
            <w:pPr>
              <w:spacing w:after="0"/>
              <w:rPr>
                <w:sz w:val="4"/>
                <w:szCs w:val="4"/>
                <w:color w:val="auto"/>
              </w:rPr>
            </w:pPr>
          </w:p>
        </w:tc>
        <w:tc>
          <w:tcPr>
            <w:tcW w:w="160" w:type="dxa"/>
            <w:vAlign w:val="bottom"/>
            <w:tcBorders>
              <w:top w:val="single" w:sz="8" w:color="D8E8EF"/>
            </w:tcBorders>
            <w:shd w:val="clear" w:color="auto" w:fill="D8E8EF"/>
          </w:tcPr>
          <w:p>
            <w:pPr>
              <w:spacing w:after="0"/>
              <w:rPr>
                <w:sz w:val="4"/>
                <w:szCs w:val="4"/>
                <w:color w:val="auto"/>
              </w:rPr>
            </w:pPr>
          </w:p>
        </w:tc>
        <w:tc>
          <w:tcPr>
            <w:tcW w:w="400" w:type="dxa"/>
            <w:vAlign w:val="bottom"/>
            <w:tcBorders>
              <w:top w:val="single" w:sz="8" w:color="auto"/>
              <w:right w:val="single" w:sz="8" w:color="D8E8EF"/>
            </w:tcBorders>
            <w:shd w:val="clear" w:color="auto" w:fill="D8E8EF"/>
          </w:tcPr>
          <w:p>
            <w:pPr>
              <w:spacing w:after="0"/>
              <w:rPr>
                <w:sz w:val="4"/>
                <w:szCs w:val="4"/>
                <w:color w:val="auto"/>
              </w:rPr>
            </w:pPr>
          </w:p>
        </w:tc>
        <w:tc>
          <w:tcPr>
            <w:tcW w:w="340" w:type="dxa"/>
            <w:vAlign w:val="bottom"/>
            <w:tcBorders>
              <w:top w:val="single" w:sz="8" w:color="D8E8EF"/>
            </w:tcBorders>
            <w:shd w:val="clear" w:color="auto" w:fill="D8E8EF"/>
          </w:tcPr>
          <w:p>
            <w:pPr>
              <w:spacing w:after="0"/>
              <w:rPr>
                <w:sz w:val="4"/>
                <w:szCs w:val="4"/>
                <w:color w:val="auto"/>
              </w:rPr>
            </w:pPr>
          </w:p>
        </w:tc>
        <w:tc>
          <w:tcPr>
            <w:tcW w:w="1240" w:type="dxa"/>
            <w:vAlign w:val="bottom"/>
            <w:tcBorders>
              <w:top w:val="single" w:sz="8" w:color="D8E8EF"/>
            </w:tcBorders>
            <w:shd w:val="clear" w:color="auto" w:fill="D8E8EF"/>
          </w:tcPr>
          <w:p>
            <w:pPr>
              <w:spacing w:after="0"/>
              <w:rPr>
                <w:sz w:val="4"/>
                <w:szCs w:val="4"/>
                <w:color w:val="auto"/>
              </w:rPr>
            </w:pPr>
          </w:p>
        </w:tc>
        <w:tc>
          <w:tcPr>
            <w:tcW w:w="380" w:type="dxa"/>
            <w:vAlign w:val="bottom"/>
            <w:tcBorders>
              <w:top w:val="single" w:sz="8" w:color="auto"/>
              <w:right w:val="single" w:sz="8" w:color="D8E8EF"/>
            </w:tcBorders>
            <w:shd w:val="clear" w:color="auto" w:fill="D8E8EF"/>
          </w:tcPr>
          <w:p>
            <w:pPr>
              <w:spacing w:after="0"/>
              <w:rPr>
                <w:sz w:val="4"/>
                <w:szCs w:val="4"/>
                <w:color w:val="auto"/>
              </w:rPr>
            </w:pPr>
          </w:p>
        </w:tc>
        <w:tc>
          <w:tcPr>
            <w:tcW w:w="340" w:type="dxa"/>
            <w:vAlign w:val="bottom"/>
            <w:tcBorders>
              <w:top w:val="single" w:sz="8" w:color="D8E8EF"/>
            </w:tcBorders>
            <w:shd w:val="clear" w:color="auto" w:fill="D8E8EF"/>
          </w:tcPr>
          <w:p>
            <w:pPr>
              <w:spacing w:after="0"/>
              <w:rPr>
                <w:sz w:val="4"/>
                <w:szCs w:val="4"/>
                <w:color w:val="auto"/>
              </w:rPr>
            </w:pPr>
          </w:p>
        </w:tc>
        <w:tc>
          <w:tcPr>
            <w:tcW w:w="1340" w:type="dxa"/>
            <w:vAlign w:val="bottom"/>
            <w:tcBorders>
              <w:top w:val="single" w:sz="8" w:color="D8E8EF"/>
            </w:tcBorders>
            <w:shd w:val="clear" w:color="auto" w:fill="D8E8EF"/>
          </w:tcPr>
          <w:p>
            <w:pPr>
              <w:spacing w:after="0"/>
              <w:rPr>
                <w:sz w:val="4"/>
                <w:szCs w:val="4"/>
                <w:color w:val="auto"/>
              </w:rPr>
            </w:pPr>
          </w:p>
        </w:tc>
        <w:tc>
          <w:tcPr>
            <w:tcW w:w="320" w:type="dxa"/>
            <w:vAlign w:val="bottom"/>
            <w:tcBorders>
              <w:top w:val="single" w:sz="8" w:color="auto"/>
            </w:tcBorders>
            <w:shd w:val="clear" w:color="auto" w:fill="D8E8EF"/>
          </w:tcPr>
          <w:p>
            <w:pPr>
              <w:spacing w:after="0"/>
              <w:rPr>
                <w:sz w:val="4"/>
                <w:szCs w:val="4"/>
                <w:color w:val="auto"/>
              </w:rPr>
            </w:pPr>
          </w:p>
        </w:tc>
        <w:tc>
          <w:tcPr>
            <w:tcW w:w="80" w:type="dxa"/>
            <w:vAlign w:val="bottom"/>
            <w:tcBorders>
              <w:top w:val="single" w:sz="8" w:color="D8E8EF"/>
            </w:tcBorders>
            <w:shd w:val="clear" w:color="auto" w:fill="D8E8EF"/>
          </w:tcPr>
          <w:p>
            <w:pPr>
              <w:spacing w:after="0"/>
              <w:rPr>
                <w:sz w:val="4"/>
                <w:szCs w:val="4"/>
                <w:color w:val="auto"/>
              </w:rPr>
            </w:pPr>
          </w:p>
        </w:tc>
        <w:tc>
          <w:tcPr>
            <w:tcW w:w="340" w:type="dxa"/>
            <w:vAlign w:val="bottom"/>
            <w:tcBorders>
              <w:top w:val="single" w:sz="8" w:color="D8E8EF"/>
            </w:tcBorders>
            <w:shd w:val="clear" w:color="auto" w:fill="D8E8EF"/>
          </w:tcPr>
          <w:p>
            <w:pPr>
              <w:spacing w:after="0"/>
              <w:rPr>
                <w:sz w:val="4"/>
                <w:szCs w:val="4"/>
                <w:color w:val="auto"/>
              </w:rPr>
            </w:pPr>
          </w:p>
        </w:tc>
        <w:tc>
          <w:tcPr>
            <w:tcW w:w="1220" w:type="dxa"/>
            <w:vAlign w:val="bottom"/>
            <w:tcBorders>
              <w:top w:val="single" w:sz="8" w:color="D8E8EF"/>
            </w:tcBorders>
            <w:shd w:val="clear" w:color="auto" w:fill="D8E8EF"/>
          </w:tcPr>
          <w:p>
            <w:pPr>
              <w:spacing w:after="0"/>
              <w:rPr>
                <w:sz w:val="4"/>
                <w:szCs w:val="4"/>
                <w:color w:val="auto"/>
              </w:rPr>
            </w:pPr>
          </w:p>
        </w:tc>
        <w:tc>
          <w:tcPr>
            <w:tcW w:w="0" w:type="dxa"/>
            <w:vAlign w:val="bottom"/>
          </w:tcPr>
          <w:p>
            <w:pPr>
              <w:spacing w:after="0"/>
              <w:rPr>
                <w:sz w:val="1"/>
                <w:szCs w:val="1"/>
                <w:color w:val="auto"/>
              </w:rPr>
            </w:pPr>
          </w:p>
        </w:tc>
      </w:tr>
      <w:tr>
        <w:trPr>
          <w:trHeight w:val="227"/>
        </w:trPr>
        <w:tc>
          <w:tcPr>
            <w:tcW w:w="2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gridSpan w:val="3"/>
          </w:tcPr>
          <w:p>
            <w:pPr>
              <w:spacing w:after="0"/>
              <w:rPr>
                <w:sz w:val="20"/>
                <w:szCs w:val="20"/>
                <w:color w:val="auto"/>
              </w:rPr>
            </w:pPr>
            <w:r>
              <w:rPr>
                <w:rFonts w:ascii="Arial" w:cs="Arial" w:eastAsia="Arial" w:hAnsi="Arial"/>
                <w:sz w:val="16"/>
                <w:szCs w:val="16"/>
                <w:color w:val="auto"/>
              </w:rPr>
              <w:t>Company: 34.4%</w:t>
            </w:r>
          </w:p>
        </w:tc>
        <w:tc>
          <w:tcPr>
            <w:tcW w:w="2140" w:type="dxa"/>
            <w:vAlign w:val="bottom"/>
            <w:gridSpan w:val="4"/>
          </w:tcPr>
          <w:p>
            <w:pPr>
              <w:ind w:left="160"/>
              <w:spacing w:after="0"/>
              <w:rPr>
                <w:sz w:val="20"/>
                <w:szCs w:val="20"/>
                <w:color w:val="auto"/>
              </w:rPr>
            </w:pPr>
            <w:r>
              <w:rPr>
                <w:rFonts w:ascii="Arial" w:cs="Arial" w:eastAsia="Arial" w:hAnsi="Arial"/>
                <w:sz w:val="16"/>
                <w:szCs w:val="16"/>
                <w:color w:val="auto"/>
              </w:rPr>
              <w:t>Company: 38.0%</w:t>
            </w:r>
          </w:p>
        </w:tc>
        <w:tc>
          <w:tcPr>
            <w:tcW w:w="2060" w:type="dxa"/>
            <w:vAlign w:val="bottom"/>
            <w:gridSpan w:val="3"/>
          </w:tcPr>
          <w:p>
            <w:pPr>
              <w:spacing w:after="0"/>
              <w:rPr>
                <w:sz w:val="20"/>
                <w:szCs w:val="20"/>
                <w:color w:val="auto"/>
              </w:rPr>
            </w:pPr>
            <w:r>
              <w:rPr>
                <w:rFonts w:ascii="Arial" w:cs="Arial" w:eastAsia="Arial" w:hAnsi="Arial"/>
                <w:sz w:val="16"/>
                <w:szCs w:val="16"/>
                <w:color w:val="auto"/>
              </w:rPr>
              <w:t>Company: 40.0%</w:t>
            </w:r>
          </w:p>
        </w:tc>
        <w:tc>
          <w:tcPr>
            <w:tcW w:w="1960" w:type="dxa"/>
            <w:vAlign w:val="bottom"/>
            <w:gridSpan w:val="4"/>
          </w:tcPr>
          <w:p>
            <w:pPr>
              <w:spacing w:after="0"/>
              <w:rPr>
                <w:sz w:val="20"/>
                <w:szCs w:val="20"/>
                <w:color w:val="auto"/>
              </w:rPr>
            </w:pPr>
            <w:r>
              <w:rPr>
                <w:rFonts w:ascii="Arial" w:cs="Arial" w:eastAsia="Arial" w:hAnsi="Arial"/>
                <w:sz w:val="16"/>
                <w:szCs w:val="16"/>
                <w:color w:val="auto"/>
              </w:rPr>
              <w:t>Company: 45.2%</w:t>
            </w: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right w:val="single" w:sz="8" w:color="auto"/>
            </w:tcBorders>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40" w:type="dxa"/>
            <w:vAlign w:val="bottom"/>
            <w:gridSpan w:val="3"/>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2840" w:type="dxa"/>
            <w:vAlign w:val="bottom"/>
            <w:vMerge w:val="restart"/>
          </w:tcPr>
          <w:p>
            <w:pPr>
              <w:ind w:left="100"/>
              <w:spacing w:after="0"/>
              <w:rPr>
                <w:sz w:val="20"/>
                <w:szCs w:val="20"/>
                <w:color w:val="auto"/>
              </w:rPr>
            </w:pPr>
            <w:r>
              <w:rPr>
                <w:rFonts w:ascii="Arial" w:cs="Arial" w:eastAsia="Arial" w:hAnsi="Arial"/>
                <w:sz w:val="16"/>
                <w:szCs w:val="16"/>
                <w:color w:val="auto"/>
              </w:rPr>
              <w:t>Non-GAAP Gross Margin</w:t>
            </w:r>
          </w:p>
        </w:tc>
        <w:tc>
          <w:tcPr>
            <w:tcW w:w="120" w:type="dxa"/>
            <w:vAlign w:val="bottom"/>
          </w:tcPr>
          <w:p>
            <w:pPr>
              <w:spacing w:after="0"/>
              <w:rPr>
                <w:sz w:val="14"/>
                <w:szCs w:val="14"/>
                <w:color w:val="auto"/>
              </w:rPr>
            </w:pPr>
          </w:p>
        </w:tc>
        <w:tc>
          <w:tcPr>
            <w:tcW w:w="1800" w:type="dxa"/>
            <w:vAlign w:val="bottom"/>
            <w:gridSpan w:val="3"/>
          </w:tcPr>
          <w:p>
            <w:pPr>
              <w:spacing w:after="0" w:line="168" w:lineRule="exact"/>
              <w:rPr>
                <w:sz w:val="20"/>
                <w:szCs w:val="20"/>
                <w:color w:val="auto"/>
              </w:rPr>
            </w:pPr>
            <w:r>
              <w:rPr>
                <w:rFonts w:ascii="Arial" w:cs="Arial" w:eastAsia="Arial" w:hAnsi="Arial"/>
                <w:sz w:val="16"/>
                <w:szCs w:val="16"/>
                <w:color w:val="auto"/>
              </w:rPr>
              <w:t>ASG: 38.5%</w:t>
            </w:r>
          </w:p>
        </w:tc>
        <w:tc>
          <w:tcPr>
            <w:tcW w:w="160" w:type="dxa"/>
            <w:vAlign w:val="bottom"/>
            <w:vMerge w:val="continue"/>
          </w:tcPr>
          <w:p>
            <w:pPr>
              <w:spacing w:after="0"/>
              <w:rPr>
                <w:sz w:val="14"/>
                <w:szCs w:val="14"/>
                <w:color w:val="auto"/>
              </w:rPr>
            </w:pPr>
          </w:p>
        </w:tc>
        <w:tc>
          <w:tcPr>
            <w:tcW w:w="1980" w:type="dxa"/>
            <w:vAlign w:val="bottom"/>
            <w:gridSpan w:val="3"/>
          </w:tcPr>
          <w:p>
            <w:pPr>
              <w:spacing w:after="0" w:line="168" w:lineRule="exact"/>
              <w:rPr>
                <w:sz w:val="20"/>
                <w:szCs w:val="20"/>
                <w:color w:val="auto"/>
              </w:rPr>
            </w:pPr>
            <w:r>
              <w:rPr>
                <w:rFonts w:ascii="Arial" w:cs="Arial" w:eastAsia="Arial" w:hAnsi="Arial"/>
                <w:sz w:val="16"/>
                <w:szCs w:val="16"/>
                <w:color w:val="auto"/>
              </w:rPr>
              <w:t>ASG: 40.6%</w:t>
            </w:r>
          </w:p>
        </w:tc>
        <w:tc>
          <w:tcPr>
            <w:tcW w:w="2060" w:type="dxa"/>
            <w:vAlign w:val="bottom"/>
            <w:gridSpan w:val="3"/>
          </w:tcPr>
          <w:p>
            <w:pPr>
              <w:spacing w:after="0" w:line="168" w:lineRule="exact"/>
              <w:rPr>
                <w:sz w:val="20"/>
                <w:szCs w:val="20"/>
                <w:color w:val="auto"/>
              </w:rPr>
            </w:pPr>
            <w:r>
              <w:rPr>
                <w:rFonts w:ascii="Arial" w:cs="Arial" w:eastAsia="Arial" w:hAnsi="Arial"/>
                <w:sz w:val="16"/>
                <w:szCs w:val="16"/>
                <w:color w:val="auto"/>
              </w:rPr>
              <w:t>ASG: 43.8%</w:t>
            </w:r>
          </w:p>
        </w:tc>
        <w:tc>
          <w:tcPr>
            <w:tcW w:w="1960" w:type="dxa"/>
            <w:vAlign w:val="bottom"/>
            <w:gridSpan w:val="4"/>
          </w:tcPr>
          <w:p>
            <w:pPr>
              <w:spacing w:after="0" w:line="168" w:lineRule="exact"/>
              <w:rPr>
                <w:sz w:val="20"/>
                <w:szCs w:val="20"/>
                <w:color w:val="auto"/>
              </w:rPr>
            </w:pPr>
            <w:r>
              <w:rPr>
                <w:rFonts w:ascii="Arial" w:cs="Arial" w:eastAsia="Arial" w:hAnsi="Arial"/>
                <w:sz w:val="16"/>
                <w:szCs w:val="16"/>
                <w:color w:val="auto"/>
              </w:rPr>
              <w:t>ASG: 49.2%</w:t>
            </w:r>
          </w:p>
        </w:tc>
        <w:tc>
          <w:tcPr>
            <w:tcW w:w="0" w:type="dxa"/>
            <w:vAlign w:val="bottom"/>
          </w:tcPr>
          <w:p>
            <w:pPr>
              <w:spacing w:after="0"/>
              <w:rPr>
                <w:sz w:val="1"/>
                <w:szCs w:val="1"/>
                <w:color w:val="auto"/>
              </w:rPr>
            </w:pPr>
          </w:p>
        </w:tc>
      </w:tr>
      <w:tr>
        <w:trPr>
          <w:trHeight w:val="20"/>
        </w:trPr>
        <w:tc>
          <w:tcPr>
            <w:tcW w:w="284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right w:val="single" w:sz="8" w:color="auto"/>
            </w:tcBorders>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right w:val="single" w:sz="8" w:color="auto"/>
            </w:tcBorders>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80" w:type="dxa"/>
            <w:vAlign w:val="bottom"/>
            <w:tcBorders>
              <w:right w:val="single" w:sz="8" w:color="auto"/>
            </w:tcBorders>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
        </w:trPr>
        <w:tc>
          <w:tcPr>
            <w:tcW w:w="28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800" w:type="dxa"/>
            <w:vAlign w:val="bottom"/>
            <w:gridSpan w:val="3"/>
            <w:vMerge w:val="restart"/>
          </w:tcPr>
          <w:p>
            <w:pPr>
              <w:spacing w:after="0" w:line="168" w:lineRule="exact"/>
              <w:rPr>
                <w:sz w:val="20"/>
                <w:szCs w:val="20"/>
                <w:color w:val="auto"/>
              </w:rPr>
            </w:pPr>
            <w:r>
              <w:rPr>
                <w:rFonts w:ascii="Arial" w:cs="Arial" w:eastAsia="Arial" w:hAnsi="Arial"/>
                <w:sz w:val="16"/>
                <w:szCs w:val="16"/>
                <w:color w:val="auto"/>
              </w:rPr>
              <w:t>PSG: 31.8%</w:t>
            </w:r>
          </w:p>
        </w:tc>
        <w:tc>
          <w:tcPr>
            <w:tcW w:w="2140" w:type="dxa"/>
            <w:vAlign w:val="bottom"/>
            <w:gridSpan w:val="4"/>
            <w:vMerge w:val="restart"/>
          </w:tcPr>
          <w:p>
            <w:pPr>
              <w:ind w:left="160"/>
              <w:spacing w:after="0" w:line="168" w:lineRule="exact"/>
              <w:rPr>
                <w:sz w:val="20"/>
                <w:szCs w:val="20"/>
                <w:color w:val="auto"/>
              </w:rPr>
            </w:pPr>
            <w:r>
              <w:rPr>
                <w:rFonts w:ascii="Arial" w:cs="Arial" w:eastAsia="Arial" w:hAnsi="Arial"/>
                <w:sz w:val="16"/>
                <w:szCs w:val="16"/>
                <w:color w:val="auto"/>
              </w:rPr>
              <w:t>PSG: 36.0%</w:t>
            </w:r>
          </w:p>
        </w:tc>
        <w:tc>
          <w:tcPr>
            <w:tcW w:w="2060" w:type="dxa"/>
            <w:vAlign w:val="bottom"/>
            <w:gridSpan w:val="3"/>
            <w:vMerge w:val="restart"/>
          </w:tcPr>
          <w:p>
            <w:pPr>
              <w:spacing w:after="0" w:line="168" w:lineRule="exact"/>
              <w:rPr>
                <w:sz w:val="20"/>
                <w:szCs w:val="20"/>
                <w:color w:val="auto"/>
              </w:rPr>
            </w:pPr>
            <w:r>
              <w:rPr>
                <w:rFonts w:ascii="Arial" w:cs="Arial" w:eastAsia="Arial" w:hAnsi="Arial"/>
                <w:sz w:val="16"/>
                <w:szCs w:val="16"/>
                <w:color w:val="auto"/>
              </w:rPr>
              <w:t>PSG: 37.3%</w:t>
            </w:r>
          </w:p>
        </w:tc>
        <w:tc>
          <w:tcPr>
            <w:tcW w:w="1960" w:type="dxa"/>
            <w:vAlign w:val="bottom"/>
            <w:gridSpan w:val="4"/>
            <w:vMerge w:val="restart"/>
          </w:tcPr>
          <w:p>
            <w:pPr>
              <w:spacing w:after="0" w:line="168" w:lineRule="exact"/>
              <w:rPr>
                <w:sz w:val="20"/>
                <w:szCs w:val="20"/>
                <w:color w:val="auto"/>
              </w:rPr>
            </w:pPr>
            <w:r>
              <w:rPr>
                <w:rFonts w:ascii="Arial" w:cs="Arial" w:eastAsia="Arial" w:hAnsi="Arial"/>
                <w:sz w:val="16"/>
                <w:szCs w:val="16"/>
                <w:color w:val="auto"/>
              </w:rPr>
              <w:t>PSG: 43.2%</w:t>
            </w:r>
          </w:p>
        </w:tc>
        <w:tc>
          <w:tcPr>
            <w:tcW w:w="0" w:type="dxa"/>
            <w:vAlign w:val="bottom"/>
          </w:tcPr>
          <w:p>
            <w:pPr>
              <w:spacing w:after="0"/>
              <w:rPr>
                <w:sz w:val="1"/>
                <w:szCs w:val="1"/>
                <w:color w:val="auto"/>
              </w:rPr>
            </w:pPr>
          </w:p>
        </w:tc>
      </w:tr>
      <w:tr>
        <w:trPr>
          <w:trHeight w:val="97"/>
        </w:trPr>
        <w:tc>
          <w:tcPr>
            <w:tcW w:w="2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0" w:type="dxa"/>
            <w:vAlign w:val="bottom"/>
            <w:gridSpan w:val="3"/>
            <w:vMerge w:val="continue"/>
          </w:tcPr>
          <w:p>
            <w:pPr>
              <w:spacing w:after="0"/>
              <w:rPr>
                <w:sz w:val="8"/>
                <w:szCs w:val="8"/>
                <w:color w:val="auto"/>
              </w:rPr>
            </w:pPr>
          </w:p>
        </w:tc>
        <w:tc>
          <w:tcPr>
            <w:tcW w:w="2140" w:type="dxa"/>
            <w:vAlign w:val="bottom"/>
            <w:gridSpan w:val="4"/>
            <w:vMerge w:val="continue"/>
          </w:tcPr>
          <w:p>
            <w:pPr>
              <w:spacing w:after="0"/>
              <w:rPr>
                <w:sz w:val="8"/>
                <w:szCs w:val="8"/>
                <w:color w:val="auto"/>
              </w:rPr>
            </w:pPr>
          </w:p>
        </w:tc>
        <w:tc>
          <w:tcPr>
            <w:tcW w:w="2060" w:type="dxa"/>
            <w:vAlign w:val="bottom"/>
            <w:gridSpan w:val="3"/>
            <w:vMerge w:val="continue"/>
          </w:tcPr>
          <w:p>
            <w:pPr>
              <w:spacing w:after="0"/>
              <w:rPr>
                <w:sz w:val="8"/>
                <w:szCs w:val="8"/>
                <w:color w:val="auto"/>
              </w:rPr>
            </w:pPr>
          </w:p>
        </w:tc>
        <w:tc>
          <w:tcPr>
            <w:tcW w:w="19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7"/>
        </w:trPr>
        <w:tc>
          <w:tcPr>
            <w:tcW w:w="2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Borders>
              <w:top w:val="single" w:sz="8" w:color="auto"/>
            </w:tcBorders>
          </w:tcPr>
          <w:p>
            <w:pPr>
              <w:spacing w:after="0" w:line="168" w:lineRule="exact"/>
              <w:rPr>
                <w:sz w:val="20"/>
                <w:szCs w:val="20"/>
                <w:color w:val="auto"/>
              </w:rPr>
            </w:pPr>
            <w:r>
              <w:rPr>
                <w:rFonts w:ascii="Arial" w:cs="Arial" w:eastAsia="Arial" w:hAnsi="Arial"/>
                <w:sz w:val="16"/>
                <w:szCs w:val="16"/>
                <w:color w:val="auto"/>
              </w:rPr>
              <w:t>ISG:</w:t>
            </w:r>
          </w:p>
        </w:tc>
        <w:tc>
          <w:tcPr>
            <w:tcW w:w="1420" w:type="dxa"/>
            <w:vAlign w:val="bottom"/>
            <w:gridSpan w:val="2"/>
          </w:tcPr>
          <w:p>
            <w:pPr>
              <w:spacing w:after="0" w:line="168" w:lineRule="exact"/>
              <w:rPr>
                <w:sz w:val="20"/>
                <w:szCs w:val="20"/>
                <w:color w:val="auto"/>
              </w:rPr>
            </w:pPr>
            <w:r>
              <w:rPr>
                <w:rFonts w:ascii="Arial" w:cs="Arial" w:eastAsia="Arial" w:hAnsi="Arial"/>
                <w:sz w:val="16"/>
                <w:szCs w:val="16"/>
                <w:color w:val="auto"/>
              </w:rPr>
              <w:t>33.0%</w:t>
            </w:r>
          </w:p>
        </w:tc>
        <w:tc>
          <w:tcPr>
            <w:tcW w:w="160" w:type="dxa"/>
            <w:vAlign w:val="bottom"/>
          </w:tcPr>
          <w:p>
            <w:pPr>
              <w:spacing w:after="0"/>
              <w:rPr>
                <w:sz w:val="14"/>
                <w:szCs w:val="14"/>
                <w:color w:val="auto"/>
              </w:rPr>
            </w:pPr>
          </w:p>
        </w:tc>
        <w:tc>
          <w:tcPr>
            <w:tcW w:w="400" w:type="dxa"/>
            <w:vAlign w:val="bottom"/>
            <w:tcBorders>
              <w:top w:val="single" w:sz="8" w:color="auto"/>
            </w:tcBorders>
          </w:tcPr>
          <w:p>
            <w:pPr>
              <w:spacing w:after="0" w:line="168" w:lineRule="exact"/>
              <w:rPr>
                <w:sz w:val="20"/>
                <w:szCs w:val="20"/>
                <w:color w:val="auto"/>
              </w:rPr>
            </w:pPr>
            <w:r>
              <w:rPr>
                <w:rFonts w:ascii="Arial" w:cs="Arial" w:eastAsia="Arial" w:hAnsi="Arial"/>
                <w:sz w:val="16"/>
                <w:szCs w:val="16"/>
                <w:color w:val="auto"/>
              </w:rPr>
              <w:t>ISG:</w:t>
            </w:r>
          </w:p>
        </w:tc>
        <w:tc>
          <w:tcPr>
            <w:tcW w:w="1580" w:type="dxa"/>
            <w:vAlign w:val="bottom"/>
            <w:gridSpan w:val="2"/>
          </w:tcPr>
          <w:p>
            <w:pPr>
              <w:spacing w:after="0" w:line="168" w:lineRule="exact"/>
              <w:rPr>
                <w:sz w:val="20"/>
                <w:szCs w:val="20"/>
                <w:color w:val="auto"/>
              </w:rPr>
            </w:pPr>
            <w:r>
              <w:rPr>
                <w:rFonts w:ascii="Arial" w:cs="Arial" w:eastAsia="Arial" w:hAnsi="Arial"/>
                <w:sz w:val="16"/>
                <w:szCs w:val="16"/>
                <w:color w:val="auto"/>
              </w:rPr>
              <w:t>38.0%</w:t>
            </w:r>
          </w:p>
        </w:tc>
        <w:tc>
          <w:tcPr>
            <w:tcW w:w="380" w:type="dxa"/>
            <w:vAlign w:val="bottom"/>
            <w:tcBorders>
              <w:top w:val="single" w:sz="8" w:color="auto"/>
            </w:tcBorders>
          </w:tcPr>
          <w:p>
            <w:pPr>
              <w:spacing w:after="0" w:line="168" w:lineRule="exact"/>
              <w:rPr>
                <w:sz w:val="20"/>
                <w:szCs w:val="20"/>
                <w:color w:val="auto"/>
              </w:rPr>
            </w:pPr>
            <w:r>
              <w:rPr>
                <w:rFonts w:ascii="Arial" w:cs="Arial" w:eastAsia="Arial" w:hAnsi="Arial"/>
                <w:sz w:val="16"/>
                <w:szCs w:val="16"/>
                <w:color w:val="auto"/>
              </w:rPr>
              <w:t>ISG:</w:t>
            </w:r>
          </w:p>
        </w:tc>
        <w:tc>
          <w:tcPr>
            <w:tcW w:w="1680" w:type="dxa"/>
            <w:vAlign w:val="bottom"/>
            <w:gridSpan w:val="2"/>
          </w:tcPr>
          <w:p>
            <w:pPr>
              <w:spacing w:after="0" w:line="168" w:lineRule="exact"/>
              <w:rPr>
                <w:sz w:val="20"/>
                <w:szCs w:val="20"/>
                <w:color w:val="auto"/>
              </w:rPr>
            </w:pPr>
            <w:r>
              <w:rPr>
                <w:rFonts w:ascii="Arial" w:cs="Arial" w:eastAsia="Arial" w:hAnsi="Arial"/>
                <w:sz w:val="16"/>
                <w:szCs w:val="16"/>
                <w:color w:val="auto"/>
              </w:rPr>
              <w:t>39.4%</w:t>
            </w:r>
          </w:p>
        </w:tc>
        <w:tc>
          <w:tcPr>
            <w:tcW w:w="400" w:type="dxa"/>
            <w:vAlign w:val="bottom"/>
            <w:tcBorders>
              <w:top w:val="single" w:sz="8" w:color="auto"/>
            </w:tcBorders>
            <w:gridSpan w:val="2"/>
          </w:tcPr>
          <w:p>
            <w:pPr>
              <w:spacing w:after="0" w:line="168" w:lineRule="exact"/>
              <w:rPr>
                <w:sz w:val="20"/>
                <w:szCs w:val="20"/>
                <w:color w:val="auto"/>
              </w:rPr>
            </w:pPr>
            <w:r>
              <w:rPr>
                <w:rFonts w:ascii="Arial" w:cs="Arial" w:eastAsia="Arial" w:hAnsi="Arial"/>
                <w:sz w:val="16"/>
                <w:szCs w:val="16"/>
                <w:color w:val="auto"/>
              </w:rPr>
              <w:t>ISG:</w:t>
            </w:r>
          </w:p>
        </w:tc>
        <w:tc>
          <w:tcPr>
            <w:tcW w:w="1560" w:type="dxa"/>
            <w:vAlign w:val="bottom"/>
            <w:gridSpan w:val="2"/>
          </w:tcPr>
          <w:p>
            <w:pPr>
              <w:spacing w:after="0" w:line="168" w:lineRule="exact"/>
              <w:rPr>
                <w:sz w:val="20"/>
                <w:szCs w:val="20"/>
                <w:color w:val="auto"/>
              </w:rPr>
            </w:pPr>
            <w:r>
              <w:rPr>
                <w:rFonts w:ascii="Arial" w:cs="Arial" w:eastAsia="Arial" w:hAnsi="Arial"/>
                <w:sz w:val="16"/>
                <w:szCs w:val="16"/>
                <w:color w:val="auto"/>
              </w:rPr>
              <w:t>42.5%</w:t>
            </w:r>
          </w:p>
        </w:tc>
        <w:tc>
          <w:tcPr>
            <w:tcW w:w="0" w:type="dxa"/>
            <w:vAlign w:val="bottom"/>
          </w:tcPr>
          <w:p>
            <w:pPr>
              <w:spacing w:after="0"/>
              <w:rPr>
                <w:sz w:val="1"/>
                <w:szCs w:val="1"/>
                <w:color w:val="auto"/>
              </w:rPr>
            </w:pPr>
          </w:p>
        </w:tc>
      </w:tr>
      <w:tr>
        <w:trPr>
          <w:trHeight w:val="47"/>
        </w:trPr>
        <w:tc>
          <w:tcPr>
            <w:tcW w:w="2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Borders>
              <w:top w:val="single" w:sz="8" w:color="auto"/>
            </w:tcBorders>
          </w:tcPr>
          <w:p>
            <w:pPr>
              <w:spacing w:after="0"/>
              <w:rPr>
                <w:sz w:val="4"/>
                <w:szCs w:val="4"/>
                <w:color w:val="auto"/>
              </w:rPr>
            </w:pPr>
          </w:p>
        </w:tc>
        <w:tc>
          <w:tcPr>
            <w:tcW w:w="3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3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380" w:type="dxa"/>
            <w:vAlign w:val="bottom"/>
            <w:tcBorders>
              <w:top w:val="single" w:sz="8" w:color="auto"/>
            </w:tcBorders>
          </w:tcPr>
          <w:p>
            <w:pPr>
              <w:spacing w:after="0"/>
              <w:rPr>
                <w:sz w:val="4"/>
                <w:szCs w:val="4"/>
                <w:color w:val="auto"/>
              </w:rPr>
            </w:pPr>
          </w:p>
        </w:tc>
        <w:tc>
          <w:tcPr>
            <w:tcW w:w="3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32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7"/>
        </w:trPr>
        <w:tc>
          <w:tcPr>
            <w:tcW w:w="2840" w:type="dxa"/>
            <w:vAlign w:val="bottom"/>
            <w:shd w:val="clear" w:color="auto" w:fill="D8E8EF"/>
          </w:tcPr>
          <w:p>
            <w:pPr>
              <w:spacing w:after="0"/>
              <w:rPr>
                <w:sz w:val="19"/>
                <w:szCs w:val="19"/>
                <w:color w:val="auto"/>
              </w:rPr>
            </w:pPr>
          </w:p>
        </w:tc>
        <w:tc>
          <w:tcPr>
            <w:tcW w:w="120" w:type="dxa"/>
            <w:vAlign w:val="bottom"/>
            <w:shd w:val="clear" w:color="auto" w:fill="D8E8EF"/>
          </w:tcPr>
          <w:p>
            <w:pPr>
              <w:spacing w:after="0"/>
              <w:rPr>
                <w:sz w:val="19"/>
                <w:szCs w:val="19"/>
                <w:color w:val="auto"/>
              </w:rPr>
            </w:pPr>
          </w:p>
        </w:tc>
        <w:tc>
          <w:tcPr>
            <w:tcW w:w="1800" w:type="dxa"/>
            <w:vAlign w:val="bottom"/>
            <w:gridSpan w:val="3"/>
            <w:shd w:val="clear" w:color="auto" w:fill="D8E8EF"/>
          </w:tcPr>
          <w:p>
            <w:pPr>
              <w:spacing w:after="0"/>
              <w:rPr>
                <w:sz w:val="20"/>
                <w:szCs w:val="20"/>
                <w:color w:val="auto"/>
              </w:rPr>
            </w:pPr>
            <w:r>
              <w:rPr>
                <w:rFonts w:ascii="Arial" w:cs="Arial" w:eastAsia="Arial" w:hAnsi="Arial"/>
                <w:sz w:val="16"/>
                <w:szCs w:val="16"/>
                <w:color w:val="auto"/>
              </w:rPr>
              <w:t>Company: $536 million</w:t>
            </w:r>
          </w:p>
        </w:tc>
        <w:tc>
          <w:tcPr>
            <w:tcW w:w="2140" w:type="dxa"/>
            <w:vAlign w:val="bottom"/>
            <w:gridSpan w:val="4"/>
            <w:shd w:val="clear" w:color="auto" w:fill="D8E8EF"/>
          </w:tcPr>
          <w:p>
            <w:pPr>
              <w:ind w:left="160"/>
              <w:spacing w:after="0"/>
              <w:rPr>
                <w:sz w:val="20"/>
                <w:szCs w:val="20"/>
                <w:color w:val="auto"/>
              </w:rPr>
            </w:pPr>
            <w:r>
              <w:rPr>
                <w:rFonts w:ascii="Arial" w:cs="Arial" w:eastAsia="Arial" w:hAnsi="Arial"/>
                <w:sz w:val="16"/>
                <w:szCs w:val="16"/>
                <w:color w:val="auto"/>
              </w:rPr>
              <w:t>Company: $773 million</w:t>
            </w:r>
          </w:p>
        </w:tc>
        <w:tc>
          <w:tcPr>
            <w:tcW w:w="2060" w:type="dxa"/>
            <w:vAlign w:val="bottom"/>
            <w:gridSpan w:val="3"/>
            <w:shd w:val="clear" w:color="auto" w:fill="D8E8EF"/>
          </w:tcPr>
          <w:p>
            <w:pPr>
              <w:spacing w:after="0"/>
              <w:rPr>
                <w:sz w:val="20"/>
                <w:szCs w:val="20"/>
                <w:color w:val="auto"/>
              </w:rPr>
            </w:pPr>
            <w:r>
              <w:rPr>
                <w:rFonts w:ascii="Arial" w:cs="Arial" w:eastAsia="Arial" w:hAnsi="Arial"/>
                <w:sz w:val="16"/>
                <w:szCs w:val="16"/>
                <w:color w:val="auto"/>
              </w:rPr>
              <w:t>Company: $1.186 billion</w:t>
            </w:r>
          </w:p>
        </w:tc>
        <w:tc>
          <w:tcPr>
            <w:tcW w:w="1960" w:type="dxa"/>
            <w:vAlign w:val="bottom"/>
            <w:gridSpan w:val="4"/>
            <w:shd w:val="clear" w:color="auto" w:fill="D8E8EF"/>
          </w:tcPr>
          <w:p>
            <w:pPr>
              <w:spacing w:after="0"/>
              <w:rPr>
                <w:sz w:val="20"/>
                <w:szCs w:val="20"/>
                <w:color w:val="auto"/>
              </w:rPr>
            </w:pPr>
            <w:r>
              <w:rPr>
                <w:rFonts w:ascii="Arial" w:cs="Arial" w:eastAsia="Arial" w:hAnsi="Arial"/>
                <w:sz w:val="16"/>
                <w:szCs w:val="16"/>
                <w:color w:val="auto"/>
              </w:rPr>
              <w:t>Company: $1.478 billion</w:t>
            </w:r>
          </w:p>
        </w:tc>
        <w:tc>
          <w:tcPr>
            <w:tcW w:w="0" w:type="dxa"/>
            <w:vAlign w:val="bottom"/>
          </w:tcPr>
          <w:p>
            <w:pPr>
              <w:spacing w:after="0"/>
              <w:rPr>
                <w:sz w:val="1"/>
                <w:szCs w:val="1"/>
                <w:color w:val="auto"/>
              </w:rPr>
            </w:pPr>
          </w:p>
        </w:tc>
      </w:tr>
      <w:tr>
        <w:trPr>
          <w:trHeight w:val="20"/>
        </w:trPr>
        <w:tc>
          <w:tcPr>
            <w:tcW w:w="2840" w:type="dxa"/>
            <w:vAlign w:val="bottom"/>
            <w:shd w:val="clear" w:color="auto" w:fill="D8E8EF"/>
          </w:tcPr>
          <w:p>
            <w:pPr>
              <w:spacing w:after="0" w:line="20" w:lineRule="exact"/>
              <w:rPr>
                <w:sz w:val="1"/>
                <w:szCs w:val="1"/>
                <w:color w:val="auto"/>
              </w:rPr>
            </w:pPr>
          </w:p>
        </w:tc>
        <w:tc>
          <w:tcPr>
            <w:tcW w:w="120" w:type="dxa"/>
            <w:vAlign w:val="bottom"/>
            <w:shd w:val="clear" w:color="auto" w:fill="D8E8EF"/>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1060" w:type="dxa"/>
            <w:vAlign w:val="bottom"/>
            <w:vMerge w:val="restart"/>
            <w:shd w:val="clear" w:color="auto" w:fill="D8E8EF"/>
          </w:tcPr>
          <w:p>
            <w:pPr>
              <w:jc w:val="right"/>
              <w:ind w:right="440"/>
              <w:spacing w:after="0"/>
              <w:rPr>
                <w:sz w:val="20"/>
                <w:szCs w:val="20"/>
                <w:color w:val="auto"/>
              </w:rPr>
            </w:pPr>
            <w:r>
              <w:rPr>
                <w:rFonts w:ascii="Arial" w:cs="Arial" w:eastAsia="Arial" w:hAnsi="Arial"/>
                <w:sz w:val="16"/>
                <w:szCs w:val="16"/>
                <w:color w:val="auto"/>
              </w:rPr>
              <w:t>million</w:t>
            </w:r>
          </w:p>
        </w:tc>
        <w:tc>
          <w:tcPr>
            <w:tcW w:w="160" w:type="dxa"/>
            <w:vAlign w:val="bottom"/>
            <w:vMerge w:val="restart"/>
            <w:shd w:val="clear" w:color="auto" w:fill="D8E8EF"/>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1240" w:type="dxa"/>
            <w:vAlign w:val="bottom"/>
            <w:vMerge w:val="restart"/>
            <w:shd w:val="clear" w:color="auto" w:fill="D8E8EF"/>
          </w:tcPr>
          <w:p>
            <w:pPr>
              <w:jc w:val="right"/>
              <w:ind w:right="600"/>
              <w:spacing w:after="0"/>
              <w:rPr>
                <w:sz w:val="20"/>
                <w:szCs w:val="20"/>
                <w:color w:val="auto"/>
              </w:rPr>
            </w:pPr>
            <w:r>
              <w:rPr>
                <w:rFonts w:ascii="Arial" w:cs="Arial" w:eastAsia="Arial" w:hAnsi="Arial"/>
                <w:sz w:val="16"/>
                <w:szCs w:val="16"/>
                <w:color w:val="auto"/>
              </w:rPr>
              <w:t>million</w:t>
            </w:r>
          </w:p>
        </w:tc>
        <w:tc>
          <w:tcPr>
            <w:tcW w:w="720" w:type="dxa"/>
            <w:vAlign w:val="bottom"/>
            <w:gridSpan w:val="2"/>
            <w:shd w:val="clear" w:color="auto" w:fill="000000"/>
          </w:tcPr>
          <w:p>
            <w:pPr>
              <w:spacing w:after="0" w:line="20" w:lineRule="exact"/>
              <w:rPr>
                <w:sz w:val="1"/>
                <w:szCs w:val="1"/>
                <w:color w:val="auto"/>
              </w:rPr>
            </w:pPr>
          </w:p>
        </w:tc>
        <w:tc>
          <w:tcPr>
            <w:tcW w:w="1340" w:type="dxa"/>
            <w:vAlign w:val="bottom"/>
            <w:vMerge w:val="restart"/>
            <w:shd w:val="clear" w:color="auto" w:fill="D8E8EF"/>
          </w:tcPr>
          <w:p>
            <w:pPr>
              <w:jc w:val="right"/>
              <w:ind w:right="700"/>
              <w:spacing w:after="0"/>
              <w:rPr>
                <w:sz w:val="20"/>
                <w:szCs w:val="20"/>
                <w:color w:val="auto"/>
              </w:rPr>
            </w:pPr>
            <w:r>
              <w:rPr>
                <w:rFonts w:ascii="Arial" w:cs="Arial" w:eastAsia="Arial" w:hAnsi="Arial"/>
                <w:sz w:val="16"/>
                <w:szCs w:val="16"/>
                <w:color w:val="auto"/>
              </w:rPr>
              <w:t>million</w:t>
            </w:r>
          </w:p>
        </w:tc>
        <w:tc>
          <w:tcPr>
            <w:tcW w:w="740" w:type="dxa"/>
            <w:vAlign w:val="bottom"/>
            <w:gridSpan w:val="3"/>
            <w:shd w:val="clear" w:color="auto" w:fill="000000"/>
          </w:tcPr>
          <w:p>
            <w:pPr>
              <w:spacing w:after="0" w:line="20" w:lineRule="exact"/>
              <w:rPr>
                <w:sz w:val="1"/>
                <w:szCs w:val="1"/>
                <w:color w:val="auto"/>
              </w:rPr>
            </w:pPr>
          </w:p>
        </w:tc>
        <w:tc>
          <w:tcPr>
            <w:tcW w:w="1220" w:type="dxa"/>
            <w:vAlign w:val="bottom"/>
            <w:shd w:val="clear" w:color="auto" w:fill="D8E8E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2840" w:type="dxa"/>
            <w:vAlign w:val="bottom"/>
            <w:vMerge w:val="restart"/>
            <w:shd w:val="clear" w:color="auto" w:fill="D8E8EF"/>
          </w:tcPr>
          <w:p>
            <w:pPr>
              <w:ind w:left="100"/>
              <w:spacing w:after="0"/>
              <w:rPr>
                <w:sz w:val="20"/>
                <w:szCs w:val="20"/>
                <w:color w:val="auto"/>
              </w:rPr>
            </w:pPr>
            <w:r>
              <w:rPr>
                <w:rFonts w:ascii="Arial" w:cs="Arial" w:eastAsia="Arial" w:hAnsi="Arial"/>
                <w:sz w:val="16"/>
                <w:szCs w:val="16"/>
                <w:color w:val="auto"/>
              </w:rPr>
              <w:t>EBIT</w:t>
            </w:r>
          </w:p>
        </w:tc>
        <w:tc>
          <w:tcPr>
            <w:tcW w:w="120" w:type="dxa"/>
            <w:vAlign w:val="bottom"/>
            <w:shd w:val="clear" w:color="auto" w:fill="D8E8EF"/>
          </w:tcPr>
          <w:p>
            <w:pPr>
              <w:spacing w:after="0"/>
              <w:rPr>
                <w:sz w:val="14"/>
                <w:szCs w:val="14"/>
                <w:color w:val="auto"/>
              </w:rPr>
            </w:pPr>
          </w:p>
        </w:tc>
        <w:tc>
          <w:tcPr>
            <w:tcW w:w="740" w:type="dxa"/>
            <w:vAlign w:val="bottom"/>
            <w:gridSpan w:val="2"/>
            <w:shd w:val="clear" w:color="auto" w:fill="D8E8EF"/>
          </w:tcPr>
          <w:p>
            <w:pPr>
              <w:spacing w:after="0" w:line="168" w:lineRule="exact"/>
              <w:rPr>
                <w:sz w:val="20"/>
                <w:szCs w:val="20"/>
                <w:color w:val="auto"/>
              </w:rPr>
            </w:pPr>
            <w:r>
              <w:rPr>
                <w:rFonts w:ascii="Arial" w:cs="Arial" w:eastAsia="Arial" w:hAnsi="Arial"/>
                <w:sz w:val="16"/>
                <w:szCs w:val="16"/>
                <w:color w:val="auto"/>
                <w:w w:val="91"/>
              </w:rPr>
              <w:t>ASG: $164</w:t>
            </w:r>
          </w:p>
        </w:tc>
        <w:tc>
          <w:tcPr>
            <w:tcW w:w="1060" w:type="dxa"/>
            <w:vAlign w:val="bottom"/>
            <w:vMerge w:val="continue"/>
            <w:shd w:val="clear" w:color="auto" w:fill="D8E8EF"/>
          </w:tcPr>
          <w:p>
            <w:pPr>
              <w:spacing w:after="0"/>
              <w:rPr>
                <w:sz w:val="14"/>
                <w:szCs w:val="14"/>
                <w:color w:val="auto"/>
              </w:rPr>
            </w:pPr>
          </w:p>
        </w:tc>
        <w:tc>
          <w:tcPr>
            <w:tcW w:w="160" w:type="dxa"/>
            <w:vAlign w:val="bottom"/>
            <w:vMerge w:val="continue"/>
            <w:shd w:val="clear" w:color="auto" w:fill="D8E8EF"/>
          </w:tcPr>
          <w:p>
            <w:pPr>
              <w:spacing w:after="0"/>
              <w:rPr>
                <w:sz w:val="14"/>
                <w:szCs w:val="14"/>
                <w:color w:val="auto"/>
              </w:rPr>
            </w:pPr>
          </w:p>
        </w:tc>
        <w:tc>
          <w:tcPr>
            <w:tcW w:w="740" w:type="dxa"/>
            <w:vAlign w:val="bottom"/>
            <w:gridSpan w:val="2"/>
            <w:shd w:val="clear" w:color="auto" w:fill="D8E8EF"/>
          </w:tcPr>
          <w:p>
            <w:pPr>
              <w:spacing w:after="0" w:line="168" w:lineRule="exact"/>
              <w:rPr>
                <w:sz w:val="20"/>
                <w:szCs w:val="20"/>
                <w:color w:val="auto"/>
              </w:rPr>
            </w:pPr>
            <w:r>
              <w:rPr>
                <w:rFonts w:ascii="Arial" w:cs="Arial" w:eastAsia="Arial" w:hAnsi="Arial"/>
                <w:sz w:val="16"/>
                <w:szCs w:val="16"/>
                <w:color w:val="auto"/>
                <w:w w:val="91"/>
              </w:rPr>
              <w:t>ASG: $215</w:t>
            </w:r>
          </w:p>
        </w:tc>
        <w:tc>
          <w:tcPr>
            <w:tcW w:w="1240" w:type="dxa"/>
            <w:vAlign w:val="bottom"/>
            <w:vMerge w:val="continue"/>
            <w:shd w:val="clear" w:color="auto" w:fill="D8E8EF"/>
          </w:tcPr>
          <w:p>
            <w:pPr>
              <w:spacing w:after="0"/>
              <w:rPr>
                <w:sz w:val="14"/>
                <w:szCs w:val="14"/>
                <w:color w:val="auto"/>
              </w:rPr>
            </w:pPr>
          </w:p>
        </w:tc>
        <w:tc>
          <w:tcPr>
            <w:tcW w:w="720" w:type="dxa"/>
            <w:vAlign w:val="bottom"/>
            <w:gridSpan w:val="2"/>
            <w:shd w:val="clear" w:color="auto" w:fill="D8E8EF"/>
          </w:tcPr>
          <w:p>
            <w:pPr>
              <w:spacing w:after="0" w:line="168" w:lineRule="exact"/>
              <w:rPr>
                <w:sz w:val="20"/>
                <w:szCs w:val="20"/>
                <w:color w:val="auto"/>
              </w:rPr>
            </w:pPr>
            <w:r>
              <w:rPr>
                <w:rFonts w:ascii="Arial" w:cs="Arial" w:eastAsia="Arial" w:hAnsi="Arial"/>
                <w:sz w:val="16"/>
                <w:szCs w:val="16"/>
                <w:color w:val="auto"/>
                <w:w w:val="89"/>
              </w:rPr>
              <w:t>ASG: $365</w:t>
            </w:r>
          </w:p>
        </w:tc>
        <w:tc>
          <w:tcPr>
            <w:tcW w:w="1340" w:type="dxa"/>
            <w:vAlign w:val="bottom"/>
            <w:vMerge w:val="continue"/>
            <w:shd w:val="clear" w:color="auto" w:fill="D8E8EF"/>
          </w:tcPr>
          <w:p>
            <w:pPr>
              <w:spacing w:after="0"/>
              <w:rPr>
                <w:sz w:val="14"/>
                <w:szCs w:val="14"/>
                <w:color w:val="auto"/>
              </w:rPr>
            </w:pPr>
          </w:p>
        </w:tc>
        <w:tc>
          <w:tcPr>
            <w:tcW w:w="1960" w:type="dxa"/>
            <w:vAlign w:val="bottom"/>
            <w:gridSpan w:val="4"/>
            <w:shd w:val="clear" w:color="auto" w:fill="D8E8EF"/>
          </w:tcPr>
          <w:p>
            <w:pPr>
              <w:spacing w:after="0" w:line="168" w:lineRule="exact"/>
              <w:rPr>
                <w:sz w:val="20"/>
                <w:szCs w:val="20"/>
                <w:color w:val="auto"/>
              </w:rPr>
            </w:pPr>
            <w:r>
              <w:rPr>
                <w:rFonts w:ascii="Arial" w:cs="Arial" w:eastAsia="Arial" w:hAnsi="Arial"/>
                <w:sz w:val="16"/>
                <w:szCs w:val="16"/>
                <w:color w:val="auto"/>
              </w:rPr>
              <w:t>ASG: $486.5 million</w:t>
            </w:r>
          </w:p>
        </w:tc>
        <w:tc>
          <w:tcPr>
            <w:tcW w:w="0" w:type="dxa"/>
            <w:vAlign w:val="bottom"/>
          </w:tcPr>
          <w:p>
            <w:pPr>
              <w:spacing w:after="0"/>
              <w:rPr>
                <w:sz w:val="1"/>
                <w:szCs w:val="1"/>
                <w:color w:val="auto"/>
              </w:rPr>
            </w:pPr>
          </w:p>
        </w:tc>
      </w:tr>
      <w:tr>
        <w:trPr>
          <w:trHeight w:val="20"/>
        </w:trPr>
        <w:tc>
          <w:tcPr>
            <w:tcW w:w="2840" w:type="dxa"/>
            <w:vAlign w:val="bottom"/>
            <w:vMerge w:val="continue"/>
            <w:shd w:val="clear" w:color="auto" w:fill="D8E8EF"/>
          </w:tcPr>
          <w:p>
            <w:pPr>
              <w:spacing w:after="0" w:line="20" w:lineRule="exact"/>
              <w:rPr>
                <w:sz w:val="1"/>
                <w:szCs w:val="1"/>
                <w:color w:val="auto"/>
              </w:rPr>
            </w:pPr>
          </w:p>
        </w:tc>
        <w:tc>
          <w:tcPr>
            <w:tcW w:w="120" w:type="dxa"/>
            <w:vAlign w:val="bottom"/>
            <w:shd w:val="clear" w:color="auto" w:fill="D8E8EF"/>
          </w:tcPr>
          <w:p>
            <w:pPr>
              <w:spacing w:after="0" w:line="20" w:lineRule="exact"/>
              <w:rPr>
                <w:sz w:val="1"/>
                <w:szCs w:val="1"/>
                <w:color w:val="auto"/>
              </w:rPr>
            </w:pPr>
          </w:p>
        </w:tc>
        <w:tc>
          <w:tcPr>
            <w:tcW w:w="380" w:type="dxa"/>
            <w:vAlign w:val="bottom"/>
            <w:tcBorders>
              <w:right w:val="single" w:sz="8" w:color="auto"/>
            </w:tcBorders>
            <w:shd w:val="clear" w:color="auto" w:fill="000000"/>
          </w:tcPr>
          <w:p>
            <w:pPr>
              <w:spacing w:after="0" w:line="20" w:lineRule="exact"/>
              <w:rPr>
                <w:sz w:val="1"/>
                <w:szCs w:val="1"/>
                <w:color w:val="auto"/>
              </w:rPr>
            </w:pPr>
          </w:p>
        </w:tc>
        <w:tc>
          <w:tcPr>
            <w:tcW w:w="360" w:type="dxa"/>
            <w:vAlign w:val="bottom"/>
            <w:shd w:val="clear" w:color="auto" w:fill="D8E8EF"/>
          </w:tcPr>
          <w:p>
            <w:pPr>
              <w:spacing w:after="0" w:line="20" w:lineRule="exact"/>
              <w:rPr>
                <w:sz w:val="1"/>
                <w:szCs w:val="1"/>
                <w:color w:val="auto"/>
              </w:rPr>
            </w:pPr>
          </w:p>
        </w:tc>
        <w:tc>
          <w:tcPr>
            <w:tcW w:w="1060" w:type="dxa"/>
            <w:vAlign w:val="bottom"/>
            <w:shd w:val="clear" w:color="auto" w:fill="D8E8EF"/>
          </w:tcPr>
          <w:p>
            <w:pPr>
              <w:spacing w:after="0" w:line="20" w:lineRule="exact"/>
              <w:rPr>
                <w:sz w:val="1"/>
                <w:szCs w:val="1"/>
                <w:color w:val="auto"/>
              </w:rPr>
            </w:pPr>
          </w:p>
        </w:tc>
        <w:tc>
          <w:tcPr>
            <w:tcW w:w="160" w:type="dxa"/>
            <w:vAlign w:val="bottom"/>
            <w:shd w:val="clear" w:color="auto" w:fill="D8E8EF"/>
          </w:tcPr>
          <w:p>
            <w:pPr>
              <w:spacing w:after="0" w:line="20" w:lineRule="exact"/>
              <w:rPr>
                <w:sz w:val="1"/>
                <w:szCs w:val="1"/>
                <w:color w:val="auto"/>
              </w:rPr>
            </w:pPr>
          </w:p>
        </w:tc>
        <w:tc>
          <w:tcPr>
            <w:tcW w:w="400" w:type="dxa"/>
            <w:vAlign w:val="bottom"/>
            <w:tcBorders>
              <w:right w:val="single" w:sz="8" w:color="auto"/>
            </w:tcBorders>
            <w:shd w:val="clear" w:color="auto" w:fill="000000"/>
          </w:tcPr>
          <w:p>
            <w:pPr>
              <w:spacing w:after="0" w:line="20" w:lineRule="exact"/>
              <w:rPr>
                <w:sz w:val="1"/>
                <w:szCs w:val="1"/>
                <w:color w:val="auto"/>
              </w:rPr>
            </w:pPr>
          </w:p>
        </w:tc>
        <w:tc>
          <w:tcPr>
            <w:tcW w:w="340" w:type="dxa"/>
            <w:vAlign w:val="bottom"/>
            <w:shd w:val="clear" w:color="auto" w:fill="D8E8EF"/>
          </w:tcPr>
          <w:p>
            <w:pPr>
              <w:spacing w:after="0" w:line="20" w:lineRule="exact"/>
              <w:rPr>
                <w:sz w:val="1"/>
                <w:szCs w:val="1"/>
                <w:color w:val="auto"/>
              </w:rPr>
            </w:pPr>
          </w:p>
        </w:tc>
        <w:tc>
          <w:tcPr>
            <w:tcW w:w="1240" w:type="dxa"/>
            <w:vAlign w:val="bottom"/>
            <w:shd w:val="clear" w:color="auto" w:fill="D8E8EF"/>
          </w:tcPr>
          <w:p>
            <w:pPr>
              <w:spacing w:after="0" w:line="20" w:lineRule="exact"/>
              <w:rPr>
                <w:sz w:val="1"/>
                <w:szCs w:val="1"/>
                <w:color w:val="auto"/>
              </w:rPr>
            </w:pPr>
          </w:p>
        </w:tc>
        <w:tc>
          <w:tcPr>
            <w:tcW w:w="380" w:type="dxa"/>
            <w:vAlign w:val="bottom"/>
            <w:tcBorders>
              <w:right w:val="single" w:sz="8" w:color="auto"/>
            </w:tcBorders>
            <w:shd w:val="clear" w:color="auto" w:fill="000000"/>
          </w:tcPr>
          <w:p>
            <w:pPr>
              <w:spacing w:after="0" w:line="20" w:lineRule="exact"/>
              <w:rPr>
                <w:sz w:val="1"/>
                <w:szCs w:val="1"/>
                <w:color w:val="auto"/>
              </w:rPr>
            </w:pPr>
          </w:p>
        </w:tc>
        <w:tc>
          <w:tcPr>
            <w:tcW w:w="340" w:type="dxa"/>
            <w:vAlign w:val="bottom"/>
            <w:shd w:val="clear" w:color="auto" w:fill="D8E8EF"/>
          </w:tcPr>
          <w:p>
            <w:pPr>
              <w:spacing w:after="0" w:line="20" w:lineRule="exact"/>
              <w:rPr>
                <w:sz w:val="1"/>
                <w:szCs w:val="1"/>
                <w:color w:val="auto"/>
              </w:rPr>
            </w:pPr>
          </w:p>
        </w:tc>
        <w:tc>
          <w:tcPr>
            <w:tcW w:w="1340" w:type="dxa"/>
            <w:vAlign w:val="bottom"/>
            <w:shd w:val="clear" w:color="auto" w:fill="D8E8E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D8E8EF"/>
          </w:tcPr>
          <w:p>
            <w:pPr>
              <w:spacing w:after="0" w:line="20" w:lineRule="exact"/>
              <w:rPr>
                <w:sz w:val="1"/>
                <w:szCs w:val="1"/>
                <w:color w:val="auto"/>
              </w:rPr>
            </w:pPr>
          </w:p>
        </w:tc>
        <w:tc>
          <w:tcPr>
            <w:tcW w:w="1220" w:type="dxa"/>
            <w:vAlign w:val="bottom"/>
            <w:shd w:val="clear" w:color="auto" w:fill="D8E8E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2840" w:type="dxa"/>
            <w:vAlign w:val="bottom"/>
            <w:vMerge w:val="continue"/>
            <w:shd w:val="clear" w:color="auto" w:fill="D8E8EF"/>
          </w:tcPr>
          <w:p>
            <w:pPr>
              <w:spacing w:after="0"/>
              <w:rPr>
                <w:sz w:val="9"/>
                <w:szCs w:val="9"/>
                <w:color w:val="auto"/>
              </w:rPr>
            </w:pPr>
          </w:p>
        </w:tc>
        <w:tc>
          <w:tcPr>
            <w:tcW w:w="120" w:type="dxa"/>
            <w:vAlign w:val="bottom"/>
            <w:shd w:val="clear" w:color="auto" w:fill="D8E8EF"/>
          </w:tcPr>
          <w:p>
            <w:pPr>
              <w:spacing w:after="0"/>
              <w:rPr>
                <w:sz w:val="9"/>
                <w:szCs w:val="9"/>
                <w:color w:val="auto"/>
              </w:rPr>
            </w:pPr>
          </w:p>
        </w:tc>
        <w:tc>
          <w:tcPr>
            <w:tcW w:w="1800" w:type="dxa"/>
            <w:vAlign w:val="bottom"/>
            <w:gridSpan w:val="3"/>
            <w:vMerge w:val="restart"/>
            <w:shd w:val="clear" w:color="auto" w:fill="D8E8EF"/>
          </w:tcPr>
          <w:p>
            <w:pPr>
              <w:spacing w:after="0" w:line="168" w:lineRule="exact"/>
              <w:rPr>
                <w:sz w:val="20"/>
                <w:szCs w:val="20"/>
                <w:color w:val="auto"/>
              </w:rPr>
            </w:pPr>
            <w:r>
              <w:rPr>
                <w:rFonts w:ascii="Arial" w:cs="Arial" w:eastAsia="Arial" w:hAnsi="Arial"/>
                <w:sz w:val="16"/>
                <w:szCs w:val="16"/>
                <w:color w:val="auto"/>
              </w:rPr>
              <w:t>PSG: $374 million</w:t>
            </w:r>
          </w:p>
        </w:tc>
        <w:tc>
          <w:tcPr>
            <w:tcW w:w="2140" w:type="dxa"/>
            <w:vAlign w:val="bottom"/>
            <w:gridSpan w:val="4"/>
            <w:vMerge w:val="restart"/>
            <w:shd w:val="clear" w:color="auto" w:fill="D8E8EF"/>
          </w:tcPr>
          <w:p>
            <w:pPr>
              <w:ind w:left="160"/>
              <w:spacing w:after="0" w:line="168" w:lineRule="exact"/>
              <w:rPr>
                <w:sz w:val="20"/>
                <w:szCs w:val="20"/>
                <w:color w:val="auto"/>
              </w:rPr>
            </w:pPr>
            <w:r>
              <w:rPr>
                <w:rFonts w:ascii="Arial" w:cs="Arial" w:eastAsia="Arial" w:hAnsi="Arial"/>
                <w:sz w:val="16"/>
                <w:szCs w:val="16"/>
                <w:color w:val="auto"/>
              </w:rPr>
              <w:t>PSG: $528 million</w:t>
            </w:r>
          </w:p>
        </w:tc>
        <w:tc>
          <w:tcPr>
            <w:tcW w:w="2060" w:type="dxa"/>
            <w:vAlign w:val="bottom"/>
            <w:gridSpan w:val="3"/>
            <w:vMerge w:val="restart"/>
            <w:shd w:val="clear" w:color="auto" w:fill="D8E8EF"/>
          </w:tcPr>
          <w:p>
            <w:pPr>
              <w:spacing w:after="0" w:line="168" w:lineRule="exact"/>
              <w:rPr>
                <w:sz w:val="20"/>
                <w:szCs w:val="20"/>
                <w:color w:val="auto"/>
              </w:rPr>
            </w:pPr>
            <w:r>
              <w:rPr>
                <w:rFonts w:ascii="Arial" w:cs="Arial" w:eastAsia="Arial" w:hAnsi="Arial"/>
                <w:sz w:val="16"/>
                <w:szCs w:val="16"/>
                <w:color w:val="auto"/>
              </w:rPr>
              <w:t>PSG: $733 million</w:t>
            </w:r>
          </w:p>
        </w:tc>
        <w:tc>
          <w:tcPr>
            <w:tcW w:w="1960" w:type="dxa"/>
            <w:vAlign w:val="bottom"/>
            <w:gridSpan w:val="4"/>
            <w:vMerge w:val="restart"/>
            <w:shd w:val="clear" w:color="auto" w:fill="D8E8EF"/>
          </w:tcPr>
          <w:p>
            <w:pPr>
              <w:spacing w:after="0" w:line="168" w:lineRule="exact"/>
              <w:rPr>
                <w:sz w:val="20"/>
                <w:szCs w:val="20"/>
                <w:color w:val="auto"/>
              </w:rPr>
            </w:pPr>
            <w:r>
              <w:rPr>
                <w:rFonts w:ascii="Arial" w:cs="Arial" w:eastAsia="Arial" w:hAnsi="Arial"/>
                <w:sz w:val="16"/>
                <w:szCs w:val="16"/>
                <w:color w:val="auto"/>
              </w:rPr>
              <w:t>PSG: $910 million</w:t>
            </w:r>
          </w:p>
        </w:tc>
        <w:tc>
          <w:tcPr>
            <w:tcW w:w="0" w:type="dxa"/>
            <w:vAlign w:val="bottom"/>
          </w:tcPr>
          <w:p>
            <w:pPr>
              <w:spacing w:after="0"/>
              <w:rPr>
                <w:sz w:val="1"/>
                <w:szCs w:val="1"/>
                <w:color w:val="auto"/>
              </w:rPr>
            </w:pPr>
          </w:p>
        </w:tc>
      </w:tr>
      <w:tr>
        <w:trPr>
          <w:trHeight w:val="57"/>
        </w:trPr>
        <w:tc>
          <w:tcPr>
            <w:tcW w:w="2840" w:type="dxa"/>
            <w:vAlign w:val="bottom"/>
            <w:shd w:val="clear" w:color="auto" w:fill="D8E8EF"/>
          </w:tcPr>
          <w:p>
            <w:pPr>
              <w:spacing w:after="0"/>
              <w:rPr>
                <w:sz w:val="4"/>
                <w:szCs w:val="4"/>
                <w:color w:val="auto"/>
              </w:rPr>
            </w:pPr>
          </w:p>
        </w:tc>
        <w:tc>
          <w:tcPr>
            <w:tcW w:w="120" w:type="dxa"/>
            <w:vAlign w:val="bottom"/>
            <w:shd w:val="clear" w:color="auto" w:fill="D8E8EF"/>
          </w:tcPr>
          <w:p>
            <w:pPr>
              <w:spacing w:after="0"/>
              <w:rPr>
                <w:sz w:val="4"/>
                <w:szCs w:val="4"/>
                <w:color w:val="auto"/>
              </w:rPr>
            </w:pPr>
          </w:p>
        </w:tc>
        <w:tc>
          <w:tcPr>
            <w:tcW w:w="1800" w:type="dxa"/>
            <w:vAlign w:val="bottom"/>
            <w:gridSpan w:val="3"/>
            <w:vMerge w:val="continue"/>
            <w:shd w:val="clear" w:color="auto" w:fill="D8E8EF"/>
          </w:tcPr>
          <w:p>
            <w:pPr>
              <w:spacing w:after="0"/>
              <w:rPr>
                <w:sz w:val="4"/>
                <w:szCs w:val="4"/>
                <w:color w:val="auto"/>
              </w:rPr>
            </w:pPr>
          </w:p>
        </w:tc>
        <w:tc>
          <w:tcPr>
            <w:tcW w:w="2140" w:type="dxa"/>
            <w:vAlign w:val="bottom"/>
            <w:gridSpan w:val="4"/>
            <w:vMerge w:val="continue"/>
            <w:shd w:val="clear" w:color="auto" w:fill="D8E8EF"/>
          </w:tcPr>
          <w:p>
            <w:pPr>
              <w:spacing w:after="0"/>
              <w:rPr>
                <w:sz w:val="4"/>
                <w:szCs w:val="4"/>
                <w:color w:val="auto"/>
              </w:rPr>
            </w:pPr>
          </w:p>
        </w:tc>
        <w:tc>
          <w:tcPr>
            <w:tcW w:w="2060" w:type="dxa"/>
            <w:vAlign w:val="bottom"/>
            <w:gridSpan w:val="3"/>
            <w:vMerge w:val="continue"/>
            <w:shd w:val="clear" w:color="auto" w:fill="D8E8EF"/>
          </w:tcPr>
          <w:p>
            <w:pPr>
              <w:spacing w:after="0"/>
              <w:rPr>
                <w:sz w:val="4"/>
                <w:szCs w:val="4"/>
                <w:color w:val="auto"/>
              </w:rPr>
            </w:pPr>
          </w:p>
        </w:tc>
        <w:tc>
          <w:tcPr>
            <w:tcW w:w="1960" w:type="dxa"/>
            <w:vAlign w:val="bottom"/>
            <w:gridSpan w:val="4"/>
            <w:vMerge w:val="continue"/>
            <w:shd w:val="clear" w:color="auto" w:fill="D8E8EF"/>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2840" w:type="dxa"/>
            <w:vAlign w:val="bottom"/>
            <w:tcBorders>
              <w:top w:val="single" w:sz="8" w:color="D8E8EF"/>
              <w:bottom w:val="single" w:sz="8" w:color="auto"/>
            </w:tcBorders>
            <w:shd w:val="clear" w:color="auto" w:fill="D8E8EF"/>
          </w:tcPr>
          <w:p>
            <w:pPr>
              <w:spacing w:after="0"/>
              <w:rPr>
                <w:sz w:val="20"/>
                <w:szCs w:val="20"/>
                <w:color w:val="auto"/>
              </w:rPr>
            </w:pPr>
          </w:p>
        </w:tc>
        <w:tc>
          <w:tcPr>
            <w:tcW w:w="120" w:type="dxa"/>
            <w:vAlign w:val="bottom"/>
            <w:tcBorders>
              <w:top w:val="single" w:sz="8" w:color="D8E8EF"/>
              <w:bottom w:val="single" w:sz="8" w:color="auto"/>
            </w:tcBorders>
            <w:shd w:val="clear" w:color="auto" w:fill="D8E8EF"/>
          </w:tcPr>
          <w:p>
            <w:pPr>
              <w:spacing w:after="0"/>
              <w:rPr>
                <w:sz w:val="20"/>
                <w:szCs w:val="20"/>
                <w:color w:val="auto"/>
              </w:rPr>
            </w:pPr>
          </w:p>
        </w:tc>
        <w:tc>
          <w:tcPr>
            <w:tcW w:w="380" w:type="dxa"/>
            <w:vAlign w:val="bottom"/>
            <w:tcBorders>
              <w:top w:val="single" w:sz="8" w:color="auto"/>
              <w:bottom w:val="single" w:sz="8" w:color="auto"/>
              <w:right w:val="single" w:sz="8" w:color="D8E8EF"/>
            </w:tcBorders>
            <w:shd w:val="clear" w:color="auto" w:fill="D8E8EF"/>
          </w:tcPr>
          <w:p>
            <w:pPr>
              <w:spacing w:after="0" w:line="168" w:lineRule="exact"/>
              <w:rPr>
                <w:sz w:val="20"/>
                <w:szCs w:val="20"/>
                <w:color w:val="auto"/>
              </w:rPr>
            </w:pPr>
            <w:r>
              <w:rPr>
                <w:rFonts w:ascii="Arial" w:cs="Arial" w:eastAsia="Arial" w:hAnsi="Arial"/>
                <w:sz w:val="16"/>
                <w:szCs w:val="16"/>
                <w:color w:val="auto"/>
              </w:rPr>
              <w:t>ISG:</w:t>
            </w:r>
          </w:p>
        </w:tc>
        <w:tc>
          <w:tcPr>
            <w:tcW w:w="1420" w:type="dxa"/>
            <w:vAlign w:val="bottom"/>
            <w:tcBorders>
              <w:top w:val="single" w:sz="8" w:color="D8E8EF"/>
              <w:bottom w:val="single" w:sz="8" w:color="auto"/>
            </w:tcBorders>
            <w:gridSpan w:val="2"/>
            <w:shd w:val="clear" w:color="auto" w:fill="D8E8EF"/>
          </w:tcPr>
          <w:p>
            <w:pPr>
              <w:spacing w:after="0" w:line="168" w:lineRule="exact"/>
              <w:rPr>
                <w:sz w:val="20"/>
                <w:szCs w:val="20"/>
                <w:color w:val="auto"/>
              </w:rPr>
            </w:pPr>
            <w:r>
              <w:rPr>
                <w:rFonts w:ascii="Arial" w:cs="Arial" w:eastAsia="Arial" w:hAnsi="Arial"/>
                <w:sz w:val="16"/>
                <w:szCs w:val="16"/>
                <w:color w:val="auto"/>
              </w:rPr>
              <w:t>$0</w:t>
            </w:r>
          </w:p>
        </w:tc>
        <w:tc>
          <w:tcPr>
            <w:tcW w:w="160" w:type="dxa"/>
            <w:vAlign w:val="bottom"/>
            <w:tcBorders>
              <w:top w:val="single" w:sz="8" w:color="D8E8EF"/>
              <w:bottom w:val="single" w:sz="8" w:color="auto"/>
            </w:tcBorders>
            <w:shd w:val="clear" w:color="auto" w:fill="D8E8EF"/>
          </w:tcPr>
          <w:p>
            <w:pPr>
              <w:spacing w:after="0"/>
              <w:rPr>
                <w:sz w:val="20"/>
                <w:szCs w:val="20"/>
                <w:color w:val="auto"/>
              </w:rPr>
            </w:pPr>
          </w:p>
        </w:tc>
        <w:tc>
          <w:tcPr>
            <w:tcW w:w="400" w:type="dxa"/>
            <w:vAlign w:val="bottom"/>
            <w:tcBorders>
              <w:top w:val="single" w:sz="8" w:color="auto"/>
              <w:bottom w:val="single" w:sz="8" w:color="auto"/>
              <w:right w:val="single" w:sz="8" w:color="D8E8EF"/>
            </w:tcBorders>
            <w:shd w:val="clear" w:color="auto" w:fill="D8E8EF"/>
          </w:tcPr>
          <w:p>
            <w:pPr>
              <w:spacing w:after="0" w:line="168" w:lineRule="exact"/>
              <w:rPr>
                <w:sz w:val="20"/>
                <w:szCs w:val="20"/>
                <w:color w:val="auto"/>
              </w:rPr>
            </w:pPr>
            <w:r>
              <w:rPr>
                <w:rFonts w:ascii="Arial" w:cs="Arial" w:eastAsia="Arial" w:hAnsi="Arial"/>
                <w:sz w:val="16"/>
                <w:szCs w:val="16"/>
                <w:color w:val="auto"/>
              </w:rPr>
              <w:t>ISG:</w:t>
            </w:r>
          </w:p>
        </w:tc>
        <w:tc>
          <w:tcPr>
            <w:tcW w:w="1580" w:type="dxa"/>
            <w:vAlign w:val="bottom"/>
            <w:tcBorders>
              <w:top w:val="single" w:sz="8" w:color="D8E8EF"/>
              <w:bottom w:val="single" w:sz="8" w:color="auto"/>
            </w:tcBorders>
            <w:gridSpan w:val="2"/>
            <w:shd w:val="clear" w:color="auto" w:fill="D8E8EF"/>
          </w:tcPr>
          <w:p>
            <w:pPr>
              <w:spacing w:after="0" w:line="168" w:lineRule="exact"/>
              <w:rPr>
                <w:sz w:val="20"/>
                <w:szCs w:val="20"/>
                <w:color w:val="auto"/>
              </w:rPr>
            </w:pPr>
            <w:r>
              <w:rPr>
                <w:rFonts w:ascii="Arial" w:cs="Arial" w:eastAsia="Arial" w:hAnsi="Arial"/>
                <w:sz w:val="16"/>
                <w:szCs w:val="16"/>
                <w:color w:val="auto"/>
              </w:rPr>
              <w:t>$29 million</w:t>
            </w:r>
          </w:p>
        </w:tc>
        <w:tc>
          <w:tcPr>
            <w:tcW w:w="380" w:type="dxa"/>
            <w:vAlign w:val="bottom"/>
            <w:tcBorders>
              <w:top w:val="single" w:sz="8" w:color="auto"/>
              <w:bottom w:val="single" w:sz="8" w:color="auto"/>
              <w:right w:val="single" w:sz="8" w:color="D8E8EF"/>
            </w:tcBorders>
            <w:shd w:val="clear" w:color="auto" w:fill="D8E8EF"/>
          </w:tcPr>
          <w:p>
            <w:pPr>
              <w:spacing w:after="0" w:line="168" w:lineRule="exact"/>
              <w:rPr>
                <w:sz w:val="20"/>
                <w:szCs w:val="20"/>
                <w:color w:val="auto"/>
              </w:rPr>
            </w:pPr>
            <w:r>
              <w:rPr>
                <w:rFonts w:ascii="Arial" w:cs="Arial" w:eastAsia="Arial" w:hAnsi="Arial"/>
                <w:sz w:val="16"/>
                <w:szCs w:val="16"/>
                <w:color w:val="auto"/>
              </w:rPr>
              <w:t>ISG:</w:t>
            </w:r>
          </w:p>
        </w:tc>
        <w:tc>
          <w:tcPr>
            <w:tcW w:w="1680" w:type="dxa"/>
            <w:vAlign w:val="bottom"/>
            <w:tcBorders>
              <w:top w:val="single" w:sz="8" w:color="D8E8EF"/>
              <w:bottom w:val="single" w:sz="8" w:color="auto"/>
            </w:tcBorders>
            <w:gridSpan w:val="2"/>
            <w:shd w:val="clear" w:color="auto" w:fill="D8E8EF"/>
          </w:tcPr>
          <w:p>
            <w:pPr>
              <w:spacing w:after="0" w:line="168" w:lineRule="exact"/>
              <w:rPr>
                <w:sz w:val="20"/>
                <w:szCs w:val="20"/>
                <w:color w:val="auto"/>
              </w:rPr>
            </w:pPr>
            <w:r>
              <w:rPr>
                <w:rFonts w:ascii="Arial" w:cs="Arial" w:eastAsia="Arial" w:hAnsi="Arial"/>
                <w:sz w:val="16"/>
                <w:szCs w:val="16"/>
                <w:color w:val="auto"/>
              </w:rPr>
              <w:t>$88 million</w:t>
            </w:r>
          </w:p>
        </w:tc>
        <w:tc>
          <w:tcPr>
            <w:tcW w:w="400" w:type="dxa"/>
            <w:vAlign w:val="bottom"/>
            <w:tcBorders>
              <w:top w:val="single" w:sz="8" w:color="auto"/>
              <w:bottom w:val="single" w:sz="8" w:color="auto"/>
            </w:tcBorders>
            <w:gridSpan w:val="2"/>
            <w:shd w:val="clear" w:color="auto" w:fill="D8E8EF"/>
          </w:tcPr>
          <w:p>
            <w:pPr>
              <w:spacing w:after="0" w:line="168" w:lineRule="exact"/>
              <w:rPr>
                <w:sz w:val="20"/>
                <w:szCs w:val="20"/>
                <w:color w:val="auto"/>
              </w:rPr>
            </w:pPr>
            <w:r>
              <w:rPr>
                <w:rFonts w:ascii="Arial" w:cs="Arial" w:eastAsia="Arial" w:hAnsi="Arial"/>
                <w:sz w:val="16"/>
                <w:szCs w:val="16"/>
                <w:color w:val="auto"/>
              </w:rPr>
              <w:t>ISG:</w:t>
            </w:r>
          </w:p>
        </w:tc>
        <w:tc>
          <w:tcPr>
            <w:tcW w:w="1560" w:type="dxa"/>
            <w:vAlign w:val="bottom"/>
            <w:tcBorders>
              <w:top w:val="single" w:sz="8" w:color="D8E8EF"/>
              <w:bottom w:val="single" w:sz="8" w:color="auto"/>
            </w:tcBorders>
            <w:gridSpan w:val="2"/>
            <w:shd w:val="clear" w:color="auto" w:fill="D8E8EF"/>
          </w:tcPr>
          <w:p>
            <w:pPr>
              <w:spacing w:after="0" w:line="168" w:lineRule="exact"/>
              <w:rPr>
                <w:sz w:val="20"/>
                <w:szCs w:val="20"/>
                <w:color w:val="auto"/>
              </w:rPr>
            </w:pPr>
            <w:r>
              <w:rPr>
                <w:rFonts w:ascii="Arial" w:cs="Arial" w:eastAsia="Arial" w:hAnsi="Arial"/>
                <w:sz w:val="16"/>
                <w:szCs w:val="16"/>
                <w:color w:val="auto"/>
              </w:rPr>
              <w:t>$88.3 million</w:t>
            </w:r>
          </w:p>
        </w:tc>
        <w:tc>
          <w:tcPr>
            <w:tcW w:w="0" w:type="dxa"/>
            <w:vAlign w:val="bottom"/>
          </w:tcPr>
          <w:p>
            <w:pPr>
              <w:spacing w:after="0"/>
              <w:rPr>
                <w:sz w:val="1"/>
                <w:szCs w:val="1"/>
                <w:color w:val="auto"/>
              </w:rPr>
            </w:pPr>
          </w:p>
        </w:tc>
      </w:tr>
    </w:tbl>
    <w:p>
      <w:pPr>
        <w:spacing w:after="0" w:line="195" w:lineRule="exact"/>
        <w:rPr>
          <w:sz w:val="20"/>
          <w:szCs w:val="20"/>
          <w:color w:val="auto"/>
        </w:rPr>
      </w:pPr>
    </w:p>
    <w:p>
      <w:pPr>
        <w:jc w:val="both"/>
        <w:ind w:left="160"/>
        <w:spacing w:after="0" w:line="238" w:lineRule="auto"/>
        <w:rPr>
          <w:sz w:val="20"/>
          <w:szCs w:val="20"/>
          <w:color w:val="auto"/>
        </w:rPr>
      </w:pPr>
      <w:r>
        <w:rPr>
          <w:rFonts w:ascii="Arial" w:cs="Arial" w:eastAsia="Arial" w:hAnsi="Arial"/>
          <w:sz w:val="18"/>
          <w:szCs w:val="18"/>
          <w:color w:val="auto"/>
        </w:rPr>
        <w:t>The non-GAAP financial metrics utilized for the 2021 Bonus Program were calculated consistent with the methods applied to the company’s financial statements for the production of its earnings releases. Generally, the above adjustments are not fixed and are intended to be conceptually consistent with the Company’s earnings release calculations for adjusted non-GAAP earnings per share. The HCC Committee believed that non-GAAP metrics should be used for the 2021 Bonus Program rather than GAAP metrics to prevent payments under the 2021 Bonus Program from being significantly impacted (positively or negatively) by extraordinary or unusual events or non-cash items. The HCC Committee also considered adjustments eliminating the effect of certain non-cash items to be appropriate, believing that the adjusted numbers are a better indicator of current actual Company operating performance.</w:t>
      </w:r>
    </w:p>
    <w:p>
      <w:pPr>
        <w:spacing w:after="0" w:line="181" w:lineRule="exact"/>
        <w:rPr>
          <w:sz w:val="20"/>
          <w:szCs w:val="20"/>
          <w:color w:val="auto"/>
        </w:rPr>
      </w:pPr>
    </w:p>
    <w:p>
      <w:pPr>
        <w:jc w:val="both"/>
        <w:ind w:left="160"/>
        <w:spacing w:after="0" w:line="235" w:lineRule="auto"/>
        <w:rPr>
          <w:sz w:val="20"/>
          <w:szCs w:val="20"/>
          <w:color w:val="auto"/>
        </w:rPr>
      </w:pPr>
      <w:r>
        <w:rPr>
          <w:rFonts w:ascii="Arial" w:cs="Arial" w:eastAsia="Arial" w:hAnsi="Arial"/>
          <w:sz w:val="18"/>
          <w:szCs w:val="18"/>
          <w:color w:val="auto"/>
        </w:rPr>
        <w:t>The Individual Strategic Components included in the Individual Goal Achievement Percentage were scored: (i) for certain binary metrics, at either 0% or 100% attainment without linear interpolation between the attainment levels, or (ii) at up to 100% attainment, with linear interpolation for attainment between the threshold and target levels. The Individual Strategic Components were tailored to the specific initiatives focused upon by each NEO within the broader context of the Company’s strategy. The individual targets varied by NEO and consisted of items that management recommended, and the HCC Committee determined, were integral to the success of the Company, including financial, ESG, new product, quality improvement, human capital and operational initiatives. Each portion of the Individual Strategic Components was weighted with a specific point value based on its strategic importance to the Company and/or the level of complexity involved in achieving the goal. Particular scoring metrics used to determine whether a given target had been achieved were also established in advance. At the end of the fiscal year, the NEOs “scored” themselves with respect to the achievement of their individualized targets based on the scoring parameters previously communicated. Their scores were reviewed, adjusted as needed, and approved by the CEO. This scoring was then reviewed by the HCC Committee and used as a basis for its determination of each NEO’s individual bonus.</w:t>
      </w:r>
    </w:p>
    <w:p>
      <w:pPr>
        <w:spacing w:after="0" w:line="189" w:lineRule="exact"/>
        <w:rPr>
          <w:sz w:val="20"/>
          <w:szCs w:val="20"/>
          <w:color w:val="auto"/>
        </w:rPr>
      </w:pPr>
    </w:p>
    <w:p>
      <w:pPr>
        <w:jc w:val="both"/>
        <w:ind w:left="160"/>
        <w:spacing w:after="0"/>
        <w:rPr>
          <w:sz w:val="20"/>
          <w:szCs w:val="20"/>
          <w:color w:val="auto"/>
        </w:rPr>
      </w:pPr>
      <w:r>
        <w:rPr>
          <w:rFonts w:ascii="Arial" w:cs="Arial" w:eastAsia="Arial" w:hAnsi="Arial"/>
          <w:sz w:val="18"/>
          <w:szCs w:val="18"/>
          <w:color w:val="auto"/>
        </w:rPr>
        <w:t>In addition, in connection with its review and scoring of the Individual Goal Achievement Percentage in January 2022 and as a result of the Company’s record financial results for fiscal year 2021 and its commitment to a pay-for-performance philosophy, the HCC Committee determined to exercise its discretion to allocate an additional 20% achievement to the Individual Goal Achievement Percentage (the “Additional Individual Goal Achievement Percentage”) for each Company employee who participates in the 2021 Bonus Program, including the NEOs. The HCC Committee also determined that</w:t>
      </w:r>
    </w:p>
    <w:p>
      <w:pPr>
        <w:spacing w:after="0" w:line="125" w:lineRule="exact"/>
        <w:rPr>
          <w:sz w:val="20"/>
          <w:szCs w:val="20"/>
          <w:color w:val="auto"/>
        </w:rPr>
      </w:pPr>
    </w:p>
    <w:p>
      <w:pPr>
        <w:ind w:left="8820"/>
        <w:spacing w:after="0"/>
        <w:tabs>
          <w:tab w:leader="none" w:pos="10900" w:val="left"/>
        </w:tabs>
        <w:rPr>
          <w:sz w:val="20"/>
          <w:szCs w:val="20"/>
          <w:color w:val="auto"/>
        </w:rPr>
      </w:pPr>
      <w:r>
        <w:rPr>
          <w:rFonts w:ascii="Arial" w:cs="Arial" w:eastAsia="Arial" w:hAnsi="Arial"/>
          <w:sz w:val="14"/>
          <w:szCs w:val="14"/>
          <w:color w:val="F75E14"/>
        </w:rPr>
        <w:t>onsemi 2022 Proxy Statement</w:t>
        <w:tab/>
        <w:t>39</w:t>
      </w:r>
    </w:p>
    <w:p>
      <w:pPr>
        <w:sectPr>
          <w:pgSz w:w="11900" w:h="16838" w:orient="portrait"/>
          <w:cols w:equalWidth="0" w:num="1">
            <w:col w:w="11080"/>
          </w:cols>
          <w:pgMar w:left="320" w:top="454" w:right="499" w:bottom="1440" w:gutter="0" w:footer="0" w:header="0"/>
        </w:sectPr>
      </w:pPr>
    </w:p>
    <w:bookmarkStart w:id="43" w:name="page44"/>
    <w:bookmarkEnd w:id="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2" w:lineRule="exact"/>
        <w:rPr>
          <w:sz w:val="20"/>
          <w:szCs w:val="20"/>
          <w:color w:val="auto"/>
        </w:rPr>
      </w:pPr>
    </w:p>
    <w:p>
      <w:pPr>
        <w:ind w:left="160"/>
        <w:spacing w:after="0"/>
        <w:rPr>
          <w:sz w:val="20"/>
          <w:szCs w:val="20"/>
          <w:color w:val="auto"/>
        </w:rPr>
      </w:pPr>
      <w:r>
        <w:rPr>
          <w:rFonts w:ascii="Arial" w:cs="Arial" w:eastAsia="Arial" w:hAnsi="Arial"/>
          <w:sz w:val="18"/>
          <w:szCs w:val="18"/>
          <w:color w:val="F75E14"/>
        </w:rPr>
        <w:t>Compensation Discussion and Analysis</w:t>
      </w:r>
    </w:p>
    <w:p>
      <w:pPr>
        <w:spacing w:after="0" w:line="141" w:lineRule="exact"/>
        <w:rPr>
          <w:sz w:val="20"/>
          <w:szCs w:val="20"/>
          <w:color w:val="auto"/>
        </w:rPr>
      </w:pPr>
    </w:p>
    <w:p>
      <w:pPr>
        <w:ind w:left="160"/>
        <w:spacing w:after="0" w:line="265" w:lineRule="auto"/>
        <w:rPr>
          <w:sz w:val="20"/>
          <w:szCs w:val="20"/>
          <w:color w:val="auto"/>
        </w:rPr>
      </w:pPr>
      <w:r>
        <w:rPr>
          <w:rFonts w:ascii="Arial" w:cs="Arial" w:eastAsia="Arial" w:hAnsi="Arial"/>
          <w:sz w:val="18"/>
          <w:szCs w:val="18"/>
          <w:color w:val="auto"/>
        </w:rPr>
        <w:t>the Additional Individual Goal Achievement Percentage should serve as a retention incentive and therefore that the additional 20% will be paid to employees who remain with the Company as of the payment date in July 2022.</w:t>
      </w:r>
    </w:p>
    <w:p>
      <w:pPr>
        <w:spacing w:after="0" w:line="158" w:lineRule="exact"/>
        <w:rPr>
          <w:sz w:val="20"/>
          <w:szCs w:val="20"/>
          <w:color w:val="auto"/>
        </w:rPr>
      </w:pPr>
    </w:p>
    <w:p>
      <w:pPr>
        <w:ind w:left="160"/>
        <w:spacing w:after="0" w:line="265" w:lineRule="auto"/>
        <w:rPr>
          <w:sz w:val="20"/>
          <w:szCs w:val="20"/>
          <w:color w:val="auto"/>
        </w:rPr>
      </w:pPr>
      <w:r>
        <w:rPr>
          <w:rFonts w:ascii="Arial" w:cs="Arial" w:eastAsia="Arial" w:hAnsi="Arial"/>
          <w:sz w:val="18"/>
          <w:szCs w:val="18"/>
          <w:color w:val="auto"/>
        </w:rPr>
        <w:t>The table below sets forth each NEO’s achievement for the Individual Strategic Components, as well as each NEO’s Individual Goal Achievement Percentage:</w:t>
      </w:r>
    </w:p>
    <w:p>
      <w:pPr>
        <w:spacing w:after="0" w:line="204" w:lineRule="exact"/>
        <w:rPr>
          <w:sz w:val="20"/>
          <w:szCs w:val="20"/>
          <w:color w:val="auto"/>
        </w:rPr>
      </w:pPr>
    </w:p>
    <w:tbl>
      <w:tblPr>
        <w:tblLayout w:type="fixed"/>
        <w:tblInd w:w="500" w:type="dxa"/>
        <w:tblCellMar>
          <w:top w:w="0" w:type="dxa"/>
          <w:left w:w="0" w:type="dxa"/>
          <w:bottom w:w="0" w:type="dxa"/>
          <w:right w:w="0" w:type="dxa"/>
        </w:tblCellMar>
      </w:tblPr>
      <w:tr>
        <w:trPr>
          <w:trHeight w:val="240"/>
        </w:trPr>
        <w:tc>
          <w:tcPr>
            <w:tcW w:w="2980" w:type="dxa"/>
            <w:vAlign w:val="bottom"/>
            <w:shd w:val="clear" w:color="auto" w:fill="F75E14"/>
          </w:tcPr>
          <w:p>
            <w:pPr>
              <w:spacing w:after="0"/>
              <w:rPr>
                <w:sz w:val="20"/>
                <w:szCs w:val="20"/>
                <w:color w:val="auto"/>
              </w:rPr>
            </w:pPr>
          </w:p>
        </w:tc>
        <w:tc>
          <w:tcPr>
            <w:tcW w:w="1460" w:type="dxa"/>
            <w:vAlign w:val="bottom"/>
            <w:shd w:val="clear" w:color="auto" w:fill="F75E14"/>
          </w:tcPr>
          <w:p>
            <w:pPr>
              <w:spacing w:after="0"/>
              <w:rPr>
                <w:sz w:val="20"/>
                <w:szCs w:val="20"/>
                <w:color w:val="auto"/>
              </w:rPr>
            </w:pPr>
          </w:p>
        </w:tc>
        <w:tc>
          <w:tcPr>
            <w:tcW w:w="1380" w:type="dxa"/>
            <w:vAlign w:val="bottom"/>
            <w:shd w:val="clear" w:color="auto" w:fill="F75E14"/>
          </w:tcPr>
          <w:p>
            <w:pPr>
              <w:spacing w:after="0"/>
              <w:rPr>
                <w:sz w:val="20"/>
                <w:szCs w:val="20"/>
                <w:color w:val="auto"/>
              </w:rPr>
            </w:pPr>
          </w:p>
        </w:tc>
        <w:tc>
          <w:tcPr>
            <w:tcW w:w="1340" w:type="dxa"/>
            <w:vAlign w:val="bottom"/>
            <w:shd w:val="clear" w:color="auto" w:fill="F75E14"/>
          </w:tcPr>
          <w:p>
            <w:pPr>
              <w:spacing w:after="0"/>
              <w:rPr>
                <w:sz w:val="20"/>
                <w:szCs w:val="20"/>
                <w:color w:val="auto"/>
              </w:rPr>
            </w:pPr>
          </w:p>
        </w:tc>
        <w:tc>
          <w:tcPr>
            <w:tcW w:w="1420" w:type="dxa"/>
            <w:vAlign w:val="bottom"/>
            <w:shd w:val="clear" w:color="auto" w:fill="F75E14"/>
          </w:tcPr>
          <w:p>
            <w:pPr>
              <w:jc w:val="center"/>
              <w:ind w:right="40"/>
              <w:spacing w:after="0"/>
              <w:rPr>
                <w:sz w:val="20"/>
                <w:szCs w:val="20"/>
                <w:color w:val="auto"/>
              </w:rPr>
            </w:pPr>
            <w:r>
              <w:rPr>
                <w:rFonts w:ascii="Arial" w:cs="Arial" w:eastAsia="Arial" w:hAnsi="Arial"/>
                <w:sz w:val="16"/>
                <w:szCs w:val="16"/>
                <w:b w:val="1"/>
                <w:bCs w:val="1"/>
                <w:color w:val="FFFFFF"/>
                <w:w w:val="99"/>
              </w:rPr>
              <w:t>Additional</w:t>
            </w:r>
          </w:p>
        </w:tc>
        <w:tc>
          <w:tcPr>
            <w:tcW w:w="1680" w:type="dxa"/>
            <w:vAlign w:val="bottom"/>
            <w:vMerge w:val="restart"/>
            <w:shd w:val="clear" w:color="auto" w:fill="F75E14"/>
          </w:tcPr>
          <w:p>
            <w:pPr>
              <w:jc w:val="center"/>
              <w:spacing w:after="0"/>
              <w:rPr>
                <w:sz w:val="20"/>
                <w:szCs w:val="20"/>
                <w:color w:val="auto"/>
              </w:rPr>
            </w:pPr>
            <w:r>
              <w:rPr>
                <w:rFonts w:ascii="Arial" w:cs="Arial" w:eastAsia="Arial" w:hAnsi="Arial"/>
                <w:sz w:val="16"/>
                <w:szCs w:val="16"/>
                <w:b w:val="1"/>
                <w:bCs w:val="1"/>
                <w:color w:val="FFFFFF"/>
                <w:w w:val="98"/>
              </w:rPr>
              <w:t>Total Individual</w:t>
            </w:r>
          </w:p>
        </w:tc>
        <w:tc>
          <w:tcPr>
            <w:tcW w:w="0" w:type="dxa"/>
            <w:vAlign w:val="bottom"/>
          </w:tcPr>
          <w:p>
            <w:pPr>
              <w:spacing w:after="0"/>
              <w:rPr>
                <w:sz w:val="1"/>
                <w:szCs w:val="1"/>
                <w:color w:val="auto"/>
              </w:rPr>
            </w:pPr>
          </w:p>
        </w:tc>
      </w:tr>
      <w:tr>
        <w:trPr>
          <w:trHeight w:val="174"/>
        </w:trPr>
        <w:tc>
          <w:tcPr>
            <w:tcW w:w="2980" w:type="dxa"/>
            <w:vAlign w:val="bottom"/>
            <w:shd w:val="clear" w:color="auto" w:fill="F75E14"/>
          </w:tcPr>
          <w:p>
            <w:pPr>
              <w:spacing w:after="0"/>
              <w:rPr>
                <w:sz w:val="15"/>
                <w:szCs w:val="15"/>
                <w:color w:val="auto"/>
              </w:rPr>
            </w:pPr>
          </w:p>
        </w:tc>
        <w:tc>
          <w:tcPr>
            <w:tcW w:w="1460" w:type="dxa"/>
            <w:vAlign w:val="bottom"/>
            <w:shd w:val="clear" w:color="auto" w:fill="F75E14"/>
          </w:tcPr>
          <w:p>
            <w:pPr>
              <w:jc w:val="center"/>
              <w:spacing w:after="0" w:line="174" w:lineRule="exact"/>
              <w:rPr>
                <w:sz w:val="20"/>
                <w:szCs w:val="20"/>
                <w:color w:val="auto"/>
              </w:rPr>
            </w:pPr>
            <w:r>
              <w:rPr>
                <w:rFonts w:ascii="Arial" w:cs="Arial" w:eastAsia="Arial" w:hAnsi="Arial"/>
                <w:sz w:val="16"/>
                <w:szCs w:val="16"/>
                <w:b w:val="1"/>
                <w:bCs w:val="1"/>
                <w:color w:val="FFFFFF"/>
              </w:rPr>
              <w:t>Individual</w:t>
            </w:r>
          </w:p>
        </w:tc>
        <w:tc>
          <w:tcPr>
            <w:tcW w:w="1380" w:type="dxa"/>
            <w:vAlign w:val="bottom"/>
            <w:shd w:val="clear" w:color="auto" w:fill="F75E14"/>
          </w:tcPr>
          <w:p>
            <w:pPr>
              <w:jc w:val="center"/>
              <w:spacing w:after="0" w:line="174" w:lineRule="exact"/>
              <w:rPr>
                <w:sz w:val="20"/>
                <w:szCs w:val="20"/>
                <w:color w:val="auto"/>
              </w:rPr>
            </w:pPr>
            <w:r>
              <w:rPr>
                <w:rFonts w:ascii="Arial" w:cs="Arial" w:eastAsia="Arial" w:hAnsi="Arial"/>
                <w:sz w:val="16"/>
                <w:szCs w:val="16"/>
                <w:b w:val="1"/>
                <w:bCs w:val="1"/>
                <w:color w:val="FFFFFF"/>
                <w:w w:val="99"/>
              </w:rPr>
              <w:t>Individual</w:t>
            </w:r>
          </w:p>
        </w:tc>
        <w:tc>
          <w:tcPr>
            <w:tcW w:w="1340" w:type="dxa"/>
            <w:vAlign w:val="bottom"/>
            <w:shd w:val="clear" w:color="auto" w:fill="F75E14"/>
          </w:tcPr>
          <w:p>
            <w:pPr>
              <w:jc w:val="center"/>
              <w:spacing w:after="0" w:line="174" w:lineRule="exact"/>
              <w:rPr>
                <w:sz w:val="20"/>
                <w:szCs w:val="20"/>
                <w:color w:val="auto"/>
              </w:rPr>
            </w:pPr>
            <w:r>
              <w:rPr>
                <w:rFonts w:ascii="Arial" w:cs="Arial" w:eastAsia="Arial" w:hAnsi="Arial"/>
                <w:sz w:val="16"/>
                <w:szCs w:val="16"/>
                <w:b w:val="1"/>
                <w:bCs w:val="1"/>
                <w:color w:val="FFFFFF"/>
                <w:w w:val="99"/>
              </w:rPr>
              <w:t>Individual Goal</w:t>
            </w:r>
          </w:p>
        </w:tc>
        <w:tc>
          <w:tcPr>
            <w:tcW w:w="1420" w:type="dxa"/>
            <w:vAlign w:val="bottom"/>
            <w:shd w:val="clear" w:color="auto" w:fill="F75E14"/>
          </w:tcPr>
          <w:p>
            <w:pPr>
              <w:jc w:val="center"/>
              <w:ind w:right="40"/>
              <w:spacing w:after="0" w:line="174" w:lineRule="exact"/>
              <w:rPr>
                <w:sz w:val="20"/>
                <w:szCs w:val="20"/>
                <w:color w:val="auto"/>
              </w:rPr>
            </w:pPr>
            <w:r>
              <w:rPr>
                <w:rFonts w:ascii="Arial" w:cs="Arial" w:eastAsia="Arial" w:hAnsi="Arial"/>
                <w:sz w:val="16"/>
                <w:szCs w:val="16"/>
                <w:b w:val="1"/>
                <w:bCs w:val="1"/>
                <w:color w:val="FFFFFF"/>
                <w:w w:val="99"/>
              </w:rPr>
              <w:t>Individual Goal</w:t>
            </w:r>
          </w:p>
        </w:tc>
        <w:tc>
          <w:tcPr>
            <w:tcW w:w="1680" w:type="dxa"/>
            <w:vAlign w:val="bottom"/>
            <w:vMerge w:val="continue"/>
            <w:shd w:val="clear" w:color="auto" w:fill="F75E14"/>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980" w:type="dxa"/>
            <w:vAlign w:val="bottom"/>
            <w:shd w:val="clear" w:color="auto" w:fill="F75E14"/>
          </w:tcPr>
          <w:p>
            <w:pPr>
              <w:spacing w:after="0"/>
              <w:rPr>
                <w:sz w:val="16"/>
                <w:szCs w:val="16"/>
                <w:color w:val="auto"/>
              </w:rPr>
            </w:pPr>
          </w:p>
        </w:tc>
        <w:tc>
          <w:tcPr>
            <w:tcW w:w="1460" w:type="dxa"/>
            <w:vAlign w:val="bottom"/>
            <w:shd w:val="clear" w:color="auto" w:fill="F75E14"/>
          </w:tcPr>
          <w:p>
            <w:pPr>
              <w:jc w:val="center"/>
              <w:spacing w:after="0"/>
              <w:rPr>
                <w:sz w:val="20"/>
                <w:szCs w:val="20"/>
                <w:color w:val="auto"/>
              </w:rPr>
            </w:pPr>
            <w:r>
              <w:rPr>
                <w:rFonts w:ascii="Arial" w:cs="Arial" w:eastAsia="Arial" w:hAnsi="Arial"/>
                <w:sz w:val="16"/>
                <w:szCs w:val="16"/>
                <w:b w:val="1"/>
                <w:bCs w:val="1"/>
                <w:color w:val="FFFFFF"/>
                <w:w w:val="99"/>
              </w:rPr>
              <w:t>Strategic</w:t>
            </w:r>
          </w:p>
        </w:tc>
        <w:tc>
          <w:tcPr>
            <w:tcW w:w="1380" w:type="dxa"/>
            <w:vAlign w:val="bottom"/>
            <w:shd w:val="clear" w:color="auto" w:fill="F75E14"/>
          </w:tcPr>
          <w:p>
            <w:pPr>
              <w:jc w:val="center"/>
              <w:spacing w:after="0"/>
              <w:rPr>
                <w:sz w:val="20"/>
                <w:szCs w:val="20"/>
                <w:color w:val="auto"/>
              </w:rPr>
            </w:pPr>
            <w:r>
              <w:rPr>
                <w:rFonts w:ascii="Arial" w:cs="Arial" w:eastAsia="Arial" w:hAnsi="Arial"/>
                <w:sz w:val="16"/>
                <w:szCs w:val="16"/>
                <w:b w:val="1"/>
                <w:bCs w:val="1"/>
                <w:color w:val="FFFFFF"/>
              </w:rPr>
              <w:t>Financial</w:t>
            </w:r>
          </w:p>
        </w:tc>
        <w:tc>
          <w:tcPr>
            <w:tcW w:w="1340" w:type="dxa"/>
            <w:vAlign w:val="bottom"/>
            <w:shd w:val="clear" w:color="auto" w:fill="F75E14"/>
          </w:tcPr>
          <w:p>
            <w:pPr>
              <w:jc w:val="center"/>
              <w:spacing w:after="0"/>
              <w:rPr>
                <w:sz w:val="20"/>
                <w:szCs w:val="20"/>
                <w:color w:val="auto"/>
              </w:rPr>
            </w:pPr>
            <w:r>
              <w:rPr>
                <w:rFonts w:ascii="Arial" w:cs="Arial" w:eastAsia="Arial" w:hAnsi="Arial"/>
                <w:sz w:val="16"/>
                <w:szCs w:val="16"/>
                <w:b w:val="1"/>
                <w:bCs w:val="1"/>
                <w:color w:val="FFFFFF"/>
              </w:rPr>
              <w:t>Achievement</w:t>
            </w:r>
          </w:p>
        </w:tc>
        <w:tc>
          <w:tcPr>
            <w:tcW w:w="1420" w:type="dxa"/>
            <w:vAlign w:val="bottom"/>
            <w:shd w:val="clear" w:color="auto" w:fill="F75E14"/>
          </w:tcPr>
          <w:p>
            <w:pPr>
              <w:jc w:val="center"/>
              <w:ind w:right="20"/>
              <w:spacing w:after="0"/>
              <w:rPr>
                <w:sz w:val="20"/>
                <w:szCs w:val="20"/>
                <w:color w:val="auto"/>
              </w:rPr>
            </w:pPr>
            <w:r>
              <w:rPr>
                <w:rFonts w:ascii="Arial" w:cs="Arial" w:eastAsia="Arial" w:hAnsi="Arial"/>
                <w:sz w:val="16"/>
                <w:szCs w:val="16"/>
                <w:b w:val="1"/>
                <w:bCs w:val="1"/>
                <w:color w:val="FFFFFF"/>
              </w:rPr>
              <w:t>Achievement</w:t>
            </w:r>
          </w:p>
        </w:tc>
        <w:tc>
          <w:tcPr>
            <w:tcW w:w="1680" w:type="dxa"/>
            <w:vAlign w:val="bottom"/>
            <w:shd w:val="clear" w:color="auto" w:fill="F75E14"/>
          </w:tcPr>
          <w:p>
            <w:pPr>
              <w:jc w:val="center"/>
              <w:spacing w:after="0"/>
              <w:rPr>
                <w:sz w:val="20"/>
                <w:szCs w:val="20"/>
                <w:color w:val="auto"/>
              </w:rPr>
            </w:pPr>
            <w:r>
              <w:rPr>
                <w:rFonts w:ascii="Arial" w:cs="Arial" w:eastAsia="Arial" w:hAnsi="Arial"/>
                <w:sz w:val="16"/>
                <w:szCs w:val="16"/>
                <w:b w:val="1"/>
                <w:bCs w:val="1"/>
                <w:color w:val="FFFFFF"/>
              </w:rPr>
              <w:t>Goal Achievement</w:t>
            </w:r>
          </w:p>
        </w:tc>
        <w:tc>
          <w:tcPr>
            <w:tcW w:w="0" w:type="dxa"/>
            <w:vAlign w:val="bottom"/>
          </w:tcPr>
          <w:p>
            <w:pPr>
              <w:spacing w:after="0"/>
              <w:rPr>
                <w:sz w:val="1"/>
                <w:szCs w:val="1"/>
                <w:color w:val="auto"/>
              </w:rPr>
            </w:pPr>
          </w:p>
        </w:tc>
      </w:tr>
      <w:tr>
        <w:trPr>
          <w:trHeight w:val="241"/>
        </w:trPr>
        <w:tc>
          <w:tcPr>
            <w:tcW w:w="2980" w:type="dxa"/>
            <w:vAlign w:val="bottom"/>
            <w:shd w:val="clear" w:color="auto" w:fill="F75E14"/>
          </w:tcPr>
          <w:p>
            <w:pPr>
              <w:ind w:left="80"/>
              <w:spacing w:after="0"/>
              <w:rPr>
                <w:sz w:val="20"/>
                <w:szCs w:val="20"/>
                <w:color w:val="auto"/>
              </w:rPr>
            </w:pPr>
            <w:r>
              <w:rPr>
                <w:rFonts w:ascii="Arial" w:cs="Arial" w:eastAsia="Arial" w:hAnsi="Arial"/>
                <w:sz w:val="16"/>
                <w:szCs w:val="16"/>
                <w:b w:val="1"/>
                <w:bCs w:val="1"/>
                <w:color w:val="FFFFFF"/>
              </w:rPr>
              <w:t>NEO (1)</w:t>
            </w:r>
          </w:p>
        </w:tc>
        <w:tc>
          <w:tcPr>
            <w:tcW w:w="1460" w:type="dxa"/>
            <w:vAlign w:val="bottom"/>
            <w:shd w:val="clear" w:color="auto" w:fill="F75E14"/>
          </w:tcPr>
          <w:p>
            <w:pPr>
              <w:jc w:val="center"/>
              <w:spacing w:after="0"/>
              <w:rPr>
                <w:sz w:val="20"/>
                <w:szCs w:val="20"/>
                <w:color w:val="auto"/>
              </w:rPr>
            </w:pPr>
            <w:r>
              <w:rPr>
                <w:rFonts w:ascii="Arial" w:cs="Arial" w:eastAsia="Arial" w:hAnsi="Arial"/>
                <w:sz w:val="16"/>
                <w:szCs w:val="16"/>
                <w:b w:val="1"/>
                <w:bCs w:val="1"/>
                <w:color w:val="FFFFFF"/>
              </w:rPr>
              <w:t>Components (2)</w:t>
            </w:r>
          </w:p>
        </w:tc>
        <w:tc>
          <w:tcPr>
            <w:tcW w:w="1380" w:type="dxa"/>
            <w:vAlign w:val="bottom"/>
            <w:shd w:val="clear" w:color="auto" w:fill="F75E14"/>
          </w:tcPr>
          <w:p>
            <w:pPr>
              <w:jc w:val="center"/>
              <w:spacing w:after="0"/>
              <w:rPr>
                <w:sz w:val="20"/>
                <w:szCs w:val="20"/>
                <w:color w:val="auto"/>
              </w:rPr>
            </w:pPr>
            <w:r>
              <w:rPr>
                <w:rFonts w:ascii="Arial" w:cs="Arial" w:eastAsia="Arial" w:hAnsi="Arial"/>
                <w:sz w:val="16"/>
                <w:szCs w:val="16"/>
                <w:b w:val="1"/>
                <w:bCs w:val="1"/>
                <w:color w:val="FFFFFF"/>
              </w:rPr>
              <w:t>Components (2)</w:t>
            </w:r>
          </w:p>
        </w:tc>
        <w:tc>
          <w:tcPr>
            <w:tcW w:w="1340" w:type="dxa"/>
            <w:vAlign w:val="bottom"/>
            <w:shd w:val="clear" w:color="auto" w:fill="F75E14"/>
          </w:tcPr>
          <w:p>
            <w:pPr>
              <w:jc w:val="center"/>
              <w:spacing w:after="0"/>
              <w:rPr>
                <w:sz w:val="20"/>
                <w:szCs w:val="20"/>
                <w:color w:val="auto"/>
              </w:rPr>
            </w:pPr>
            <w:r>
              <w:rPr>
                <w:rFonts w:ascii="Arial" w:cs="Arial" w:eastAsia="Arial" w:hAnsi="Arial"/>
                <w:sz w:val="16"/>
                <w:szCs w:val="16"/>
                <w:b w:val="1"/>
                <w:bCs w:val="1"/>
                <w:color w:val="FFFFFF"/>
                <w:w w:val="99"/>
              </w:rPr>
              <w:t>Percentage</w:t>
            </w:r>
          </w:p>
        </w:tc>
        <w:tc>
          <w:tcPr>
            <w:tcW w:w="1420" w:type="dxa"/>
            <w:vAlign w:val="bottom"/>
            <w:shd w:val="clear" w:color="auto" w:fill="F75E14"/>
          </w:tcPr>
          <w:p>
            <w:pPr>
              <w:jc w:val="center"/>
              <w:ind w:right="40"/>
              <w:spacing w:after="0"/>
              <w:rPr>
                <w:sz w:val="20"/>
                <w:szCs w:val="20"/>
                <w:color w:val="auto"/>
              </w:rPr>
            </w:pPr>
            <w:r>
              <w:rPr>
                <w:rFonts w:ascii="Arial" w:cs="Arial" w:eastAsia="Arial" w:hAnsi="Arial"/>
                <w:sz w:val="16"/>
                <w:szCs w:val="16"/>
                <w:b w:val="1"/>
                <w:bCs w:val="1"/>
                <w:color w:val="FFFFFF"/>
                <w:w w:val="99"/>
              </w:rPr>
              <w:t>Percentage (3)</w:t>
            </w:r>
          </w:p>
        </w:tc>
        <w:tc>
          <w:tcPr>
            <w:tcW w:w="1680" w:type="dxa"/>
            <w:vAlign w:val="bottom"/>
            <w:shd w:val="clear" w:color="auto" w:fill="F75E14"/>
          </w:tcPr>
          <w:p>
            <w:pPr>
              <w:jc w:val="center"/>
              <w:spacing w:after="0"/>
              <w:rPr>
                <w:sz w:val="20"/>
                <w:szCs w:val="20"/>
                <w:color w:val="auto"/>
              </w:rPr>
            </w:pPr>
            <w:r>
              <w:rPr>
                <w:rFonts w:ascii="Arial" w:cs="Arial" w:eastAsia="Arial" w:hAnsi="Arial"/>
                <w:sz w:val="16"/>
                <w:szCs w:val="16"/>
                <w:b w:val="1"/>
                <w:bCs w:val="1"/>
                <w:color w:val="FFFFFF"/>
              </w:rPr>
              <w:t>(4)</w:t>
            </w:r>
          </w:p>
        </w:tc>
        <w:tc>
          <w:tcPr>
            <w:tcW w:w="0" w:type="dxa"/>
            <w:vAlign w:val="bottom"/>
          </w:tcPr>
          <w:p>
            <w:pPr>
              <w:spacing w:after="0"/>
              <w:rPr>
                <w:sz w:val="1"/>
                <w:szCs w:val="1"/>
                <w:color w:val="auto"/>
              </w:rPr>
            </w:pPr>
          </w:p>
        </w:tc>
      </w:tr>
      <w:tr>
        <w:trPr>
          <w:trHeight w:val="281"/>
        </w:trPr>
        <w:tc>
          <w:tcPr>
            <w:tcW w:w="2980" w:type="dxa"/>
            <w:vAlign w:val="bottom"/>
            <w:shd w:val="clear" w:color="auto" w:fill="D8E8EF"/>
          </w:tcPr>
          <w:p>
            <w:pPr>
              <w:ind w:left="80"/>
              <w:spacing w:after="0"/>
              <w:rPr>
                <w:sz w:val="20"/>
                <w:szCs w:val="20"/>
                <w:color w:val="auto"/>
              </w:rPr>
            </w:pPr>
            <w:r>
              <w:rPr>
                <w:rFonts w:ascii="Arial" w:cs="Arial" w:eastAsia="Arial" w:hAnsi="Arial"/>
                <w:sz w:val="16"/>
                <w:szCs w:val="16"/>
                <w:color w:val="auto"/>
              </w:rPr>
              <w:t>Hassane El-Khoury</w:t>
            </w:r>
          </w:p>
        </w:tc>
        <w:tc>
          <w:tcPr>
            <w:tcW w:w="1460" w:type="dxa"/>
            <w:vAlign w:val="bottom"/>
            <w:shd w:val="clear" w:color="auto" w:fill="D8E8EF"/>
          </w:tcPr>
          <w:p>
            <w:pPr>
              <w:jc w:val="center"/>
              <w:spacing w:after="0"/>
              <w:rPr>
                <w:sz w:val="20"/>
                <w:szCs w:val="20"/>
                <w:color w:val="auto"/>
              </w:rPr>
            </w:pPr>
            <w:r>
              <w:rPr>
                <w:rFonts w:ascii="Arial" w:cs="Arial" w:eastAsia="Arial" w:hAnsi="Arial"/>
                <w:sz w:val="16"/>
                <w:szCs w:val="16"/>
                <w:color w:val="auto"/>
                <w:w w:val="97"/>
              </w:rPr>
              <w:t>100%</w:t>
            </w:r>
          </w:p>
        </w:tc>
        <w:tc>
          <w:tcPr>
            <w:tcW w:w="1380" w:type="dxa"/>
            <w:vAlign w:val="bottom"/>
            <w:shd w:val="clear" w:color="auto" w:fill="D8E8EF"/>
          </w:tcPr>
          <w:p>
            <w:pPr>
              <w:jc w:val="center"/>
              <w:spacing w:after="0"/>
              <w:rPr>
                <w:sz w:val="20"/>
                <w:szCs w:val="20"/>
                <w:color w:val="auto"/>
              </w:rPr>
            </w:pPr>
            <w:r>
              <w:rPr>
                <w:rFonts w:ascii="Arial" w:cs="Arial" w:eastAsia="Arial" w:hAnsi="Arial"/>
                <w:sz w:val="16"/>
                <w:szCs w:val="16"/>
                <w:color w:val="auto"/>
              </w:rPr>
              <w:t>200%</w:t>
            </w:r>
          </w:p>
        </w:tc>
        <w:tc>
          <w:tcPr>
            <w:tcW w:w="1340" w:type="dxa"/>
            <w:vAlign w:val="bottom"/>
            <w:shd w:val="clear" w:color="auto" w:fill="D8E8EF"/>
          </w:tcPr>
          <w:p>
            <w:pPr>
              <w:jc w:val="center"/>
              <w:spacing w:after="0"/>
              <w:rPr>
                <w:sz w:val="20"/>
                <w:szCs w:val="20"/>
                <w:color w:val="auto"/>
              </w:rPr>
            </w:pPr>
            <w:r>
              <w:rPr>
                <w:rFonts w:ascii="Arial" w:cs="Arial" w:eastAsia="Arial" w:hAnsi="Arial"/>
                <w:sz w:val="16"/>
                <w:szCs w:val="16"/>
                <w:color w:val="auto"/>
              </w:rPr>
              <w:t>150%</w:t>
            </w:r>
          </w:p>
        </w:tc>
        <w:tc>
          <w:tcPr>
            <w:tcW w:w="1420" w:type="dxa"/>
            <w:vAlign w:val="bottom"/>
            <w:shd w:val="clear" w:color="auto" w:fill="D8E8EF"/>
          </w:tcPr>
          <w:p>
            <w:pPr>
              <w:jc w:val="center"/>
              <w:ind w:right="20"/>
              <w:spacing w:after="0"/>
              <w:rPr>
                <w:sz w:val="20"/>
                <w:szCs w:val="20"/>
                <w:color w:val="auto"/>
              </w:rPr>
            </w:pPr>
            <w:r>
              <w:rPr>
                <w:rFonts w:ascii="Arial" w:cs="Arial" w:eastAsia="Arial" w:hAnsi="Arial"/>
                <w:sz w:val="16"/>
                <w:szCs w:val="16"/>
                <w:color w:val="auto"/>
                <w:w w:val="99"/>
              </w:rPr>
              <w:t>20%</w:t>
            </w:r>
          </w:p>
        </w:tc>
        <w:tc>
          <w:tcPr>
            <w:tcW w:w="1680" w:type="dxa"/>
            <w:vAlign w:val="bottom"/>
            <w:shd w:val="clear" w:color="auto" w:fill="D8E8EF"/>
          </w:tcPr>
          <w:p>
            <w:pPr>
              <w:jc w:val="center"/>
              <w:spacing w:after="0"/>
              <w:rPr>
                <w:sz w:val="20"/>
                <w:szCs w:val="20"/>
                <w:color w:val="auto"/>
              </w:rPr>
            </w:pPr>
            <w:r>
              <w:rPr>
                <w:rFonts w:ascii="Arial" w:cs="Arial" w:eastAsia="Arial" w:hAnsi="Arial"/>
                <w:sz w:val="16"/>
                <w:szCs w:val="16"/>
                <w:color w:val="auto"/>
                <w:w w:val="97"/>
              </w:rPr>
              <w:t>170%</w:t>
            </w:r>
          </w:p>
        </w:tc>
        <w:tc>
          <w:tcPr>
            <w:tcW w:w="0" w:type="dxa"/>
            <w:vAlign w:val="bottom"/>
          </w:tcPr>
          <w:p>
            <w:pPr>
              <w:spacing w:after="0"/>
              <w:rPr>
                <w:sz w:val="1"/>
                <w:szCs w:val="1"/>
                <w:color w:val="auto"/>
              </w:rPr>
            </w:pPr>
          </w:p>
        </w:tc>
      </w:tr>
      <w:tr>
        <w:trPr>
          <w:trHeight w:val="272"/>
        </w:trPr>
        <w:tc>
          <w:tcPr>
            <w:tcW w:w="2980" w:type="dxa"/>
            <w:vAlign w:val="bottom"/>
          </w:tcPr>
          <w:p>
            <w:pPr>
              <w:ind w:left="80"/>
              <w:spacing w:after="0"/>
              <w:rPr>
                <w:sz w:val="20"/>
                <w:szCs w:val="20"/>
                <w:color w:val="auto"/>
              </w:rPr>
            </w:pPr>
            <w:r>
              <w:rPr>
                <w:rFonts w:ascii="Arial" w:cs="Arial" w:eastAsia="Arial" w:hAnsi="Arial"/>
                <w:sz w:val="16"/>
                <w:szCs w:val="16"/>
                <w:color w:val="auto"/>
              </w:rPr>
              <w:t>Thad Trent</w:t>
            </w:r>
          </w:p>
        </w:tc>
        <w:tc>
          <w:tcPr>
            <w:tcW w:w="1460" w:type="dxa"/>
            <w:vAlign w:val="bottom"/>
          </w:tcPr>
          <w:p>
            <w:pPr>
              <w:jc w:val="center"/>
              <w:spacing w:after="0"/>
              <w:rPr>
                <w:sz w:val="20"/>
                <w:szCs w:val="20"/>
                <w:color w:val="auto"/>
              </w:rPr>
            </w:pPr>
            <w:r>
              <w:rPr>
                <w:rFonts w:ascii="Arial" w:cs="Arial" w:eastAsia="Arial" w:hAnsi="Arial"/>
                <w:sz w:val="16"/>
                <w:szCs w:val="16"/>
                <w:color w:val="auto"/>
                <w:w w:val="97"/>
              </w:rPr>
              <w:t>100%</w:t>
            </w:r>
          </w:p>
        </w:tc>
        <w:tc>
          <w:tcPr>
            <w:tcW w:w="1380" w:type="dxa"/>
            <w:vAlign w:val="bottom"/>
          </w:tcPr>
          <w:p>
            <w:pPr>
              <w:jc w:val="center"/>
              <w:spacing w:after="0"/>
              <w:rPr>
                <w:sz w:val="20"/>
                <w:szCs w:val="20"/>
                <w:color w:val="auto"/>
              </w:rPr>
            </w:pPr>
            <w:r>
              <w:rPr>
                <w:rFonts w:ascii="Arial" w:cs="Arial" w:eastAsia="Arial" w:hAnsi="Arial"/>
                <w:sz w:val="16"/>
                <w:szCs w:val="16"/>
                <w:color w:val="auto"/>
              </w:rPr>
              <w:t>200%</w:t>
            </w:r>
          </w:p>
        </w:tc>
        <w:tc>
          <w:tcPr>
            <w:tcW w:w="1340" w:type="dxa"/>
            <w:vAlign w:val="bottom"/>
          </w:tcPr>
          <w:p>
            <w:pPr>
              <w:jc w:val="center"/>
              <w:spacing w:after="0"/>
              <w:rPr>
                <w:sz w:val="20"/>
                <w:szCs w:val="20"/>
                <w:color w:val="auto"/>
              </w:rPr>
            </w:pPr>
            <w:r>
              <w:rPr>
                <w:rFonts w:ascii="Arial" w:cs="Arial" w:eastAsia="Arial" w:hAnsi="Arial"/>
                <w:sz w:val="16"/>
                <w:szCs w:val="16"/>
                <w:color w:val="auto"/>
              </w:rPr>
              <w:t>150%</w:t>
            </w:r>
          </w:p>
        </w:tc>
        <w:tc>
          <w:tcPr>
            <w:tcW w:w="1420" w:type="dxa"/>
            <w:vAlign w:val="bottom"/>
          </w:tcPr>
          <w:p>
            <w:pPr>
              <w:jc w:val="center"/>
              <w:ind w:right="20"/>
              <w:spacing w:after="0"/>
              <w:rPr>
                <w:sz w:val="20"/>
                <w:szCs w:val="20"/>
                <w:color w:val="auto"/>
              </w:rPr>
            </w:pPr>
            <w:r>
              <w:rPr>
                <w:rFonts w:ascii="Arial" w:cs="Arial" w:eastAsia="Arial" w:hAnsi="Arial"/>
                <w:sz w:val="16"/>
                <w:szCs w:val="16"/>
                <w:color w:val="auto"/>
                <w:w w:val="99"/>
              </w:rPr>
              <w:t>20%</w:t>
            </w:r>
          </w:p>
        </w:tc>
        <w:tc>
          <w:tcPr>
            <w:tcW w:w="1680" w:type="dxa"/>
            <w:vAlign w:val="bottom"/>
          </w:tcPr>
          <w:p>
            <w:pPr>
              <w:jc w:val="center"/>
              <w:spacing w:after="0"/>
              <w:rPr>
                <w:sz w:val="20"/>
                <w:szCs w:val="20"/>
                <w:color w:val="auto"/>
              </w:rPr>
            </w:pPr>
            <w:r>
              <w:rPr>
                <w:rFonts w:ascii="Arial" w:cs="Arial" w:eastAsia="Arial" w:hAnsi="Arial"/>
                <w:sz w:val="16"/>
                <w:szCs w:val="16"/>
                <w:color w:val="auto"/>
                <w:w w:val="97"/>
              </w:rPr>
              <w:t>170%</w:t>
            </w:r>
          </w:p>
        </w:tc>
        <w:tc>
          <w:tcPr>
            <w:tcW w:w="0" w:type="dxa"/>
            <w:vAlign w:val="bottom"/>
          </w:tcPr>
          <w:p>
            <w:pPr>
              <w:spacing w:after="0"/>
              <w:rPr>
                <w:sz w:val="1"/>
                <w:szCs w:val="1"/>
                <w:color w:val="auto"/>
              </w:rPr>
            </w:pPr>
          </w:p>
        </w:tc>
      </w:tr>
      <w:tr>
        <w:trPr>
          <w:trHeight w:val="289"/>
        </w:trPr>
        <w:tc>
          <w:tcPr>
            <w:tcW w:w="2980" w:type="dxa"/>
            <w:vAlign w:val="bottom"/>
            <w:shd w:val="clear" w:color="auto" w:fill="D8E8EF"/>
          </w:tcPr>
          <w:p>
            <w:pPr>
              <w:ind w:left="80"/>
              <w:spacing w:after="0"/>
              <w:rPr>
                <w:sz w:val="20"/>
                <w:szCs w:val="20"/>
                <w:color w:val="auto"/>
              </w:rPr>
            </w:pPr>
            <w:r>
              <w:rPr>
                <w:rFonts w:ascii="Arial" w:cs="Arial" w:eastAsia="Arial" w:hAnsi="Arial"/>
                <w:sz w:val="16"/>
                <w:szCs w:val="16"/>
                <w:color w:val="auto"/>
              </w:rPr>
              <w:t>Vincent C. Hopkin</w:t>
            </w:r>
          </w:p>
        </w:tc>
        <w:tc>
          <w:tcPr>
            <w:tcW w:w="1460" w:type="dxa"/>
            <w:vAlign w:val="bottom"/>
            <w:shd w:val="clear" w:color="auto" w:fill="D8E8EF"/>
          </w:tcPr>
          <w:p>
            <w:pPr>
              <w:jc w:val="center"/>
              <w:spacing w:after="0"/>
              <w:rPr>
                <w:sz w:val="20"/>
                <w:szCs w:val="20"/>
                <w:color w:val="auto"/>
              </w:rPr>
            </w:pPr>
            <w:r>
              <w:rPr>
                <w:rFonts w:ascii="Arial" w:cs="Arial" w:eastAsia="Arial" w:hAnsi="Arial"/>
                <w:sz w:val="16"/>
                <w:szCs w:val="16"/>
                <w:color w:val="auto"/>
                <w:w w:val="99"/>
              </w:rPr>
              <w:t>90%</w:t>
            </w:r>
          </w:p>
        </w:tc>
        <w:tc>
          <w:tcPr>
            <w:tcW w:w="1380" w:type="dxa"/>
            <w:vAlign w:val="bottom"/>
            <w:shd w:val="clear" w:color="auto" w:fill="D8E8EF"/>
          </w:tcPr>
          <w:p>
            <w:pPr>
              <w:jc w:val="center"/>
              <w:spacing w:after="0"/>
              <w:rPr>
                <w:sz w:val="20"/>
                <w:szCs w:val="20"/>
                <w:color w:val="auto"/>
              </w:rPr>
            </w:pPr>
            <w:r>
              <w:rPr>
                <w:rFonts w:ascii="Arial" w:cs="Arial" w:eastAsia="Arial" w:hAnsi="Arial"/>
                <w:sz w:val="16"/>
                <w:szCs w:val="16"/>
                <w:color w:val="auto"/>
              </w:rPr>
              <w:t>200%</w:t>
            </w:r>
          </w:p>
        </w:tc>
        <w:tc>
          <w:tcPr>
            <w:tcW w:w="1340" w:type="dxa"/>
            <w:vAlign w:val="bottom"/>
            <w:shd w:val="clear" w:color="auto" w:fill="D8E8EF"/>
          </w:tcPr>
          <w:p>
            <w:pPr>
              <w:jc w:val="center"/>
              <w:spacing w:after="0"/>
              <w:rPr>
                <w:sz w:val="20"/>
                <w:szCs w:val="20"/>
                <w:color w:val="auto"/>
              </w:rPr>
            </w:pPr>
            <w:r>
              <w:rPr>
                <w:rFonts w:ascii="Arial" w:cs="Arial" w:eastAsia="Arial" w:hAnsi="Arial"/>
                <w:sz w:val="16"/>
                <w:szCs w:val="16"/>
                <w:color w:val="auto"/>
              </w:rPr>
              <w:t>145%</w:t>
            </w:r>
          </w:p>
        </w:tc>
        <w:tc>
          <w:tcPr>
            <w:tcW w:w="1420" w:type="dxa"/>
            <w:vAlign w:val="bottom"/>
            <w:shd w:val="clear" w:color="auto" w:fill="D8E8EF"/>
          </w:tcPr>
          <w:p>
            <w:pPr>
              <w:jc w:val="center"/>
              <w:ind w:right="20"/>
              <w:spacing w:after="0"/>
              <w:rPr>
                <w:sz w:val="20"/>
                <w:szCs w:val="20"/>
                <w:color w:val="auto"/>
              </w:rPr>
            </w:pPr>
            <w:r>
              <w:rPr>
                <w:rFonts w:ascii="Arial" w:cs="Arial" w:eastAsia="Arial" w:hAnsi="Arial"/>
                <w:sz w:val="16"/>
                <w:szCs w:val="16"/>
                <w:color w:val="auto"/>
                <w:w w:val="99"/>
              </w:rPr>
              <w:t>20%</w:t>
            </w:r>
          </w:p>
        </w:tc>
        <w:tc>
          <w:tcPr>
            <w:tcW w:w="1680" w:type="dxa"/>
            <w:vAlign w:val="bottom"/>
            <w:shd w:val="clear" w:color="auto" w:fill="D8E8EF"/>
          </w:tcPr>
          <w:p>
            <w:pPr>
              <w:jc w:val="center"/>
              <w:spacing w:after="0"/>
              <w:rPr>
                <w:sz w:val="20"/>
                <w:szCs w:val="20"/>
                <w:color w:val="auto"/>
              </w:rPr>
            </w:pPr>
            <w:r>
              <w:rPr>
                <w:rFonts w:ascii="Arial" w:cs="Arial" w:eastAsia="Arial" w:hAnsi="Arial"/>
                <w:sz w:val="16"/>
                <w:szCs w:val="16"/>
                <w:color w:val="auto"/>
                <w:w w:val="97"/>
              </w:rPr>
              <w:t>165%</w:t>
            </w:r>
          </w:p>
        </w:tc>
        <w:tc>
          <w:tcPr>
            <w:tcW w:w="0" w:type="dxa"/>
            <w:vAlign w:val="bottom"/>
          </w:tcPr>
          <w:p>
            <w:pPr>
              <w:spacing w:after="0"/>
              <w:rPr>
                <w:sz w:val="1"/>
                <w:szCs w:val="1"/>
                <w:color w:val="auto"/>
              </w:rPr>
            </w:pPr>
          </w:p>
        </w:tc>
      </w:tr>
      <w:tr>
        <w:trPr>
          <w:trHeight w:val="272"/>
        </w:trPr>
        <w:tc>
          <w:tcPr>
            <w:tcW w:w="2980" w:type="dxa"/>
            <w:vAlign w:val="bottom"/>
          </w:tcPr>
          <w:p>
            <w:pPr>
              <w:ind w:left="80"/>
              <w:spacing w:after="0"/>
              <w:rPr>
                <w:sz w:val="20"/>
                <w:szCs w:val="20"/>
                <w:color w:val="auto"/>
              </w:rPr>
            </w:pPr>
            <w:r>
              <w:rPr>
                <w:rFonts w:ascii="Arial" w:cs="Arial" w:eastAsia="Arial" w:hAnsi="Arial"/>
                <w:sz w:val="16"/>
                <w:szCs w:val="16"/>
                <w:color w:val="auto"/>
              </w:rPr>
              <w:t>Simon Keeton</w:t>
            </w:r>
          </w:p>
        </w:tc>
        <w:tc>
          <w:tcPr>
            <w:tcW w:w="1460" w:type="dxa"/>
            <w:vAlign w:val="bottom"/>
          </w:tcPr>
          <w:p>
            <w:pPr>
              <w:jc w:val="center"/>
              <w:spacing w:after="0"/>
              <w:rPr>
                <w:sz w:val="20"/>
                <w:szCs w:val="20"/>
                <w:color w:val="auto"/>
              </w:rPr>
            </w:pPr>
            <w:r>
              <w:rPr>
                <w:rFonts w:ascii="Arial" w:cs="Arial" w:eastAsia="Arial" w:hAnsi="Arial"/>
                <w:sz w:val="16"/>
                <w:szCs w:val="16"/>
                <w:color w:val="auto"/>
                <w:w w:val="97"/>
              </w:rPr>
              <w:t>100%</w:t>
            </w:r>
          </w:p>
        </w:tc>
        <w:tc>
          <w:tcPr>
            <w:tcW w:w="1380" w:type="dxa"/>
            <w:vAlign w:val="bottom"/>
          </w:tcPr>
          <w:p>
            <w:pPr>
              <w:jc w:val="center"/>
              <w:spacing w:after="0"/>
              <w:rPr>
                <w:sz w:val="20"/>
                <w:szCs w:val="20"/>
                <w:color w:val="auto"/>
              </w:rPr>
            </w:pPr>
            <w:r>
              <w:rPr>
                <w:rFonts w:ascii="Arial" w:cs="Arial" w:eastAsia="Arial" w:hAnsi="Arial"/>
                <w:sz w:val="16"/>
                <w:szCs w:val="16"/>
                <w:color w:val="auto"/>
              </w:rPr>
              <w:t>200%</w:t>
            </w:r>
          </w:p>
        </w:tc>
        <w:tc>
          <w:tcPr>
            <w:tcW w:w="1340" w:type="dxa"/>
            <w:vAlign w:val="bottom"/>
          </w:tcPr>
          <w:p>
            <w:pPr>
              <w:jc w:val="center"/>
              <w:spacing w:after="0"/>
              <w:rPr>
                <w:sz w:val="20"/>
                <w:szCs w:val="20"/>
                <w:color w:val="auto"/>
              </w:rPr>
            </w:pPr>
            <w:r>
              <w:rPr>
                <w:rFonts w:ascii="Arial" w:cs="Arial" w:eastAsia="Arial" w:hAnsi="Arial"/>
                <w:sz w:val="16"/>
                <w:szCs w:val="16"/>
                <w:color w:val="auto"/>
              </w:rPr>
              <w:t>150%</w:t>
            </w:r>
          </w:p>
        </w:tc>
        <w:tc>
          <w:tcPr>
            <w:tcW w:w="1420" w:type="dxa"/>
            <w:vAlign w:val="bottom"/>
          </w:tcPr>
          <w:p>
            <w:pPr>
              <w:jc w:val="center"/>
              <w:ind w:right="20"/>
              <w:spacing w:after="0"/>
              <w:rPr>
                <w:sz w:val="20"/>
                <w:szCs w:val="20"/>
                <w:color w:val="auto"/>
              </w:rPr>
            </w:pPr>
            <w:r>
              <w:rPr>
                <w:rFonts w:ascii="Arial" w:cs="Arial" w:eastAsia="Arial" w:hAnsi="Arial"/>
                <w:sz w:val="16"/>
                <w:szCs w:val="16"/>
                <w:color w:val="auto"/>
                <w:w w:val="99"/>
              </w:rPr>
              <w:t>20%</w:t>
            </w:r>
          </w:p>
        </w:tc>
        <w:tc>
          <w:tcPr>
            <w:tcW w:w="1680" w:type="dxa"/>
            <w:vAlign w:val="bottom"/>
          </w:tcPr>
          <w:p>
            <w:pPr>
              <w:jc w:val="center"/>
              <w:spacing w:after="0"/>
              <w:rPr>
                <w:sz w:val="20"/>
                <w:szCs w:val="20"/>
                <w:color w:val="auto"/>
              </w:rPr>
            </w:pPr>
            <w:r>
              <w:rPr>
                <w:rFonts w:ascii="Arial" w:cs="Arial" w:eastAsia="Arial" w:hAnsi="Arial"/>
                <w:sz w:val="16"/>
                <w:szCs w:val="16"/>
                <w:color w:val="auto"/>
                <w:w w:val="97"/>
              </w:rPr>
              <w:t>170%</w:t>
            </w:r>
          </w:p>
        </w:tc>
        <w:tc>
          <w:tcPr>
            <w:tcW w:w="0" w:type="dxa"/>
            <w:vAlign w:val="bottom"/>
          </w:tcPr>
          <w:p>
            <w:pPr>
              <w:spacing w:after="0"/>
              <w:rPr>
                <w:sz w:val="1"/>
                <w:szCs w:val="1"/>
                <w:color w:val="auto"/>
              </w:rPr>
            </w:pPr>
          </w:p>
        </w:tc>
      </w:tr>
      <w:tr>
        <w:trPr>
          <w:trHeight w:val="289"/>
        </w:trPr>
        <w:tc>
          <w:tcPr>
            <w:tcW w:w="2980" w:type="dxa"/>
            <w:vAlign w:val="bottom"/>
            <w:shd w:val="clear" w:color="auto" w:fill="D8E8EF"/>
          </w:tcPr>
          <w:p>
            <w:pPr>
              <w:ind w:left="80"/>
              <w:spacing w:after="0"/>
              <w:rPr>
                <w:sz w:val="20"/>
                <w:szCs w:val="20"/>
                <w:color w:val="auto"/>
              </w:rPr>
            </w:pPr>
            <w:r>
              <w:rPr>
                <w:rFonts w:ascii="Arial" w:cs="Arial" w:eastAsia="Arial" w:hAnsi="Arial"/>
                <w:sz w:val="16"/>
                <w:szCs w:val="16"/>
                <w:color w:val="auto"/>
              </w:rPr>
              <w:t>Ross F. Jatou</w:t>
            </w:r>
          </w:p>
        </w:tc>
        <w:tc>
          <w:tcPr>
            <w:tcW w:w="1460" w:type="dxa"/>
            <w:vAlign w:val="bottom"/>
            <w:shd w:val="clear" w:color="auto" w:fill="D8E8EF"/>
          </w:tcPr>
          <w:p>
            <w:pPr>
              <w:jc w:val="center"/>
              <w:spacing w:after="0"/>
              <w:rPr>
                <w:sz w:val="20"/>
                <w:szCs w:val="20"/>
                <w:color w:val="auto"/>
              </w:rPr>
            </w:pPr>
            <w:r>
              <w:rPr>
                <w:rFonts w:ascii="Arial" w:cs="Arial" w:eastAsia="Arial" w:hAnsi="Arial"/>
                <w:sz w:val="16"/>
                <w:szCs w:val="16"/>
                <w:color w:val="auto"/>
                <w:w w:val="97"/>
              </w:rPr>
              <w:t>100%</w:t>
            </w:r>
          </w:p>
        </w:tc>
        <w:tc>
          <w:tcPr>
            <w:tcW w:w="1380" w:type="dxa"/>
            <w:vAlign w:val="bottom"/>
            <w:shd w:val="clear" w:color="auto" w:fill="D8E8EF"/>
          </w:tcPr>
          <w:p>
            <w:pPr>
              <w:jc w:val="center"/>
              <w:spacing w:after="0"/>
              <w:rPr>
                <w:sz w:val="20"/>
                <w:szCs w:val="20"/>
                <w:color w:val="auto"/>
              </w:rPr>
            </w:pPr>
            <w:r>
              <w:rPr>
                <w:rFonts w:ascii="Arial" w:cs="Arial" w:eastAsia="Arial" w:hAnsi="Arial"/>
                <w:sz w:val="16"/>
                <w:szCs w:val="16"/>
                <w:color w:val="auto"/>
                <w:w w:val="99"/>
              </w:rPr>
              <w:t>194.8%</w:t>
            </w:r>
          </w:p>
        </w:tc>
        <w:tc>
          <w:tcPr>
            <w:tcW w:w="1340" w:type="dxa"/>
            <w:vAlign w:val="bottom"/>
            <w:shd w:val="clear" w:color="auto" w:fill="D8E8EF"/>
          </w:tcPr>
          <w:p>
            <w:pPr>
              <w:jc w:val="center"/>
              <w:spacing w:after="0"/>
              <w:rPr>
                <w:sz w:val="20"/>
                <w:szCs w:val="20"/>
                <w:color w:val="auto"/>
              </w:rPr>
            </w:pPr>
            <w:r>
              <w:rPr>
                <w:rFonts w:ascii="Arial" w:cs="Arial" w:eastAsia="Arial" w:hAnsi="Arial"/>
                <w:sz w:val="16"/>
                <w:szCs w:val="16"/>
                <w:color w:val="auto"/>
                <w:w w:val="99"/>
              </w:rPr>
              <w:t>147.4%</w:t>
            </w:r>
          </w:p>
        </w:tc>
        <w:tc>
          <w:tcPr>
            <w:tcW w:w="1420" w:type="dxa"/>
            <w:vAlign w:val="bottom"/>
            <w:shd w:val="clear" w:color="auto" w:fill="D8E8EF"/>
          </w:tcPr>
          <w:p>
            <w:pPr>
              <w:jc w:val="center"/>
              <w:ind w:right="20"/>
              <w:spacing w:after="0"/>
              <w:rPr>
                <w:sz w:val="20"/>
                <w:szCs w:val="20"/>
                <w:color w:val="auto"/>
              </w:rPr>
            </w:pPr>
            <w:r>
              <w:rPr>
                <w:rFonts w:ascii="Arial" w:cs="Arial" w:eastAsia="Arial" w:hAnsi="Arial"/>
                <w:sz w:val="16"/>
                <w:szCs w:val="16"/>
                <w:color w:val="auto"/>
                <w:w w:val="99"/>
              </w:rPr>
              <w:t>20%</w:t>
            </w:r>
          </w:p>
        </w:tc>
        <w:tc>
          <w:tcPr>
            <w:tcW w:w="1680" w:type="dxa"/>
            <w:vAlign w:val="bottom"/>
            <w:shd w:val="clear" w:color="auto" w:fill="D8E8EF"/>
          </w:tcPr>
          <w:p>
            <w:pPr>
              <w:jc w:val="center"/>
              <w:ind w:left="20"/>
              <w:spacing w:after="0"/>
              <w:rPr>
                <w:sz w:val="20"/>
                <w:szCs w:val="20"/>
                <w:color w:val="auto"/>
              </w:rPr>
            </w:pPr>
            <w:r>
              <w:rPr>
                <w:rFonts w:ascii="Arial" w:cs="Arial" w:eastAsia="Arial" w:hAnsi="Arial"/>
                <w:sz w:val="16"/>
                <w:szCs w:val="16"/>
                <w:color w:val="auto"/>
                <w:w w:val="99"/>
              </w:rPr>
              <w:t>167.4%</w:t>
            </w:r>
          </w:p>
        </w:tc>
        <w:tc>
          <w:tcPr>
            <w:tcW w:w="0" w:type="dxa"/>
            <w:vAlign w:val="bottom"/>
          </w:tcPr>
          <w:p>
            <w:pPr>
              <w:spacing w:after="0"/>
              <w:rPr>
                <w:sz w:val="1"/>
                <w:szCs w:val="1"/>
                <w:color w:val="auto"/>
              </w:rPr>
            </w:pPr>
          </w:p>
        </w:tc>
      </w:tr>
      <w:tr>
        <w:trPr>
          <w:trHeight w:val="264"/>
        </w:trPr>
        <w:tc>
          <w:tcPr>
            <w:tcW w:w="2980" w:type="dxa"/>
            <w:vAlign w:val="bottom"/>
          </w:tcPr>
          <w:p>
            <w:pPr>
              <w:ind w:left="80"/>
              <w:spacing w:after="0"/>
              <w:rPr>
                <w:sz w:val="20"/>
                <w:szCs w:val="20"/>
                <w:color w:val="auto"/>
              </w:rPr>
            </w:pPr>
            <w:r>
              <w:rPr>
                <w:rFonts w:ascii="Arial" w:cs="Arial" w:eastAsia="Arial" w:hAnsi="Arial"/>
                <w:sz w:val="16"/>
                <w:szCs w:val="16"/>
                <w:color w:val="auto"/>
              </w:rPr>
              <w:t>George H. Cave</w:t>
            </w:r>
          </w:p>
        </w:tc>
        <w:tc>
          <w:tcPr>
            <w:tcW w:w="1460" w:type="dxa"/>
            <w:vAlign w:val="bottom"/>
          </w:tcPr>
          <w:p>
            <w:pPr>
              <w:jc w:val="center"/>
              <w:spacing w:after="0"/>
              <w:rPr>
                <w:sz w:val="20"/>
                <w:szCs w:val="20"/>
                <w:color w:val="auto"/>
              </w:rPr>
            </w:pPr>
            <w:r>
              <w:rPr>
                <w:rFonts w:ascii="Arial" w:cs="Arial" w:eastAsia="Arial" w:hAnsi="Arial"/>
                <w:sz w:val="16"/>
                <w:szCs w:val="16"/>
                <w:color w:val="auto"/>
                <w:w w:val="97"/>
              </w:rPr>
              <w:t>100%</w:t>
            </w:r>
          </w:p>
        </w:tc>
        <w:tc>
          <w:tcPr>
            <w:tcW w:w="1380" w:type="dxa"/>
            <w:vAlign w:val="bottom"/>
          </w:tcPr>
          <w:p>
            <w:pPr>
              <w:jc w:val="center"/>
              <w:spacing w:after="0"/>
              <w:rPr>
                <w:sz w:val="20"/>
                <w:szCs w:val="20"/>
                <w:color w:val="auto"/>
              </w:rPr>
            </w:pPr>
            <w:r>
              <w:rPr>
                <w:rFonts w:ascii="Arial" w:cs="Arial" w:eastAsia="Arial" w:hAnsi="Arial"/>
                <w:sz w:val="16"/>
                <w:szCs w:val="16"/>
                <w:color w:val="auto"/>
              </w:rPr>
              <w:t>200%</w:t>
            </w:r>
          </w:p>
        </w:tc>
        <w:tc>
          <w:tcPr>
            <w:tcW w:w="1340" w:type="dxa"/>
            <w:vAlign w:val="bottom"/>
          </w:tcPr>
          <w:p>
            <w:pPr>
              <w:jc w:val="center"/>
              <w:spacing w:after="0"/>
              <w:rPr>
                <w:sz w:val="20"/>
                <w:szCs w:val="20"/>
                <w:color w:val="auto"/>
              </w:rPr>
            </w:pPr>
            <w:r>
              <w:rPr>
                <w:rFonts w:ascii="Arial" w:cs="Arial" w:eastAsia="Arial" w:hAnsi="Arial"/>
                <w:sz w:val="16"/>
                <w:szCs w:val="16"/>
                <w:color w:val="auto"/>
              </w:rPr>
              <w:t>140%</w:t>
            </w:r>
          </w:p>
        </w:tc>
        <w:tc>
          <w:tcPr>
            <w:tcW w:w="1420" w:type="dxa"/>
            <w:vAlign w:val="bottom"/>
          </w:tcPr>
          <w:p>
            <w:pPr>
              <w:jc w:val="center"/>
              <w:ind w:right="40"/>
              <w:spacing w:after="0"/>
              <w:rPr>
                <w:sz w:val="20"/>
                <w:szCs w:val="20"/>
                <w:color w:val="auto"/>
              </w:rPr>
            </w:pPr>
            <w:r>
              <w:rPr>
                <w:rFonts w:ascii="Arial" w:cs="Arial" w:eastAsia="Arial" w:hAnsi="Arial"/>
                <w:sz w:val="16"/>
                <w:szCs w:val="16"/>
                <w:color w:val="auto"/>
                <w:w w:val="94"/>
              </w:rPr>
              <w:t>0%</w:t>
            </w:r>
          </w:p>
        </w:tc>
        <w:tc>
          <w:tcPr>
            <w:tcW w:w="1680" w:type="dxa"/>
            <w:vAlign w:val="bottom"/>
          </w:tcPr>
          <w:p>
            <w:pPr>
              <w:jc w:val="center"/>
              <w:spacing w:after="0"/>
              <w:rPr>
                <w:sz w:val="20"/>
                <w:szCs w:val="20"/>
                <w:color w:val="auto"/>
              </w:rPr>
            </w:pPr>
            <w:r>
              <w:rPr>
                <w:rFonts w:ascii="Arial" w:cs="Arial" w:eastAsia="Arial" w:hAnsi="Arial"/>
                <w:sz w:val="16"/>
                <w:szCs w:val="16"/>
                <w:color w:val="auto"/>
                <w:w w:val="97"/>
              </w:rPr>
              <w:t>140%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318770</wp:posOffset>
            </wp:positionH>
            <wp:positionV relativeFrom="paragraph">
              <wp:posOffset>10795</wp:posOffset>
            </wp:positionV>
            <wp:extent cx="651383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513830" cy="8255"/>
                    </a:xfrm>
                    <a:prstGeom prst="rect">
                      <a:avLst/>
                    </a:prstGeom>
                    <a:noFill/>
                  </pic:spPr>
                </pic:pic>
              </a:graphicData>
            </a:graphic>
          </wp:anchor>
        </w:drawing>
      </w:r>
    </w:p>
    <w:p>
      <w:pPr>
        <w:spacing w:after="0" w:line="1" w:lineRule="exact"/>
        <w:rPr>
          <w:sz w:val="20"/>
          <w:szCs w:val="20"/>
          <w:color w:val="auto"/>
        </w:rPr>
      </w:pPr>
    </w:p>
    <w:p>
      <w:pPr>
        <w:ind w:left="920" w:hanging="432"/>
        <w:spacing w:after="0"/>
        <w:tabs>
          <w:tab w:leader="none" w:pos="920" w:val="left"/>
        </w:tabs>
        <w:numPr>
          <w:ilvl w:val="0"/>
          <w:numId w:val="64"/>
        </w:numPr>
        <w:rPr>
          <w:rFonts w:ascii="Arial" w:cs="Arial" w:eastAsia="Arial" w:hAnsi="Arial"/>
          <w:sz w:val="14"/>
          <w:szCs w:val="14"/>
          <w:color w:val="auto"/>
        </w:rPr>
      </w:pPr>
      <w:r>
        <w:rPr>
          <w:rFonts w:ascii="Arial" w:cs="Arial" w:eastAsia="Arial" w:hAnsi="Arial"/>
          <w:sz w:val="14"/>
          <w:szCs w:val="14"/>
          <w:color w:val="auto"/>
        </w:rPr>
        <w:t>Mr. Gutmann did not participate in the 2021 Bonus Program because he retired on February 16, 2021.</w:t>
      </w:r>
    </w:p>
    <w:p>
      <w:pPr>
        <w:spacing w:after="0" w:line="13" w:lineRule="exact"/>
        <w:rPr>
          <w:rFonts w:ascii="Arial" w:cs="Arial" w:eastAsia="Arial" w:hAnsi="Arial"/>
          <w:sz w:val="14"/>
          <w:szCs w:val="14"/>
          <w:color w:val="auto"/>
        </w:rPr>
      </w:pPr>
    </w:p>
    <w:p>
      <w:pPr>
        <w:jc w:val="both"/>
        <w:ind w:left="920" w:right="320" w:hanging="432"/>
        <w:spacing w:after="0" w:line="239" w:lineRule="auto"/>
        <w:tabs>
          <w:tab w:leader="none" w:pos="920" w:val="left"/>
        </w:tabs>
        <w:numPr>
          <w:ilvl w:val="0"/>
          <w:numId w:val="64"/>
        </w:numPr>
        <w:rPr>
          <w:rFonts w:ascii="Arial" w:cs="Arial" w:eastAsia="Arial" w:hAnsi="Arial"/>
          <w:sz w:val="14"/>
          <w:szCs w:val="14"/>
          <w:color w:val="auto"/>
        </w:rPr>
      </w:pPr>
      <w:r>
        <w:rPr>
          <w:rFonts w:ascii="Arial" w:cs="Arial" w:eastAsia="Arial" w:hAnsi="Arial"/>
          <w:sz w:val="14"/>
          <w:szCs w:val="14"/>
          <w:color w:val="auto"/>
        </w:rPr>
        <w:t>Comprises 50% weighting of the Individual Goal Achievement Percentage, except for Mr. Cave, whose Individual Strategic Components comprised 60% of the weighting of the Individual Goal Achievement Percentage and Individual Financial Components comprised 40% of the Individual Goal Achievement Percentage.</w:t>
      </w:r>
    </w:p>
    <w:p>
      <w:pPr>
        <w:ind w:left="920" w:right="340" w:hanging="432"/>
        <w:spacing w:after="0" w:line="239" w:lineRule="auto"/>
        <w:tabs>
          <w:tab w:leader="none" w:pos="920" w:val="left"/>
        </w:tabs>
        <w:numPr>
          <w:ilvl w:val="0"/>
          <w:numId w:val="64"/>
        </w:numPr>
        <w:rPr>
          <w:rFonts w:ascii="Arial" w:cs="Arial" w:eastAsia="Arial" w:hAnsi="Arial"/>
          <w:sz w:val="14"/>
          <w:szCs w:val="14"/>
          <w:color w:val="auto"/>
        </w:rPr>
      </w:pPr>
      <w:r>
        <w:rPr>
          <w:rFonts w:ascii="Arial" w:cs="Arial" w:eastAsia="Arial" w:hAnsi="Arial"/>
          <w:sz w:val="14"/>
          <w:szCs w:val="14"/>
          <w:color w:val="auto"/>
        </w:rPr>
        <w:t>Payable in July 2022. Mr. Cave retired as of April 1, 2022 and therefore is not eligible for the Additional 20% Individual Goal Achievement Percentage-related payment.</w:t>
      </w:r>
    </w:p>
    <w:p>
      <w:pPr>
        <w:ind w:left="920" w:hanging="432"/>
        <w:spacing w:after="0"/>
        <w:tabs>
          <w:tab w:leader="none" w:pos="920" w:val="left"/>
        </w:tabs>
        <w:numPr>
          <w:ilvl w:val="0"/>
          <w:numId w:val="64"/>
        </w:numPr>
        <w:rPr>
          <w:rFonts w:ascii="Arial" w:cs="Arial" w:eastAsia="Arial" w:hAnsi="Arial"/>
          <w:sz w:val="14"/>
          <w:szCs w:val="14"/>
          <w:color w:val="auto"/>
        </w:rPr>
      </w:pPr>
      <w:r>
        <w:rPr>
          <w:rFonts w:ascii="Arial" w:cs="Arial" w:eastAsia="Arial" w:hAnsi="Arial"/>
          <w:sz w:val="14"/>
          <w:szCs w:val="14"/>
          <w:color w:val="auto"/>
        </w:rPr>
        <w:t>“Total Individual Goal Achievement” includes both the Individual Goal Achievement Percentage and the Additional Individual Goal Achievement Percentage.</w:t>
      </w:r>
    </w:p>
    <w:p>
      <w:pPr>
        <w:spacing w:after="0" w:line="190" w:lineRule="exact"/>
        <w:rPr>
          <w:sz w:val="20"/>
          <w:szCs w:val="20"/>
          <w:color w:val="auto"/>
        </w:rPr>
      </w:pPr>
    </w:p>
    <w:p>
      <w:pPr>
        <w:jc w:val="both"/>
        <w:ind w:left="160"/>
        <w:spacing w:after="0" w:line="238" w:lineRule="auto"/>
        <w:rPr>
          <w:sz w:val="20"/>
          <w:szCs w:val="20"/>
          <w:color w:val="auto"/>
        </w:rPr>
      </w:pPr>
      <w:r>
        <w:rPr>
          <w:rFonts w:ascii="Arial" w:cs="Arial" w:eastAsia="Arial" w:hAnsi="Arial"/>
          <w:sz w:val="18"/>
          <w:szCs w:val="18"/>
          <w:i w:val="1"/>
          <w:iCs w:val="1"/>
          <w:u w:val="single" w:color="auto"/>
          <w:color w:val="auto"/>
        </w:rPr>
        <w:t>Target Bonus Percentage for 2021</w:t>
      </w:r>
      <w:r>
        <w:rPr>
          <w:rFonts w:ascii="Arial" w:cs="Arial" w:eastAsia="Arial" w:hAnsi="Arial"/>
          <w:sz w:val="18"/>
          <w:szCs w:val="18"/>
          <w:color w:val="auto"/>
        </w:rPr>
        <w:t>. On February 11, 2021, the HCC Committee considered the award opportunity for each NEO other than</w:t>
      </w:r>
      <w:r>
        <w:rPr>
          <w:rFonts w:ascii="Arial" w:cs="Arial" w:eastAsia="Arial" w:hAnsi="Arial"/>
          <w:sz w:val="18"/>
          <w:szCs w:val="18"/>
          <w:i w:val="1"/>
          <w:iCs w:val="1"/>
          <w:color w:val="auto"/>
        </w:rPr>
        <w:t xml:space="preserve"> </w:t>
      </w:r>
      <w:r>
        <w:rPr>
          <w:rFonts w:ascii="Arial" w:cs="Arial" w:eastAsia="Arial" w:hAnsi="Arial"/>
          <w:sz w:val="18"/>
          <w:szCs w:val="18"/>
          <w:color w:val="auto"/>
        </w:rPr>
        <w:t>Messrs. Trent and Gutmann, and in each case, determined to retain the 2020 target as a percent of Eligible Earnings (as defined below). When the HCC Committee conducted its review of executive pay in June 2021, it was determined that the compensation of Messrs. Hopkin, Keeton and Jatou should be adjusted in order to align more closely with market levels. As a result, and as reflected in the table below, the HCC Committee approved an increase in the target annual cash bonus performance incentive opportunity for each of Messrs. Hopkin, Keeton and Jatou from 75% to 85%. In making determinations regarding these bonus opportunity levels, the HCC Committee considered, among other factors, information from Pearl Meyer and management.</w:t>
      </w:r>
    </w:p>
    <w:p>
      <w:pPr>
        <w:spacing w:after="0" w:line="227" w:lineRule="exact"/>
        <w:rPr>
          <w:sz w:val="20"/>
          <w:szCs w:val="20"/>
          <w:color w:val="auto"/>
        </w:rPr>
      </w:pPr>
    </w:p>
    <w:tbl>
      <w:tblPr>
        <w:tblLayout w:type="fixed"/>
        <w:tblInd w:w="2780" w:type="dxa"/>
        <w:tblCellMar>
          <w:top w:w="0" w:type="dxa"/>
          <w:left w:w="0" w:type="dxa"/>
          <w:bottom w:w="0" w:type="dxa"/>
          <w:right w:w="0" w:type="dxa"/>
        </w:tblCellMar>
      </w:tblPr>
      <w:tr>
        <w:trPr>
          <w:trHeight w:val="240"/>
        </w:trPr>
        <w:tc>
          <w:tcPr>
            <w:tcW w:w="1740" w:type="dxa"/>
            <w:vAlign w:val="bottom"/>
            <w:shd w:val="clear" w:color="auto" w:fill="F75E14"/>
          </w:tcPr>
          <w:p>
            <w:pPr>
              <w:spacing w:after="0"/>
              <w:rPr>
                <w:sz w:val="20"/>
                <w:szCs w:val="20"/>
                <w:color w:val="auto"/>
              </w:rPr>
            </w:pPr>
          </w:p>
        </w:tc>
        <w:tc>
          <w:tcPr>
            <w:tcW w:w="1960" w:type="dxa"/>
            <w:vAlign w:val="bottom"/>
            <w:shd w:val="clear" w:color="auto" w:fill="F75E14"/>
          </w:tcPr>
          <w:p>
            <w:pPr>
              <w:jc w:val="right"/>
              <w:ind w:right="140"/>
              <w:spacing w:after="0"/>
              <w:rPr>
                <w:sz w:val="20"/>
                <w:szCs w:val="20"/>
                <w:color w:val="auto"/>
              </w:rPr>
            </w:pPr>
            <w:r>
              <w:rPr>
                <w:rFonts w:ascii="Arial" w:cs="Arial" w:eastAsia="Arial" w:hAnsi="Arial"/>
                <w:sz w:val="16"/>
                <w:szCs w:val="16"/>
                <w:b w:val="1"/>
                <w:bCs w:val="1"/>
                <w:color w:val="FFFFFF"/>
              </w:rPr>
              <w:t>2020 Target Percent</w:t>
            </w:r>
          </w:p>
        </w:tc>
        <w:tc>
          <w:tcPr>
            <w:tcW w:w="1980" w:type="dxa"/>
            <w:vAlign w:val="bottom"/>
            <w:shd w:val="clear" w:color="auto" w:fill="F75E14"/>
          </w:tcPr>
          <w:p>
            <w:pPr>
              <w:jc w:val="right"/>
              <w:ind w:right="180"/>
              <w:spacing w:after="0"/>
              <w:rPr>
                <w:sz w:val="20"/>
                <w:szCs w:val="20"/>
                <w:color w:val="auto"/>
              </w:rPr>
            </w:pPr>
            <w:r>
              <w:rPr>
                <w:rFonts w:ascii="Arial" w:cs="Arial" w:eastAsia="Arial" w:hAnsi="Arial"/>
                <w:sz w:val="16"/>
                <w:szCs w:val="16"/>
                <w:b w:val="1"/>
                <w:bCs w:val="1"/>
                <w:color w:val="FFFFFF"/>
              </w:rPr>
              <w:t>2021 Target Percent</w:t>
            </w:r>
          </w:p>
        </w:tc>
      </w:tr>
      <w:tr>
        <w:trPr>
          <w:trHeight w:val="241"/>
        </w:trPr>
        <w:tc>
          <w:tcPr>
            <w:tcW w:w="1740" w:type="dxa"/>
            <w:vAlign w:val="bottom"/>
            <w:shd w:val="clear" w:color="auto" w:fill="F75E14"/>
          </w:tcPr>
          <w:p>
            <w:pPr>
              <w:ind w:left="100"/>
              <w:spacing w:after="0"/>
              <w:rPr>
                <w:sz w:val="20"/>
                <w:szCs w:val="20"/>
                <w:color w:val="auto"/>
              </w:rPr>
            </w:pPr>
            <w:r>
              <w:rPr>
                <w:rFonts w:ascii="Arial" w:cs="Arial" w:eastAsia="Arial" w:hAnsi="Arial"/>
                <w:sz w:val="16"/>
                <w:szCs w:val="16"/>
                <w:b w:val="1"/>
                <w:bCs w:val="1"/>
                <w:color w:val="FFFFFF"/>
              </w:rPr>
              <w:t>NEO</w:t>
            </w:r>
          </w:p>
        </w:tc>
        <w:tc>
          <w:tcPr>
            <w:tcW w:w="1960" w:type="dxa"/>
            <w:vAlign w:val="bottom"/>
            <w:shd w:val="clear" w:color="auto" w:fill="F75E14"/>
          </w:tcPr>
          <w:p>
            <w:pPr>
              <w:jc w:val="right"/>
              <w:ind w:right="40"/>
              <w:spacing w:after="0"/>
              <w:rPr>
                <w:sz w:val="20"/>
                <w:szCs w:val="20"/>
                <w:color w:val="auto"/>
              </w:rPr>
            </w:pPr>
            <w:r>
              <w:rPr>
                <w:rFonts w:ascii="Arial" w:cs="Arial" w:eastAsia="Arial" w:hAnsi="Arial"/>
                <w:sz w:val="16"/>
                <w:szCs w:val="16"/>
                <w:b w:val="1"/>
                <w:bCs w:val="1"/>
                <w:color w:val="FFFFFF"/>
              </w:rPr>
              <w:t>of Eligible Earnings (1)</w:t>
            </w:r>
          </w:p>
        </w:tc>
        <w:tc>
          <w:tcPr>
            <w:tcW w:w="1980" w:type="dxa"/>
            <w:vAlign w:val="bottom"/>
            <w:shd w:val="clear" w:color="auto" w:fill="F75E14"/>
          </w:tcPr>
          <w:p>
            <w:pPr>
              <w:jc w:val="right"/>
              <w:ind w:right="60"/>
              <w:spacing w:after="0"/>
              <w:rPr>
                <w:sz w:val="20"/>
                <w:szCs w:val="20"/>
                <w:color w:val="auto"/>
              </w:rPr>
            </w:pPr>
            <w:r>
              <w:rPr>
                <w:rFonts w:ascii="Arial" w:cs="Arial" w:eastAsia="Arial" w:hAnsi="Arial"/>
                <w:sz w:val="16"/>
                <w:szCs w:val="16"/>
                <w:b w:val="1"/>
                <w:bCs w:val="1"/>
                <w:color w:val="FFFFFF"/>
              </w:rPr>
              <w:t>of Eligible Earnings (1)</w:t>
            </w:r>
          </w:p>
        </w:tc>
      </w:tr>
      <w:tr>
        <w:trPr>
          <w:trHeight w:val="281"/>
        </w:trPr>
        <w:tc>
          <w:tcPr>
            <w:tcW w:w="1740" w:type="dxa"/>
            <w:vAlign w:val="bottom"/>
            <w:shd w:val="clear" w:color="auto" w:fill="D8E8EF"/>
          </w:tcPr>
          <w:p>
            <w:pPr>
              <w:ind w:left="100"/>
              <w:spacing w:after="0"/>
              <w:rPr>
                <w:sz w:val="20"/>
                <w:szCs w:val="20"/>
                <w:color w:val="auto"/>
              </w:rPr>
            </w:pPr>
            <w:r>
              <w:rPr>
                <w:rFonts w:ascii="Arial" w:cs="Arial" w:eastAsia="Arial" w:hAnsi="Arial"/>
                <w:sz w:val="16"/>
                <w:szCs w:val="16"/>
                <w:color w:val="auto"/>
              </w:rPr>
              <w:t>Hassane El-Khoury</w:t>
            </w:r>
          </w:p>
        </w:tc>
        <w:tc>
          <w:tcPr>
            <w:tcW w:w="1960" w:type="dxa"/>
            <w:vAlign w:val="bottom"/>
            <w:shd w:val="clear" w:color="auto" w:fill="D8E8EF"/>
          </w:tcPr>
          <w:p>
            <w:pPr>
              <w:jc w:val="right"/>
              <w:ind w:right="300"/>
              <w:spacing w:after="0"/>
              <w:rPr>
                <w:sz w:val="20"/>
                <w:szCs w:val="20"/>
                <w:color w:val="auto"/>
              </w:rPr>
            </w:pPr>
            <w:r>
              <w:rPr>
                <w:rFonts w:ascii="Arial" w:cs="Arial" w:eastAsia="Arial" w:hAnsi="Arial"/>
                <w:sz w:val="16"/>
                <w:szCs w:val="16"/>
                <w:color w:val="auto"/>
              </w:rPr>
              <w:t>150%</w:t>
            </w:r>
          </w:p>
        </w:tc>
        <w:tc>
          <w:tcPr>
            <w:tcW w:w="1980" w:type="dxa"/>
            <w:vAlign w:val="bottom"/>
            <w:shd w:val="clear" w:color="auto" w:fill="D8E8EF"/>
          </w:tcPr>
          <w:p>
            <w:pPr>
              <w:jc w:val="right"/>
              <w:ind w:right="240"/>
              <w:spacing w:after="0"/>
              <w:rPr>
                <w:sz w:val="20"/>
                <w:szCs w:val="20"/>
                <w:color w:val="auto"/>
              </w:rPr>
            </w:pPr>
            <w:r>
              <w:rPr>
                <w:rFonts w:ascii="Arial" w:cs="Arial" w:eastAsia="Arial" w:hAnsi="Arial"/>
                <w:sz w:val="16"/>
                <w:szCs w:val="16"/>
                <w:color w:val="auto"/>
              </w:rPr>
              <w:t>150%</w:t>
            </w:r>
          </w:p>
        </w:tc>
      </w:tr>
      <w:tr>
        <w:trPr>
          <w:trHeight w:val="272"/>
        </w:trPr>
        <w:tc>
          <w:tcPr>
            <w:tcW w:w="1740" w:type="dxa"/>
            <w:vAlign w:val="bottom"/>
          </w:tcPr>
          <w:p>
            <w:pPr>
              <w:ind w:left="100"/>
              <w:spacing w:after="0"/>
              <w:rPr>
                <w:sz w:val="20"/>
                <w:szCs w:val="20"/>
                <w:color w:val="auto"/>
              </w:rPr>
            </w:pPr>
            <w:r>
              <w:rPr>
                <w:rFonts w:ascii="Arial" w:cs="Arial" w:eastAsia="Arial" w:hAnsi="Arial"/>
                <w:sz w:val="16"/>
                <w:szCs w:val="16"/>
                <w:color w:val="auto"/>
              </w:rPr>
              <w:t>Thad Trent</w:t>
            </w:r>
          </w:p>
        </w:tc>
        <w:tc>
          <w:tcPr>
            <w:tcW w:w="1960" w:type="dxa"/>
            <w:vAlign w:val="bottom"/>
          </w:tcPr>
          <w:p>
            <w:pPr>
              <w:jc w:val="right"/>
              <w:ind w:right="20"/>
              <w:spacing w:after="0"/>
              <w:rPr>
                <w:sz w:val="20"/>
                <w:szCs w:val="20"/>
                <w:color w:val="auto"/>
              </w:rPr>
            </w:pPr>
            <w:r>
              <w:rPr>
                <w:rFonts w:ascii="Arial" w:cs="Arial" w:eastAsia="Arial" w:hAnsi="Arial"/>
                <w:sz w:val="16"/>
                <w:szCs w:val="16"/>
                <w:color w:val="auto"/>
              </w:rPr>
              <w:t>--% (2)</w:t>
            </w:r>
          </w:p>
        </w:tc>
        <w:tc>
          <w:tcPr>
            <w:tcW w:w="1980" w:type="dxa"/>
            <w:vAlign w:val="bottom"/>
          </w:tcPr>
          <w:p>
            <w:pPr>
              <w:jc w:val="right"/>
              <w:ind w:right="240"/>
              <w:spacing w:after="0"/>
              <w:rPr>
                <w:sz w:val="20"/>
                <w:szCs w:val="20"/>
                <w:color w:val="auto"/>
              </w:rPr>
            </w:pPr>
            <w:r>
              <w:rPr>
                <w:rFonts w:ascii="Arial" w:cs="Arial" w:eastAsia="Arial" w:hAnsi="Arial"/>
                <w:sz w:val="16"/>
                <w:szCs w:val="16"/>
                <w:color w:val="auto"/>
              </w:rPr>
              <w:t>100%</w:t>
            </w:r>
          </w:p>
        </w:tc>
      </w:tr>
      <w:tr>
        <w:trPr>
          <w:trHeight w:val="289"/>
        </w:trPr>
        <w:tc>
          <w:tcPr>
            <w:tcW w:w="1740" w:type="dxa"/>
            <w:vAlign w:val="bottom"/>
            <w:shd w:val="clear" w:color="auto" w:fill="D8E8EF"/>
          </w:tcPr>
          <w:p>
            <w:pPr>
              <w:ind w:left="100"/>
              <w:spacing w:after="0"/>
              <w:rPr>
                <w:sz w:val="20"/>
                <w:szCs w:val="20"/>
                <w:color w:val="auto"/>
              </w:rPr>
            </w:pPr>
            <w:r>
              <w:rPr>
                <w:rFonts w:ascii="Arial" w:cs="Arial" w:eastAsia="Arial" w:hAnsi="Arial"/>
                <w:sz w:val="16"/>
                <w:szCs w:val="16"/>
                <w:color w:val="auto"/>
              </w:rPr>
              <w:t>Vincent C. Hopkin</w:t>
            </w:r>
          </w:p>
        </w:tc>
        <w:tc>
          <w:tcPr>
            <w:tcW w:w="1960" w:type="dxa"/>
            <w:vAlign w:val="bottom"/>
            <w:shd w:val="clear" w:color="auto" w:fill="D8E8EF"/>
          </w:tcPr>
          <w:p>
            <w:pPr>
              <w:jc w:val="right"/>
              <w:ind w:right="300"/>
              <w:spacing w:after="0"/>
              <w:rPr>
                <w:sz w:val="20"/>
                <w:szCs w:val="20"/>
                <w:color w:val="auto"/>
              </w:rPr>
            </w:pPr>
            <w:r>
              <w:rPr>
                <w:rFonts w:ascii="Arial" w:cs="Arial" w:eastAsia="Arial" w:hAnsi="Arial"/>
                <w:sz w:val="16"/>
                <w:szCs w:val="16"/>
                <w:color w:val="auto"/>
              </w:rPr>
              <w:t>75%</w:t>
            </w:r>
          </w:p>
        </w:tc>
        <w:tc>
          <w:tcPr>
            <w:tcW w:w="1980" w:type="dxa"/>
            <w:vAlign w:val="bottom"/>
            <w:shd w:val="clear" w:color="auto" w:fill="D8E8EF"/>
          </w:tcPr>
          <w:p>
            <w:pPr>
              <w:jc w:val="right"/>
              <w:spacing w:after="0"/>
              <w:rPr>
                <w:sz w:val="20"/>
                <w:szCs w:val="20"/>
                <w:color w:val="auto"/>
              </w:rPr>
            </w:pPr>
            <w:r>
              <w:rPr>
                <w:rFonts w:ascii="Arial" w:cs="Arial" w:eastAsia="Arial" w:hAnsi="Arial"/>
                <w:sz w:val="16"/>
                <w:szCs w:val="16"/>
                <w:color w:val="auto"/>
              </w:rPr>
              <w:t>85% (3)</w:t>
            </w:r>
          </w:p>
        </w:tc>
      </w:tr>
      <w:tr>
        <w:trPr>
          <w:trHeight w:val="272"/>
        </w:trPr>
        <w:tc>
          <w:tcPr>
            <w:tcW w:w="1740" w:type="dxa"/>
            <w:vAlign w:val="bottom"/>
          </w:tcPr>
          <w:p>
            <w:pPr>
              <w:ind w:left="100"/>
              <w:spacing w:after="0"/>
              <w:rPr>
                <w:sz w:val="20"/>
                <w:szCs w:val="20"/>
                <w:color w:val="auto"/>
              </w:rPr>
            </w:pPr>
            <w:r>
              <w:rPr>
                <w:rFonts w:ascii="Arial" w:cs="Arial" w:eastAsia="Arial" w:hAnsi="Arial"/>
                <w:sz w:val="16"/>
                <w:szCs w:val="16"/>
                <w:color w:val="auto"/>
              </w:rPr>
              <w:t>Simon Keeton</w:t>
            </w:r>
          </w:p>
        </w:tc>
        <w:tc>
          <w:tcPr>
            <w:tcW w:w="1960" w:type="dxa"/>
            <w:vAlign w:val="bottom"/>
          </w:tcPr>
          <w:p>
            <w:pPr>
              <w:jc w:val="right"/>
              <w:ind w:right="300"/>
              <w:spacing w:after="0"/>
              <w:rPr>
                <w:sz w:val="20"/>
                <w:szCs w:val="20"/>
                <w:color w:val="auto"/>
              </w:rPr>
            </w:pPr>
            <w:r>
              <w:rPr>
                <w:rFonts w:ascii="Arial" w:cs="Arial" w:eastAsia="Arial" w:hAnsi="Arial"/>
                <w:sz w:val="16"/>
                <w:szCs w:val="16"/>
                <w:color w:val="auto"/>
              </w:rPr>
              <w:t>75%</w:t>
            </w:r>
          </w:p>
        </w:tc>
        <w:tc>
          <w:tcPr>
            <w:tcW w:w="1980" w:type="dxa"/>
            <w:vAlign w:val="bottom"/>
          </w:tcPr>
          <w:p>
            <w:pPr>
              <w:jc w:val="right"/>
              <w:spacing w:after="0"/>
              <w:rPr>
                <w:sz w:val="20"/>
                <w:szCs w:val="20"/>
                <w:color w:val="auto"/>
              </w:rPr>
            </w:pPr>
            <w:r>
              <w:rPr>
                <w:rFonts w:ascii="Arial" w:cs="Arial" w:eastAsia="Arial" w:hAnsi="Arial"/>
                <w:sz w:val="16"/>
                <w:szCs w:val="16"/>
                <w:color w:val="auto"/>
              </w:rPr>
              <w:t>85% (3)</w:t>
            </w:r>
          </w:p>
        </w:tc>
      </w:tr>
      <w:tr>
        <w:trPr>
          <w:trHeight w:val="289"/>
        </w:trPr>
        <w:tc>
          <w:tcPr>
            <w:tcW w:w="1740" w:type="dxa"/>
            <w:vAlign w:val="bottom"/>
            <w:shd w:val="clear" w:color="auto" w:fill="D8E8EF"/>
          </w:tcPr>
          <w:p>
            <w:pPr>
              <w:ind w:left="100"/>
              <w:spacing w:after="0"/>
              <w:rPr>
                <w:sz w:val="20"/>
                <w:szCs w:val="20"/>
                <w:color w:val="auto"/>
              </w:rPr>
            </w:pPr>
            <w:r>
              <w:rPr>
                <w:rFonts w:ascii="Arial" w:cs="Arial" w:eastAsia="Arial" w:hAnsi="Arial"/>
                <w:sz w:val="16"/>
                <w:szCs w:val="16"/>
                <w:color w:val="auto"/>
              </w:rPr>
              <w:t>Ross F. Jatou</w:t>
            </w:r>
          </w:p>
        </w:tc>
        <w:tc>
          <w:tcPr>
            <w:tcW w:w="1960" w:type="dxa"/>
            <w:vAlign w:val="bottom"/>
            <w:shd w:val="clear" w:color="auto" w:fill="D8E8EF"/>
          </w:tcPr>
          <w:p>
            <w:pPr>
              <w:jc w:val="right"/>
              <w:ind w:right="300"/>
              <w:spacing w:after="0"/>
              <w:rPr>
                <w:sz w:val="20"/>
                <w:szCs w:val="20"/>
                <w:color w:val="auto"/>
              </w:rPr>
            </w:pPr>
            <w:r>
              <w:rPr>
                <w:rFonts w:ascii="Arial" w:cs="Arial" w:eastAsia="Arial" w:hAnsi="Arial"/>
                <w:sz w:val="16"/>
                <w:szCs w:val="16"/>
                <w:color w:val="auto"/>
              </w:rPr>
              <w:t>75%</w:t>
            </w:r>
          </w:p>
        </w:tc>
        <w:tc>
          <w:tcPr>
            <w:tcW w:w="1980" w:type="dxa"/>
            <w:vAlign w:val="bottom"/>
            <w:shd w:val="clear" w:color="auto" w:fill="D8E8EF"/>
          </w:tcPr>
          <w:p>
            <w:pPr>
              <w:jc w:val="right"/>
              <w:spacing w:after="0"/>
              <w:rPr>
                <w:sz w:val="20"/>
                <w:szCs w:val="20"/>
                <w:color w:val="auto"/>
              </w:rPr>
            </w:pPr>
            <w:r>
              <w:rPr>
                <w:rFonts w:ascii="Arial" w:cs="Arial" w:eastAsia="Arial" w:hAnsi="Arial"/>
                <w:sz w:val="16"/>
                <w:szCs w:val="16"/>
                <w:color w:val="auto"/>
              </w:rPr>
              <w:t>85% (3)</w:t>
            </w:r>
          </w:p>
        </w:tc>
      </w:tr>
      <w:tr>
        <w:trPr>
          <w:trHeight w:val="272"/>
        </w:trPr>
        <w:tc>
          <w:tcPr>
            <w:tcW w:w="1740" w:type="dxa"/>
            <w:vAlign w:val="bottom"/>
          </w:tcPr>
          <w:p>
            <w:pPr>
              <w:ind w:left="100"/>
              <w:spacing w:after="0"/>
              <w:rPr>
                <w:sz w:val="20"/>
                <w:szCs w:val="20"/>
                <w:color w:val="auto"/>
              </w:rPr>
            </w:pPr>
            <w:r>
              <w:rPr>
                <w:rFonts w:ascii="Arial" w:cs="Arial" w:eastAsia="Arial" w:hAnsi="Arial"/>
                <w:sz w:val="16"/>
                <w:szCs w:val="16"/>
                <w:color w:val="auto"/>
              </w:rPr>
              <w:t>George H. Cave</w:t>
            </w:r>
          </w:p>
        </w:tc>
        <w:tc>
          <w:tcPr>
            <w:tcW w:w="1960" w:type="dxa"/>
            <w:vAlign w:val="bottom"/>
          </w:tcPr>
          <w:p>
            <w:pPr>
              <w:jc w:val="right"/>
              <w:ind w:right="300"/>
              <w:spacing w:after="0"/>
              <w:rPr>
                <w:sz w:val="20"/>
                <w:szCs w:val="20"/>
                <w:color w:val="auto"/>
              </w:rPr>
            </w:pPr>
            <w:r>
              <w:rPr>
                <w:rFonts w:ascii="Arial" w:cs="Arial" w:eastAsia="Arial" w:hAnsi="Arial"/>
                <w:sz w:val="16"/>
                <w:szCs w:val="16"/>
                <w:color w:val="auto"/>
              </w:rPr>
              <w:t>75%</w:t>
            </w:r>
          </w:p>
        </w:tc>
        <w:tc>
          <w:tcPr>
            <w:tcW w:w="1980" w:type="dxa"/>
            <w:vAlign w:val="bottom"/>
          </w:tcPr>
          <w:p>
            <w:pPr>
              <w:jc w:val="right"/>
              <w:ind w:right="240"/>
              <w:spacing w:after="0"/>
              <w:rPr>
                <w:sz w:val="20"/>
                <w:szCs w:val="20"/>
                <w:color w:val="auto"/>
              </w:rPr>
            </w:pPr>
            <w:r>
              <w:rPr>
                <w:rFonts w:ascii="Arial" w:cs="Arial" w:eastAsia="Arial" w:hAnsi="Arial"/>
                <w:sz w:val="16"/>
                <w:szCs w:val="16"/>
                <w:color w:val="auto"/>
              </w:rPr>
              <w:t>75%</w:t>
            </w:r>
          </w:p>
        </w:tc>
      </w:tr>
      <w:tr>
        <w:trPr>
          <w:trHeight w:val="283"/>
        </w:trPr>
        <w:tc>
          <w:tcPr>
            <w:tcW w:w="1740" w:type="dxa"/>
            <w:vAlign w:val="bottom"/>
            <w:tcBorders>
              <w:bottom w:val="single" w:sz="8" w:color="auto"/>
            </w:tcBorders>
            <w:shd w:val="clear" w:color="auto" w:fill="D8E8EF"/>
          </w:tcPr>
          <w:p>
            <w:pPr>
              <w:ind w:left="100"/>
              <w:spacing w:after="0"/>
              <w:rPr>
                <w:sz w:val="20"/>
                <w:szCs w:val="20"/>
                <w:color w:val="auto"/>
              </w:rPr>
            </w:pPr>
            <w:r>
              <w:rPr>
                <w:rFonts w:ascii="Arial" w:cs="Arial" w:eastAsia="Arial" w:hAnsi="Arial"/>
                <w:sz w:val="16"/>
                <w:szCs w:val="16"/>
                <w:color w:val="auto"/>
              </w:rPr>
              <w:t>Bernard Gutmann</w:t>
            </w:r>
          </w:p>
        </w:tc>
        <w:tc>
          <w:tcPr>
            <w:tcW w:w="1960" w:type="dxa"/>
            <w:vAlign w:val="bottom"/>
            <w:tcBorders>
              <w:bottom w:val="single" w:sz="8" w:color="auto"/>
            </w:tcBorders>
            <w:shd w:val="clear" w:color="auto" w:fill="D8E8EF"/>
          </w:tcPr>
          <w:p>
            <w:pPr>
              <w:jc w:val="right"/>
              <w:ind w:right="300"/>
              <w:spacing w:after="0"/>
              <w:rPr>
                <w:sz w:val="20"/>
                <w:szCs w:val="20"/>
                <w:color w:val="auto"/>
              </w:rPr>
            </w:pPr>
            <w:r>
              <w:rPr>
                <w:rFonts w:ascii="Arial" w:cs="Arial" w:eastAsia="Arial" w:hAnsi="Arial"/>
                <w:sz w:val="16"/>
                <w:szCs w:val="16"/>
                <w:color w:val="auto"/>
              </w:rPr>
              <w:t>85%</w:t>
            </w:r>
          </w:p>
        </w:tc>
        <w:tc>
          <w:tcPr>
            <w:tcW w:w="1980" w:type="dxa"/>
            <w:vAlign w:val="bottom"/>
            <w:tcBorders>
              <w:bottom w:val="single" w:sz="8" w:color="auto"/>
            </w:tcBorders>
            <w:shd w:val="clear" w:color="auto" w:fill="D8E8EF"/>
          </w:tcPr>
          <w:p>
            <w:pPr>
              <w:jc w:val="right"/>
              <w:spacing w:after="0"/>
              <w:rPr>
                <w:sz w:val="20"/>
                <w:szCs w:val="20"/>
                <w:color w:val="auto"/>
              </w:rPr>
            </w:pPr>
            <w:r>
              <w:rPr>
                <w:rFonts w:ascii="Arial" w:cs="Arial" w:eastAsia="Arial" w:hAnsi="Arial"/>
                <w:sz w:val="16"/>
                <w:szCs w:val="16"/>
                <w:color w:val="auto"/>
              </w:rPr>
              <w:t>--% (4)</w:t>
            </w:r>
          </w:p>
        </w:tc>
      </w:tr>
    </w:tbl>
    <w:p>
      <w:pPr>
        <w:jc w:val="both"/>
        <w:ind w:left="3540" w:right="2840" w:hanging="430"/>
        <w:spacing w:after="0" w:line="241" w:lineRule="auto"/>
        <w:tabs>
          <w:tab w:leader="none" w:pos="3540" w:val="left"/>
        </w:tabs>
        <w:numPr>
          <w:ilvl w:val="0"/>
          <w:numId w:val="65"/>
        </w:numPr>
        <w:rPr>
          <w:rFonts w:ascii="Arial" w:cs="Arial" w:eastAsia="Arial" w:hAnsi="Arial"/>
          <w:sz w:val="14"/>
          <w:szCs w:val="14"/>
          <w:color w:val="auto"/>
        </w:rPr>
      </w:pPr>
      <w:r>
        <w:rPr>
          <w:rFonts w:ascii="Arial" w:cs="Arial" w:eastAsia="Arial" w:hAnsi="Arial"/>
          <w:sz w:val="14"/>
          <w:szCs w:val="14"/>
          <w:color w:val="auto"/>
        </w:rPr>
        <w:t>A NEO’s eligible compensation for the relevant performance period includes earnings that are paid during the performance period, regardless of the period for which the compensation was earned (the “Eligible Earnings”).</w:t>
      </w:r>
    </w:p>
    <w:p>
      <w:pPr>
        <w:ind w:left="3540" w:hanging="430"/>
        <w:spacing w:after="0"/>
        <w:tabs>
          <w:tab w:leader="none" w:pos="3540" w:val="left"/>
        </w:tabs>
        <w:numPr>
          <w:ilvl w:val="0"/>
          <w:numId w:val="65"/>
        </w:numPr>
        <w:rPr>
          <w:rFonts w:ascii="Arial" w:cs="Arial" w:eastAsia="Arial" w:hAnsi="Arial"/>
          <w:sz w:val="14"/>
          <w:szCs w:val="14"/>
          <w:color w:val="auto"/>
        </w:rPr>
      </w:pPr>
      <w:r>
        <w:rPr>
          <w:rFonts w:ascii="Arial" w:cs="Arial" w:eastAsia="Arial" w:hAnsi="Arial"/>
          <w:sz w:val="14"/>
          <w:szCs w:val="14"/>
          <w:color w:val="auto"/>
        </w:rPr>
        <w:t>Not applicable for Mr. Trent as he did not join the Company until 2021.</w:t>
      </w:r>
    </w:p>
    <w:p>
      <w:pPr>
        <w:ind w:left="3540" w:right="2840" w:hanging="430"/>
        <w:spacing w:after="0" w:line="239" w:lineRule="auto"/>
        <w:tabs>
          <w:tab w:leader="none" w:pos="3540" w:val="left"/>
        </w:tabs>
        <w:numPr>
          <w:ilvl w:val="0"/>
          <w:numId w:val="65"/>
        </w:numPr>
        <w:rPr>
          <w:rFonts w:ascii="Arial" w:cs="Arial" w:eastAsia="Arial" w:hAnsi="Arial"/>
          <w:sz w:val="14"/>
          <w:szCs w:val="14"/>
          <w:color w:val="auto"/>
        </w:rPr>
      </w:pPr>
      <w:r>
        <w:rPr>
          <w:rFonts w:ascii="Arial" w:cs="Arial" w:eastAsia="Arial" w:hAnsi="Arial"/>
          <w:sz w:val="14"/>
          <w:szCs w:val="14"/>
          <w:color w:val="auto"/>
        </w:rPr>
        <w:t>Reflects the increased annual cash bonus performance incentive opportunity effective as of July 1, 2021.</w:t>
      </w:r>
    </w:p>
    <w:p>
      <w:pPr>
        <w:ind w:left="3540" w:right="2840" w:hanging="430"/>
        <w:spacing w:after="0" w:line="260" w:lineRule="auto"/>
        <w:tabs>
          <w:tab w:leader="none" w:pos="3540" w:val="left"/>
        </w:tabs>
        <w:numPr>
          <w:ilvl w:val="0"/>
          <w:numId w:val="65"/>
        </w:numPr>
        <w:rPr>
          <w:rFonts w:ascii="Arial" w:cs="Arial" w:eastAsia="Arial" w:hAnsi="Arial"/>
          <w:sz w:val="14"/>
          <w:szCs w:val="14"/>
          <w:color w:val="auto"/>
        </w:rPr>
      </w:pPr>
      <w:r>
        <w:rPr>
          <w:rFonts w:ascii="Arial" w:cs="Arial" w:eastAsia="Arial" w:hAnsi="Arial"/>
          <w:sz w:val="14"/>
          <w:szCs w:val="14"/>
          <w:color w:val="auto"/>
        </w:rPr>
        <w:t>There was no target award opportunity for Mr. Gutmann for 2021 because he announced his retirement early in 2021.</w:t>
      </w:r>
    </w:p>
    <w:p>
      <w:pPr>
        <w:spacing w:after="0" w:line="105" w:lineRule="exact"/>
        <w:rPr>
          <w:sz w:val="20"/>
          <w:szCs w:val="20"/>
          <w:color w:val="auto"/>
        </w:rPr>
      </w:pPr>
    </w:p>
    <w:p>
      <w:pPr>
        <w:ind w:left="160"/>
        <w:spacing w:after="0"/>
        <w:tabs>
          <w:tab w:leader="none" w:pos="500" w:val="left"/>
        </w:tabs>
        <w:rPr>
          <w:sz w:val="20"/>
          <w:szCs w:val="20"/>
          <w:color w:val="auto"/>
        </w:rPr>
      </w:pPr>
      <w:r>
        <w:rPr>
          <w:rFonts w:ascii="Arial" w:cs="Arial" w:eastAsia="Arial" w:hAnsi="Arial"/>
          <w:sz w:val="14"/>
          <w:szCs w:val="14"/>
          <w:color w:val="F75E14"/>
        </w:rPr>
        <w:t>40</w:t>
        <w:tab/>
        <w:t>onsemi 2022 Proxy Statement</w:t>
      </w:r>
    </w:p>
    <w:p>
      <w:pPr>
        <w:sectPr>
          <w:pgSz w:w="11900" w:h="16838" w:orient="portrait"/>
          <w:cols w:equalWidth="0" w:num="1">
            <w:col w:w="11080"/>
          </w:cols>
          <w:pgMar w:left="320" w:top="454" w:right="499" w:bottom="1440" w:gutter="0" w:footer="0" w:header="0"/>
        </w:sectPr>
      </w:pPr>
    </w:p>
    <w:bookmarkStart w:id="44" w:name="page45"/>
    <w:bookmarkEnd w:id="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2" w:lineRule="exact"/>
        <w:rPr>
          <w:sz w:val="20"/>
          <w:szCs w:val="20"/>
          <w:color w:val="auto"/>
        </w:rPr>
      </w:pPr>
    </w:p>
    <w:p>
      <w:pPr>
        <w:ind w:left="7960"/>
        <w:spacing w:after="0"/>
        <w:rPr>
          <w:sz w:val="20"/>
          <w:szCs w:val="20"/>
          <w:color w:val="auto"/>
        </w:rPr>
      </w:pPr>
      <w:r>
        <w:rPr>
          <w:rFonts w:ascii="Arial" w:cs="Arial" w:eastAsia="Arial" w:hAnsi="Arial"/>
          <w:sz w:val="17"/>
          <w:szCs w:val="17"/>
          <w:color w:val="F75E14"/>
        </w:rPr>
        <w:t>Compensation Discussion and Analysis</w:t>
      </w:r>
    </w:p>
    <w:p>
      <w:pPr>
        <w:spacing w:after="0" w:line="152" w:lineRule="exact"/>
        <w:rPr>
          <w:sz w:val="20"/>
          <w:szCs w:val="20"/>
          <w:color w:val="auto"/>
        </w:rPr>
      </w:pPr>
    </w:p>
    <w:p>
      <w:pPr>
        <w:ind w:left="160"/>
        <w:spacing w:after="0"/>
        <w:rPr>
          <w:sz w:val="20"/>
          <w:szCs w:val="20"/>
          <w:color w:val="auto"/>
        </w:rPr>
      </w:pPr>
      <w:r>
        <w:rPr>
          <w:rFonts w:ascii="Arial" w:cs="Arial" w:eastAsia="Arial" w:hAnsi="Arial"/>
          <w:sz w:val="18"/>
          <w:szCs w:val="18"/>
          <w:i w:val="1"/>
          <w:iCs w:val="1"/>
          <w:u w:val="single" w:color="auto"/>
          <w:color w:val="auto"/>
        </w:rPr>
        <w:t>Bonus Payout under the 2021 Bonus Program</w:t>
      </w:r>
      <w:r>
        <w:rPr>
          <w:rFonts w:ascii="Arial" w:cs="Arial" w:eastAsia="Arial" w:hAnsi="Arial"/>
          <w:sz w:val="18"/>
          <w:szCs w:val="18"/>
          <w:color w:val="auto"/>
        </w:rPr>
        <w:t>. The payouts under the 2021 Bonus Program for each of our NEOs were as follows:</w:t>
      </w:r>
    </w:p>
    <w:p>
      <w:pPr>
        <w:spacing w:after="0" w:line="253" w:lineRule="exact"/>
        <w:rPr>
          <w:sz w:val="20"/>
          <w:szCs w:val="20"/>
          <w:color w:val="auto"/>
        </w:rPr>
      </w:pPr>
    </w:p>
    <w:tbl>
      <w:tblPr>
        <w:tblLayout w:type="fixed"/>
        <w:tblInd w:w="280" w:type="dxa"/>
        <w:tblCellMar>
          <w:top w:w="0" w:type="dxa"/>
          <w:left w:w="0" w:type="dxa"/>
          <w:bottom w:w="0" w:type="dxa"/>
          <w:right w:w="0" w:type="dxa"/>
        </w:tblCellMar>
      </w:tblPr>
      <w:tr>
        <w:trPr>
          <w:trHeight w:val="240"/>
        </w:trPr>
        <w:tc>
          <w:tcPr>
            <w:tcW w:w="2560" w:type="dxa"/>
            <w:vAlign w:val="bottom"/>
            <w:shd w:val="clear" w:color="auto" w:fill="F75E14"/>
          </w:tcPr>
          <w:p>
            <w:pPr>
              <w:spacing w:after="0"/>
              <w:rPr>
                <w:sz w:val="20"/>
                <w:szCs w:val="20"/>
                <w:color w:val="auto"/>
              </w:rPr>
            </w:pPr>
          </w:p>
        </w:tc>
        <w:tc>
          <w:tcPr>
            <w:tcW w:w="1300" w:type="dxa"/>
            <w:vAlign w:val="bottom"/>
            <w:shd w:val="clear" w:color="auto" w:fill="F75E14"/>
          </w:tcPr>
          <w:p>
            <w:pPr>
              <w:spacing w:after="0"/>
              <w:rPr>
                <w:sz w:val="20"/>
                <w:szCs w:val="20"/>
                <w:color w:val="auto"/>
              </w:rPr>
            </w:pPr>
          </w:p>
        </w:tc>
        <w:tc>
          <w:tcPr>
            <w:tcW w:w="1540" w:type="dxa"/>
            <w:vAlign w:val="bottom"/>
            <w:shd w:val="clear" w:color="auto" w:fill="F75E14"/>
          </w:tcPr>
          <w:p>
            <w:pPr>
              <w:spacing w:after="0"/>
              <w:rPr>
                <w:sz w:val="20"/>
                <w:szCs w:val="20"/>
                <w:color w:val="auto"/>
              </w:rPr>
            </w:pPr>
          </w:p>
        </w:tc>
        <w:tc>
          <w:tcPr>
            <w:tcW w:w="1380" w:type="dxa"/>
            <w:vAlign w:val="bottom"/>
            <w:shd w:val="clear" w:color="auto" w:fill="F75E14"/>
          </w:tcPr>
          <w:p>
            <w:pPr>
              <w:spacing w:after="0"/>
              <w:rPr>
                <w:sz w:val="20"/>
                <w:szCs w:val="20"/>
                <w:color w:val="auto"/>
              </w:rPr>
            </w:pPr>
          </w:p>
        </w:tc>
        <w:tc>
          <w:tcPr>
            <w:tcW w:w="1120" w:type="dxa"/>
            <w:vAlign w:val="bottom"/>
            <w:shd w:val="clear" w:color="auto" w:fill="F75E14"/>
          </w:tcPr>
          <w:p>
            <w:pPr>
              <w:spacing w:after="0"/>
              <w:rPr>
                <w:sz w:val="20"/>
                <w:szCs w:val="20"/>
                <w:color w:val="auto"/>
              </w:rPr>
            </w:pPr>
          </w:p>
        </w:tc>
        <w:tc>
          <w:tcPr>
            <w:tcW w:w="1520" w:type="dxa"/>
            <w:vAlign w:val="bottom"/>
            <w:shd w:val="clear" w:color="auto" w:fill="F75E14"/>
          </w:tcPr>
          <w:p>
            <w:pPr>
              <w:jc w:val="center"/>
              <w:spacing w:after="0"/>
              <w:rPr>
                <w:sz w:val="20"/>
                <w:szCs w:val="20"/>
                <w:color w:val="auto"/>
              </w:rPr>
            </w:pPr>
            <w:r>
              <w:rPr>
                <w:rFonts w:ascii="Arial" w:cs="Arial" w:eastAsia="Arial" w:hAnsi="Arial"/>
                <w:sz w:val="16"/>
                <w:szCs w:val="16"/>
                <w:b w:val="1"/>
                <w:bCs w:val="1"/>
                <w:color w:val="FFFFFF"/>
                <w:w w:val="98"/>
              </w:rPr>
              <w:t>Total Individual</w:t>
            </w:r>
          </w:p>
        </w:tc>
        <w:tc>
          <w:tcPr>
            <w:tcW w:w="1280" w:type="dxa"/>
            <w:vAlign w:val="bottom"/>
            <w:shd w:val="clear" w:color="auto" w:fill="F75E14"/>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2560" w:type="dxa"/>
            <w:vAlign w:val="bottom"/>
            <w:shd w:val="clear" w:color="auto" w:fill="F75E14"/>
          </w:tcPr>
          <w:p>
            <w:pPr>
              <w:spacing w:after="0"/>
              <w:rPr>
                <w:sz w:val="16"/>
                <w:szCs w:val="16"/>
                <w:color w:val="auto"/>
              </w:rPr>
            </w:pPr>
          </w:p>
        </w:tc>
        <w:tc>
          <w:tcPr>
            <w:tcW w:w="1300" w:type="dxa"/>
            <w:vAlign w:val="bottom"/>
            <w:shd w:val="clear" w:color="auto" w:fill="F75E14"/>
          </w:tcPr>
          <w:p>
            <w:pPr>
              <w:spacing w:after="0"/>
              <w:rPr>
                <w:sz w:val="16"/>
                <w:szCs w:val="16"/>
                <w:color w:val="auto"/>
              </w:rPr>
            </w:pPr>
          </w:p>
        </w:tc>
        <w:tc>
          <w:tcPr>
            <w:tcW w:w="1540" w:type="dxa"/>
            <w:vAlign w:val="bottom"/>
            <w:shd w:val="clear" w:color="auto" w:fill="F75E14"/>
          </w:tcPr>
          <w:p>
            <w:pPr>
              <w:spacing w:after="0"/>
              <w:rPr>
                <w:sz w:val="16"/>
                <w:szCs w:val="16"/>
                <w:color w:val="auto"/>
              </w:rPr>
            </w:pPr>
          </w:p>
        </w:tc>
        <w:tc>
          <w:tcPr>
            <w:tcW w:w="1380" w:type="dxa"/>
            <w:vAlign w:val="bottom"/>
            <w:shd w:val="clear" w:color="auto" w:fill="F75E14"/>
          </w:tcPr>
          <w:p>
            <w:pPr>
              <w:spacing w:after="0"/>
              <w:rPr>
                <w:sz w:val="16"/>
                <w:szCs w:val="16"/>
                <w:color w:val="auto"/>
              </w:rPr>
            </w:pPr>
          </w:p>
        </w:tc>
        <w:tc>
          <w:tcPr>
            <w:tcW w:w="1120" w:type="dxa"/>
            <w:vAlign w:val="bottom"/>
            <w:shd w:val="clear" w:color="auto" w:fill="F75E14"/>
          </w:tcPr>
          <w:p>
            <w:pPr>
              <w:spacing w:after="0"/>
              <w:rPr>
                <w:sz w:val="16"/>
                <w:szCs w:val="16"/>
                <w:color w:val="auto"/>
              </w:rPr>
            </w:pPr>
          </w:p>
        </w:tc>
        <w:tc>
          <w:tcPr>
            <w:tcW w:w="1520" w:type="dxa"/>
            <w:vAlign w:val="bottom"/>
            <w:shd w:val="clear" w:color="auto" w:fill="F75E14"/>
          </w:tcPr>
          <w:p>
            <w:pPr>
              <w:jc w:val="center"/>
              <w:spacing w:after="0"/>
              <w:rPr>
                <w:sz w:val="20"/>
                <w:szCs w:val="20"/>
                <w:color w:val="auto"/>
              </w:rPr>
            </w:pPr>
            <w:r>
              <w:rPr>
                <w:rFonts w:ascii="Arial" w:cs="Arial" w:eastAsia="Arial" w:hAnsi="Arial"/>
                <w:sz w:val="16"/>
                <w:szCs w:val="16"/>
                <w:b w:val="1"/>
                <w:bCs w:val="1"/>
                <w:color w:val="FFFFFF"/>
              </w:rPr>
              <w:t>Goal</w:t>
            </w:r>
          </w:p>
        </w:tc>
        <w:tc>
          <w:tcPr>
            <w:tcW w:w="1280" w:type="dxa"/>
            <w:vAlign w:val="bottom"/>
            <w:vMerge w:val="restart"/>
            <w:shd w:val="clear" w:color="auto" w:fill="F75E14"/>
          </w:tcPr>
          <w:p>
            <w:pPr>
              <w:jc w:val="right"/>
              <w:ind w:right="220"/>
              <w:spacing w:after="0"/>
              <w:rPr>
                <w:sz w:val="20"/>
                <w:szCs w:val="20"/>
                <w:color w:val="auto"/>
              </w:rPr>
            </w:pPr>
            <w:r>
              <w:rPr>
                <w:rFonts w:ascii="Arial" w:cs="Arial" w:eastAsia="Arial" w:hAnsi="Arial"/>
                <w:sz w:val="16"/>
                <w:szCs w:val="16"/>
                <w:b w:val="1"/>
                <w:bCs w:val="1"/>
                <w:color w:val="FFFFFF"/>
              </w:rPr>
              <w:t>Final Cash</w:t>
            </w:r>
          </w:p>
        </w:tc>
        <w:tc>
          <w:tcPr>
            <w:tcW w:w="0" w:type="dxa"/>
            <w:vAlign w:val="bottom"/>
          </w:tcPr>
          <w:p>
            <w:pPr>
              <w:spacing w:after="0"/>
              <w:rPr>
                <w:sz w:val="1"/>
                <w:szCs w:val="1"/>
                <w:color w:val="auto"/>
              </w:rPr>
            </w:pPr>
          </w:p>
        </w:tc>
      </w:tr>
      <w:tr>
        <w:trPr>
          <w:trHeight w:val="174"/>
        </w:trPr>
        <w:tc>
          <w:tcPr>
            <w:tcW w:w="2560" w:type="dxa"/>
            <w:vAlign w:val="bottom"/>
            <w:shd w:val="clear" w:color="auto" w:fill="F75E14"/>
          </w:tcPr>
          <w:p>
            <w:pPr>
              <w:spacing w:after="0"/>
              <w:rPr>
                <w:sz w:val="15"/>
                <w:szCs w:val="15"/>
                <w:color w:val="auto"/>
              </w:rPr>
            </w:pPr>
          </w:p>
        </w:tc>
        <w:tc>
          <w:tcPr>
            <w:tcW w:w="1300" w:type="dxa"/>
            <w:vAlign w:val="bottom"/>
            <w:shd w:val="clear" w:color="auto" w:fill="F75E14"/>
          </w:tcPr>
          <w:p>
            <w:pPr>
              <w:jc w:val="right"/>
              <w:ind w:right="300"/>
              <w:spacing w:after="0" w:line="174" w:lineRule="exact"/>
              <w:rPr>
                <w:sz w:val="20"/>
                <w:szCs w:val="20"/>
                <w:color w:val="auto"/>
              </w:rPr>
            </w:pPr>
            <w:r>
              <w:rPr>
                <w:rFonts w:ascii="Arial" w:cs="Arial" w:eastAsia="Arial" w:hAnsi="Arial"/>
                <w:sz w:val="16"/>
                <w:szCs w:val="16"/>
                <w:b w:val="1"/>
                <w:bCs w:val="1"/>
                <w:color w:val="FFFFFF"/>
              </w:rPr>
              <w:t>Eligible</w:t>
            </w:r>
          </w:p>
        </w:tc>
        <w:tc>
          <w:tcPr>
            <w:tcW w:w="1540" w:type="dxa"/>
            <w:vAlign w:val="bottom"/>
            <w:shd w:val="clear" w:color="auto" w:fill="F75E14"/>
          </w:tcPr>
          <w:p>
            <w:pPr>
              <w:spacing w:after="0"/>
              <w:rPr>
                <w:sz w:val="15"/>
                <w:szCs w:val="15"/>
                <w:color w:val="auto"/>
              </w:rPr>
            </w:pPr>
          </w:p>
        </w:tc>
        <w:tc>
          <w:tcPr>
            <w:tcW w:w="1380" w:type="dxa"/>
            <w:vAlign w:val="bottom"/>
            <w:shd w:val="clear" w:color="auto" w:fill="F75E14"/>
          </w:tcPr>
          <w:p>
            <w:pPr>
              <w:spacing w:after="0"/>
              <w:rPr>
                <w:sz w:val="15"/>
                <w:szCs w:val="15"/>
                <w:color w:val="auto"/>
              </w:rPr>
            </w:pPr>
          </w:p>
        </w:tc>
        <w:tc>
          <w:tcPr>
            <w:tcW w:w="1120" w:type="dxa"/>
            <w:vAlign w:val="bottom"/>
            <w:shd w:val="clear" w:color="auto" w:fill="F75E14"/>
          </w:tcPr>
          <w:p>
            <w:pPr>
              <w:jc w:val="right"/>
              <w:ind w:right="100"/>
              <w:spacing w:after="0" w:line="174" w:lineRule="exact"/>
              <w:rPr>
                <w:sz w:val="20"/>
                <w:szCs w:val="20"/>
                <w:color w:val="auto"/>
              </w:rPr>
            </w:pPr>
            <w:r>
              <w:rPr>
                <w:rFonts w:ascii="Arial" w:cs="Arial" w:eastAsia="Arial" w:hAnsi="Arial"/>
                <w:sz w:val="16"/>
                <w:szCs w:val="16"/>
                <w:b w:val="1"/>
                <w:bCs w:val="1"/>
                <w:color w:val="FFFFFF"/>
              </w:rPr>
              <w:t>Corporate</w:t>
            </w:r>
          </w:p>
        </w:tc>
        <w:tc>
          <w:tcPr>
            <w:tcW w:w="1520" w:type="dxa"/>
            <w:vAlign w:val="bottom"/>
            <w:shd w:val="clear" w:color="auto" w:fill="F75E14"/>
          </w:tcPr>
          <w:p>
            <w:pPr>
              <w:jc w:val="center"/>
              <w:spacing w:after="0" w:line="174" w:lineRule="exact"/>
              <w:rPr>
                <w:sz w:val="20"/>
                <w:szCs w:val="20"/>
                <w:color w:val="auto"/>
              </w:rPr>
            </w:pPr>
            <w:r>
              <w:rPr>
                <w:rFonts w:ascii="Arial" w:cs="Arial" w:eastAsia="Arial" w:hAnsi="Arial"/>
                <w:sz w:val="16"/>
                <w:szCs w:val="16"/>
                <w:b w:val="1"/>
                <w:bCs w:val="1"/>
                <w:color w:val="FFFFFF"/>
              </w:rPr>
              <w:t>Achievement</w:t>
            </w:r>
          </w:p>
        </w:tc>
        <w:tc>
          <w:tcPr>
            <w:tcW w:w="1280" w:type="dxa"/>
            <w:vAlign w:val="bottom"/>
            <w:vMerge w:val="continue"/>
            <w:shd w:val="clear" w:color="auto" w:fill="F75E14"/>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2560" w:type="dxa"/>
            <w:vAlign w:val="bottom"/>
            <w:shd w:val="clear" w:color="auto" w:fill="F75E14"/>
          </w:tcPr>
          <w:p>
            <w:pPr>
              <w:ind w:left="100"/>
              <w:spacing w:after="0"/>
              <w:rPr>
                <w:sz w:val="20"/>
                <w:szCs w:val="20"/>
                <w:color w:val="auto"/>
              </w:rPr>
            </w:pPr>
            <w:r>
              <w:rPr>
                <w:rFonts w:ascii="Arial" w:cs="Arial" w:eastAsia="Arial" w:hAnsi="Arial"/>
                <w:sz w:val="16"/>
                <w:szCs w:val="16"/>
                <w:b w:val="1"/>
                <w:bCs w:val="1"/>
                <w:color w:val="FFFFFF"/>
              </w:rPr>
              <w:t>NEO (1)</w:t>
            </w:r>
          </w:p>
        </w:tc>
        <w:tc>
          <w:tcPr>
            <w:tcW w:w="1300" w:type="dxa"/>
            <w:vAlign w:val="bottom"/>
            <w:shd w:val="clear" w:color="auto" w:fill="F75E14"/>
          </w:tcPr>
          <w:p>
            <w:pPr>
              <w:jc w:val="right"/>
              <w:ind w:right="240"/>
              <w:spacing w:after="0"/>
              <w:rPr>
                <w:sz w:val="20"/>
                <w:szCs w:val="20"/>
                <w:color w:val="auto"/>
              </w:rPr>
            </w:pPr>
            <w:r>
              <w:rPr>
                <w:rFonts w:ascii="Arial" w:cs="Arial" w:eastAsia="Arial" w:hAnsi="Arial"/>
                <w:sz w:val="16"/>
                <w:szCs w:val="16"/>
                <w:b w:val="1"/>
                <w:bCs w:val="1"/>
                <w:color w:val="FFFFFF"/>
              </w:rPr>
              <w:t>Earnings</w:t>
            </w:r>
          </w:p>
        </w:tc>
        <w:tc>
          <w:tcPr>
            <w:tcW w:w="1540" w:type="dxa"/>
            <w:vAlign w:val="bottom"/>
            <w:shd w:val="clear" w:color="auto" w:fill="F75E14"/>
          </w:tcPr>
          <w:p>
            <w:pPr>
              <w:jc w:val="right"/>
              <w:ind w:right="100"/>
              <w:spacing w:after="0"/>
              <w:rPr>
                <w:sz w:val="20"/>
                <w:szCs w:val="20"/>
                <w:color w:val="auto"/>
              </w:rPr>
            </w:pPr>
            <w:r>
              <w:rPr>
                <w:rFonts w:ascii="Arial" w:cs="Arial" w:eastAsia="Arial" w:hAnsi="Arial"/>
                <w:sz w:val="16"/>
                <w:szCs w:val="16"/>
                <w:b w:val="1"/>
                <w:bCs w:val="1"/>
                <w:color w:val="FFFFFF"/>
              </w:rPr>
              <w:t>Bonus Target %</w:t>
            </w:r>
          </w:p>
        </w:tc>
        <w:tc>
          <w:tcPr>
            <w:tcW w:w="1380" w:type="dxa"/>
            <w:vAlign w:val="bottom"/>
            <w:shd w:val="clear" w:color="auto" w:fill="F75E14"/>
          </w:tcPr>
          <w:p>
            <w:pPr>
              <w:jc w:val="right"/>
              <w:ind w:right="100"/>
              <w:spacing w:after="0"/>
              <w:rPr>
                <w:sz w:val="20"/>
                <w:szCs w:val="20"/>
                <w:color w:val="auto"/>
              </w:rPr>
            </w:pPr>
            <w:r>
              <w:rPr>
                <w:rFonts w:ascii="Arial" w:cs="Arial" w:eastAsia="Arial" w:hAnsi="Arial"/>
                <w:sz w:val="16"/>
                <w:szCs w:val="16"/>
                <w:b w:val="1"/>
                <w:bCs w:val="1"/>
                <w:color w:val="FFFFFF"/>
              </w:rPr>
              <w:t>Target Bonus</w:t>
            </w:r>
          </w:p>
        </w:tc>
        <w:tc>
          <w:tcPr>
            <w:tcW w:w="1120" w:type="dxa"/>
            <w:vAlign w:val="bottom"/>
            <w:shd w:val="clear" w:color="auto" w:fill="F75E14"/>
          </w:tcPr>
          <w:p>
            <w:pPr>
              <w:jc w:val="right"/>
              <w:ind w:right="140"/>
              <w:spacing w:after="0"/>
              <w:rPr>
                <w:sz w:val="20"/>
                <w:szCs w:val="20"/>
                <w:color w:val="auto"/>
              </w:rPr>
            </w:pPr>
            <w:r>
              <w:rPr>
                <w:rFonts w:ascii="Arial" w:cs="Arial" w:eastAsia="Arial" w:hAnsi="Arial"/>
                <w:sz w:val="16"/>
                <w:szCs w:val="16"/>
                <w:b w:val="1"/>
                <w:bCs w:val="1"/>
                <w:color w:val="FFFFFF"/>
              </w:rPr>
              <w:t>Multiplier</w:t>
            </w:r>
          </w:p>
        </w:tc>
        <w:tc>
          <w:tcPr>
            <w:tcW w:w="1520" w:type="dxa"/>
            <w:vAlign w:val="bottom"/>
            <w:shd w:val="clear" w:color="auto" w:fill="F75E14"/>
          </w:tcPr>
          <w:p>
            <w:pPr>
              <w:jc w:val="center"/>
              <w:spacing w:after="0"/>
              <w:rPr>
                <w:sz w:val="20"/>
                <w:szCs w:val="20"/>
                <w:color w:val="auto"/>
              </w:rPr>
            </w:pPr>
            <w:r>
              <w:rPr>
                <w:rFonts w:ascii="Arial" w:cs="Arial" w:eastAsia="Arial" w:hAnsi="Arial"/>
                <w:sz w:val="16"/>
                <w:szCs w:val="16"/>
                <w:b w:val="1"/>
                <w:bCs w:val="1"/>
                <w:color w:val="FFFFFF"/>
                <w:w w:val="99"/>
              </w:rPr>
              <w:t>Percentage</w:t>
            </w:r>
          </w:p>
        </w:tc>
        <w:tc>
          <w:tcPr>
            <w:tcW w:w="1280" w:type="dxa"/>
            <w:vAlign w:val="bottom"/>
            <w:shd w:val="clear" w:color="auto" w:fill="F75E14"/>
          </w:tcPr>
          <w:p>
            <w:pPr>
              <w:jc w:val="right"/>
              <w:ind w:right="360"/>
              <w:spacing w:after="0"/>
              <w:rPr>
                <w:sz w:val="20"/>
                <w:szCs w:val="20"/>
                <w:color w:val="auto"/>
              </w:rPr>
            </w:pPr>
            <w:r>
              <w:rPr>
                <w:rFonts w:ascii="Arial" w:cs="Arial" w:eastAsia="Arial" w:hAnsi="Arial"/>
                <w:sz w:val="16"/>
                <w:szCs w:val="16"/>
                <w:b w:val="1"/>
                <w:bCs w:val="1"/>
                <w:color w:val="FFFFFF"/>
              </w:rPr>
              <w:t>Bonus</w:t>
            </w:r>
          </w:p>
        </w:tc>
        <w:tc>
          <w:tcPr>
            <w:tcW w:w="0" w:type="dxa"/>
            <w:vAlign w:val="bottom"/>
          </w:tcPr>
          <w:p>
            <w:pPr>
              <w:spacing w:after="0"/>
              <w:rPr>
                <w:sz w:val="1"/>
                <w:szCs w:val="1"/>
                <w:color w:val="auto"/>
              </w:rPr>
            </w:pPr>
          </w:p>
        </w:tc>
      </w:tr>
      <w:tr>
        <w:trPr>
          <w:trHeight w:val="281"/>
        </w:trPr>
        <w:tc>
          <w:tcPr>
            <w:tcW w:w="2560" w:type="dxa"/>
            <w:vAlign w:val="bottom"/>
            <w:shd w:val="clear" w:color="auto" w:fill="D8E8EF"/>
          </w:tcPr>
          <w:p>
            <w:pPr>
              <w:ind w:left="100"/>
              <w:spacing w:after="0"/>
              <w:rPr>
                <w:sz w:val="20"/>
                <w:szCs w:val="20"/>
                <w:color w:val="auto"/>
              </w:rPr>
            </w:pPr>
            <w:r>
              <w:rPr>
                <w:rFonts w:ascii="Arial" w:cs="Arial" w:eastAsia="Arial" w:hAnsi="Arial"/>
                <w:sz w:val="16"/>
                <w:szCs w:val="16"/>
                <w:color w:val="auto"/>
              </w:rPr>
              <w:t>Hassane El-Khoury</w:t>
            </w:r>
          </w:p>
        </w:tc>
        <w:tc>
          <w:tcPr>
            <w:tcW w:w="1300" w:type="dxa"/>
            <w:vAlign w:val="bottom"/>
            <w:shd w:val="clear" w:color="auto" w:fill="D8E8EF"/>
          </w:tcPr>
          <w:p>
            <w:pPr>
              <w:jc w:val="right"/>
              <w:ind w:right="40"/>
              <w:spacing w:after="0"/>
              <w:rPr>
                <w:sz w:val="20"/>
                <w:szCs w:val="20"/>
                <w:color w:val="auto"/>
              </w:rPr>
            </w:pPr>
            <w:r>
              <w:rPr>
                <w:rFonts w:ascii="Arial" w:cs="Arial" w:eastAsia="Arial" w:hAnsi="Arial"/>
                <w:sz w:val="16"/>
                <w:szCs w:val="16"/>
                <w:color w:val="auto"/>
              </w:rPr>
              <w:t>$950,000</w:t>
            </w:r>
          </w:p>
        </w:tc>
        <w:tc>
          <w:tcPr>
            <w:tcW w:w="1540" w:type="dxa"/>
            <w:vAlign w:val="bottom"/>
            <w:shd w:val="clear" w:color="auto" w:fill="D8E8EF"/>
          </w:tcPr>
          <w:p>
            <w:pPr>
              <w:jc w:val="right"/>
              <w:ind w:right="100"/>
              <w:spacing w:after="0"/>
              <w:rPr>
                <w:sz w:val="20"/>
                <w:szCs w:val="20"/>
                <w:color w:val="auto"/>
              </w:rPr>
            </w:pPr>
            <w:r>
              <w:rPr>
                <w:rFonts w:ascii="Arial" w:cs="Arial" w:eastAsia="Arial" w:hAnsi="Arial"/>
                <w:sz w:val="16"/>
                <w:szCs w:val="16"/>
                <w:color w:val="auto"/>
              </w:rPr>
              <w:t>150%</w:t>
            </w:r>
          </w:p>
        </w:tc>
        <w:tc>
          <w:tcPr>
            <w:tcW w:w="1380" w:type="dxa"/>
            <w:vAlign w:val="bottom"/>
            <w:shd w:val="clear" w:color="auto" w:fill="D8E8EF"/>
          </w:tcPr>
          <w:p>
            <w:pPr>
              <w:jc w:val="right"/>
              <w:ind w:right="100"/>
              <w:spacing w:after="0"/>
              <w:rPr>
                <w:sz w:val="20"/>
                <w:szCs w:val="20"/>
                <w:color w:val="auto"/>
              </w:rPr>
            </w:pPr>
            <w:r>
              <w:rPr>
                <w:rFonts w:ascii="Arial" w:cs="Arial" w:eastAsia="Arial" w:hAnsi="Arial"/>
                <w:sz w:val="16"/>
                <w:szCs w:val="16"/>
                <w:color w:val="auto"/>
              </w:rPr>
              <w:t>$1,425,000</w:t>
            </w:r>
          </w:p>
        </w:tc>
        <w:tc>
          <w:tcPr>
            <w:tcW w:w="1120" w:type="dxa"/>
            <w:vAlign w:val="bottom"/>
            <w:shd w:val="clear" w:color="auto" w:fill="D8E8EF"/>
          </w:tcPr>
          <w:p>
            <w:pPr>
              <w:jc w:val="right"/>
              <w:ind w:right="100"/>
              <w:spacing w:after="0"/>
              <w:rPr>
                <w:sz w:val="20"/>
                <w:szCs w:val="20"/>
                <w:color w:val="auto"/>
              </w:rPr>
            </w:pPr>
            <w:r>
              <w:rPr>
                <w:rFonts w:ascii="Arial" w:cs="Arial" w:eastAsia="Arial" w:hAnsi="Arial"/>
                <w:sz w:val="16"/>
                <w:szCs w:val="16"/>
                <w:color w:val="auto"/>
              </w:rPr>
              <w:t>100%</w:t>
            </w:r>
          </w:p>
        </w:tc>
        <w:tc>
          <w:tcPr>
            <w:tcW w:w="1520" w:type="dxa"/>
            <w:vAlign w:val="bottom"/>
            <w:shd w:val="clear" w:color="auto" w:fill="D8E8EF"/>
          </w:tcPr>
          <w:p>
            <w:pPr>
              <w:jc w:val="right"/>
              <w:ind w:right="100"/>
              <w:spacing w:after="0"/>
              <w:rPr>
                <w:sz w:val="20"/>
                <w:szCs w:val="20"/>
                <w:color w:val="auto"/>
              </w:rPr>
            </w:pPr>
            <w:r>
              <w:rPr>
                <w:rFonts w:ascii="Arial" w:cs="Arial" w:eastAsia="Arial" w:hAnsi="Arial"/>
                <w:sz w:val="16"/>
                <w:szCs w:val="16"/>
                <w:color w:val="auto"/>
              </w:rPr>
              <w:t>170%</w:t>
            </w:r>
          </w:p>
        </w:tc>
        <w:tc>
          <w:tcPr>
            <w:tcW w:w="1280" w:type="dxa"/>
            <w:vAlign w:val="bottom"/>
            <w:shd w:val="clear" w:color="auto" w:fill="D8E8EF"/>
          </w:tcPr>
          <w:p>
            <w:pPr>
              <w:jc w:val="right"/>
              <w:ind w:right="120"/>
              <w:spacing w:after="0"/>
              <w:rPr>
                <w:sz w:val="20"/>
                <w:szCs w:val="20"/>
                <w:color w:val="auto"/>
              </w:rPr>
            </w:pPr>
            <w:r>
              <w:rPr>
                <w:rFonts w:ascii="Arial" w:cs="Arial" w:eastAsia="Arial" w:hAnsi="Arial"/>
                <w:sz w:val="16"/>
                <w:szCs w:val="16"/>
                <w:color w:val="auto"/>
              </w:rPr>
              <w:t>$2,422,500</w:t>
            </w:r>
          </w:p>
        </w:tc>
        <w:tc>
          <w:tcPr>
            <w:tcW w:w="0" w:type="dxa"/>
            <w:vAlign w:val="bottom"/>
          </w:tcPr>
          <w:p>
            <w:pPr>
              <w:spacing w:after="0"/>
              <w:rPr>
                <w:sz w:val="1"/>
                <w:szCs w:val="1"/>
                <w:color w:val="auto"/>
              </w:rPr>
            </w:pPr>
          </w:p>
        </w:tc>
      </w:tr>
      <w:tr>
        <w:trPr>
          <w:trHeight w:val="272"/>
        </w:trPr>
        <w:tc>
          <w:tcPr>
            <w:tcW w:w="2560" w:type="dxa"/>
            <w:vAlign w:val="bottom"/>
          </w:tcPr>
          <w:p>
            <w:pPr>
              <w:ind w:left="80"/>
              <w:spacing w:after="0"/>
              <w:rPr>
                <w:sz w:val="20"/>
                <w:szCs w:val="20"/>
                <w:color w:val="auto"/>
              </w:rPr>
            </w:pPr>
            <w:r>
              <w:rPr>
                <w:rFonts w:ascii="Arial" w:cs="Arial" w:eastAsia="Arial" w:hAnsi="Arial"/>
                <w:sz w:val="16"/>
                <w:szCs w:val="16"/>
                <w:color w:val="auto"/>
              </w:rPr>
              <w:t>Thad Trent</w:t>
            </w:r>
          </w:p>
        </w:tc>
        <w:tc>
          <w:tcPr>
            <w:tcW w:w="1300" w:type="dxa"/>
            <w:vAlign w:val="bottom"/>
          </w:tcPr>
          <w:p>
            <w:pPr>
              <w:jc w:val="right"/>
              <w:ind w:right="40"/>
              <w:spacing w:after="0"/>
              <w:rPr>
                <w:sz w:val="20"/>
                <w:szCs w:val="20"/>
                <w:color w:val="auto"/>
              </w:rPr>
            </w:pPr>
            <w:r>
              <w:rPr>
                <w:rFonts w:ascii="Arial" w:cs="Arial" w:eastAsia="Arial" w:hAnsi="Arial"/>
                <w:sz w:val="16"/>
                <w:szCs w:val="16"/>
                <w:color w:val="auto"/>
              </w:rPr>
              <w:t>$600,000</w:t>
            </w:r>
          </w:p>
        </w:tc>
        <w:tc>
          <w:tcPr>
            <w:tcW w:w="1540" w:type="dxa"/>
            <w:vAlign w:val="bottom"/>
          </w:tcPr>
          <w:p>
            <w:pPr>
              <w:jc w:val="right"/>
              <w:ind w:right="100"/>
              <w:spacing w:after="0"/>
              <w:rPr>
                <w:sz w:val="20"/>
                <w:szCs w:val="20"/>
                <w:color w:val="auto"/>
              </w:rPr>
            </w:pPr>
            <w:r>
              <w:rPr>
                <w:rFonts w:ascii="Arial" w:cs="Arial" w:eastAsia="Arial" w:hAnsi="Arial"/>
                <w:sz w:val="16"/>
                <w:szCs w:val="16"/>
                <w:color w:val="auto"/>
              </w:rPr>
              <w:t>100%</w:t>
            </w:r>
          </w:p>
        </w:tc>
        <w:tc>
          <w:tcPr>
            <w:tcW w:w="1380" w:type="dxa"/>
            <w:vAlign w:val="bottom"/>
          </w:tcPr>
          <w:p>
            <w:pPr>
              <w:jc w:val="right"/>
              <w:ind w:right="100"/>
              <w:spacing w:after="0"/>
              <w:rPr>
                <w:sz w:val="20"/>
                <w:szCs w:val="20"/>
                <w:color w:val="auto"/>
              </w:rPr>
            </w:pPr>
            <w:r>
              <w:rPr>
                <w:rFonts w:ascii="Arial" w:cs="Arial" w:eastAsia="Arial" w:hAnsi="Arial"/>
                <w:sz w:val="16"/>
                <w:szCs w:val="16"/>
                <w:color w:val="auto"/>
              </w:rPr>
              <w:t>$505,385 (2)</w:t>
            </w:r>
          </w:p>
        </w:tc>
        <w:tc>
          <w:tcPr>
            <w:tcW w:w="1120" w:type="dxa"/>
            <w:vAlign w:val="bottom"/>
          </w:tcPr>
          <w:p>
            <w:pPr>
              <w:jc w:val="right"/>
              <w:ind w:right="100"/>
              <w:spacing w:after="0"/>
              <w:rPr>
                <w:sz w:val="20"/>
                <w:szCs w:val="20"/>
                <w:color w:val="auto"/>
              </w:rPr>
            </w:pPr>
            <w:r>
              <w:rPr>
                <w:rFonts w:ascii="Arial" w:cs="Arial" w:eastAsia="Arial" w:hAnsi="Arial"/>
                <w:sz w:val="16"/>
                <w:szCs w:val="16"/>
                <w:color w:val="auto"/>
              </w:rPr>
              <w:t>100%</w:t>
            </w:r>
          </w:p>
        </w:tc>
        <w:tc>
          <w:tcPr>
            <w:tcW w:w="1520" w:type="dxa"/>
            <w:vAlign w:val="bottom"/>
          </w:tcPr>
          <w:p>
            <w:pPr>
              <w:jc w:val="right"/>
              <w:ind w:right="100"/>
              <w:spacing w:after="0"/>
              <w:rPr>
                <w:sz w:val="20"/>
                <w:szCs w:val="20"/>
                <w:color w:val="auto"/>
              </w:rPr>
            </w:pPr>
            <w:r>
              <w:rPr>
                <w:rFonts w:ascii="Arial" w:cs="Arial" w:eastAsia="Arial" w:hAnsi="Arial"/>
                <w:sz w:val="16"/>
                <w:szCs w:val="16"/>
                <w:color w:val="auto"/>
              </w:rPr>
              <w:t>170%</w:t>
            </w:r>
          </w:p>
        </w:tc>
        <w:tc>
          <w:tcPr>
            <w:tcW w:w="1280" w:type="dxa"/>
            <w:vAlign w:val="bottom"/>
          </w:tcPr>
          <w:p>
            <w:pPr>
              <w:jc w:val="right"/>
              <w:ind w:right="120"/>
              <w:spacing w:after="0"/>
              <w:rPr>
                <w:sz w:val="20"/>
                <w:szCs w:val="20"/>
                <w:color w:val="auto"/>
              </w:rPr>
            </w:pPr>
            <w:r>
              <w:rPr>
                <w:rFonts w:ascii="Arial" w:cs="Arial" w:eastAsia="Arial" w:hAnsi="Arial"/>
                <w:sz w:val="16"/>
                <w:szCs w:val="16"/>
                <w:color w:val="auto"/>
              </w:rPr>
              <w:t>$1,020,000</w:t>
            </w:r>
          </w:p>
        </w:tc>
        <w:tc>
          <w:tcPr>
            <w:tcW w:w="0" w:type="dxa"/>
            <w:vAlign w:val="bottom"/>
          </w:tcPr>
          <w:p>
            <w:pPr>
              <w:spacing w:after="0"/>
              <w:rPr>
                <w:sz w:val="1"/>
                <w:szCs w:val="1"/>
                <w:color w:val="auto"/>
              </w:rPr>
            </w:pPr>
          </w:p>
        </w:tc>
      </w:tr>
      <w:tr>
        <w:trPr>
          <w:trHeight w:val="289"/>
        </w:trPr>
        <w:tc>
          <w:tcPr>
            <w:tcW w:w="2560" w:type="dxa"/>
            <w:vAlign w:val="bottom"/>
            <w:shd w:val="clear" w:color="auto" w:fill="D8E8EF"/>
          </w:tcPr>
          <w:p>
            <w:pPr>
              <w:ind w:left="100"/>
              <w:spacing w:after="0"/>
              <w:rPr>
                <w:sz w:val="20"/>
                <w:szCs w:val="20"/>
                <w:color w:val="auto"/>
              </w:rPr>
            </w:pPr>
            <w:r>
              <w:rPr>
                <w:rFonts w:ascii="Arial" w:cs="Arial" w:eastAsia="Arial" w:hAnsi="Arial"/>
                <w:sz w:val="16"/>
                <w:szCs w:val="16"/>
                <w:color w:val="auto"/>
              </w:rPr>
              <w:t>Vincent C. Hopkin</w:t>
            </w:r>
          </w:p>
        </w:tc>
        <w:tc>
          <w:tcPr>
            <w:tcW w:w="1300" w:type="dxa"/>
            <w:vAlign w:val="bottom"/>
            <w:shd w:val="clear" w:color="auto" w:fill="D8E8EF"/>
          </w:tcPr>
          <w:p>
            <w:pPr>
              <w:jc w:val="right"/>
              <w:ind w:right="40"/>
              <w:spacing w:after="0"/>
              <w:rPr>
                <w:sz w:val="20"/>
                <w:szCs w:val="20"/>
                <w:color w:val="auto"/>
              </w:rPr>
            </w:pPr>
            <w:r>
              <w:rPr>
                <w:rFonts w:ascii="Arial" w:cs="Arial" w:eastAsia="Arial" w:hAnsi="Arial"/>
                <w:sz w:val="16"/>
                <w:szCs w:val="16"/>
                <w:color w:val="auto"/>
              </w:rPr>
              <w:t>$500,000</w:t>
            </w:r>
          </w:p>
        </w:tc>
        <w:tc>
          <w:tcPr>
            <w:tcW w:w="1540" w:type="dxa"/>
            <w:vAlign w:val="bottom"/>
            <w:shd w:val="clear" w:color="auto" w:fill="D8E8EF"/>
          </w:tcPr>
          <w:p>
            <w:pPr>
              <w:jc w:val="right"/>
              <w:ind w:right="100"/>
              <w:spacing w:after="0"/>
              <w:rPr>
                <w:sz w:val="20"/>
                <w:szCs w:val="20"/>
                <w:color w:val="auto"/>
              </w:rPr>
            </w:pPr>
            <w:r>
              <w:rPr>
                <w:rFonts w:ascii="Arial" w:cs="Arial" w:eastAsia="Arial" w:hAnsi="Arial"/>
                <w:sz w:val="16"/>
                <w:szCs w:val="16"/>
                <w:color w:val="auto"/>
              </w:rPr>
              <w:t>85% (3)</w:t>
            </w:r>
          </w:p>
        </w:tc>
        <w:tc>
          <w:tcPr>
            <w:tcW w:w="1380" w:type="dxa"/>
            <w:vAlign w:val="bottom"/>
            <w:shd w:val="clear" w:color="auto" w:fill="D8E8EF"/>
          </w:tcPr>
          <w:p>
            <w:pPr>
              <w:jc w:val="right"/>
              <w:ind w:right="100"/>
              <w:spacing w:after="0"/>
              <w:rPr>
                <w:sz w:val="20"/>
                <w:szCs w:val="20"/>
                <w:color w:val="auto"/>
              </w:rPr>
            </w:pPr>
            <w:r>
              <w:rPr>
                <w:rFonts w:ascii="Arial" w:cs="Arial" w:eastAsia="Arial" w:hAnsi="Arial"/>
                <w:sz w:val="16"/>
                <w:szCs w:val="16"/>
                <w:color w:val="auto"/>
              </w:rPr>
              <w:t>$402,443 (2)</w:t>
            </w:r>
          </w:p>
        </w:tc>
        <w:tc>
          <w:tcPr>
            <w:tcW w:w="1120" w:type="dxa"/>
            <w:vAlign w:val="bottom"/>
            <w:shd w:val="clear" w:color="auto" w:fill="D8E8EF"/>
          </w:tcPr>
          <w:p>
            <w:pPr>
              <w:jc w:val="right"/>
              <w:ind w:right="100"/>
              <w:spacing w:after="0"/>
              <w:rPr>
                <w:sz w:val="20"/>
                <w:szCs w:val="20"/>
                <w:color w:val="auto"/>
              </w:rPr>
            </w:pPr>
            <w:r>
              <w:rPr>
                <w:rFonts w:ascii="Arial" w:cs="Arial" w:eastAsia="Arial" w:hAnsi="Arial"/>
                <w:sz w:val="16"/>
                <w:szCs w:val="16"/>
                <w:color w:val="auto"/>
              </w:rPr>
              <w:t>100%</w:t>
            </w:r>
          </w:p>
        </w:tc>
        <w:tc>
          <w:tcPr>
            <w:tcW w:w="1520" w:type="dxa"/>
            <w:vAlign w:val="bottom"/>
            <w:shd w:val="clear" w:color="auto" w:fill="D8E8EF"/>
          </w:tcPr>
          <w:p>
            <w:pPr>
              <w:jc w:val="right"/>
              <w:ind w:right="100"/>
              <w:spacing w:after="0"/>
              <w:rPr>
                <w:sz w:val="20"/>
                <w:szCs w:val="20"/>
                <w:color w:val="auto"/>
              </w:rPr>
            </w:pPr>
            <w:r>
              <w:rPr>
                <w:rFonts w:ascii="Arial" w:cs="Arial" w:eastAsia="Arial" w:hAnsi="Arial"/>
                <w:sz w:val="16"/>
                <w:szCs w:val="16"/>
                <w:color w:val="auto"/>
              </w:rPr>
              <w:t>165%</w:t>
            </w:r>
          </w:p>
        </w:tc>
        <w:tc>
          <w:tcPr>
            <w:tcW w:w="1280" w:type="dxa"/>
            <w:vAlign w:val="bottom"/>
            <w:shd w:val="clear" w:color="auto" w:fill="D8E8EF"/>
          </w:tcPr>
          <w:p>
            <w:pPr>
              <w:jc w:val="right"/>
              <w:ind w:right="120"/>
              <w:spacing w:after="0"/>
              <w:rPr>
                <w:sz w:val="20"/>
                <w:szCs w:val="20"/>
                <w:color w:val="auto"/>
              </w:rPr>
            </w:pPr>
            <w:r>
              <w:rPr>
                <w:rFonts w:ascii="Arial" w:cs="Arial" w:eastAsia="Arial" w:hAnsi="Arial"/>
                <w:sz w:val="16"/>
                <w:szCs w:val="16"/>
                <w:color w:val="auto"/>
              </w:rPr>
              <w:t>$701,250</w:t>
            </w:r>
          </w:p>
        </w:tc>
        <w:tc>
          <w:tcPr>
            <w:tcW w:w="0" w:type="dxa"/>
            <w:vAlign w:val="bottom"/>
          </w:tcPr>
          <w:p>
            <w:pPr>
              <w:spacing w:after="0"/>
              <w:rPr>
                <w:sz w:val="1"/>
                <w:szCs w:val="1"/>
                <w:color w:val="auto"/>
              </w:rPr>
            </w:pPr>
          </w:p>
        </w:tc>
      </w:tr>
      <w:tr>
        <w:trPr>
          <w:trHeight w:val="272"/>
        </w:trPr>
        <w:tc>
          <w:tcPr>
            <w:tcW w:w="2560" w:type="dxa"/>
            <w:vAlign w:val="bottom"/>
          </w:tcPr>
          <w:p>
            <w:pPr>
              <w:ind w:left="100"/>
              <w:spacing w:after="0"/>
              <w:rPr>
                <w:sz w:val="20"/>
                <w:szCs w:val="20"/>
                <w:color w:val="auto"/>
              </w:rPr>
            </w:pPr>
            <w:r>
              <w:rPr>
                <w:rFonts w:ascii="Arial" w:cs="Arial" w:eastAsia="Arial" w:hAnsi="Arial"/>
                <w:sz w:val="16"/>
                <w:szCs w:val="16"/>
                <w:color w:val="auto"/>
              </w:rPr>
              <w:t>Simon Keeton</w:t>
            </w:r>
          </w:p>
        </w:tc>
        <w:tc>
          <w:tcPr>
            <w:tcW w:w="1300" w:type="dxa"/>
            <w:vAlign w:val="bottom"/>
          </w:tcPr>
          <w:p>
            <w:pPr>
              <w:jc w:val="right"/>
              <w:ind w:right="40"/>
              <w:spacing w:after="0"/>
              <w:rPr>
                <w:sz w:val="20"/>
                <w:szCs w:val="20"/>
                <w:color w:val="auto"/>
              </w:rPr>
            </w:pPr>
            <w:r>
              <w:rPr>
                <w:rFonts w:ascii="Arial" w:cs="Arial" w:eastAsia="Arial" w:hAnsi="Arial"/>
                <w:sz w:val="16"/>
                <w:szCs w:val="16"/>
                <w:color w:val="auto"/>
              </w:rPr>
              <w:t>$500,000</w:t>
            </w:r>
          </w:p>
        </w:tc>
        <w:tc>
          <w:tcPr>
            <w:tcW w:w="1540" w:type="dxa"/>
            <w:vAlign w:val="bottom"/>
          </w:tcPr>
          <w:p>
            <w:pPr>
              <w:jc w:val="right"/>
              <w:ind w:right="100"/>
              <w:spacing w:after="0"/>
              <w:rPr>
                <w:sz w:val="20"/>
                <w:szCs w:val="20"/>
                <w:color w:val="auto"/>
              </w:rPr>
            </w:pPr>
            <w:r>
              <w:rPr>
                <w:rFonts w:ascii="Arial" w:cs="Arial" w:eastAsia="Arial" w:hAnsi="Arial"/>
                <w:sz w:val="16"/>
                <w:szCs w:val="16"/>
                <w:color w:val="auto"/>
              </w:rPr>
              <w:t>85% (3)</w:t>
            </w:r>
          </w:p>
        </w:tc>
        <w:tc>
          <w:tcPr>
            <w:tcW w:w="1380" w:type="dxa"/>
            <w:vAlign w:val="bottom"/>
          </w:tcPr>
          <w:p>
            <w:pPr>
              <w:jc w:val="right"/>
              <w:ind w:right="100"/>
              <w:spacing w:after="0"/>
              <w:rPr>
                <w:sz w:val="20"/>
                <w:szCs w:val="20"/>
                <w:color w:val="auto"/>
              </w:rPr>
            </w:pPr>
            <w:r>
              <w:rPr>
                <w:rFonts w:ascii="Arial" w:cs="Arial" w:eastAsia="Arial" w:hAnsi="Arial"/>
                <w:sz w:val="16"/>
                <w:szCs w:val="16"/>
                <w:color w:val="auto"/>
              </w:rPr>
              <w:t>$402,443 (2)</w:t>
            </w:r>
          </w:p>
        </w:tc>
        <w:tc>
          <w:tcPr>
            <w:tcW w:w="1120" w:type="dxa"/>
            <w:vAlign w:val="bottom"/>
          </w:tcPr>
          <w:p>
            <w:pPr>
              <w:jc w:val="right"/>
              <w:ind w:right="100"/>
              <w:spacing w:after="0"/>
              <w:rPr>
                <w:sz w:val="20"/>
                <w:szCs w:val="20"/>
                <w:color w:val="auto"/>
              </w:rPr>
            </w:pPr>
            <w:r>
              <w:rPr>
                <w:rFonts w:ascii="Arial" w:cs="Arial" w:eastAsia="Arial" w:hAnsi="Arial"/>
                <w:sz w:val="16"/>
                <w:szCs w:val="16"/>
                <w:color w:val="auto"/>
              </w:rPr>
              <w:t>100%</w:t>
            </w:r>
          </w:p>
        </w:tc>
        <w:tc>
          <w:tcPr>
            <w:tcW w:w="1520" w:type="dxa"/>
            <w:vAlign w:val="bottom"/>
          </w:tcPr>
          <w:p>
            <w:pPr>
              <w:jc w:val="right"/>
              <w:ind w:right="100"/>
              <w:spacing w:after="0"/>
              <w:rPr>
                <w:sz w:val="20"/>
                <w:szCs w:val="20"/>
                <w:color w:val="auto"/>
              </w:rPr>
            </w:pPr>
            <w:r>
              <w:rPr>
                <w:rFonts w:ascii="Arial" w:cs="Arial" w:eastAsia="Arial" w:hAnsi="Arial"/>
                <w:sz w:val="16"/>
                <w:szCs w:val="16"/>
                <w:color w:val="auto"/>
              </w:rPr>
              <w:t>170%</w:t>
            </w:r>
          </w:p>
        </w:tc>
        <w:tc>
          <w:tcPr>
            <w:tcW w:w="1280" w:type="dxa"/>
            <w:vAlign w:val="bottom"/>
          </w:tcPr>
          <w:p>
            <w:pPr>
              <w:jc w:val="right"/>
              <w:ind w:right="120"/>
              <w:spacing w:after="0"/>
              <w:rPr>
                <w:sz w:val="20"/>
                <w:szCs w:val="20"/>
                <w:color w:val="auto"/>
              </w:rPr>
            </w:pPr>
            <w:r>
              <w:rPr>
                <w:rFonts w:ascii="Arial" w:cs="Arial" w:eastAsia="Arial" w:hAnsi="Arial"/>
                <w:sz w:val="16"/>
                <w:szCs w:val="16"/>
                <w:color w:val="auto"/>
              </w:rPr>
              <w:t>$722,500</w:t>
            </w:r>
          </w:p>
        </w:tc>
        <w:tc>
          <w:tcPr>
            <w:tcW w:w="0" w:type="dxa"/>
            <w:vAlign w:val="bottom"/>
          </w:tcPr>
          <w:p>
            <w:pPr>
              <w:spacing w:after="0"/>
              <w:rPr>
                <w:sz w:val="1"/>
                <w:szCs w:val="1"/>
                <w:color w:val="auto"/>
              </w:rPr>
            </w:pPr>
          </w:p>
        </w:tc>
      </w:tr>
      <w:tr>
        <w:trPr>
          <w:trHeight w:val="289"/>
        </w:trPr>
        <w:tc>
          <w:tcPr>
            <w:tcW w:w="2560" w:type="dxa"/>
            <w:vAlign w:val="bottom"/>
            <w:shd w:val="clear" w:color="auto" w:fill="D8E8EF"/>
          </w:tcPr>
          <w:p>
            <w:pPr>
              <w:ind w:left="100"/>
              <w:spacing w:after="0"/>
              <w:rPr>
                <w:sz w:val="20"/>
                <w:szCs w:val="20"/>
                <w:color w:val="auto"/>
              </w:rPr>
            </w:pPr>
            <w:r>
              <w:rPr>
                <w:rFonts w:ascii="Arial" w:cs="Arial" w:eastAsia="Arial" w:hAnsi="Arial"/>
                <w:sz w:val="16"/>
                <w:szCs w:val="16"/>
                <w:color w:val="auto"/>
              </w:rPr>
              <w:t>Ross F. Jatou</w:t>
            </w:r>
          </w:p>
        </w:tc>
        <w:tc>
          <w:tcPr>
            <w:tcW w:w="1300" w:type="dxa"/>
            <w:vAlign w:val="bottom"/>
            <w:shd w:val="clear" w:color="auto" w:fill="D8E8EF"/>
          </w:tcPr>
          <w:p>
            <w:pPr>
              <w:jc w:val="right"/>
              <w:ind w:right="40"/>
              <w:spacing w:after="0"/>
              <w:rPr>
                <w:sz w:val="20"/>
                <w:szCs w:val="20"/>
                <w:color w:val="auto"/>
              </w:rPr>
            </w:pPr>
            <w:r>
              <w:rPr>
                <w:rFonts w:ascii="Arial" w:cs="Arial" w:eastAsia="Arial" w:hAnsi="Arial"/>
                <w:sz w:val="16"/>
                <w:szCs w:val="16"/>
                <w:color w:val="auto"/>
              </w:rPr>
              <w:t>$450,000</w:t>
            </w:r>
          </w:p>
        </w:tc>
        <w:tc>
          <w:tcPr>
            <w:tcW w:w="1540" w:type="dxa"/>
            <w:vAlign w:val="bottom"/>
            <w:shd w:val="clear" w:color="auto" w:fill="D8E8EF"/>
          </w:tcPr>
          <w:p>
            <w:pPr>
              <w:jc w:val="right"/>
              <w:ind w:right="100"/>
              <w:spacing w:after="0"/>
              <w:rPr>
                <w:sz w:val="20"/>
                <w:szCs w:val="20"/>
                <w:color w:val="auto"/>
              </w:rPr>
            </w:pPr>
            <w:r>
              <w:rPr>
                <w:rFonts w:ascii="Arial" w:cs="Arial" w:eastAsia="Arial" w:hAnsi="Arial"/>
                <w:sz w:val="16"/>
                <w:szCs w:val="16"/>
                <w:color w:val="auto"/>
              </w:rPr>
              <w:t>85% (3)</w:t>
            </w:r>
          </w:p>
        </w:tc>
        <w:tc>
          <w:tcPr>
            <w:tcW w:w="1380" w:type="dxa"/>
            <w:vAlign w:val="bottom"/>
            <w:shd w:val="clear" w:color="auto" w:fill="D8E8EF"/>
          </w:tcPr>
          <w:p>
            <w:pPr>
              <w:jc w:val="right"/>
              <w:ind w:right="100"/>
              <w:spacing w:after="0"/>
              <w:rPr>
                <w:sz w:val="20"/>
                <w:szCs w:val="20"/>
                <w:color w:val="auto"/>
              </w:rPr>
            </w:pPr>
            <w:r>
              <w:rPr>
                <w:rFonts w:ascii="Arial" w:cs="Arial" w:eastAsia="Arial" w:hAnsi="Arial"/>
                <w:sz w:val="16"/>
                <w:szCs w:val="16"/>
                <w:color w:val="auto"/>
              </w:rPr>
              <w:t>$382,500</w:t>
            </w:r>
          </w:p>
        </w:tc>
        <w:tc>
          <w:tcPr>
            <w:tcW w:w="1120" w:type="dxa"/>
            <w:vAlign w:val="bottom"/>
            <w:shd w:val="clear" w:color="auto" w:fill="D8E8EF"/>
          </w:tcPr>
          <w:p>
            <w:pPr>
              <w:jc w:val="right"/>
              <w:ind w:right="100"/>
              <w:spacing w:after="0"/>
              <w:rPr>
                <w:sz w:val="20"/>
                <w:szCs w:val="20"/>
                <w:color w:val="auto"/>
              </w:rPr>
            </w:pPr>
            <w:r>
              <w:rPr>
                <w:rFonts w:ascii="Arial" w:cs="Arial" w:eastAsia="Arial" w:hAnsi="Arial"/>
                <w:sz w:val="16"/>
                <w:szCs w:val="16"/>
                <w:color w:val="auto"/>
              </w:rPr>
              <w:t>100%</w:t>
            </w:r>
          </w:p>
        </w:tc>
        <w:tc>
          <w:tcPr>
            <w:tcW w:w="1520" w:type="dxa"/>
            <w:vAlign w:val="bottom"/>
            <w:shd w:val="clear" w:color="auto" w:fill="D8E8EF"/>
          </w:tcPr>
          <w:p>
            <w:pPr>
              <w:jc w:val="right"/>
              <w:ind w:right="100"/>
              <w:spacing w:after="0"/>
              <w:rPr>
                <w:sz w:val="20"/>
                <w:szCs w:val="20"/>
                <w:color w:val="auto"/>
              </w:rPr>
            </w:pPr>
            <w:r>
              <w:rPr>
                <w:rFonts w:ascii="Arial" w:cs="Arial" w:eastAsia="Arial" w:hAnsi="Arial"/>
                <w:sz w:val="16"/>
                <w:szCs w:val="16"/>
                <w:color w:val="auto"/>
              </w:rPr>
              <w:t>167.4%</w:t>
            </w:r>
          </w:p>
        </w:tc>
        <w:tc>
          <w:tcPr>
            <w:tcW w:w="1280" w:type="dxa"/>
            <w:vAlign w:val="bottom"/>
            <w:shd w:val="clear" w:color="auto" w:fill="D8E8EF"/>
          </w:tcPr>
          <w:p>
            <w:pPr>
              <w:jc w:val="right"/>
              <w:ind w:right="120"/>
              <w:spacing w:after="0"/>
              <w:rPr>
                <w:sz w:val="20"/>
                <w:szCs w:val="20"/>
                <w:color w:val="auto"/>
              </w:rPr>
            </w:pPr>
            <w:r>
              <w:rPr>
                <w:rFonts w:ascii="Arial" w:cs="Arial" w:eastAsia="Arial" w:hAnsi="Arial"/>
                <w:sz w:val="16"/>
                <w:szCs w:val="16"/>
                <w:color w:val="auto"/>
              </w:rPr>
              <w:t>$640,305</w:t>
            </w:r>
          </w:p>
        </w:tc>
        <w:tc>
          <w:tcPr>
            <w:tcW w:w="0" w:type="dxa"/>
            <w:vAlign w:val="bottom"/>
          </w:tcPr>
          <w:p>
            <w:pPr>
              <w:spacing w:after="0"/>
              <w:rPr>
                <w:sz w:val="1"/>
                <w:szCs w:val="1"/>
                <w:color w:val="auto"/>
              </w:rPr>
            </w:pPr>
          </w:p>
        </w:tc>
      </w:tr>
      <w:tr>
        <w:trPr>
          <w:trHeight w:val="264"/>
        </w:trPr>
        <w:tc>
          <w:tcPr>
            <w:tcW w:w="2560" w:type="dxa"/>
            <w:vAlign w:val="bottom"/>
          </w:tcPr>
          <w:p>
            <w:pPr>
              <w:ind w:left="100"/>
              <w:spacing w:after="0"/>
              <w:rPr>
                <w:sz w:val="20"/>
                <w:szCs w:val="20"/>
                <w:color w:val="auto"/>
              </w:rPr>
            </w:pPr>
            <w:r>
              <w:rPr>
                <w:rFonts w:ascii="Arial" w:cs="Arial" w:eastAsia="Arial" w:hAnsi="Arial"/>
                <w:sz w:val="16"/>
                <w:szCs w:val="16"/>
                <w:color w:val="auto"/>
              </w:rPr>
              <w:t>George H. Cave</w:t>
            </w:r>
          </w:p>
        </w:tc>
        <w:tc>
          <w:tcPr>
            <w:tcW w:w="1300" w:type="dxa"/>
            <w:vAlign w:val="bottom"/>
          </w:tcPr>
          <w:p>
            <w:pPr>
              <w:jc w:val="right"/>
              <w:ind w:right="40"/>
              <w:spacing w:after="0"/>
              <w:rPr>
                <w:sz w:val="20"/>
                <w:szCs w:val="20"/>
                <w:color w:val="auto"/>
              </w:rPr>
            </w:pPr>
            <w:r>
              <w:rPr>
                <w:rFonts w:ascii="Arial" w:cs="Arial" w:eastAsia="Arial" w:hAnsi="Arial"/>
                <w:sz w:val="16"/>
                <w:szCs w:val="16"/>
                <w:color w:val="auto"/>
              </w:rPr>
              <w:t>$500,000</w:t>
            </w:r>
          </w:p>
        </w:tc>
        <w:tc>
          <w:tcPr>
            <w:tcW w:w="1540" w:type="dxa"/>
            <w:vAlign w:val="bottom"/>
          </w:tcPr>
          <w:p>
            <w:pPr>
              <w:jc w:val="right"/>
              <w:ind w:right="100"/>
              <w:spacing w:after="0"/>
              <w:rPr>
                <w:sz w:val="20"/>
                <w:szCs w:val="20"/>
                <w:color w:val="auto"/>
              </w:rPr>
            </w:pPr>
            <w:r>
              <w:rPr>
                <w:rFonts w:ascii="Arial" w:cs="Arial" w:eastAsia="Arial" w:hAnsi="Arial"/>
                <w:sz w:val="16"/>
                <w:szCs w:val="16"/>
                <w:color w:val="auto"/>
              </w:rPr>
              <w:t>75%</w:t>
            </w:r>
          </w:p>
        </w:tc>
        <w:tc>
          <w:tcPr>
            <w:tcW w:w="1380" w:type="dxa"/>
            <w:vAlign w:val="bottom"/>
          </w:tcPr>
          <w:p>
            <w:pPr>
              <w:jc w:val="right"/>
              <w:ind w:right="100"/>
              <w:spacing w:after="0"/>
              <w:rPr>
                <w:sz w:val="20"/>
                <w:szCs w:val="20"/>
                <w:color w:val="auto"/>
              </w:rPr>
            </w:pPr>
            <w:r>
              <w:rPr>
                <w:rFonts w:ascii="Arial" w:cs="Arial" w:eastAsia="Arial" w:hAnsi="Arial"/>
                <w:sz w:val="16"/>
                <w:szCs w:val="16"/>
                <w:color w:val="auto"/>
              </w:rPr>
              <w:t>$375,000</w:t>
            </w:r>
          </w:p>
        </w:tc>
        <w:tc>
          <w:tcPr>
            <w:tcW w:w="1120" w:type="dxa"/>
            <w:vAlign w:val="bottom"/>
          </w:tcPr>
          <w:p>
            <w:pPr>
              <w:jc w:val="right"/>
              <w:ind w:right="100"/>
              <w:spacing w:after="0"/>
              <w:rPr>
                <w:sz w:val="20"/>
                <w:szCs w:val="20"/>
                <w:color w:val="auto"/>
              </w:rPr>
            </w:pPr>
            <w:r>
              <w:rPr>
                <w:rFonts w:ascii="Arial" w:cs="Arial" w:eastAsia="Arial" w:hAnsi="Arial"/>
                <w:sz w:val="16"/>
                <w:szCs w:val="16"/>
                <w:color w:val="auto"/>
              </w:rPr>
              <w:t>100%</w:t>
            </w:r>
          </w:p>
        </w:tc>
        <w:tc>
          <w:tcPr>
            <w:tcW w:w="1520" w:type="dxa"/>
            <w:vAlign w:val="bottom"/>
          </w:tcPr>
          <w:p>
            <w:pPr>
              <w:jc w:val="right"/>
              <w:ind w:right="100"/>
              <w:spacing w:after="0"/>
              <w:rPr>
                <w:sz w:val="20"/>
                <w:szCs w:val="20"/>
                <w:color w:val="auto"/>
              </w:rPr>
            </w:pPr>
            <w:r>
              <w:rPr>
                <w:rFonts w:ascii="Arial" w:cs="Arial" w:eastAsia="Arial" w:hAnsi="Arial"/>
                <w:sz w:val="16"/>
                <w:szCs w:val="16"/>
                <w:color w:val="auto"/>
              </w:rPr>
              <w:t>140%</w:t>
            </w:r>
          </w:p>
        </w:tc>
        <w:tc>
          <w:tcPr>
            <w:tcW w:w="1280" w:type="dxa"/>
            <w:vAlign w:val="bottom"/>
          </w:tcPr>
          <w:p>
            <w:pPr>
              <w:jc w:val="right"/>
              <w:ind w:right="120"/>
              <w:spacing w:after="0"/>
              <w:rPr>
                <w:sz w:val="20"/>
                <w:szCs w:val="20"/>
                <w:color w:val="auto"/>
              </w:rPr>
            </w:pPr>
            <w:r>
              <w:rPr>
                <w:rFonts w:ascii="Arial" w:cs="Arial" w:eastAsia="Arial" w:hAnsi="Arial"/>
                <w:sz w:val="16"/>
                <w:szCs w:val="16"/>
                <w:color w:val="auto"/>
              </w:rPr>
              <w:t>$525,000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182880</wp:posOffset>
            </wp:positionH>
            <wp:positionV relativeFrom="paragraph">
              <wp:posOffset>10795</wp:posOffset>
            </wp:positionV>
            <wp:extent cx="678561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785610" cy="8255"/>
                    </a:xfrm>
                    <a:prstGeom prst="rect">
                      <a:avLst/>
                    </a:prstGeom>
                    <a:noFill/>
                  </pic:spPr>
                </pic:pic>
              </a:graphicData>
            </a:graphic>
          </wp:anchor>
        </w:drawing>
      </w:r>
    </w:p>
    <w:p>
      <w:pPr>
        <w:spacing w:after="0" w:line="1" w:lineRule="exact"/>
        <w:rPr>
          <w:sz w:val="20"/>
          <w:szCs w:val="20"/>
          <w:color w:val="auto"/>
        </w:rPr>
      </w:pPr>
    </w:p>
    <w:p>
      <w:pPr>
        <w:ind w:left="800" w:hanging="419"/>
        <w:spacing w:after="0"/>
        <w:tabs>
          <w:tab w:leader="none" w:pos="800" w:val="left"/>
        </w:tabs>
        <w:numPr>
          <w:ilvl w:val="0"/>
          <w:numId w:val="66"/>
        </w:numPr>
        <w:rPr>
          <w:rFonts w:ascii="Arial" w:cs="Arial" w:eastAsia="Arial" w:hAnsi="Arial"/>
          <w:sz w:val="14"/>
          <w:szCs w:val="14"/>
          <w:color w:val="auto"/>
        </w:rPr>
      </w:pPr>
      <w:r>
        <w:rPr>
          <w:rFonts w:ascii="Arial" w:cs="Arial" w:eastAsia="Arial" w:hAnsi="Arial"/>
          <w:sz w:val="14"/>
          <w:szCs w:val="14"/>
          <w:color w:val="auto"/>
        </w:rPr>
        <w:t>Mr. Gutmann did not participate in the 2021 Bonus Program because he retired on February 16, 2021.</w:t>
      </w:r>
    </w:p>
    <w:p>
      <w:pPr>
        <w:spacing w:after="0" w:line="13" w:lineRule="exact"/>
        <w:rPr>
          <w:rFonts w:ascii="Arial" w:cs="Arial" w:eastAsia="Arial" w:hAnsi="Arial"/>
          <w:sz w:val="14"/>
          <w:szCs w:val="14"/>
          <w:color w:val="auto"/>
        </w:rPr>
      </w:pPr>
    </w:p>
    <w:p>
      <w:pPr>
        <w:jc w:val="both"/>
        <w:ind w:left="800" w:right="100" w:hanging="419"/>
        <w:spacing w:after="0" w:line="239" w:lineRule="auto"/>
        <w:tabs>
          <w:tab w:leader="none" w:pos="800" w:val="left"/>
        </w:tabs>
        <w:numPr>
          <w:ilvl w:val="0"/>
          <w:numId w:val="66"/>
        </w:numPr>
        <w:rPr>
          <w:rFonts w:ascii="Arial" w:cs="Arial" w:eastAsia="Arial" w:hAnsi="Arial"/>
          <w:sz w:val="14"/>
          <w:szCs w:val="14"/>
          <w:color w:val="auto"/>
        </w:rPr>
      </w:pPr>
      <w:r>
        <w:rPr>
          <w:rFonts w:ascii="Arial" w:cs="Arial" w:eastAsia="Arial" w:hAnsi="Arial"/>
          <w:sz w:val="14"/>
          <w:szCs w:val="14"/>
          <w:color w:val="auto"/>
        </w:rPr>
        <w:t>Reflects the cash bonus earned based on the applicable NEO’s Eligible Earnings during fiscal year 2021. Mr. Trent’s Eligible Earnings were pro-rated for the time he worked for the Company during fiscal year 2021 while the eligible earnings of each of Messrs. Hopkin and Keeton reflect adjustments to their base salaries on July 1, 2021.</w:t>
      </w:r>
    </w:p>
    <w:p>
      <w:pPr>
        <w:ind w:left="800" w:hanging="419"/>
        <w:spacing w:after="0"/>
        <w:tabs>
          <w:tab w:leader="none" w:pos="800" w:val="left"/>
        </w:tabs>
        <w:numPr>
          <w:ilvl w:val="0"/>
          <w:numId w:val="66"/>
        </w:numPr>
        <w:rPr>
          <w:rFonts w:ascii="Arial" w:cs="Arial" w:eastAsia="Arial" w:hAnsi="Arial"/>
          <w:sz w:val="14"/>
          <w:szCs w:val="14"/>
          <w:color w:val="auto"/>
        </w:rPr>
      </w:pPr>
      <w:r>
        <w:rPr>
          <w:rFonts w:ascii="Arial" w:cs="Arial" w:eastAsia="Arial" w:hAnsi="Arial"/>
          <w:sz w:val="14"/>
          <w:szCs w:val="14"/>
          <w:color w:val="auto"/>
        </w:rPr>
        <w:t>Reflects the increased annual cash bonus performance incentive opportunity effective as of July 1, 2021.</w:t>
      </w:r>
    </w:p>
    <w:p>
      <w:pPr>
        <w:spacing w:after="0" w:line="190" w:lineRule="exact"/>
        <w:rPr>
          <w:sz w:val="20"/>
          <w:szCs w:val="20"/>
          <w:color w:val="auto"/>
        </w:rPr>
      </w:pPr>
    </w:p>
    <w:p>
      <w:pPr>
        <w:jc w:val="both"/>
        <w:ind w:left="160"/>
        <w:spacing w:after="0" w:line="236" w:lineRule="auto"/>
        <w:rPr>
          <w:sz w:val="20"/>
          <w:szCs w:val="20"/>
          <w:color w:val="auto"/>
        </w:rPr>
      </w:pPr>
      <w:r>
        <w:rPr>
          <w:rFonts w:ascii="Arial" w:cs="Arial" w:eastAsia="Arial" w:hAnsi="Arial"/>
          <w:sz w:val="18"/>
          <w:szCs w:val="18"/>
          <w:i w:val="1"/>
          <w:iCs w:val="1"/>
          <w:u w:val="single" w:color="auto"/>
          <w:color w:val="auto"/>
        </w:rPr>
        <w:t>2022 Bonus Program</w:t>
      </w:r>
      <w:r>
        <w:rPr>
          <w:rFonts w:ascii="Arial" w:cs="Arial" w:eastAsia="Arial" w:hAnsi="Arial"/>
          <w:sz w:val="18"/>
          <w:szCs w:val="18"/>
          <w:color w:val="auto"/>
        </w:rPr>
        <w:t>. In February 2022, the HCC Committee approved a 2022 short-term incentive award program (the “2022 Bonus</w:t>
      </w:r>
      <w:r>
        <w:rPr>
          <w:rFonts w:ascii="Arial" w:cs="Arial" w:eastAsia="Arial" w:hAnsi="Arial"/>
          <w:sz w:val="18"/>
          <w:szCs w:val="18"/>
          <w:i w:val="1"/>
          <w:iCs w:val="1"/>
          <w:color w:val="auto"/>
        </w:rPr>
        <w:t xml:space="preserve"> </w:t>
      </w:r>
      <w:r>
        <w:rPr>
          <w:rFonts w:ascii="Arial" w:cs="Arial" w:eastAsia="Arial" w:hAnsi="Arial"/>
          <w:sz w:val="18"/>
          <w:szCs w:val="18"/>
          <w:color w:val="auto"/>
        </w:rPr>
        <w:t>Program”) that mirrors the general structure of the 2021 Bonus Program but implements new metrics upon which to base the aspects of the bonus payout formula. In addition, the Corporate Multiplier for the 2022 Bonus Program (the “2022 Corporate Multiplier”) is tied to revenue and operating expense metrics for the NEOs. The 2022 Corporate Multiplier also has a maximum 200% attainment possibility while each of the targets that make up a given NEO’s Individual Goal Achievement Percentage has a maximum achievement level of 100%. Each of the 2022 Corporate Multiplier and the Individual Goal Achievement Percentage components will be measured on a quarterly and annual basis against approved quarterly and annual targets. For 2022, the HCC Committee approved Individual Goal Achievement Percentage targets under a format in which such targets were determined on an individual basis, with each of the applicable NEOs having his targets clearly established based on discussions with the CEO. The HCC Committee will reassess cash incentive metrics in 2023 and thereafter on an annual basis.</w:t>
      </w:r>
    </w:p>
    <w:p>
      <w:pPr>
        <w:spacing w:after="0" w:line="18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2022 Bonus Program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1354455</wp:posOffset>
            </wp:positionH>
            <wp:positionV relativeFrom="paragraph">
              <wp:posOffset>160655</wp:posOffset>
            </wp:positionV>
            <wp:extent cx="4441825" cy="66230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4441825" cy="662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left="160"/>
        <w:spacing w:after="0" w:line="237" w:lineRule="auto"/>
        <w:rPr>
          <w:sz w:val="20"/>
          <w:szCs w:val="20"/>
          <w:color w:val="auto"/>
        </w:rPr>
      </w:pPr>
      <w:r>
        <w:rPr>
          <w:rFonts w:ascii="Arial" w:cs="Arial" w:eastAsia="Arial" w:hAnsi="Arial"/>
          <w:sz w:val="18"/>
          <w:szCs w:val="18"/>
          <w:b w:val="1"/>
          <w:bCs w:val="1"/>
          <w:i w:val="1"/>
          <w:iCs w:val="1"/>
          <w:color w:val="auto"/>
        </w:rPr>
        <w:t>Long-Term Incentive Program</w:t>
      </w:r>
      <w:r>
        <w:rPr>
          <w:rFonts w:ascii="Arial" w:cs="Arial" w:eastAsia="Arial" w:hAnsi="Arial"/>
          <w:sz w:val="18"/>
          <w:szCs w:val="18"/>
          <w:color w:val="auto"/>
        </w:rPr>
        <w:t>. Long-term incentives for executives are entirely equity-based and are designed to reinforce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alignment of executive and stockholder interests. These rewards provide each individual with a significant incentive to manage from the perspective of an owner. In February 2021, the HCC Committee made annual long-term incentive awards (the “2021 LTI Program”) to each NEO, other than Bernard Gutmann, consisting of 60% PBRSUs and 40% RSUs pursuant to the SIP. The 2021 LTI Program was designed to reward performance consistent with the Company’s new long-term strategic objectives. Consistent with that approach, each of the applicable NEOs received two awards – a PBRSU award (the “2021 PBRSUs”) and an RSU award (the “2021 RSUs”). The HCC Committee determined that such an allocation between PBRSUs and RSUs provided a reasonable balance between performance-based and retention incentives.</w:t>
      </w:r>
    </w:p>
    <w:p>
      <w:pPr>
        <w:spacing w:after="0" w:line="184"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principles of the 2021 equity grant program include that:</w:t>
      </w:r>
    </w:p>
    <w:p>
      <w:pPr>
        <w:spacing w:after="0" w:line="114" w:lineRule="exact"/>
        <w:rPr>
          <w:sz w:val="20"/>
          <w:szCs w:val="20"/>
          <w:color w:val="auto"/>
        </w:rPr>
      </w:pPr>
    </w:p>
    <w:p>
      <w:pPr>
        <w:ind w:left="1020" w:hanging="425"/>
        <w:spacing w:after="0"/>
        <w:tabs>
          <w:tab w:leader="none" w:pos="10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awards are aligned with stockholder interests;</w:t>
      </w:r>
    </w:p>
    <w:p>
      <w:pPr>
        <w:spacing w:after="0" w:line="11" w:lineRule="exact"/>
        <w:rPr>
          <w:rFonts w:ascii="Arial" w:cs="Arial" w:eastAsia="Arial" w:hAnsi="Arial"/>
          <w:sz w:val="18"/>
          <w:szCs w:val="18"/>
          <w:color w:val="auto"/>
        </w:rPr>
      </w:pPr>
    </w:p>
    <w:p>
      <w:pPr>
        <w:ind w:left="1020" w:hanging="425"/>
        <w:spacing w:after="0" w:line="232" w:lineRule="auto"/>
        <w:tabs>
          <w:tab w:leader="none" w:pos="10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percentage of unvested value should align with executive retention strategies;</w:t>
      </w:r>
    </w:p>
    <w:p>
      <w:pPr>
        <w:ind w:left="1020" w:hanging="425"/>
        <w:spacing w:after="0" w:line="232" w:lineRule="auto"/>
        <w:tabs>
          <w:tab w:leader="none" w:pos="10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majority of the stock pool is reserved for top performers;</w:t>
      </w:r>
    </w:p>
    <w:p>
      <w:pPr>
        <w:ind w:left="1020" w:hanging="425"/>
        <w:spacing w:after="0" w:line="244" w:lineRule="auto"/>
        <w:tabs>
          <w:tab w:leader="none" w:pos="10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equity grants are budgeted consistent with market practice based on median value and actual grants are based on performance and potential;</w:t>
      </w:r>
    </w:p>
    <w:p>
      <w:pPr>
        <w:spacing w:after="0" w:line="119"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F75E14"/>
        </w:rPr>
        <w:t>onsemi 2022 Proxy Statement</w:t>
        <w:tab/>
        <w:t>41</w:t>
      </w:r>
    </w:p>
    <w:p>
      <w:pPr>
        <w:sectPr>
          <w:pgSz w:w="11900" w:h="16838" w:orient="portrait"/>
          <w:cols w:equalWidth="0" w:num="1">
            <w:col w:w="11080"/>
          </w:cols>
          <w:pgMar w:left="320" w:top="454" w:right="499" w:bottom="1440" w:gutter="0" w:footer="0" w:header="0"/>
        </w:sectPr>
      </w:pPr>
    </w:p>
    <w:bookmarkStart w:id="45" w:name="page46"/>
    <w:bookmarkEnd w:id="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2" w:lineRule="exact"/>
        <w:rPr>
          <w:sz w:val="20"/>
          <w:szCs w:val="20"/>
          <w:color w:val="auto"/>
        </w:rPr>
      </w:pPr>
    </w:p>
    <w:p>
      <w:pPr>
        <w:ind w:left="160"/>
        <w:spacing w:after="0"/>
        <w:rPr>
          <w:sz w:val="20"/>
          <w:szCs w:val="20"/>
          <w:color w:val="auto"/>
        </w:rPr>
      </w:pPr>
      <w:r>
        <w:rPr>
          <w:rFonts w:ascii="Arial" w:cs="Arial" w:eastAsia="Arial" w:hAnsi="Arial"/>
          <w:sz w:val="18"/>
          <w:szCs w:val="18"/>
          <w:color w:val="F75E14"/>
        </w:rPr>
        <w:t>Compensation Discussion and Analysis</w:t>
      </w:r>
    </w:p>
    <w:p>
      <w:pPr>
        <w:spacing w:after="0" w:line="141" w:lineRule="exact"/>
        <w:rPr>
          <w:sz w:val="20"/>
          <w:szCs w:val="20"/>
          <w:color w:val="auto"/>
        </w:rPr>
      </w:pPr>
    </w:p>
    <w:p>
      <w:pPr>
        <w:ind w:left="1020" w:hanging="425"/>
        <w:spacing w:after="0" w:line="243" w:lineRule="auto"/>
        <w:tabs>
          <w:tab w:leader="none" w:pos="10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Company, department and individual performance drive above-market equity grants in the following annual cycle or additional grants throughout the year; and</w:t>
      </w:r>
    </w:p>
    <w:p>
      <w:pPr>
        <w:ind w:left="1020" w:hanging="425"/>
        <w:spacing w:after="0"/>
        <w:tabs>
          <w:tab w:leader="none" w:pos="10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awards are designed to support the Company’s business strategies.</w:t>
      </w:r>
    </w:p>
    <w:p>
      <w:pPr>
        <w:spacing w:after="0" w:line="190" w:lineRule="exact"/>
        <w:rPr>
          <w:sz w:val="20"/>
          <w:szCs w:val="20"/>
          <w:color w:val="auto"/>
        </w:rPr>
      </w:pPr>
    </w:p>
    <w:p>
      <w:pPr>
        <w:jc w:val="both"/>
        <w:ind w:left="160"/>
        <w:spacing w:after="0" w:line="238" w:lineRule="auto"/>
        <w:rPr>
          <w:sz w:val="20"/>
          <w:szCs w:val="20"/>
          <w:color w:val="auto"/>
        </w:rPr>
      </w:pPr>
      <w:r>
        <w:rPr>
          <w:rFonts w:ascii="Arial" w:cs="Arial" w:eastAsia="Arial" w:hAnsi="Arial"/>
          <w:sz w:val="18"/>
          <w:szCs w:val="18"/>
          <w:color w:val="auto"/>
        </w:rPr>
        <w:t>Generally, both RSUs and PBRSUs are used for retention while PBRSUs are also used in support of business performance strategies. The HCC Committee also considered the advantages and disadvantages of using absolute versus relative performance measures and believes that the 2021 LTI Program struck an appropriate balance between the two types of measures by using both measures in the PBRSU grants. Absolute measures are consistent with stockholder expectations, allow for greater sense of control and influence by the executive, encourage motivation and are consistent with the Company’s cash flow and ability to pay. Conversely, relative measures, such as the Relative TSR performance measure included in the TSR Adjustment, reward executives for outperforming the Company’s peers in a highly competitive marketplace.</w:t>
      </w:r>
    </w:p>
    <w:p>
      <w:pPr>
        <w:spacing w:after="0" w:line="181" w:lineRule="exact"/>
        <w:rPr>
          <w:sz w:val="20"/>
          <w:szCs w:val="20"/>
          <w:color w:val="auto"/>
        </w:rPr>
      </w:pPr>
    </w:p>
    <w:p>
      <w:pPr>
        <w:jc w:val="both"/>
        <w:ind w:left="160"/>
        <w:spacing w:after="0" w:line="265" w:lineRule="auto"/>
        <w:rPr>
          <w:sz w:val="20"/>
          <w:szCs w:val="20"/>
          <w:color w:val="auto"/>
        </w:rPr>
      </w:pPr>
      <w:r>
        <w:rPr>
          <w:rFonts w:ascii="Arial" w:cs="Arial" w:eastAsia="Arial" w:hAnsi="Arial"/>
          <w:sz w:val="18"/>
          <w:szCs w:val="18"/>
          <w:i w:val="1"/>
          <w:iCs w:val="1"/>
          <w:u w:val="single" w:color="auto"/>
          <w:color w:val="auto"/>
        </w:rPr>
        <w:t>Description of 2021 RSUs</w:t>
      </w:r>
      <w:r>
        <w:rPr>
          <w:rFonts w:ascii="Arial" w:cs="Arial" w:eastAsia="Arial" w:hAnsi="Arial"/>
          <w:sz w:val="18"/>
          <w:szCs w:val="18"/>
          <w:color w:val="auto"/>
        </w:rPr>
        <w:t>. The 2021 RSUs are time-based and will vest annually in one-third increments on each anniversary of the grant</w:t>
      </w:r>
      <w:r>
        <w:rPr>
          <w:rFonts w:ascii="Arial" w:cs="Arial" w:eastAsia="Arial" w:hAnsi="Arial"/>
          <w:sz w:val="18"/>
          <w:szCs w:val="18"/>
          <w:i w:val="1"/>
          <w:iCs w:val="1"/>
          <w:color w:val="auto"/>
        </w:rPr>
        <w:t xml:space="preserve"> </w:t>
      </w:r>
      <w:r>
        <w:rPr>
          <w:rFonts w:ascii="Arial" w:cs="Arial" w:eastAsia="Arial" w:hAnsi="Arial"/>
          <w:sz w:val="18"/>
          <w:szCs w:val="18"/>
          <w:color w:val="auto"/>
        </w:rPr>
        <w:t>date.</w:t>
      </w:r>
    </w:p>
    <w:p>
      <w:pPr>
        <w:spacing w:after="0" w:line="158" w:lineRule="exact"/>
        <w:rPr>
          <w:sz w:val="20"/>
          <w:szCs w:val="20"/>
          <w:color w:val="auto"/>
        </w:rPr>
      </w:pPr>
    </w:p>
    <w:p>
      <w:pPr>
        <w:jc w:val="both"/>
        <w:ind w:left="160"/>
        <w:spacing w:after="0" w:line="249" w:lineRule="auto"/>
        <w:rPr>
          <w:sz w:val="20"/>
          <w:szCs w:val="20"/>
          <w:color w:val="auto"/>
        </w:rPr>
      </w:pPr>
      <w:r>
        <w:rPr>
          <w:rFonts w:ascii="Arial" w:cs="Arial" w:eastAsia="Arial" w:hAnsi="Arial"/>
          <w:sz w:val="18"/>
          <w:szCs w:val="18"/>
          <w:i w:val="1"/>
          <w:iCs w:val="1"/>
          <w:u w:val="single" w:color="auto"/>
          <w:color w:val="auto"/>
        </w:rPr>
        <w:t>Description of 2021 PBRSUs</w:t>
      </w:r>
      <w:r>
        <w:rPr>
          <w:rFonts w:ascii="Arial" w:cs="Arial" w:eastAsia="Arial" w:hAnsi="Arial"/>
          <w:sz w:val="18"/>
          <w:szCs w:val="18"/>
          <w:color w:val="auto"/>
        </w:rPr>
        <w:t>. The 2021 PBRSUs are performance-based and are eligible to vest based on the extent to which a given</w:t>
      </w:r>
      <w:r>
        <w:rPr>
          <w:rFonts w:ascii="Arial" w:cs="Arial" w:eastAsia="Arial" w:hAnsi="Arial"/>
          <w:sz w:val="18"/>
          <w:szCs w:val="18"/>
          <w:i w:val="1"/>
          <w:iCs w:val="1"/>
          <w:color w:val="auto"/>
        </w:rPr>
        <w:t xml:space="preserve"> </w:t>
      </w:r>
      <w:r>
        <w:rPr>
          <w:rFonts w:ascii="Arial" w:cs="Arial" w:eastAsia="Arial" w:hAnsi="Arial"/>
          <w:sz w:val="18"/>
          <w:szCs w:val="18"/>
          <w:color w:val="auto"/>
        </w:rPr>
        <w:t>NEO satisfies the applicable performance goals established by the HCC Committee. The 2021 PBRSUs have performance measurement periods of one, two and three years, as follows:</w:t>
      </w:r>
    </w:p>
    <w:p>
      <w:pPr>
        <w:spacing w:after="0" w:line="78" w:lineRule="exact"/>
        <w:rPr>
          <w:sz w:val="20"/>
          <w:szCs w:val="20"/>
          <w:color w:val="auto"/>
        </w:rPr>
      </w:pPr>
    </w:p>
    <w:p>
      <w:pPr>
        <w:jc w:val="both"/>
        <w:ind w:left="1020" w:hanging="425"/>
        <w:spacing w:after="0" w:line="243" w:lineRule="auto"/>
        <w:tabs>
          <w:tab w:leader="none" w:pos="10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2021 PBRSUs consist of units associated with each of three distinct performance goals: revenue, non-GAAP gross margin and non-GAAP operating expenses for the period started on January 1, 2021 and ended on December 31, 2021 (the “2021 PBRSU Performance Period,” and the performance goals associated with the 2021 PBRSU Performance Period, the “2021 LTI Performance Goals”).</w:t>
      </w:r>
    </w:p>
    <w:p>
      <w:pPr>
        <w:spacing w:after="0" w:line="84" w:lineRule="exact"/>
        <w:rPr>
          <w:rFonts w:ascii="Arial" w:cs="Arial" w:eastAsia="Arial" w:hAnsi="Arial"/>
          <w:sz w:val="18"/>
          <w:szCs w:val="18"/>
          <w:color w:val="auto"/>
        </w:rPr>
      </w:pPr>
    </w:p>
    <w:p>
      <w:pPr>
        <w:jc w:val="both"/>
        <w:ind w:left="1020" w:hanging="425"/>
        <w:spacing w:after="0" w:line="239" w:lineRule="auto"/>
        <w:tabs>
          <w:tab w:leader="none" w:pos="10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2021 PBRSUs are also subject to the TSR Adjustment based on Relative TSR benchmarked against an industry peer group consisting of a group of comparator companies in the semiconductor industry identified by the HCC Committee (the “TSR Companies”). The 2021 PBRSUs incorporate the concept of a TSR Adjustment in order to emphasize the importance of Company performance amongst our peers. The number of 2021 PBRSUs eligible to vest each year may be adjusted based on the Company’s Relative TSR over the periods of time beginning on January 1, 2021 and ending on each of December 31, 2021, December 31, 2022 and December 31, 2023 (each, a “TSR Performance Period”).</w:t>
      </w:r>
    </w:p>
    <w:p>
      <w:pPr>
        <w:spacing w:after="0" w:line="87" w:lineRule="exact"/>
        <w:rPr>
          <w:rFonts w:ascii="Arial" w:cs="Arial" w:eastAsia="Arial" w:hAnsi="Arial"/>
          <w:sz w:val="18"/>
          <w:szCs w:val="18"/>
          <w:color w:val="auto"/>
        </w:rPr>
      </w:pPr>
    </w:p>
    <w:p>
      <w:pPr>
        <w:jc w:val="both"/>
        <w:ind w:left="1020" w:hanging="425"/>
        <w:spacing w:after="0"/>
        <w:tabs>
          <w:tab w:leader="none" w:pos="10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2021 PBRSUs earned based on the levels of performance achieved for the 2021 LTI Performance Goals will vest over three years, with the first tranche of vesting having occurred in February 2022 and the other two tranches of vesting occurring in each of February 2023 and February 2024, respectively, subject to the executive remaining continuously employed with the Company through the applicable vesting date. Similar to the PBRSUs that vested in February 2022, the shares that will vest in each of February 2023 and February 2024 will be subject to the TSR Adjustment, as described below.</w:t>
      </w:r>
    </w:p>
    <w:p>
      <w:pPr>
        <w:spacing w:after="0" w:line="88" w:lineRule="exact"/>
        <w:rPr>
          <w:rFonts w:ascii="Arial" w:cs="Arial" w:eastAsia="Arial" w:hAnsi="Arial"/>
          <w:sz w:val="18"/>
          <w:szCs w:val="18"/>
          <w:color w:val="auto"/>
        </w:rPr>
      </w:pPr>
    </w:p>
    <w:p>
      <w:pPr>
        <w:jc w:val="both"/>
        <w:ind w:left="1020" w:hanging="425"/>
        <w:spacing w:after="0" w:line="250" w:lineRule="auto"/>
        <w:tabs>
          <w:tab w:leader="none" w:pos="1020" w:val="left"/>
        </w:tabs>
        <w:numPr>
          <w:ilvl w:val="0"/>
          <w:numId w:val="69"/>
        </w:numPr>
        <w:rPr>
          <w:rFonts w:ascii="Arial" w:cs="Arial" w:eastAsia="Arial" w:hAnsi="Arial"/>
          <w:sz w:val="17"/>
          <w:szCs w:val="17"/>
          <w:color w:val="auto"/>
        </w:rPr>
      </w:pPr>
      <w:r>
        <w:rPr>
          <w:rFonts w:ascii="Arial" w:cs="Arial" w:eastAsia="Arial" w:hAnsi="Arial"/>
          <w:sz w:val="17"/>
          <w:szCs w:val="17"/>
          <w:color w:val="auto"/>
        </w:rPr>
        <w:t>Each of the three tranches described above is subject to the TSR Adjustment, which could reduce the PBRSUs otherwise earned by 50% or, alternatively, could increase the PBRSUs otherwise earned by up to an additional 50% above the PBRSUs earned through achievement of the 2021 LTI Performance Goals. For the 2021 PBRSUs, the TSR Adjustment will impact the shares earned for each of the three tranches as follows: (i) if the Company’s Relative TSR for such TSR Performance Period is above the 25</w:t>
      </w:r>
      <w:r>
        <w:rPr>
          <w:rFonts w:ascii="Arial" w:cs="Arial" w:eastAsia="Arial" w:hAnsi="Arial"/>
          <w:sz w:val="14"/>
          <w:szCs w:val="14"/>
          <w:color w:val="auto"/>
        </w:rPr>
        <w:t>th</w:t>
      </w:r>
      <w:r>
        <w:rPr>
          <w:rFonts w:ascii="Arial" w:cs="Arial" w:eastAsia="Arial" w:hAnsi="Arial"/>
          <w:sz w:val="17"/>
          <w:szCs w:val="17"/>
          <w:color w:val="auto"/>
        </w:rPr>
        <w:t xml:space="preserve"> percentile, but less than the 50</w:t>
      </w:r>
      <w:r>
        <w:rPr>
          <w:rFonts w:ascii="Arial" w:cs="Arial" w:eastAsia="Arial" w:hAnsi="Arial"/>
          <w:sz w:val="14"/>
          <w:szCs w:val="14"/>
          <w:color w:val="auto"/>
        </w:rPr>
        <w:t>th</w:t>
      </w:r>
      <w:r>
        <w:rPr>
          <w:rFonts w:ascii="Arial" w:cs="Arial" w:eastAsia="Arial" w:hAnsi="Arial"/>
          <w:sz w:val="17"/>
          <w:szCs w:val="17"/>
          <w:color w:val="auto"/>
        </w:rPr>
        <w:t xml:space="preserve"> percentile, then 100% of the 2021 PBRSUs earned in accordance with the 2021 LTI Performance Goals will be earned and the TSR Adjustment will not have any impact; (ii) if the Company’s Relative TSR for such TSR Performance Period is at or above the 75</w:t>
      </w:r>
      <w:r>
        <w:rPr>
          <w:rFonts w:ascii="Arial" w:cs="Arial" w:eastAsia="Arial" w:hAnsi="Arial"/>
          <w:sz w:val="14"/>
          <w:szCs w:val="14"/>
          <w:color w:val="auto"/>
        </w:rPr>
        <w:t>th</w:t>
      </w:r>
      <w:r>
        <w:rPr>
          <w:rFonts w:ascii="Arial" w:cs="Arial" w:eastAsia="Arial" w:hAnsi="Arial"/>
          <w:sz w:val="17"/>
          <w:szCs w:val="17"/>
          <w:color w:val="auto"/>
        </w:rPr>
        <w:t xml:space="preserve"> percentile, then the earned 2021 PBRSUs will be adjusted to add an additional 50% in 2021 PBRSUs to the earned 2021 PBRSUs vesting in that tranche; (iii) if the Company’s Relative TSR for such TSR Performance Period is above the 50</w:t>
      </w:r>
      <w:r>
        <w:rPr>
          <w:rFonts w:ascii="Arial" w:cs="Arial" w:eastAsia="Arial" w:hAnsi="Arial"/>
          <w:sz w:val="14"/>
          <w:szCs w:val="14"/>
          <w:color w:val="auto"/>
        </w:rPr>
        <w:t>th</w:t>
      </w:r>
      <w:r>
        <w:rPr>
          <w:rFonts w:ascii="Arial" w:cs="Arial" w:eastAsia="Arial" w:hAnsi="Arial"/>
          <w:sz w:val="17"/>
          <w:szCs w:val="17"/>
          <w:color w:val="auto"/>
        </w:rPr>
        <w:t xml:space="preserve"> percentile, but less than the 75</w:t>
      </w:r>
      <w:r>
        <w:rPr>
          <w:rFonts w:ascii="Arial" w:cs="Arial" w:eastAsia="Arial" w:hAnsi="Arial"/>
          <w:sz w:val="14"/>
          <w:szCs w:val="14"/>
          <w:color w:val="auto"/>
        </w:rPr>
        <w:t>th</w:t>
      </w:r>
      <w:r>
        <w:rPr>
          <w:rFonts w:ascii="Arial" w:cs="Arial" w:eastAsia="Arial" w:hAnsi="Arial"/>
          <w:sz w:val="17"/>
          <w:szCs w:val="17"/>
          <w:color w:val="auto"/>
        </w:rPr>
        <w:t xml:space="preserve"> percentile, then the earned 2021 PBRSUs will be adjusted to add to the earned 2021 PBRSUs vesting in that tranche an additional number of PBRSUs determined based on straight line interpolation between the 50</w:t>
      </w:r>
      <w:r>
        <w:rPr>
          <w:rFonts w:ascii="Arial" w:cs="Arial" w:eastAsia="Arial" w:hAnsi="Arial"/>
          <w:sz w:val="14"/>
          <w:szCs w:val="14"/>
          <w:color w:val="auto"/>
        </w:rPr>
        <w:t>th</w:t>
      </w:r>
      <w:r>
        <w:rPr>
          <w:rFonts w:ascii="Arial" w:cs="Arial" w:eastAsia="Arial" w:hAnsi="Arial"/>
          <w:sz w:val="17"/>
          <w:szCs w:val="17"/>
          <w:color w:val="auto"/>
        </w:rPr>
        <w:t xml:space="preserve"> and 75</w:t>
      </w:r>
      <w:r>
        <w:rPr>
          <w:rFonts w:ascii="Arial" w:cs="Arial" w:eastAsia="Arial" w:hAnsi="Arial"/>
          <w:sz w:val="14"/>
          <w:szCs w:val="14"/>
          <w:color w:val="auto"/>
        </w:rPr>
        <w:t>th</w:t>
      </w:r>
      <w:r>
        <w:rPr>
          <w:rFonts w:ascii="Arial" w:cs="Arial" w:eastAsia="Arial" w:hAnsi="Arial"/>
          <w:sz w:val="17"/>
          <w:szCs w:val="17"/>
          <w:color w:val="auto"/>
        </w:rPr>
        <w:t xml:space="preserve"> percentiles; and (iv) if the Company’s applicable Relative TSR for such TSR Performance Period is less than the 25th percentile, the TSR Adjustment would reduce by 50% the 2021 PBRSUs that would otherwise vest in the applicable tranche based on satisfaction of the 2021 LTI Performance Goals.</w:t>
      </w:r>
    </w:p>
    <w:p>
      <w:pPr>
        <w:spacing w:after="0" w:line="118" w:lineRule="exact"/>
        <w:rPr>
          <w:sz w:val="20"/>
          <w:szCs w:val="20"/>
          <w:color w:val="auto"/>
        </w:rPr>
      </w:pPr>
    </w:p>
    <w:p>
      <w:pPr>
        <w:ind w:left="160"/>
        <w:spacing w:after="0"/>
        <w:tabs>
          <w:tab w:leader="none" w:pos="500" w:val="left"/>
        </w:tabs>
        <w:rPr>
          <w:sz w:val="20"/>
          <w:szCs w:val="20"/>
          <w:color w:val="auto"/>
        </w:rPr>
      </w:pPr>
      <w:r>
        <w:rPr>
          <w:rFonts w:ascii="Arial" w:cs="Arial" w:eastAsia="Arial" w:hAnsi="Arial"/>
          <w:sz w:val="14"/>
          <w:szCs w:val="14"/>
          <w:color w:val="F75E14"/>
        </w:rPr>
        <w:t>42</w:t>
        <w:tab/>
        <w:t>onsemi 2022 Proxy Statement</w:t>
      </w:r>
    </w:p>
    <w:p>
      <w:pPr>
        <w:sectPr>
          <w:pgSz w:w="11900" w:h="16838" w:orient="portrait"/>
          <w:cols w:equalWidth="0" w:num="1">
            <w:col w:w="11080"/>
          </w:cols>
          <w:pgMar w:left="320" w:top="454" w:right="499" w:bottom="1440" w:gutter="0" w:footer="0" w:header="0"/>
        </w:sectPr>
      </w:pPr>
    </w:p>
    <w:bookmarkStart w:id="46" w:name="page47"/>
    <w:bookmarkEnd w:id="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2" w:lineRule="exact"/>
        <w:rPr>
          <w:sz w:val="20"/>
          <w:szCs w:val="20"/>
          <w:color w:val="auto"/>
        </w:rPr>
      </w:pPr>
    </w:p>
    <w:p>
      <w:pPr>
        <w:jc w:val="right"/>
        <w:spacing w:after="0"/>
        <w:rPr>
          <w:sz w:val="20"/>
          <w:szCs w:val="20"/>
          <w:color w:val="auto"/>
        </w:rPr>
      </w:pPr>
      <w:r>
        <w:rPr>
          <w:rFonts w:ascii="Arial" w:cs="Arial" w:eastAsia="Arial" w:hAnsi="Arial"/>
          <w:sz w:val="18"/>
          <w:szCs w:val="18"/>
          <w:color w:val="F75E14"/>
        </w:rPr>
        <w:t>Compensation Discussion and Analysis</w:t>
      </w:r>
    </w:p>
    <w:p>
      <w:pPr>
        <w:spacing w:after="0" w:line="160" w:lineRule="exact"/>
        <w:rPr>
          <w:sz w:val="20"/>
          <w:szCs w:val="20"/>
          <w:color w:val="auto"/>
        </w:rPr>
      </w:pPr>
    </w:p>
    <w:tbl>
      <w:tblPr>
        <w:tblLayout w:type="fixed"/>
        <w:tblInd w:w="600" w:type="dxa"/>
        <w:tblCellMar>
          <w:top w:w="0" w:type="dxa"/>
          <w:left w:w="0" w:type="dxa"/>
          <w:bottom w:w="0" w:type="dxa"/>
          <w:right w:w="0" w:type="dxa"/>
        </w:tblCellMar>
      </w:tblPr>
      <w:tr>
        <w:trPr>
          <w:trHeight w:val="240"/>
        </w:trPr>
        <w:tc>
          <w:tcPr>
            <w:tcW w:w="5940" w:type="dxa"/>
            <w:vAlign w:val="bottom"/>
            <w:shd w:val="clear" w:color="auto" w:fill="F75E14"/>
          </w:tcPr>
          <w:p>
            <w:pPr>
              <w:ind w:left="100"/>
              <w:spacing w:after="0"/>
              <w:rPr>
                <w:sz w:val="20"/>
                <w:szCs w:val="20"/>
                <w:color w:val="auto"/>
              </w:rPr>
            </w:pPr>
            <w:r>
              <w:rPr>
                <w:rFonts w:ascii="Arial" w:cs="Arial" w:eastAsia="Arial" w:hAnsi="Arial"/>
                <w:sz w:val="16"/>
                <w:szCs w:val="16"/>
                <w:b w:val="1"/>
                <w:bCs w:val="1"/>
                <w:color w:val="FFFFFF"/>
              </w:rPr>
              <w:t>2021 Performance Goals Measured after 2021 PBRSU</w:t>
            </w:r>
          </w:p>
        </w:tc>
        <w:tc>
          <w:tcPr>
            <w:tcW w:w="1200" w:type="dxa"/>
            <w:vAlign w:val="bottom"/>
            <w:shd w:val="clear" w:color="auto" w:fill="F75E14"/>
          </w:tcPr>
          <w:p>
            <w:pPr>
              <w:ind w:left="100"/>
              <w:spacing w:after="0"/>
              <w:rPr>
                <w:sz w:val="20"/>
                <w:szCs w:val="20"/>
                <w:color w:val="auto"/>
              </w:rPr>
            </w:pPr>
            <w:r>
              <w:rPr>
                <w:rFonts w:ascii="Arial" w:cs="Arial" w:eastAsia="Arial" w:hAnsi="Arial"/>
                <w:sz w:val="16"/>
                <w:szCs w:val="16"/>
                <w:b w:val="1"/>
                <w:bCs w:val="1"/>
                <w:color w:val="FFFFFF"/>
              </w:rPr>
              <w:t>0% Payout</w:t>
            </w:r>
          </w:p>
        </w:tc>
        <w:tc>
          <w:tcPr>
            <w:tcW w:w="1400" w:type="dxa"/>
            <w:vAlign w:val="bottom"/>
            <w:shd w:val="clear" w:color="auto" w:fill="F75E14"/>
          </w:tcPr>
          <w:p>
            <w:pPr>
              <w:ind w:left="220"/>
              <w:spacing w:after="0"/>
              <w:rPr>
                <w:sz w:val="20"/>
                <w:szCs w:val="20"/>
                <w:color w:val="auto"/>
              </w:rPr>
            </w:pPr>
            <w:r>
              <w:rPr>
                <w:rFonts w:ascii="Arial" w:cs="Arial" w:eastAsia="Arial" w:hAnsi="Arial"/>
                <w:sz w:val="16"/>
                <w:szCs w:val="16"/>
                <w:b w:val="1"/>
                <w:bCs w:val="1"/>
                <w:color w:val="FFFFFF"/>
              </w:rPr>
              <w:t>100% Payout</w:t>
            </w:r>
          </w:p>
        </w:tc>
        <w:tc>
          <w:tcPr>
            <w:tcW w:w="1500" w:type="dxa"/>
            <w:vAlign w:val="bottom"/>
            <w:shd w:val="clear" w:color="auto" w:fill="F75E14"/>
          </w:tcPr>
          <w:p>
            <w:pPr>
              <w:ind w:left="200"/>
              <w:spacing w:after="0"/>
              <w:rPr>
                <w:sz w:val="20"/>
                <w:szCs w:val="20"/>
                <w:color w:val="auto"/>
              </w:rPr>
            </w:pPr>
            <w:r>
              <w:rPr>
                <w:rFonts w:ascii="Arial" w:cs="Arial" w:eastAsia="Arial" w:hAnsi="Arial"/>
                <w:sz w:val="16"/>
                <w:szCs w:val="16"/>
                <w:b w:val="1"/>
                <w:bCs w:val="1"/>
                <w:color w:val="FFFFFF"/>
              </w:rPr>
              <w:t>150% Payout</w:t>
            </w:r>
          </w:p>
        </w:tc>
      </w:tr>
      <w:tr>
        <w:trPr>
          <w:trHeight w:val="221"/>
        </w:trPr>
        <w:tc>
          <w:tcPr>
            <w:tcW w:w="5940" w:type="dxa"/>
            <w:vAlign w:val="bottom"/>
            <w:tcBorders>
              <w:bottom w:val="single" w:sz="8" w:color="F75E14"/>
            </w:tcBorders>
            <w:shd w:val="clear" w:color="auto" w:fill="F75E14"/>
          </w:tcPr>
          <w:p>
            <w:pPr>
              <w:ind w:left="100"/>
              <w:spacing w:after="0"/>
              <w:rPr>
                <w:sz w:val="20"/>
                <w:szCs w:val="20"/>
                <w:color w:val="auto"/>
              </w:rPr>
            </w:pPr>
            <w:r>
              <w:rPr>
                <w:rFonts w:ascii="Arial" w:cs="Arial" w:eastAsia="Arial" w:hAnsi="Arial"/>
                <w:sz w:val="16"/>
                <w:szCs w:val="16"/>
                <w:b w:val="1"/>
                <w:bCs w:val="1"/>
                <w:color w:val="FFFFFF"/>
              </w:rPr>
              <w:t>Performance Period (1)</w:t>
            </w:r>
          </w:p>
        </w:tc>
        <w:tc>
          <w:tcPr>
            <w:tcW w:w="1200" w:type="dxa"/>
            <w:vAlign w:val="bottom"/>
            <w:tcBorders>
              <w:bottom w:val="single" w:sz="8" w:color="F75E14"/>
            </w:tcBorders>
            <w:shd w:val="clear" w:color="auto" w:fill="F75E14"/>
          </w:tcPr>
          <w:p>
            <w:pPr>
              <w:ind w:left="100"/>
              <w:spacing w:after="0"/>
              <w:rPr>
                <w:sz w:val="20"/>
                <w:szCs w:val="20"/>
                <w:color w:val="auto"/>
              </w:rPr>
            </w:pPr>
            <w:r>
              <w:rPr>
                <w:rFonts w:ascii="Arial" w:cs="Arial" w:eastAsia="Arial" w:hAnsi="Arial"/>
                <w:sz w:val="16"/>
                <w:szCs w:val="16"/>
                <w:b w:val="1"/>
                <w:bCs w:val="1"/>
                <w:color w:val="FFFFFF"/>
              </w:rPr>
              <w:t>(Threshold)</w:t>
            </w:r>
          </w:p>
        </w:tc>
        <w:tc>
          <w:tcPr>
            <w:tcW w:w="1400" w:type="dxa"/>
            <w:vAlign w:val="bottom"/>
            <w:tcBorders>
              <w:bottom w:val="single" w:sz="8" w:color="F75E14"/>
            </w:tcBorders>
            <w:shd w:val="clear" w:color="auto" w:fill="F75E14"/>
          </w:tcPr>
          <w:p>
            <w:pPr>
              <w:ind w:left="220"/>
              <w:spacing w:after="0"/>
              <w:rPr>
                <w:sz w:val="20"/>
                <w:szCs w:val="20"/>
                <w:color w:val="auto"/>
              </w:rPr>
            </w:pPr>
            <w:r>
              <w:rPr>
                <w:rFonts w:ascii="Arial" w:cs="Arial" w:eastAsia="Arial" w:hAnsi="Arial"/>
                <w:sz w:val="16"/>
                <w:szCs w:val="16"/>
                <w:b w:val="1"/>
                <w:bCs w:val="1"/>
                <w:color w:val="FFFFFF"/>
              </w:rPr>
              <w:t>(Target)</w:t>
            </w:r>
          </w:p>
        </w:tc>
        <w:tc>
          <w:tcPr>
            <w:tcW w:w="1500" w:type="dxa"/>
            <w:vAlign w:val="bottom"/>
            <w:tcBorders>
              <w:bottom w:val="single" w:sz="8" w:color="F75E14"/>
            </w:tcBorders>
            <w:shd w:val="clear" w:color="auto" w:fill="F75E14"/>
          </w:tcPr>
          <w:p>
            <w:pPr>
              <w:ind w:left="200"/>
              <w:spacing w:after="0"/>
              <w:rPr>
                <w:sz w:val="20"/>
                <w:szCs w:val="20"/>
                <w:color w:val="auto"/>
              </w:rPr>
            </w:pPr>
            <w:r>
              <w:rPr>
                <w:rFonts w:ascii="Arial" w:cs="Arial" w:eastAsia="Arial" w:hAnsi="Arial"/>
                <w:sz w:val="16"/>
                <w:szCs w:val="16"/>
                <w:b w:val="1"/>
                <w:bCs w:val="1"/>
                <w:color w:val="FFFFFF"/>
              </w:rPr>
              <w:t>(Stretch)</w:t>
            </w:r>
          </w:p>
        </w:tc>
      </w:tr>
      <w:tr>
        <w:trPr>
          <w:trHeight w:val="281"/>
        </w:trPr>
        <w:tc>
          <w:tcPr>
            <w:tcW w:w="5940" w:type="dxa"/>
            <w:vAlign w:val="bottom"/>
            <w:shd w:val="clear" w:color="auto" w:fill="D8E8EF"/>
          </w:tcPr>
          <w:p>
            <w:pPr>
              <w:ind w:left="100"/>
              <w:spacing w:after="0"/>
              <w:rPr>
                <w:sz w:val="20"/>
                <w:szCs w:val="20"/>
                <w:color w:val="auto"/>
              </w:rPr>
            </w:pPr>
            <w:r>
              <w:rPr>
                <w:rFonts w:ascii="Arial" w:cs="Arial" w:eastAsia="Arial" w:hAnsi="Arial"/>
                <w:sz w:val="16"/>
                <w:szCs w:val="16"/>
                <w:color w:val="auto"/>
              </w:rPr>
              <w:t>Revenue (weighted 16.7%)</w:t>
            </w:r>
          </w:p>
        </w:tc>
        <w:tc>
          <w:tcPr>
            <w:tcW w:w="1200" w:type="dxa"/>
            <w:vAlign w:val="bottom"/>
            <w:shd w:val="clear" w:color="auto" w:fill="D8E8EF"/>
          </w:tcPr>
          <w:p>
            <w:pPr>
              <w:ind w:left="100"/>
              <w:spacing w:after="0"/>
              <w:rPr>
                <w:sz w:val="20"/>
                <w:szCs w:val="20"/>
                <w:color w:val="auto"/>
              </w:rPr>
            </w:pPr>
            <w:r>
              <w:rPr>
                <w:rFonts w:ascii="Arial" w:cs="Arial" w:eastAsia="Arial" w:hAnsi="Arial"/>
                <w:sz w:val="16"/>
                <w:szCs w:val="16"/>
                <w:color w:val="auto"/>
              </w:rPr>
              <w:t>$5.25 billion</w:t>
            </w:r>
          </w:p>
        </w:tc>
        <w:tc>
          <w:tcPr>
            <w:tcW w:w="1400" w:type="dxa"/>
            <w:vAlign w:val="bottom"/>
            <w:shd w:val="clear" w:color="auto" w:fill="D8E8EF"/>
          </w:tcPr>
          <w:p>
            <w:pPr>
              <w:ind w:left="220"/>
              <w:spacing w:after="0"/>
              <w:rPr>
                <w:sz w:val="20"/>
                <w:szCs w:val="20"/>
                <w:color w:val="auto"/>
              </w:rPr>
            </w:pPr>
            <w:r>
              <w:rPr>
                <w:rFonts w:ascii="Arial" w:cs="Arial" w:eastAsia="Arial" w:hAnsi="Arial"/>
                <w:sz w:val="16"/>
                <w:szCs w:val="16"/>
                <w:color w:val="auto"/>
              </w:rPr>
              <w:t>$5.70 billion</w:t>
            </w:r>
          </w:p>
        </w:tc>
        <w:tc>
          <w:tcPr>
            <w:tcW w:w="1500" w:type="dxa"/>
            <w:vAlign w:val="bottom"/>
            <w:shd w:val="clear" w:color="auto" w:fill="D8E8EF"/>
          </w:tcPr>
          <w:p>
            <w:pPr>
              <w:ind w:left="200"/>
              <w:spacing w:after="0"/>
              <w:rPr>
                <w:sz w:val="20"/>
                <w:szCs w:val="20"/>
                <w:color w:val="auto"/>
              </w:rPr>
            </w:pPr>
            <w:r>
              <w:rPr>
                <w:rFonts w:ascii="Arial" w:cs="Arial" w:eastAsia="Arial" w:hAnsi="Arial"/>
                <w:sz w:val="16"/>
                <w:szCs w:val="16"/>
                <w:color w:val="auto"/>
              </w:rPr>
              <w:t>$5.99 billion</w:t>
            </w:r>
          </w:p>
        </w:tc>
      </w:tr>
      <w:tr>
        <w:trPr>
          <w:trHeight w:val="272"/>
        </w:trPr>
        <w:tc>
          <w:tcPr>
            <w:tcW w:w="5940" w:type="dxa"/>
            <w:vAlign w:val="bottom"/>
          </w:tcPr>
          <w:p>
            <w:pPr>
              <w:ind w:left="100"/>
              <w:spacing w:after="0"/>
              <w:rPr>
                <w:sz w:val="20"/>
                <w:szCs w:val="20"/>
                <w:color w:val="auto"/>
              </w:rPr>
            </w:pPr>
            <w:r>
              <w:rPr>
                <w:rFonts w:ascii="Arial" w:cs="Arial" w:eastAsia="Arial" w:hAnsi="Arial"/>
                <w:sz w:val="16"/>
                <w:szCs w:val="16"/>
                <w:color w:val="auto"/>
              </w:rPr>
              <w:t>Non-GAAP Gross Margin (weighted 50%) (2)</w:t>
            </w:r>
          </w:p>
        </w:tc>
        <w:tc>
          <w:tcPr>
            <w:tcW w:w="1200" w:type="dxa"/>
            <w:vAlign w:val="bottom"/>
          </w:tcPr>
          <w:p>
            <w:pPr>
              <w:ind w:left="100"/>
              <w:spacing w:after="0"/>
              <w:rPr>
                <w:sz w:val="20"/>
                <w:szCs w:val="20"/>
                <w:color w:val="auto"/>
              </w:rPr>
            </w:pPr>
            <w:r>
              <w:rPr>
                <w:rFonts w:ascii="Arial" w:cs="Arial" w:eastAsia="Arial" w:hAnsi="Arial"/>
                <w:sz w:val="16"/>
                <w:szCs w:val="16"/>
                <w:color w:val="auto"/>
              </w:rPr>
              <w:t>34.4%</w:t>
            </w:r>
          </w:p>
        </w:tc>
        <w:tc>
          <w:tcPr>
            <w:tcW w:w="1400" w:type="dxa"/>
            <w:vAlign w:val="bottom"/>
          </w:tcPr>
          <w:p>
            <w:pPr>
              <w:ind w:left="220"/>
              <w:spacing w:after="0"/>
              <w:rPr>
                <w:sz w:val="20"/>
                <w:szCs w:val="20"/>
                <w:color w:val="auto"/>
              </w:rPr>
            </w:pPr>
            <w:r>
              <w:rPr>
                <w:rFonts w:ascii="Arial" w:cs="Arial" w:eastAsia="Arial" w:hAnsi="Arial"/>
                <w:sz w:val="16"/>
                <w:szCs w:val="16"/>
                <w:color w:val="auto"/>
              </w:rPr>
              <w:t>38%</w:t>
            </w:r>
          </w:p>
        </w:tc>
        <w:tc>
          <w:tcPr>
            <w:tcW w:w="1500" w:type="dxa"/>
            <w:vAlign w:val="bottom"/>
          </w:tcPr>
          <w:p>
            <w:pPr>
              <w:ind w:left="200"/>
              <w:spacing w:after="0"/>
              <w:rPr>
                <w:sz w:val="20"/>
                <w:szCs w:val="20"/>
                <w:color w:val="auto"/>
              </w:rPr>
            </w:pPr>
            <w:r>
              <w:rPr>
                <w:rFonts w:ascii="Arial" w:cs="Arial" w:eastAsia="Arial" w:hAnsi="Arial"/>
                <w:sz w:val="16"/>
                <w:szCs w:val="16"/>
                <w:color w:val="auto"/>
              </w:rPr>
              <w:t>40%</w:t>
            </w:r>
          </w:p>
        </w:tc>
      </w:tr>
      <w:tr>
        <w:trPr>
          <w:trHeight w:val="289"/>
        </w:trPr>
        <w:tc>
          <w:tcPr>
            <w:tcW w:w="5940" w:type="dxa"/>
            <w:vAlign w:val="bottom"/>
            <w:shd w:val="clear" w:color="auto" w:fill="D8E8EF"/>
          </w:tcPr>
          <w:p>
            <w:pPr>
              <w:ind w:left="100"/>
              <w:spacing w:after="0"/>
              <w:rPr>
                <w:sz w:val="20"/>
                <w:szCs w:val="20"/>
                <w:color w:val="auto"/>
              </w:rPr>
            </w:pPr>
            <w:r>
              <w:rPr>
                <w:rFonts w:ascii="Arial" w:cs="Arial" w:eastAsia="Arial" w:hAnsi="Arial"/>
                <w:sz w:val="16"/>
                <w:szCs w:val="16"/>
                <w:color w:val="auto"/>
              </w:rPr>
              <w:t>Non-GAAP Operating Expense (weighted 33.3%) (3)</w:t>
            </w:r>
          </w:p>
        </w:tc>
        <w:tc>
          <w:tcPr>
            <w:tcW w:w="1200" w:type="dxa"/>
            <w:vAlign w:val="bottom"/>
            <w:shd w:val="clear" w:color="auto" w:fill="D8E8EF"/>
          </w:tcPr>
          <w:p>
            <w:pPr>
              <w:ind w:left="100"/>
              <w:spacing w:after="0"/>
              <w:rPr>
                <w:sz w:val="20"/>
                <w:szCs w:val="20"/>
                <w:color w:val="auto"/>
              </w:rPr>
            </w:pPr>
            <w:r>
              <w:rPr>
                <w:rFonts w:ascii="Arial" w:cs="Arial" w:eastAsia="Arial" w:hAnsi="Arial"/>
                <w:sz w:val="16"/>
                <w:szCs w:val="16"/>
                <w:color w:val="auto"/>
              </w:rPr>
              <w:t>25% ratio</w:t>
            </w:r>
          </w:p>
        </w:tc>
        <w:tc>
          <w:tcPr>
            <w:tcW w:w="1400" w:type="dxa"/>
            <w:vAlign w:val="bottom"/>
            <w:shd w:val="clear" w:color="auto" w:fill="D8E8EF"/>
          </w:tcPr>
          <w:p>
            <w:pPr>
              <w:ind w:left="220"/>
              <w:spacing w:after="0"/>
              <w:rPr>
                <w:sz w:val="20"/>
                <w:szCs w:val="20"/>
                <w:color w:val="auto"/>
              </w:rPr>
            </w:pPr>
            <w:r>
              <w:rPr>
                <w:rFonts w:ascii="Arial" w:cs="Arial" w:eastAsia="Arial" w:hAnsi="Arial"/>
                <w:sz w:val="16"/>
                <w:szCs w:val="16"/>
                <w:color w:val="auto"/>
              </w:rPr>
              <w:t>23% ratio</w:t>
            </w:r>
          </w:p>
        </w:tc>
        <w:tc>
          <w:tcPr>
            <w:tcW w:w="1500" w:type="dxa"/>
            <w:vAlign w:val="bottom"/>
            <w:shd w:val="clear" w:color="auto" w:fill="D8E8EF"/>
          </w:tcPr>
          <w:p>
            <w:pPr>
              <w:ind w:left="200"/>
              <w:spacing w:after="0"/>
              <w:rPr>
                <w:sz w:val="20"/>
                <w:szCs w:val="20"/>
                <w:color w:val="auto"/>
              </w:rPr>
            </w:pPr>
            <w:r>
              <w:rPr>
                <w:rFonts w:ascii="Arial" w:cs="Arial" w:eastAsia="Arial" w:hAnsi="Arial"/>
                <w:sz w:val="16"/>
                <w:szCs w:val="16"/>
                <w:color w:val="auto"/>
              </w:rPr>
              <w:t>20% ratio</w:t>
            </w:r>
          </w:p>
        </w:tc>
      </w:tr>
      <w:tr>
        <w:trPr>
          <w:trHeight w:val="67"/>
        </w:trPr>
        <w:tc>
          <w:tcPr>
            <w:tcW w:w="5940" w:type="dxa"/>
            <w:vAlign w:val="bottom"/>
          </w:tcPr>
          <w:p>
            <w:pPr>
              <w:spacing w:after="0"/>
              <w:rPr>
                <w:sz w:val="5"/>
                <w:szCs w:val="5"/>
                <w:color w:val="auto"/>
              </w:rPr>
            </w:pPr>
          </w:p>
        </w:tc>
        <w:tc>
          <w:tcPr>
            <w:tcW w:w="1200" w:type="dxa"/>
            <w:vAlign w:val="bottom"/>
            <w:shd w:val="clear" w:color="auto" w:fill="F75E14"/>
          </w:tcPr>
          <w:p>
            <w:pPr>
              <w:spacing w:after="0"/>
              <w:rPr>
                <w:sz w:val="5"/>
                <w:szCs w:val="5"/>
                <w:color w:val="auto"/>
              </w:rPr>
            </w:pPr>
          </w:p>
        </w:tc>
        <w:tc>
          <w:tcPr>
            <w:tcW w:w="1400" w:type="dxa"/>
            <w:vAlign w:val="bottom"/>
            <w:shd w:val="clear" w:color="auto" w:fill="F75E14"/>
          </w:tcPr>
          <w:p>
            <w:pPr>
              <w:spacing w:after="0"/>
              <w:rPr>
                <w:sz w:val="5"/>
                <w:szCs w:val="5"/>
                <w:color w:val="auto"/>
              </w:rPr>
            </w:pPr>
          </w:p>
        </w:tc>
        <w:tc>
          <w:tcPr>
            <w:tcW w:w="1500" w:type="dxa"/>
            <w:vAlign w:val="bottom"/>
            <w:shd w:val="clear" w:color="auto" w:fill="F75E14"/>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386715</wp:posOffset>
            </wp:positionH>
            <wp:positionV relativeFrom="paragraph">
              <wp:posOffset>-41910</wp:posOffset>
            </wp:positionV>
            <wp:extent cx="3762375" cy="3054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762375" cy="305435"/>
                    </a:xfrm>
                    <a:prstGeom prst="rect">
                      <a:avLst/>
                    </a:prstGeom>
                    <a:noFill/>
                  </pic:spPr>
                </pic:pic>
              </a:graphicData>
            </a:graphic>
          </wp:anchor>
        </w:drawing>
      </w:r>
    </w:p>
    <w:tbl>
      <w:tblPr>
        <w:tblLayout w:type="fixed"/>
        <w:tblInd w:w="600" w:type="dxa"/>
        <w:tblCellMar>
          <w:top w:w="0" w:type="dxa"/>
          <w:left w:w="0" w:type="dxa"/>
          <w:bottom w:w="0" w:type="dxa"/>
          <w:right w:w="0" w:type="dxa"/>
        </w:tblCellMar>
      </w:tblPr>
      <w:tr>
        <w:trPr>
          <w:trHeight w:val="173"/>
        </w:trPr>
        <w:tc>
          <w:tcPr>
            <w:tcW w:w="5940" w:type="dxa"/>
            <w:vAlign w:val="bottom"/>
          </w:tcPr>
          <w:p>
            <w:pPr>
              <w:ind w:left="100"/>
              <w:spacing w:after="0" w:line="173" w:lineRule="exact"/>
              <w:rPr>
                <w:sz w:val="20"/>
                <w:szCs w:val="20"/>
                <w:color w:val="auto"/>
              </w:rPr>
            </w:pPr>
            <w:r>
              <w:rPr>
                <w:rFonts w:ascii="Arial" w:cs="Arial" w:eastAsia="Arial" w:hAnsi="Arial"/>
                <w:sz w:val="16"/>
                <w:szCs w:val="16"/>
                <w:b w:val="1"/>
                <w:bCs w:val="1"/>
                <w:color w:val="FFFFFF"/>
              </w:rPr>
              <w:t>TSR Adjustment Measured after each TSR Performance</w:t>
            </w:r>
          </w:p>
        </w:tc>
        <w:tc>
          <w:tcPr>
            <w:tcW w:w="4100" w:type="dxa"/>
            <w:vAlign w:val="bottom"/>
            <w:vMerge w:val="restart"/>
            <w:shd w:val="clear" w:color="auto" w:fill="F75E14"/>
          </w:tcPr>
          <w:p>
            <w:pPr>
              <w:jc w:val="center"/>
              <w:ind w:left="20"/>
              <w:spacing w:after="0"/>
              <w:rPr>
                <w:sz w:val="20"/>
                <w:szCs w:val="20"/>
                <w:color w:val="auto"/>
              </w:rPr>
            </w:pPr>
            <w:r>
              <w:rPr>
                <w:rFonts w:ascii="Arial" w:cs="Arial" w:eastAsia="Arial" w:hAnsi="Arial"/>
                <w:sz w:val="16"/>
                <w:szCs w:val="16"/>
                <w:b w:val="1"/>
                <w:bCs w:val="1"/>
                <w:color w:val="FFFFFF"/>
              </w:rPr>
              <w:t>Payout Range</w:t>
            </w:r>
          </w:p>
        </w:tc>
        <w:tc>
          <w:tcPr>
            <w:tcW w:w="0" w:type="dxa"/>
            <w:vAlign w:val="bottom"/>
          </w:tcPr>
          <w:p>
            <w:pPr>
              <w:spacing w:after="0"/>
              <w:rPr>
                <w:sz w:val="1"/>
                <w:szCs w:val="1"/>
                <w:color w:val="auto"/>
              </w:rPr>
            </w:pPr>
          </w:p>
        </w:tc>
      </w:tr>
      <w:tr>
        <w:trPr>
          <w:trHeight w:val="226"/>
        </w:trPr>
        <w:tc>
          <w:tcPr>
            <w:tcW w:w="5940" w:type="dxa"/>
            <w:vAlign w:val="bottom"/>
          </w:tcPr>
          <w:p>
            <w:pPr>
              <w:ind w:left="100"/>
              <w:spacing w:after="0"/>
              <w:rPr>
                <w:sz w:val="20"/>
                <w:szCs w:val="20"/>
                <w:color w:val="auto"/>
              </w:rPr>
            </w:pPr>
            <w:r>
              <w:rPr>
                <w:rFonts w:ascii="Arial" w:cs="Arial" w:eastAsia="Arial" w:hAnsi="Arial"/>
                <w:sz w:val="16"/>
                <w:szCs w:val="16"/>
                <w:b w:val="1"/>
                <w:bCs w:val="1"/>
                <w:color w:val="FFFFFF"/>
              </w:rPr>
              <w:t>Period</w:t>
            </w:r>
          </w:p>
        </w:tc>
        <w:tc>
          <w:tcPr>
            <w:tcW w:w="4100" w:type="dxa"/>
            <w:vAlign w:val="bottom"/>
            <w:tcBorders>
              <w:bottom w:val="single" w:sz="8" w:color="F75E14"/>
            </w:tcBorders>
            <w:vMerge w:val="continue"/>
            <w:shd w:val="clear" w:color="auto" w:fill="F75E14"/>
          </w:tcPr>
          <w:p>
            <w:pPr>
              <w:spacing w:after="0"/>
              <w:rPr>
                <w:sz w:val="19"/>
                <w:szCs w:val="19"/>
                <w:color w:val="auto"/>
              </w:rPr>
            </w:pPr>
          </w:p>
        </w:tc>
        <w:tc>
          <w:tcPr>
            <w:tcW w:w="0" w:type="dxa"/>
            <w:vAlign w:val="bottom"/>
          </w:tcPr>
          <w:p>
            <w:pPr>
              <w:spacing w:after="0"/>
              <w:rPr>
                <w:sz w:val="1"/>
                <w:szCs w:val="1"/>
                <w:color w:val="auto"/>
              </w:rPr>
            </w:pPr>
          </w:p>
        </w:tc>
      </w:tr>
      <w:tr>
        <w:trPr>
          <w:trHeight w:val="274"/>
        </w:trPr>
        <w:tc>
          <w:tcPr>
            <w:tcW w:w="5940" w:type="dxa"/>
            <w:vAlign w:val="bottom"/>
            <w:tcBorders>
              <w:bottom w:val="single" w:sz="8" w:color="auto"/>
            </w:tcBorders>
            <w:shd w:val="clear" w:color="auto" w:fill="D8E8EF"/>
          </w:tcPr>
          <w:p>
            <w:pPr>
              <w:ind w:left="100"/>
              <w:spacing w:after="0"/>
              <w:rPr>
                <w:sz w:val="20"/>
                <w:szCs w:val="20"/>
                <w:color w:val="auto"/>
              </w:rPr>
            </w:pPr>
            <w:r>
              <w:rPr>
                <w:rFonts w:ascii="Arial" w:cs="Arial" w:eastAsia="Arial" w:hAnsi="Arial"/>
                <w:sz w:val="16"/>
                <w:szCs w:val="16"/>
                <w:color w:val="auto"/>
              </w:rPr>
              <w:t>Relative TSR</w:t>
            </w:r>
          </w:p>
        </w:tc>
        <w:tc>
          <w:tcPr>
            <w:tcW w:w="4100" w:type="dxa"/>
            <w:vAlign w:val="bottom"/>
            <w:tcBorders>
              <w:bottom w:val="single" w:sz="8" w:color="auto"/>
            </w:tcBorders>
            <w:shd w:val="clear" w:color="auto" w:fill="D8E8EF"/>
          </w:tcPr>
          <w:p>
            <w:pPr>
              <w:jc w:val="center"/>
              <w:ind w:left="20"/>
              <w:spacing w:after="0"/>
              <w:rPr>
                <w:sz w:val="20"/>
                <w:szCs w:val="20"/>
                <w:color w:val="auto"/>
              </w:rPr>
            </w:pPr>
            <w:r>
              <w:rPr>
                <w:rFonts w:ascii="Arial" w:cs="Arial" w:eastAsia="Arial" w:hAnsi="Arial"/>
                <w:sz w:val="16"/>
                <w:szCs w:val="16"/>
                <w:color w:val="auto"/>
              </w:rPr>
              <w:t>50% to 150% (4)</w:t>
            </w:r>
          </w:p>
        </w:tc>
        <w:tc>
          <w:tcPr>
            <w:tcW w:w="0" w:type="dxa"/>
            <w:vAlign w:val="bottom"/>
          </w:tcPr>
          <w:p>
            <w:pPr>
              <w:spacing w:after="0"/>
              <w:rPr>
                <w:sz w:val="1"/>
                <w:szCs w:val="1"/>
                <w:color w:val="auto"/>
              </w:rPr>
            </w:pPr>
          </w:p>
        </w:tc>
      </w:tr>
    </w:tbl>
    <w:p>
      <w:pPr>
        <w:jc w:val="both"/>
        <w:ind w:left="1020" w:right="420" w:hanging="425"/>
        <w:spacing w:after="0" w:line="241" w:lineRule="auto"/>
        <w:tabs>
          <w:tab w:leader="none" w:pos="1020" w:val="left"/>
        </w:tabs>
        <w:numPr>
          <w:ilvl w:val="0"/>
          <w:numId w:val="70"/>
        </w:numPr>
        <w:rPr>
          <w:rFonts w:ascii="Arial" w:cs="Arial" w:eastAsia="Arial" w:hAnsi="Arial"/>
          <w:sz w:val="14"/>
          <w:szCs w:val="14"/>
          <w:color w:val="auto"/>
        </w:rPr>
      </w:pPr>
      <w:r>
        <w:rPr>
          <w:rFonts w:ascii="Arial" w:cs="Arial" w:eastAsia="Arial" w:hAnsi="Arial"/>
          <w:sz w:val="14"/>
          <w:szCs w:val="14"/>
          <w:color w:val="auto"/>
        </w:rPr>
        <w:t>All 2021 Performance Goals are calculated consistently utilizing the methods applied to the Company’s financial statements for the production of its earnings releases. Generally, the adjustments are not fixed and are intended to be conceptually consistent with the Company’s earnings release calculations for adjusted non-GAAP earnings per share. Additionally, payouts associated with each 2021 Performance Goal are determined using linear interpolation from threshold to target and from target to stretch.</w:t>
      </w:r>
    </w:p>
    <w:p>
      <w:pPr>
        <w:ind w:left="1020" w:right="440" w:hanging="425"/>
        <w:spacing w:after="0" w:line="239" w:lineRule="auto"/>
        <w:tabs>
          <w:tab w:leader="none" w:pos="1020" w:val="left"/>
        </w:tabs>
        <w:numPr>
          <w:ilvl w:val="0"/>
          <w:numId w:val="70"/>
        </w:numPr>
        <w:rPr>
          <w:rFonts w:ascii="Arial" w:cs="Arial" w:eastAsia="Arial" w:hAnsi="Arial"/>
          <w:sz w:val="14"/>
          <w:szCs w:val="14"/>
          <w:color w:val="auto"/>
        </w:rPr>
      </w:pPr>
      <w:r>
        <w:rPr>
          <w:rFonts w:ascii="Arial" w:cs="Arial" w:eastAsia="Arial" w:hAnsi="Arial"/>
          <w:sz w:val="14"/>
          <w:szCs w:val="14"/>
          <w:color w:val="auto"/>
        </w:rPr>
        <w:t>The target goal represented a 14% increase relative to actual results achieved for the prior fiscal year of 32.7%. For purposes of the 2021 LTI Program, non-GAAP gross margin is calculated and adjusted by the HCC Committee in the same ways, as it is for the 2021 Bonus Program (discussed above).</w:t>
      </w:r>
    </w:p>
    <w:p>
      <w:pPr>
        <w:jc w:val="both"/>
        <w:ind w:left="1020" w:right="420" w:hanging="425"/>
        <w:spacing w:after="0" w:line="239" w:lineRule="auto"/>
        <w:tabs>
          <w:tab w:leader="none" w:pos="1020" w:val="left"/>
        </w:tabs>
        <w:numPr>
          <w:ilvl w:val="0"/>
          <w:numId w:val="70"/>
        </w:numPr>
        <w:rPr>
          <w:rFonts w:ascii="Arial" w:cs="Arial" w:eastAsia="Arial" w:hAnsi="Arial"/>
          <w:sz w:val="14"/>
          <w:szCs w:val="14"/>
          <w:color w:val="auto"/>
        </w:rPr>
      </w:pPr>
      <w:r>
        <w:rPr>
          <w:rFonts w:ascii="Arial" w:cs="Arial" w:eastAsia="Arial" w:hAnsi="Arial"/>
          <w:sz w:val="14"/>
          <w:szCs w:val="14"/>
          <w:color w:val="auto"/>
        </w:rPr>
        <w:t>For purposes of the operating expense component, the operating expense ratio was calculated as the non-GAAP operating expenses for 2021 divided by the revenue for 2021. The target goal represented approximately a 3% improvement relative to actual results achieved for the prior fiscal year of about 26%.</w:t>
      </w:r>
    </w:p>
    <w:p>
      <w:pPr>
        <w:jc w:val="both"/>
        <w:ind w:left="1020" w:right="440" w:hanging="425"/>
        <w:spacing w:after="0" w:line="249" w:lineRule="auto"/>
        <w:tabs>
          <w:tab w:leader="none" w:pos="1020" w:val="left"/>
        </w:tabs>
        <w:numPr>
          <w:ilvl w:val="0"/>
          <w:numId w:val="70"/>
        </w:numPr>
        <w:rPr>
          <w:rFonts w:ascii="Arial" w:cs="Arial" w:eastAsia="Arial" w:hAnsi="Arial"/>
          <w:sz w:val="14"/>
          <w:szCs w:val="14"/>
          <w:color w:val="auto"/>
        </w:rPr>
      </w:pPr>
      <w:r>
        <w:rPr>
          <w:rFonts w:ascii="Arial" w:cs="Arial" w:eastAsia="Arial" w:hAnsi="Arial"/>
          <w:sz w:val="14"/>
          <w:szCs w:val="14"/>
          <w:color w:val="auto"/>
        </w:rPr>
        <w:t>The Company’s Relative TSR can either reduce or increase the total number of shares underlying the PBRSUs earned based on the impacts of the TSR Adjustment (as described above). Increased possible payouts based on the impact of Relative TSR assume that the threshold 2021 LTI Performance Goals are met such that the additional upside aspect of the 2021 PBRSUs is capable of being paid out.</w:t>
      </w:r>
    </w:p>
    <w:p>
      <w:pPr>
        <w:spacing w:after="0" w:line="198" w:lineRule="exact"/>
        <w:rPr>
          <w:sz w:val="20"/>
          <w:szCs w:val="20"/>
          <w:color w:val="auto"/>
        </w:rPr>
      </w:pPr>
    </w:p>
    <w:p>
      <w:pPr>
        <w:ind w:left="1020" w:hanging="425"/>
        <w:spacing w:after="0" w:line="265" w:lineRule="auto"/>
        <w:tabs>
          <w:tab w:leader="none" w:pos="10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If the threshold level of a given 2021 PBRSU Performance Goal is not exceeded, the entire number of PBRSUs associated with that 2021 PBRSU Performance Goal award is canceled.</w:t>
      </w:r>
    </w:p>
    <w:p>
      <w:pPr>
        <w:spacing w:after="0" w:line="184" w:lineRule="exact"/>
        <w:rPr>
          <w:rFonts w:ascii="Arial" w:cs="Arial" w:eastAsia="Arial" w:hAnsi="Arial"/>
          <w:sz w:val="18"/>
          <w:szCs w:val="18"/>
          <w:color w:val="auto"/>
        </w:rPr>
      </w:pPr>
    </w:p>
    <w:p>
      <w:pPr>
        <w:ind w:left="1020" w:hanging="425"/>
        <w:spacing w:after="0" w:line="265" w:lineRule="auto"/>
        <w:tabs>
          <w:tab w:leader="none" w:pos="10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HCC Committee must approve the level of attainment of the performance goals and may exercise negative discretion with respect to the number of shares that will vest based on such goals.</w:t>
      </w:r>
    </w:p>
    <w:p>
      <w:pPr>
        <w:spacing w:after="0" w:line="158" w:lineRule="exact"/>
        <w:rPr>
          <w:sz w:val="20"/>
          <w:szCs w:val="20"/>
          <w:color w:val="auto"/>
        </w:rPr>
      </w:pPr>
    </w:p>
    <w:p>
      <w:pPr>
        <w:jc w:val="both"/>
        <w:ind w:left="160"/>
        <w:spacing w:after="0" w:line="243" w:lineRule="auto"/>
        <w:rPr>
          <w:sz w:val="20"/>
          <w:szCs w:val="20"/>
          <w:color w:val="auto"/>
        </w:rPr>
      </w:pPr>
      <w:r>
        <w:rPr>
          <w:rFonts w:ascii="Arial" w:cs="Arial" w:eastAsia="Arial" w:hAnsi="Arial"/>
          <w:sz w:val="18"/>
          <w:szCs w:val="18"/>
          <w:color w:val="auto"/>
        </w:rPr>
        <w:t>The HCC Committee believed that non-GAAP metrics should be used for the 2021 LTI Program rather than GAAP metrics to prevent payments under the 2021 LTI Program from being significantly impacted (positively or negatively) by extraordinary or unusual events or non-cash items. The HCC Committee also considered adjustments eliminating the effect of certain non-cash items to be appropriate, believing that the adjusted numbers are a better indicator of current actual Company operating performance.</w:t>
      </w:r>
    </w:p>
    <w:p>
      <w:pPr>
        <w:spacing w:after="0" w:line="178" w:lineRule="exact"/>
        <w:rPr>
          <w:sz w:val="20"/>
          <w:szCs w:val="20"/>
          <w:color w:val="auto"/>
        </w:rPr>
      </w:pPr>
    </w:p>
    <w:p>
      <w:pPr>
        <w:jc w:val="both"/>
        <w:ind w:left="160"/>
        <w:spacing w:after="0" w:line="243" w:lineRule="auto"/>
        <w:rPr>
          <w:sz w:val="20"/>
          <w:szCs w:val="20"/>
          <w:color w:val="auto"/>
        </w:rPr>
      </w:pPr>
      <w:r>
        <w:rPr>
          <w:rFonts w:ascii="Arial" w:cs="Arial" w:eastAsia="Arial" w:hAnsi="Arial"/>
          <w:sz w:val="18"/>
          <w:szCs w:val="18"/>
          <w:i w:val="1"/>
          <w:iCs w:val="1"/>
          <w:u w:val="single" w:color="auto"/>
          <w:color w:val="auto"/>
        </w:rPr>
        <w:t>Relative TSR Component</w:t>
      </w:r>
      <w:r>
        <w:rPr>
          <w:rFonts w:ascii="Arial" w:cs="Arial" w:eastAsia="Arial" w:hAnsi="Arial"/>
          <w:sz w:val="18"/>
          <w:szCs w:val="18"/>
          <w:color w:val="auto"/>
        </w:rPr>
        <w:t>. To determine achievement of the Company’s Relative TSR at the end of each applicable measurement period,</w:t>
      </w:r>
      <w:r>
        <w:rPr>
          <w:rFonts w:ascii="Arial" w:cs="Arial" w:eastAsia="Arial" w:hAnsi="Arial"/>
          <w:sz w:val="18"/>
          <w:szCs w:val="18"/>
          <w:i w:val="1"/>
          <w:iCs w:val="1"/>
          <w:color w:val="auto"/>
        </w:rPr>
        <w:t xml:space="preserve"> </w:t>
      </w:r>
      <w:r>
        <w:rPr>
          <w:rFonts w:ascii="Arial" w:cs="Arial" w:eastAsia="Arial" w:hAnsi="Arial"/>
          <w:sz w:val="18"/>
          <w:szCs w:val="18"/>
          <w:color w:val="auto"/>
        </w:rPr>
        <w:t>the average closing stock price for the Company’s fourth fiscal quarter of 2020 against each of the TSR Companies will be compared with the average closing stock price for the Company’s fourth fiscal quarter of each of 2021, 2022 and 2023 against each such TSR Company. Dividends paid are added to the change in value of the stock. The companies are then ordered by percentage change.</w:t>
      </w:r>
    </w:p>
    <w:p>
      <w:pPr>
        <w:spacing w:after="0" w:line="224" w:lineRule="exact"/>
        <w:rPr>
          <w:sz w:val="20"/>
          <w:szCs w:val="20"/>
          <w:color w:val="auto"/>
        </w:rPr>
      </w:pPr>
    </w:p>
    <w:tbl>
      <w:tblPr>
        <w:tblLayout w:type="fixed"/>
        <w:tblInd w:w="160" w:type="dxa"/>
        <w:tblCellMar>
          <w:top w:w="0" w:type="dxa"/>
          <w:left w:w="0" w:type="dxa"/>
          <w:bottom w:w="0" w:type="dxa"/>
          <w:right w:w="0" w:type="dxa"/>
        </w:tblCellMar>
      </w:tblPr>
      <w:tr>
        <w:trPr>
          <w:trHeight w:val="281"/>
        </w:trPr>
        <w:tc>
          <w:tcPr>
            <w:tcW w:w="3840" w:type="dxa"/>
            <w:vAlign w:val="bottom"/>
            <w:shd w:val="clear" w:color="auto" w:fill="F75E14"/>
          </w:tcPr>
          <w:p>
            <w:pPr>
              <w:spacing w:after="0"/>
              <w:rPr>
                <w:sz w:val="24"/>
                <w:szCs w:val="24"/>
                <w:color w:val="auto"/>
              </w:rPr>
            </w:pPr>
          </w:p>
        </w:tc>
        <w:tc>
          <w:tcPr>
            <w:tcW w:w="3160" w:type="dxa"/>
            <w:vAlign w:val="bottom"/>
            <w:shd w:val="clear" w:color="auto" w:fill="F75E14"/>
          </w:tcPr>
          <w:p>
            <w:pPr>
              <w:ind w:left="960"/>
              <w:spacing w:after="0"/>
              <w:rPr>
                <w:sz w:val="20"/>
                <w:szCs w:val="20"/>
                <w:color w:val="auto"/>
              </w:rPr>
            </w:pPr>
            <w:r>
              <w:rPr>
                <w:rFonts w:ascii="Arial" w:cs="Arial" w:eastAsia="Arial" w:hAnsi="Arial"/>
                <w:sz w:val="16"/>
                <w:szCs w:val="16"/>
                <w:b w:val="1"/>
                <w:bCs w:val="1"/>
                <w:color w:val="FFFFFF"/>
              </w:rPr>
              <w:t>TSR COMPANIES</w:t>
            </w:r>
          </w:p>
        </w:tc>
        <w:tc>
          <w:tcPr>
            <w:tcW w:w="3920" w:type="dxa"/>
            <w:vAlign w:val="bottom"/>
            <w:shd w:val="clear" w:color="auto" w:fill="F75E14"/>
          </w:tcPr>
          <w:p>
            <w:pPr>
              <w:spacing w:after="0"/>
              <w:rPr>
                <w:sz w:val="24"/>
                <w:szCs w:val="24"/>
                <w:color w:val="auto"/>
              </w:rPr>
            </w:pPr>
          </w:p>
        </w:tc>
      </w:tr>
      <w:tr>
        <w:trPr>
          <w:trHeight w:val="272"/>
        </w:trPr>
        <w:tc>
          <w:tcPr>
            <w:tcW w:w="3840" w:type="dxa"/>
            <w:vAlign w:val="bottom"/>
          </w:tcPr>
          <w:p>
            <w:pPr>
              <w:ind w:left="80"/>
              <w:spacing w:after="0"/>
              <w:rPr>
                <w:sz w:val="20"/>
                <w:szCs w:val="20"/>
                <w:color w:val="auto"/>
              </w:rPr>
            </w:pPr>
            <w:r>
              <w:rPr>
                <w:rFonts w:ascii="Arial" w:cs="Arial" w:eastAsia="Arial" w:hAnsi="Arial"/>
                <w:sz w:val="16"/>
                <w:szCs w:val="16"/>
                <w:color w:val="auto"/>
              </w:rPr>
              <w:t>Ambarella Inc.</w:t>
            </w:r>
          </w:p>
        </w:tc>
        <w:tc>
          <w:tcPr>
            <w:tcW w:w="3160" w:type="dxa"/>
            <w:vAlign w:val="bottom"/>
          </w:tcPr>
          <w:p>
            <w:pPr>
              <w:ind w:left="120"/>
              <w:spacing w:after="0"/>
              <w:rPr>
                <w:sz w:val="20"/>
                <w:szCs w:val="20"/>
                <w:color w:val="auto"/>
              </w:rPr>
            </w:pPr>
            <w:r>
              <w:rPr>
                <w:rFonts w:ascii="Arial" w:cs="Arial" w:eastAsia="Arial" w:hAnsi="Arial"/>
                <w:sz w:val="16"/>
                <w:szCs w:val="16"/>
                <w:color w:val="auto"/>
              </w:rPr>
              <w:t>Marvell Technology, Inc.</w:t>
            </w:r>
          </w:p>
        </w:tc>
        <w:tc>
          <w:tcPr>
            <w:tcW w:w="3920" w:type="dxa"/>
            <w:vAlign w:val="bottom"/>
          </w:tcPr>
          <w:p>
            <w:pPr>
              <w:ind w:left="560"/>
              <w:spacing w:after="0"/>
              <w:rPr>
                <w:sz w:val="20"/>
                <w:szCs w:val="20"/>
                <w:color w:val="auto"/>
              </w:rPr>
            </w:pPr>
            <w:r>
              <w:rPr>
                <w:rFonts w:ascii="Arial" w:cs="Arial" w:eastAsia="Arial" w:hAnsi="Arial"/>
                <w:sz w:val="16"/>
                <w:szCs w:val="16"/>
                <w:color w:val="auto"/>
              </w:rPr>
              <w:t>Realtek Semiconductor Corp.</w:t>
            </w:r>
          </w:p>
        </w:tc>
      </w:tr>
      <w:tr>
        <w:trPr>
          <w:trHeight w:val="289"/>
        </w:trPr>
        <w:tc>
          <w:tcPr>
            <w:tcW w:w="3840" w:type="dxa"/>
            <w:vAlign w:val="bottom"/>
            <w:shd w:val="clear" w:color="auto" w:fill="D8E8EF"/>
          </w:tcPr>
          <w:p>
            <w:pPr>
              <w:ind w:left="100"/>
              <w:spacing w:after="0"/>
              <w:rPr>
                <w:sz w:val="20"/>
                <w:szCs w:val="20"/>
                <w:color w:val="auto"/>
              </w:rPr>
            </w:pPr>
            <w:r>
              <w:rPr>
                <w:rFonts w:ascii="Arial" w:cs="Arial" w:eastAsia="Arial" w:hAnsi="Arial"/>
                <w:sz w:val="16"/>
                <w:szCs w:val="16"/>
                <w:color w:val="auto"/>
              </w:rPr>
              <w:t>ams AG</w:t>
            </w:r>
          </w:p>
        </w:tc>
        <w:tc>
          <w:tcPr>
            <w:tcW w:w="3160" w:type="dxa"/>
            <w:vAlign w:val="bottom"/>
            <w:shd w:val="clear" w:color="auto" w:fill="D8E8EF"/>
          </w:tcPr>
          <w:p>
            <w:pPr>
              <w:ind w:left="120"/>
              <w:spacing w:after="0"/>
              <w:rPr>
                <w:sz w:val="20"/>
                <w:szCs w:val="20"/>
                <w:color w:val="auto"/>
              </w:rPr>
            </w:pPr>
            <w:r>
              <w:rPr>
                <w:rFonts w:ascii="Arial" w:cs="Arial" w:eastAsia="Arial" w:hAnsi="Arial"/>
                <w:sz w:val="16"/>
                <w:szCs w:val="16"/>
                <w:color w:val="auto"/>
              </w:rPr>
              <w:t>Maxim Integrated Products, Inc. (3)</w:t>
            </w:r>
          </w:p>
        </w:tc>
        <w:tc>
          <w:tcPr>
            <w:tcW w:w="3920" w:type="dxa"/>
            <w:vAlign w:val="bottom"/>
            <w:shd w:val="clear" w:color="auto" w:fill="D8E8EF"/>
          </w:tcPr>
          <w:p>
            <w:pPr>
              <w:ind w:left="560"/>
              <w:spacing w:after="0"/>
              <w:rPr>
                <w:sz w:val="20"/>
                <w:szCs w:val="20"/>
                <w:color w:val="auto"/>
              </w:rPr>
            </w:pPr>
            <w:r>
              <w:rPr>
                <w:rFonts w:ascii="Arial" w:cs="Arial" w:eastAsia="Arial" w:hAnsi="Arial"/>
                <w:sz w:val="16"/>
                <w:szCs w:val="16"/>
                <w:color w:val="auto"/>
              </w:rPr>
              <w:t>Renesas Electronics Corporation</w:t>
            </w:r>
          </w:p>
        </w:tc>
      </w:tr>
      <w:tr>
        <w:trPr>
          <w:trHeight w:val="272"/>
        </w:trPr>
        <w:tc>
          <w:tcPr>
            <w:tcW w:w="3840" w:type="dxa"/>
            <w:vAlign w:val="bottom"/>
          </w:tcPr>
          <w:p>
            <w:pPr>
              <w:ind w:left="80"/>
              <w:spacing w:after="0"/>
              <w:rPr>
                <w:sz w:val="20"/>
                <w:szCs w:val="20"/>
                <w:color w:val="auto"/>
              </w:rPr>
            </w:pPr>
            <w:r>
              <w:rPr>
                <w:rFonts w:ascii="Arial" w:cs="Arial" w:eastAsia="Arial" w:hAnsi="Arial"/>
                <w:sz w:val="16"/>
                <w:szCs w:val="16"/>
                <w:color w:val="auto"/>
              </w:rPr>
              <w:t>Analog Devices, Inc.</w:t>
            </w:r>
          </w:p>
        </w:tc>
        <w:tc>
          <w:tcPr>
            <w:tcW w:w="3160" w:type="dxa"/>
            <w:vAlign w:val="bottom"/>
          </w:tcPr>
          <w:p>
            <w:pPr>
              <w:ind w:left="120"/>
              <w:spacing w:after="0"/>
              <w:rPr>
                <w:sz w:val="20"/>
                <w:szCs w:val="20"/>
                <w:color w:val="auto"/>
              </w:rPr>
            </w:pPr>
            <w:r>
              <w:rPr>
                <w:rFonts w:ascii="Arial" w:cs="Arial" w:eastAsia="Arial" w:hAnsi="Arial"/>
                <w:sz w:val="16"/>
                <w:szCs w:val="16"/>
                <w:color w:val="auto"/>
              </w:rPr>
              <w:t>Maxlinear Inc.</w:t>
            </w:r>
          </w:p>
        </w:tc>
        <w:tc>
          <w:tcPr>
            <w:tcW w:w="3920" w:type="dxa"/>
            <w:vAlign w:val="bottom"/>
          </w:tcPr>
          <w:p>
            <w:pPr>
              <w:ind w:left="560"/>
              <w:spacing w:after="0"/>
              <w:rPr>
                <w:sz w:val="20"/>
                <w:szCs w:val="20"/>
                <w:color w:val="auto"/>
              </w:rPr>
            </w:pPr>
            <w:r>
              <w:rPr>
                <w:rFonts w:ascii="Arial" w:cs="Arial" w:eastAsia="Arial" w:hAnsi="Arial"/>
                <w:sz w:val="16"/>
                <w:szCs w:val="16"/>
                <w:color w:val="auto"/>
              </w:rPr>
              <w:t>Rohm Co., Ltd.</w:t>
            </w:r>
          </w:p>
        </w:tc>
      </w:tr>
      <w:tr>
        <w:trPr>
          <w:trHeight w:val="289"/>
        </w:trPr>
        <w:tc>
          <w:tcPr>
            <w:tcW w:w="3840" w:type="dxa"/>
            <w:vAlign w:val="bottom"/>
            <w:shd w:val="clear" w:color="auto" w:fill="D8E8EF"/>
          </w:tcPr>
          <w:p>
            <w:pPr>
              <w:ind w:left="100"/>
              <w:spacing w:after="0"/>
              <w:rPr>
                <w:sz w:val="20"/>
                <w:szCs w:val="20"/>
                <w:color w:val="auto"/>
              </w:rPr>
            </w:pPr>
            <w:r>
              <w:rPr>
                <w:rFonts w:ascii="Arial" w:cs="Arial" w:eastAsia="Arial" w:hAnsi="Arial"/>
                <w:sz w:val="16"/>
                <w:szCs w:val="16"/>
                <w:color w:val="auto"/>
              </w:rPr>
              <w:t>Broadcom Inc.</w:t>
            </w:r>
          </w:p>
        </w:tc>
        <w:tc>
          <w:tcPr>
            <w:tcW w:w="3160" w:type="dxa"/>
            <w:vAlign w:val="bottom"/>
            <w:shd w:val="clear" w:color="auto" w:fill="D8E8EF"/>
          </w:tcPr>
          <w:p>
            <w:pPr>
              <w:ind w:left="120"/>
              <w:spacing w:after="0"/>
              <w:rPr>
                <w:sz w:val="20"/>
                <w:szCs w:val="20"/>
                <w:color w:val="auto"/>
              </w:rPr>
            </w:pPr>
            <w:r>
              <w:rPr>
                <w:rFonts w:ascii="Arial" w:cs="Arial" w:eastAsia="Arial" w:hAnsi="Arial"/>
                <w:sz w:val="16"/>
                <w:szCs w:val="16"/>
                <w:color w:val="auto"/>
              </w:rPr>
              <w:t>Melexis N.V.</w:t>
            </w:r>
          </w:p>
        </w:tc>
        <w:tc>
          <w:tcPr>
            <w:tcW w:w="3920" w:type="dxa"/>
            <w:vAlign w:val="bottom"/>
            <w:shd w:val="clear" w:color="auto" w:fill="D8E8EF"/>
          </w:tcPr>
          <w:p>
            <w:pPr>
              <w:ind w:left="560"/>
              <w:spacing w:after="0"/>
              <w:rPr>
                <w:sz w:val="20"/>
                <w:szCs w:val="20"/>
                <w:color w:val="auto"/>
              </w:rPr>
            </w:pPr>
            <w:r>
              <w:rPr>
                <w:rFonts w:ascii="Arial" w:cs="Arial" w:eastAsia="Arial" w:hAnsi="Arial"/>
                <w:sz w:val="16"/>
                <w:szCs w:val="16"/>
                <w:color w:val="auto"/>
              </w:rPr>
              <w:t>Semtech Corporation</w:t>
            </w:r>
          </w:p>
        </w:tc>
      </w:tr>
      <w:tr>
        <w:trPr>
          <w:trHeight w:val="272"/>
        </w:trPr>
        <w:tc>
          <w:tcPr>
            <w:tcW w:w="3840" w:type="dxa"/>
            <w:vAlign w:val="bottom"/>
          </w:tcPr>
          <w:p>
            <w:pPr>
              <w:ind w:left="100"/>
              <w:spacing w:after="0"/>
              <w:rPr>
                <w:sz w:val="20"/>
                <w:szCs w:val="20"/>
                <w:color w:val="auto"/>
              </w:rPr>
            </w:pPr>
            <w:r>
              <w:rPr>
                <w:rFonts w:ascii="Arial" w:cs="Arial" w:eastAsia="Arial" w:hAnsi="Arial"/>
                <w:sz w:val="16"/>
                <w:szCs w:val="16"/>
                <w:color w:val="auto"/>
              </w:rPr>
              <w:t>Cirrus Logic, Inc.</w:t>
            </w:r>
          </w:p>
        </w:tc>
        <w:tc>
          <w:tcPr>
            <w:tcW w:w="3160" w:type="dxa"/>
            <w:vAlign w:val="bottom"/>
          </w:tcPr>
          <w:p>
            <w:pPr>
              <w:ind w:left="120"/>
              <w:spacing w:after="0"/>
              <w:rPr>
                <w:sz w:val="20"/>
                <w:szCs w:val="20"/>
                <w:color w:val="auto"/>
              </w:rPr>
            </w:pPr>
            <w:r>
              <w:rPr>
                <w:rFonts w:ascii="Arial" w:cs="Arial" w:eastAsia="Arial" w:hAnsi="Arial"/>
                <w:sz w:val="16"/>
                <w:szCs w:val="16"/>
                <w:color w:val="auto"/>
              </w:rPr>
              <w:t>Microchip Technology Incorporated</w:t>
            </w:r>
          </w:p>
        </w:tc>
        <w:tc>
          <w:tcPr>
            <w:tcW w:w="3920" w:type="dxa"/>
            <w:vAlign w:val="bottom"/>
          </w:tcPr>
          <w:p>
            <w:pPr>
              <w:ind w:left="560"/>
              <w:spacing w:after="0"/>
              <w:rPr>
                <w:sz w:val="20"/>
                <w:szCs w:val="20"/>
                <w:color w:val="auto"/>
              </w:rPr>
            </w:pPr>
            <w:r>
              <w:rPr>
                <w:rFonts w:ascii="Arial" w:cs="Arial" w:eastAsia="Arial" w:hAnsi="Arial"/>
                <w:sz w:val="16"/>
                <w:szCs w:val="16"/>
                <w:color w:val="auto"/>
              </w:rPr>
              <w:t>Sensata Technologies Holding plc</w:t>
            </w:r>
          </w:p>
        </w:tc>
      </w:tr>
      <w:tr>
        <w:trPr>
          <w:trHeight w:val="289"/>
        </w:trPr>
        <w:tc>
          <w:tcPr>
            <w:tcW w:w="3840" w:type="dxa"/>
            <w:vAlign w:val="bottom"/>
            <w:shd w:val="clear" w:color="auto" w:fill="D8E8EF"/>
          </w:tcPr>
          <w:p>
            <w:pPr>
              <w:ind w:left="100"/>
              <w:spacing w:after="0"/>
              <w:rPr>
                <w:sz w:val="20"/>
                <w:szCs w:val="20"/>
                <w:color w:val="auto"/>
              </w:rPr>
            </w:pPr>
            <w:r>
              <w:rPr>
                <w:rFonts w:ascii="Arial" w:cs="Arial" w:eastAsia="Arial" w:hAnsi="Arial"/>
                <w:sz w:val="16"/>
                <w:szCs w:val="16"/>
                <w:color w:val="auto"/>
              </w:rPr>
              <w:t>Dialog Semiconductor Plc (1)</w:t>
            </w:r>
          </w:p>
        </w:tc>
        <w:tc>
          <w:tcPr>
            <w:tcW w:w="3160" w:type="dxa"/>
            <w:vAlign w:val="bottom"/>
            <w:shd w:val="clear" w:color="auto" w:fill="D8E8EF"/>
          </w:tcPr>
          <w:p>
            <w:pPr>
              <w:ind w:left="120"/>
              <w:spacing w:after="0"/>
              <w:rPr>
                <w:sz w:val="20"/>
                <w:szCs w:val="20"/>
                <w:color w:val="auto"/>
              </w:rPr>
            </w:pPr>
            <w:r>
              <w:rPr>
                <w:rFonts w:ascii="Arial" w:cs="Arial" w:eastAsia="Arial" w:hAnsi="Arial"/>
                <w:sz w:val="16"/>
                <w:szCs w:val="16"/>
                <w:color w:val="auto"/>
              </w:rPr>
              <w:t>MKS Instruments, Inc.</w:t>
            </w:r>
          </w:p>
        </w:tc>
        <w:tc>
          <w:tcPr>
            <w:tcW w:w="3920" w:type="dxa"/>
            <w:vAlign w:val="bottom"/>
            <w:shd w:val="clear" w:color="auto" w:fill="D8E8EF"/>
          </w:tcPr>
          <w:p>
            <w:pPr>
              <w:ind w:left="560"/>
              <w:spacing w:after="0"/>
              <w:rPr>
                <w:sz w:val="20"/>
                <w:szCs w:val="20"/>
                <w:color w:val="auto"/>
              </w:rPr>
            </w:pPr>
            <w:r>
              <w:rPr>
                <w:rFonts w:ascii="Arial" w:cs="Arial" w:eastAsia="Arial" w:hAnsi="Arial"/>
                <w:sz w:val="16"/>
                <w:szCs w:val="16"/>
                <w:color w:val="auto"/>
              </w:rPr>
              <w:t>Silicon Laboratories Inc.</w:t>
            </w:r>
          </w:p>
        </w:tc>
      </w:tr>
      <w:tr>
        <w:trPr>
          <w:trHeight w:val="272"/>
        </w:trPr>
        <w:tc>
          <w:tcPr>
            <w:tcW w:w="3840" w:type="dxa"/>
            <w:vAlign w:val="bottom"/>
          </w:tcPr>
          <w:p>
            <w:pPr>
              <w:ind w:left="100"/>
              <w:spacing w:after="0"/>
              <w:rPr>
                <w:sz w:val="20"/>
                <w:szCs w:val="20"/>
                <w:color w:val="auto"/>
              </w:rPr>
            </w:pPr>
            <w:r>
              <w:rPr>
                <w:rFonts w:ascii="Arial" w:cs="Arial" w:eastAsia="Arial" w:hAnsi="Arial"/>
                <w:sz w:val="16"/>
                <w:szCs w:val="16"/>
                <w:color w:val="auto"/>
              </w:rPr>
              <w:t>Diodes Incorporated</w:t>
            </w:r>
          </w:p>
        </w:tc>
        <w:tc>
          <w:tcPr>
            <w:tcW w:w="3160" w:type="dxa"/>
            <w:vAlign w:val="bottom"/>
          </w:tcPr>
          <w:p>
            <w:pPr>
              <w:ind w:left="120"/>
              <w:spacing w:after="0"/>
              <w:rPr>
                <w:sz w:val="20"/>
                <w:szCs w:val="20"/>
                <w:color w:val="auto"/>
              </w:rPr>
            </w:pPr>
            <w:r>
              <w:rPr>
                <w:rFonts w:ascii="Arial" w:cs="Arial" w:eastAsia="Arial" w:hAnsi="Arial"/>
                <w:sz w:val="16"/>
                <w:szCs w:val="16"/>
                <w:color w:val="auto"/>
              </w:rPr>
              <w:t>Monolithic Power Systems, Inc.</w:t>
            </w:r>
          </w:p>
        </w:tc>
        <w:tc>
          <w:tcPr>
            <w:tcW w:w="3920" w:type="dxa"/>
            <w:vAlign w:val="bottom"/>
          </w:tcPr>
          <w:p>
            <w:pPr>
              <w:ind w:left="560"/>
              <w:spacing w:after="0"/>
              <w:rPr>
                <w:sz w:val="20"/>
                <w:szCs w:val="20"/>
                <w:color w:val="auto"/>
              </w:rPr>
            </w:pPr>
            <w:r>
              <w:rPr>
                <w:rFonts w:ascii="Arial" w:cs="Arial" w:eastAsia="Arial" w:hAnsi="Arial"/>
                <w:sz w:val="16"/>
                <w:szCs w:val="16"/>
                <w:color w:val="auto"/>
              </w:rPr>
              <w:t>Skyworks Solutions, Inc.</w:t>
            </w:r>
          </w:p>
        </w:tc>
      </w:tr>
      <w:tr>
        <w:trPr>
          <w:trHeight w:val="289"/>
        </w:trPr>
        <w:tc>
          <w:tcPr>
            <w:tcW w:w="3840" w:type="dxa"/>
            <w:vAlign w:val="bottom"/>
            <w:shd w:val="clear" w:color="auto" w:fill="D8E8EF"/>
          </w:tcPr>
          <w:p>
            <w:pPr>
              <w:ind w:left="100"/>
              <w:spacing w:after="0"/>
              <w:rPr>
                <w:sz w:val="20"/>
                <w:szCs w:val="20"/>
                <w:color w:val="auto"/>
              </w:rPr>
            </w:pPr>
            <w:r>
              <w:rPr>
                <w:rFonts w:ascii="Arial" w:cs="Arial" w:eastAsia="Arial" w:hAnsi="Arial"/>
                <w:sz w:val="16"/>
                <w:szCs w:val="16"/>
                <w:color w:val="auto"/>
              </w:rPr>
              <w:t>Infineon Technologies AG</w:t>
            </w:r>
          </w:p>
        </w:tc>
        <w:tc>
          <w:tcPr>
            <w:tcW w:w="3160" w:type="dxa"/>
            <w:vAlign w:val="bottom"/>
            <w:shd w:val="clear" w:color="auto" w:fill="D8E8EF"/>
          </w:tcPr>
          <w:p>
            <w:pPr>
              <w:ind w:left="120"/>
              <w:spacing w:after="0"/>
              <w:rPr>
                <w:sz w:val="20"/>
                <w:szCs w:val="20"/>
                <w:color w:val="auto"/>
              </w:rPr>
            </w:pPr>
            <w:r>
              <w:rPr>
                <w:rFonts w:ascii="Arial" w:cs="Arial" w:eastAsia="Arial" w:hAnsi="Arial"/>
                <w:sz w:val="16"/>
                <w:szCs w:val="16"/>
                <w:color w:val="auto"/>
              </w:rPr>
              <w:t>Murata Manufacturing Co., Ltd.</w:t>
            </w:r>
          </w:p>
        </w:tc>
        <w:tc>
          <w:tcPr>
            <w:tcW w:w="3920" w:type="dxa"/>
            <w:vAlign w:val="bottom"/>
            <w:shd w:val="clear" w:color="auto" w:fill="D8E8EF"/>
          </w:tcPr>
          <w:p>
            <w:pPr>
              <w:ind w:left="560"/>
              <w:spacing w:after="0"/>
              <w:rPr>
                <w:sz w:val="20"/>
                <w:szCs w:val="20"/>
                <w:color w:val="auto"/>
              </w:rPr>
            </w:pPr>
            <w:r>
              <w:rPr>
                <w:rFonts w:ascii="Arial" w:cs="Arial" w:eastAsia="Arial" w:hAnsi="Arial"/>
                <w:sz w:val="16"/>
                <w:szCs w:val="16"/>
                <w:color w:val="auto"/>
              </w:rPr>
              <w:t>STMicroelectronics N.V.</w:t>
            </w:r>
          </w:p>
        </w:tc>
      </w:tr>
      <w:tr>
        <w:trPr>
          <w:trHeight w:val="272"/>
        </w:trPr>
        <w:tc>
          <w:tcPr>
            <w:tcW w:w="3840" w:type="dxa"/>
            <w:vAlign w:val="bottom"/>
          </w:tcPr>
          <w:p>
            <w:pPr>
              <w:ind w:left="100"/>
              <w:spacing w:after="0"/>
              <w:rPr>
                <w:sz w:val="20"/>
                <w:szCs w:val="20"/>
                <w:color w:val="auto"/>
              </w:rPr>
            </w:pPr>
            <w:r>
              <w:rPr>
                <w:rFonts w:ascii="Arial" w:cs="Arial" w:eastAsia="Arial" w:hAnsi="Arial"/>
                <w:sz w:val="16"/>
                <w:szCs w:val="16"/>
                <w:color w:val="auto"/>
              </w:rPr>
              <w:t>Inphi Corporation (2)</w:t>
            </w:r>
          </w:p>
        </w:tc>
        <w:tc>
          <w:tcPr>
            <w:tcW w:w="3160" w:type="dxa"/>
            <w:vAlign w:val="bottom"/>
          </w:tcPr>
          <w:p>
            <w:pPr>
              <w:ind w:left="120"/>
              <w:spacing w:after="0"/>
              <w:rPr>
                <w:sz w:val="20"/>
                <w:szCs w:val="20"/>
                <w:color w:val="auto"/>
              </w:rPr>
            </w:pPr>
            <w:r>
              <w:rPr>
                <w:rFonts w:ascii="Arial" w:cs="Arial" w:eastAsia="Arial" w:hAnsi="Arial"/>
                <w:sz w:val="16"/>
                <w:szCs w:val="16"/>
                <w:color w:val="auto"/>
              </w:rPr>
              <w:t>National Instruments Corporation</w:t>
            </w:r>
          </w:p>
        </w:tc>
        <w:tc>
          <w:tcPr>
            <w:tcW w:w="3920" w:type="dxa"/>
            <w:vAlign w:val="bottom"/>
          </w:tcPr>
          <w:p>
            <w:pPr>
              <w:ind w:left="560"/>
              <w:spacing w:after="0"/>
              <w:rPr>
                <w:sz w:val="20"/>
                <w:szCs w:val="20"/>
                <w:color w:val="auto"/>
              </w:rPr>
            </w:pPr>
            <w:r>
              <w:rPr>
                <w:rFonts w:ascii="Arial" w:cs="Arial" w:eastAsia="Arial" w:hAnsi="Arial"/>
                <w:sz w:val="16"/>
                <w:szCs w:val="16"/>
                <w:color w:val="auto"/>
              </w:rPr>
              <w:t>Synaptics Incorporated</w:t>
            </w:r>
          </w:p>
        </w:tc>
      </w:tr>
      <w:tr>
        <w:trPr>
          <w:trHeight w:val="289"/>
        </w:trPr>
        <w:tc>
          <w:tcPr>
            <w:tcW w:w="3840" w:type="dxa"/>
            <w:vAlign w:val="bottom"/>
            <w:shd w:val="clear" w:color="auto" w:fill="D8E8EF"/>
          </w:tcPr>
          <w:p>
            <w:pPr>
              <w:ind w:left="100"/>
              <w:spacing w:after="0"/>
              <w:rPr>
                <w:sz w:val="20"/>
                <w:szCs w:val="20"/>
                <w:color w:val="auto"/>
              </w:rPr>
            </w:pPr>
            <w:r>
              <w:rPr>
                <w:rFonts w:ascii="Arial" w:cs="Arial" w:eastAsia="Arial" w:hAnsi="Arial"/>
                <w:sz w:val="16"/>
                <w:szCs w:val="16"/>
                <w:color w:val="auto"/>
              </w:rPr>
              <w:t>Knowles Corporation</w:t>
            </w:r>
          </w:p>
        </w:tc>
        <w:tc>
          <w:tcPr>
            <w:tcW w:w="3160" w:type="dxa"/>
            <w:vAlign w:val="bottom"/>
            <w:shd w:val="clear" w:color="auto" w:fill="D8E8EF"/>
          </w:tcPr>
          <w:p>
            <w:pPr>
              <w:ind w:left="120"/>
              <w:spacing w:after="0"/>
              <w:rPr>
                <w:sz w:val="20"/>
                <w:szCs w:val="20"/>
                <w:color w:val="auto"/>
              </w:rPr>
            </w:pPr>
            <w:r>
              <w:rPr>
                <w:rFonts w:ascii="Arial" w:cs="Arial" w:eastAsia="Arial" w:hAnsi="Arial"/>
                <w:sz w:val="16"/>
                <w:szCs w:val="16"/>
                <w:color w:val="auto"/>
              </w:rPr>
              <w:t>NXP Semiconductors N.V.</w:t>
            </w:r>
          </w:p>
        </w:tc>
        <w:tc>
          <w:tcPr>
            <w:tcW w:w="3920" w:type="dxa"/>
            <w:vAlign w:val="bottom"/>
            <w:shd w:val="clear" w:color="auto" w:fill="D8E8EF"/>
          </w:tcPr>
          <w:p>
            <w:pPr>
              <w:ind w:left="560"/>
              <w:spacing w:after="0"/>
              <w:rPr>
                <w:sz w:val="20"/>
                <w:szCs w:val="20"/>
                <w:color w:val="auto"/>
              </w:rPr>
            </w:pPr>
            <w:r>
              <w:rPr>
                <w:rFonts w:ascii="Arial" w:cs="Arial" w:eastAsia="Arial" w:hAnsi="Arial"/>
                <w:sz w:val="16"/>
                <w:szCs w:val="16"/>
                <w:color w:val="auto"/>
              </w:rPr>
              <w:t>Texas Instruments Incorporated</w:t>
            </w:r>
          </w:p>
        </w:tc>
      </w:tr>
      <w:tr>
        <w:trPr>
          <w:trHeight w:val="272"/>
        </w:trPr>
        <w:tc>
          <w:tcPr>
            <w:tcW w:w="3840" w:type="dxa"/>
            <w:vAlign w:val="bottom"/>
          </w:tcPr>
          <w:p>
            <w:pPr>
              <w:ind w:left="100"/>
              <w:spacing w:after="0"/>
              <w:rPr>
                <w:sz w:val="20"/>
                <w:szCs w:val="20"/>
                <w:color w:val="auto"/>
              </w:rPr>
            </w:pPr>
            <w:r>
              <w:rPr>
                <w:rFonts w:ascii="Arial" w:cs="Arial" w:eastAsia="Arial" w:hAnsi="Arial"/>
                <w:sz w:val="16"/>
                <w:szCs w:val="16"/>
                <w:color w:val="auto"/>
              </w:rPr>
              <w:t>Lattice Semiconductor Corporation</w:t>
            </w:r>
          </w:p>
        </w:tc>
        <w:tc>
          <w:tcPr>
            <w:tcW w:w="3160" w:type="dxa"/>
            <w:vAlign w:val="bottom"/>
          </w:tcPr>
          <w:p>
            <w:pPr>
              <w:ind w:left="120"/>
              <w:spacing w:after="0"/>
              <w:rPr>
                <w:sz w:val="20"/>
                <w:szCs w:val="20"/>
                <w:color w:val="auto"/>
              </w:rPr>
            </w:pPr>
            <w:r>
              <w:rPr>
                <w:rFonts w:ascii="Arial" w:cs="Arial" w:eastAsia="Arial" w:hAnsi="Arial"/>
                <w:sz w:val="16"/>
                <w:szCs w:val="16"/>
                <w:color w:val="auto"/>
              </w:rPr>
              <w:t>Parade Technologies, Ltd.</w:t>
            </w:r>
          </w:p>
        </w:tc>
        <w:tc>
          <w:tcPr>
            <w:tcW w:w="3920" w:type="dxa"/>
            <w:vAlign w:val="bottom"/>
          </w:tcPr>
          <w:p>
            <w:pPr>
              <w:ind w:left="560"/>
              <w:spacing w:after="0"/>
              <w:rPr>
                <w:sz w:val="20"/>
                <w:szCs w:val="20"/>
                <w:color w:val="auto"/>
              </w:rPr>
            </w:pPr>
            <w:r>
              <w:rPr>
                <w:rFonts w:ascii="Arial" w:cs="Arial" w:eastAsia="Arial" w:hAnsi="Arial"/>
                <w:sz w:val="16"/>
                <w:szCs w:val="16"/>
                <w:color w:val="auto"/>
              </w:rPr>
              <w:t>Vishay Intertechnology, Inc.</w:t>
            </w:r>
          </w:p>
        </w:tc>
      </w:tr>
      <w:tr>
        <w:trPr>
          <w:trHeight w:val="289"/>
        </w:trPr>
        <w:tc>
          <w:tcPr>
            <w:tcW w:w="3840" w:type="dxa"/>
            <w:vAlign w:val="bottom"/>
            <w:shd w:val="clear" w:color="auto" w:fill="D8E8EF"/>
          </w:tcPr>
          <w:p>
            <w:pPr>
              <w:ind w:left="100"/>
              <w:spacing w:after="0"/>
              <w:rPr>
                <w:sz w:val="20"/>
                <w:szCs w:val="20"/>
                <w:color w:val="auto"/>
              </w:rPr>
            </w:pPr>
            <w:r>
              <w:rPr>
                <w:rFonts w:ascii="Arial" w:cs="Arial" w:eastAsia="Arial" w:hAnsi="Arial"/>
                <w:sz w:val="16"/>
                <w:szCs w:val="16"/>
                <w:color w:val="auto"/>
              </w:rPr>
              <w:t>Littelfuse, Inc.</w:t>
            </w:r>
          </w:p>
        </w:tc>
        <w:tc>
          <w:tcPr>
            <w:tcW w:w="3160" w:type="dxa"/>
            <w:vAlign w:val="bottom"/>
            <w:shd w:val="clear" w:color="auto" w:fill="D8E8EF"/>
          </w:tcPr>
          <w:p>
            <w:pPr>
              <w:ind w:left="120"/>
              <w:spacing w:after="0"/>
              <w:rPr>
                <w:sz w:val="20"/>
                <w:szCs w:val="20"/>
                <w:color w:val="auto"/>
              </w:rPr>
            </w:pPr>
            <w:r>
              <w:rPr>
                <w:rFonts w:ascii="Arial" w:cs="Arial" w:eastAsia="Arial" w:hAnsi="Arial"/>
                <w:sz w:val="16"/>
                <w:szCs w:val="16"/>
                <w:color w:val="auto"/>
              </w:rPr>
              <w:t>Power Integrations, Inc.</w:t>
            </w:r>
          </w:p>
        </w:tc>
        <w:tc>
          <w:tcPr>
            <w:tcW w:w="3920" w:type="dxa"/>
            <w:vAlign w:val="bottom"/>
            <w:shd w:val="clear" w:color="auto" w:fill="D8E8EF"/>
          </w:tcPr>
          <w:p>
            <w:pPr>
              <w:ind w:left="560"/>
              <w:spacing w:after="0"/>
              <w:rPr>
                <w:sz w:val="20"/>
                <w:szCs w:val="20"/>
                <w:color w:val="auto"/>
              </w:rPr>
            </w:pPr>
            <w:r>
              <w:rPr>
                <w:rFonts w:ascii="Arial" w:cs="Arial" w:eastAsia="Arial" w:hAnsi="Arial"/>
                <w:sz w:val="16"/>
                <w:szCs w:val="16"/>
                <w:color w:val="auto"/>
              </w:rPr>
              <w:t>Wolfspeed, Inc.</w:t>
            </w:r>
          </w:p>
        </w:tc>
      </w:tr>
      <w:tr>
        <w:trPr>
          <w:trHeight w:val="274"/>
        </w:trPr>
        <w:tc>
          <w:tcPr>
            <w:tcW w:w="384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Macom Technology Solutions Holdings, Inc.</w:t>
            </w:r>
          </w:p>
        </w:tc>
        <w:tc>
          <w:tcPr>
            <w:tcW w:w="316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Qorvo, Inc.</w:t>
            </w:r>
          </w:p>
        </w:tc>
        <w:tc>
          <w:tcPr>
            <w:tcW w:w="3920" w:type="dxa"/>
            <w:vAlign w:val="bottom"/>
            <w:tcBorders>
              <w:bottom w:val="single" w:sz="8" w:color="auto"/>
            </w:tcBorders>
          </w:tcPr>
          <w:p>
            <w:pPr>
              <w:ind w:left="560"/>
              <w:spacing w:after="0"/>
              <w:rPr>
                <w:sz w:val="20"/>
                <w:szCs w:val="20"/>
                <w:color w:val="auto"/>
              </w:rPr>
            </w:pPr>
            <w:r>
              <w:rPr>
                <w:rFonts w:ascii="Arial" w:cs="Arial" w:eastAsia="Arial" w:hAnsi="Arial"/>
                <w:sz w:val="16"/>
                <w:szCs w:val="16"/>
                <w:color w:val="auto"/>
              </w:rPr>
              <w:t>Xilinx, Inc. (4)</w:t>
            </w:r>
          </w:p>
        </w:tc>
      </w:tr>
      <w:tr>
        <w:trPr>
          <w:trHeight w:val="327"/>
        </w:trPr>
        <w:tc>
          <w:tcPr>
            <w:tcW w:w="384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3920" w:type="dxa"/>
            <w:vAlign w:val="bottom"/>
          </w:tcPr>
          <w:p>
            <w:pPr>
              <w:ind w:left="1660"/>
              <w:spacing w:after="0"/>
              <w:rPr>
                <w:sz w:val="20"/>
                <w:szCs w:val="20"/>
                <w:color w:val="auto"/>
              </w:rPr>
            </w:pPr>
            <w:r>
              <w:rPr>
                <w:rFonts w:ascii="Arial" w:cs="Arial" w:eastAsia="Arial" w:hAnsi="Arial"/>
                <w:sz w:val="14"/>
                <w:szCs w:val="14"/>
                <w:color w:val="F75E14"/>
              </w:rPr>
              <w:t>onsemi 2022 Proxy Statement   43</w:t>
            </w:r>
          </w:p>
        </w:tc>
      </w:tr>
    </w:tbl>
    <w:p>
      <w:pPr>
        <w:sectPr>
          <w:pgSz w:w="11900" w:h="16838" w:orient="portrait"/>
          <w:cols w:equalWidth="0" w:num="1">
            <w:col w:w="11080"/>
          </w:cols>
          <w:pgMar w:left="320" w:top="454" w:right="499" w:bottom="1440" w:gutter="0" w:footer="0" w:header="0"/>
        </w:sectPr>
      </w:pPr>
    </w:p>
    <w:bookmarkStart w:id="47" w:name="page48"/>
    <w:bookmarkEnd w:id="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2" w:lineRule="exact"/>
        <w:rPr>
          <w:sz w:val="20"/>
          <w:szCs w:val="20"/>
          <w:color w:val="auto"/>
        </w:rPr>
      </w:pPr>
    </w:p>
    <w:p>
      <w:pPr>
        <w:ind w:left="160"/>
        <w:spacing w:after="0"/>
        <w:rPr>
          <w:sz w:val="20"/>
          <w:szCs w:val="20"/>
          <w:color w:val="auto"/>
        </w:rPr>
      </w:pPr>
      <w:r>
        <w:rPr>
          <w:rFonts w:ascii="Arial" w:cs="Arial" w:eastAsia="Arial" w:hAnsi="Arial"/>
          <w:sz w:val="18"/>
          <w:szCs w:val="18"/>
          <w:color w:val="F75E14"/>
        </w:rPr>
        <w:t>Compensation Discussion and Analysis</w:t>
      </w:r>
    </w:p>
    <w:p>
      <w:pPr>
        <w:spacing w:after="0" w:line="150" w:lineRule="exact"/>
        <w:rPr>
          <w:sz w:val="20"/>
          <w:szCs w:val="20"/>
          <w:color w:val="auto"/>
        </w:rPr>
      </w:pPr>
    </w:p>
    <w:p>
      <w:pPr>
        <w:ind w:left="600" w:hanging="433"/>
        <w:spacing w:after="0"/>
        <w:tabs>
          <w:tab w:leader="none" w:pos="600" w:val="left"/>
        </w:tabs>
        <w:numPr>
          <w:ilvl w:val="0"/>
          <w:numId w:val="72"/>
        </w:numPr>
        <w:rPr>
          <w:rFonts w:ascii="Arial" w:cs="Arial" w:eastAsia="Arial" w:hAnsi="Arial"/>
          <w:sz w:val="14"/>
          <w:szCs w:val="14"/>
          <w:color w:val="auto"/>
        </w:rPr>
      </w:pPr>
      <w:r>
        <w:rPr>
          <w:rFonts w:ascii="Arial" w:cs="Arial" w:eastAsia="Arial" w:hAnsi="Arial"/>
          <w:sz w:val="14"/>
          <w:szCs w:val="14"/>
          <w:color w:val="auto"/>
        </w:rPr>
        <w:t>Dialog Semiconductor Plc was acquired by Renesas Electronics Corporation in August 2021.</w:t>
      </w:r>
    </w:p>
    <w:p>
      <w:pPr>
        <w:spacing w:after="0" w:line="13" w:lineRule="exact"/>
        <w:rPr>
          <w:rFonts w:ascii="Arial" w:cs="Arial" w:eastAsia="Arial" w:hAnsi="Arial"/>
          <w:sz w:val="14"/>
          <w:szCs w:val="14"/>
          <w:color w:val="auto"/>
        </w:rPr>
      </w:pPr>
    </w:p>
    <w:p>
      <w:pPr>
        <w:ind w:left="600" w:hanging="433"/>
        <w:spacing w:after="0"/>
        <w:tabs>
          <w:tab w:leader="none" w:pos="600" w:val="left"/>
        </w:tabs>
        <w:numPr>
          <w:ilvl w:val="0"/>
          <w:numId w:val="72"/>
        </w:numPr>
        <w:rPr>
          <w:rFonts w:ascii="Arial" w:cs="Arial" w:eastAsia="Arial" w:hAnsi="Arial"/>
          <w:sz w:val="14"/>
          <w:szCs w:val="14"/>
          <w:color w:val="auto"/>
        </w:rPr>
      </w:pPr>
      <w:r>
        <w:rPr>
          <w:rFonts w:ascii="Arial" w:cs="Arial" w:eastAsia="Arial" w:hAnsi="Arial"/>
          <w:sz w:val="14"/>
          <w:szCs w:val="14"/>
          <w:color w:val="auto"/>
        </w:rPr>
        <w:t>Inphi Corporation was acquired by Marvell Technology, Inc. in April 2021.</w:t>
      </w:r>
    </w:p>
    <w:p>
      <w:pPr>
        <w:ind w:left="600" w:hanging="433"/>
        <w:spacing w:after="0"/>
        <w:tabs>
          <w:tab w:leader="none" w:pos="600" w:val="left"/>
        </w:tabs>
        <w:numPr>
          <w:ilvl w:val="0"/>
          <w:numId w:val="72"/>
        </w:numPr>
        <w:rPr>
          <w:rFonts w:ascii="Arial" w:cs="Arial" w:eastAsia="Arial" w:hAnsi="Arial"/>
          <w:sz w:val="14"/>
          <w:szCs w:val="14"/>
          <w:color w:val="auto"/>
        </w:rPr>
      </w:pPr>
      <w:r>
        <w:rPr>
          <w:rFonts w:ascii="Arial" w:cs="Arial" w:eastAsia="Arial" w:hAnsi="Arial"/>
          <w:sz w:val="14"/>
          <w:szCs w:val="14"/>
          <w:color w:val="auto"/>
        </w:rPr>
        <w:t>Maxim Integrated Products, Inc. was acquired by Analog Devices, Inc. in August 2021.</w:t>
      </w:r>
    </w:p>
    <w:p>
      <w:pPr>
        <w:ind w:left="600" w:hanging="433"/>
        <w:spacing w:after="0"/>
        <w:tabs>
          <w:tab w:leader="none" w:pos="600" w:val="left"/>
        </w:tabs>
        <w:numPr>
          <w:ilvl w:val="0"/>
          <w:numId w:val="72"/>
        </w:numPr>
        <w:rPr>
          <w:rFonts w:ascii="Arial" w:cs="Arial" w:eastAsia="Arial" w:hAnsi="Arial"/>
          <w:sz w:val="14"/>
          <w:szCs w:val="14"/>
          <w:color w:val="auto"/>
        </w:rPr>
      </w:pPr>
      <w:r>
        <w:rPr>
          <w:rFonts w:ascii="Arial" w:cs="Arial" w:eastAsia="Arial" w:hAnsi="Arial"/>
          <w:sz w:val="14"/>
          <w:szCs w:val="14"/>
          <w:color w:val="auto"/>
        </w:rPr>
        <w:t>Xilinx, Inc. was acquired by Advanced Micro Devices, Inc. in February 2022.</w:t>
      </w:r>
    </w:p>
    <w:p>
      <w:pPr>
        <w:spacing w:after="0" w:line="190" w:lineRule="exact"/>
        <w:rPr>
          <w:sz w:val="20"/>
          <w:szCs w:val="20"/>
          <w:color w:val="auto"/>
        </w:rPr>
      </w:pPr>
    </w:p>
    <w:p>
      <w:pPr>
        <w:jc w:val="both"/>
        <w:ind w:left="160"/>
        <w:spacing w:after="0" w:line="254" w:lineRule="auto"/>
        <w:rPr>
          <w:sz w:val="20"/>
          <w:szCs w:val="20"/>
          <w:color w:val="auto"/>
        </w:rPr>
      </w:pPr>
      <w:r>
        <w:rPr>
          <w:rFonts w:ascii="Arial" w:cs="Arial" w:eastAsia="Arial" w:hAnsi="Arial"/>
          <w:sz w:val="18"/>
          <w:szCs w:val="18"/>
          <w:color w:val="auto"/>
        </w:rPr>
        <w:t xml:space="preserve">The TSR Companies listed above represent a mix of companies listed on the PHLX Semiconductor Index and other publicly traded semiconductor companies whose product and service offerings, market capitalization, business model and other characteristics are similar to those of </w:t>
      </w:r>
      <w:r>
        <w:rPr>
          <w:rFonts w:ascii="Arial" w:cs="Arial" w:eastAsia="Arial" w:hAnsi="Arial"/>
          <w:sz w:val="18"/>
          <w:szCs w:val="18"/>
          <w:b w:val="1"/>
          <w:bCs w:val="1"/>
          <w:color w:val="auto"/>
        </w:rPr>
        <w:t>onsemi</w:t>
      </w:r>
      <w:r>
        <w:rPr>
          <w:rFonts w:ascii="Arial" w:cs="Arial" w:eastAsia="Arial" w:hAnsi="Arial"/>
          <w:sz w:val="18"/>
          <w:szCs w:val="18"/>
          <w:color w:val="auto"/>
        </w:rPr>
        <w:t>.</w:t>
      </w:r>
    </w:p>
    <w:p>
      <w:pPr>
        <w:spacing w:after="0" w:line="159" w:lineRule="exact"/>
        <w:rPr>
          <w:sz w:val="20"/>
          <w:szCs w:val="20"/>
          <w:color w:val="auto"/>
        </w:rPr>
      </w:pPr>
    </w:p>
    <w:p>
      <w:pPr>
        <w:jc w:val="both"/>
        <w:ind w:left="160"/>
        <w:spacing w:after="0" w:line="238" w:lineRule="auto"/>
        <w:rPr>
          <w:sz w:val="20"/>
          <w:szCs w:val="20"/>
          <w:color w:val="auto"/>
        </w:rPr>
      </w:pPr>
      <w:r>
        <w:rPr>
          <w:rFonts w:ascii="Arial" w:cs="Arial" w:eastAsia="Arial" w:hAnsi="Arial"/>
          <w:sz w:val="18"/>
          <w:szCs w:val="18"/>
          <w:i w:val="1"/>
          <w:iCs w:val="1"/>
          <w:u w:val="single" w:color="auto"/>
          <w:color w:val="auto"/>
        </w:rPr>
        <w:t>Consideration of Performance Period</w:t>
      </w:r>
      <w:r>
        <w:rPr>
          <w:rFonts w:ascii="Arial" w:cs="Arial" w:eastAsia="Arial" w:hAnsi="Arial"/>
          <w:sz w:val="18"/>
          <w:szCs w:val="18"/>
          <w:color w:val="auto"/>
        </w:rPr>
        <w:t>. The HCC Committee selected a one-year performance period for the 2022 LTI Performance Goals</w:t>
      </w:r>
      <w:r>
        <w:rPr>
          <w:rFonts w:ascii="Arial" w:cs="Arial" w:eastAsia="Arial" w:hAnsi="Arial"/>
          <w:sz w:val="18"/>
          <w:szCs w:val="18"/>
          <w:i w:val="1"/>
          <w:iCs w:val="1"/>
          <w:color w:val="auto"/>
        </w:rPr>
        <w:t xml:space="preserve"> </w:t>
      </w:r>
      <w:r>
        <w:rPr>
          <w:rFonts w:ascii="Arial" w:cs="Arial" w:eastAsia="Arial" w:hAnsi="Arial"/>
          <w:sz w:val="18"/>
          <w:szCs w:val="18"/>
          <w:color w:val="auto"/>
        </w:rPr>
        <w:t>portion of the 2021 PBRSU awards. The HCC Committee recognizes that a shorter performance period allows for changing perspectives within a long-term incentive award program in our highly cyclical industry, and chose a shorter performance period for PBRSUs, in part, to encourage commitment and adherence to the Company’s business strategy. At the same time, the HCC Committee selected Performance Goals that establish a longer-term baseline for the Company to reach its long-term financial targets. Notably, the 2021 PBRSUs will only vest in 1/3 increments over a three-year vesting period and will be adjusted at the end of each measurement period to give effect to the TSR Adjustment described above.</w:t>
      </w:r>
    </w:p>
    <w:p>
      <w:pPr>
        <w:spacing w:after="0" w:line="181" w:lineRule="exact"/>
        <w:rPr>
          <w:sz w:val="20"/>
          <w:szCs w:val="20"/>
          <w:color w:val="auto"/>
        </w:rPr>
      </w:pPr>
    </w:p>
    <w:p>
      <w:pPr>
        <w:ind w:left="160"/>
        <w:spacing w:after="0"/>
        <w:rPr>
          <w:sz w:val="20"/>
          <w:szCs w:val="20"/>
          <w:color w:val="auto"/>
        </w:rPr>
      </w:pPr>
      <w:r>
        <w:rPr>
          <w:rFonts w:ascii="Arial" w:cs="Arial" w:eastAsia="Arial" w:hAnsi="Arial"/>
          <w:sz w:val="18"/>
          <w:szCs w:val="18"/>
          <w:i w:val="1"/>
          <w:iCs w:val="1"/>
          <w:u w:val="single" w:color="auto"/>
          <w:color w:val="auto"/>
        </w:rPr>
        <w:t>Target Equity Granted to each NEO</w:t>
      </w:r>
      <w:r>
        <w:rPr>
          <w:rFonts w:ascii="Arial" w:cs="Arial" w:eastAsia="Arial" w:hAnsi="Arial"/>
          <w:sz w:val="18"/>
          <w:szCs w:val="18"/>
          <w:color w:val="auto"/>
        </w:rPr>
        <w:t>. The following table sets out the 2021 target equity awards granted to each applicable NEO:</w:t>
      </w:r>
    </w:p>
    <w:p>
      <w:pPr>
        <w:spacing w:after="0" w:line="253" w:lineRule="exact"/>
        <w:rPr>
          <w:sz w:val="20"/>
          <w:szCs w:val="20"/>
          <w:color w:val="auto"/>
        </w:rPr>
      </w:pPr>
    </w:p>
    <w:tbl>
      <w:tblPr>
        <w:tblLayout w:type="fixed"/>
        <w:tblInd w:w="1480" w:type="dxa"/>
        <w:tblCellMar>
          <w:top w:w="0" w:type="dxa"/>
          <w:left w:w="0" w:type="dxa"/>
          <w:bottom w:w="0" w:type="dxa"/>
          <w:right w:w="0" w:type="dxa"/>
        </w:tblCellMar>
      </w:tblPr>
      <w:tr>
        <w:trPr>
          <w:trHeight w:val="240"/>
        </w:trPr>
        <w:tc>
          <w:tcPr>
            <w:tcW w:w="2280" w:type="dxa"/>
            <w:vAlign w:val="bottom"/>
            <w:shd w:val="clear" w:color="auto" w:fill="F75E14"/>
          </w:tcPr>
          <w:p>
            <w:pPr>
              <w:spacing w:after="0"/>
              <w:rPr>
                <w:sz w:val="20"/>
                <w:szCs w:val="20"/>
                <w:color w:val="auto"/>
              </w:rPr>
            </w:pPr>
          </w:p>
        </w:tc>
        <w:tc>
          <w:tcPr>
            <w:tcW w:w="1380" w:type="dxa"/>
            <w:vAlign w:val="bottom"/>
            <w:shd w:val="clear" w:color="auto" w:fill="F75E14"/>
          </w:tcPr>
          <w:p>
            <w:pPr>
              <w:spacing w:after="0"/>
              <w:rPr>
                <w:sz w:val="20"/>
                <w:szCs w:val="20"/>
                <w:color w:val="auto"/>
              </w:rPr>
            </w:pPr>
          </w:p>
        </w:tc>
        <w:tc>
          <w:tcPr>
            <w:tcW w:w="1140" w:type="dxa"/>
            <w:vAlign w:val="bottom"/>
            <w:shd w:val="clear" w:color="auto" w:fill="F75E14"/>
          </w:tcPr>
          <w:p>
            <w:pPr>
              <w:spacing w:after="0"/>
              <w:rPr>
                <w:sz w:val="20"/>
                <w:szCs w:val="20"/>
                <w:color w:val="auto"/>
              </w:rPr>
            </w:pPr>
          </w:p>
        </w:tc>
        <w:tc>
          <w:tcPr>
            <w:tcW w:w="1120" w:type="dxa"/>
            <w:vAlign w:val="bottom"/>
            <w:shd w:val="clear" w:color="auto" w:fill="F75E14"/>
          </w:tcPr>
          <w:p>
            <w:pPr>
              <w:spacing w:after="0"/>
              <w:rPr>
                <w:sz w:val="20"/>
                <w:szCs w:val="20"/>
                <w:color w:val="auto"/>
              </w:rPr>
            </w:pPr>
          </w:p>
        </w:tc>
        <w:tc>
          <w:tcPr>
            <w:tcW w:w="1240" w:type="dxa"/>
            <w:vAlign w:val="bottom"/>
            <w:shd w:val="clear" w:color="auto" w:fill="F75E14"/>
          </w:tcPr>
          <w:p>
            <w:pPr>
              <w:jc w:val="center"/>
              <w:ind w:right="20"/>
              <w:spacing w:after="0"/>
              <w:rPr>
                <w:sz w:val="20"/>
                <w:szCs w:val="20"/>
                <w:color w:val="auto"/>
              </w:rPr>
            </w:pPr>
            <w:r>
              <w:rPr>
                <w:rFonts w:ascii="Arial" w:cs="Arial" w:eastAsia="Arial" w:hAnsi="Arial"/>
                <w:sz w:val="16"/>
                <w:szCs w:val="16"/>
                <w:b w:val="1"/>
                <w:bCs w:val="1"/>
                <w:color w:val="FFFFFF"/>
                <w:w w:val="95"/>
              </w:rPr>
              <w:t>2021</w:t>
            </w:r>
          </w:p>
        </w:tc>
        <w:tc>
          <w:tcPr>
            <w:tcW w:w="840" w:type="dxa"/>
            <w:vAlign w:val="bottom"/>
            <w:shd w:val="clear" w:color="auto" w:fill="F75E14"/>
          </w:tcPr>
          <w:p>
            <w:pPr>
              <w:spacing w:after="0"/>
              <w:rPr>
                <w:sz w:val="20"/>
                <w:szCs w:val="20"/>
                <w:color w:val="auto"/>
              </w:rPr>
            </w:pPr>
          </w:p>
        </w:tc>
        <w:tc>
          <w:tcPr>
            <w:tcW w:w="280" w:type="dxa"/>
            <w:vAlign w:val="bottom"/>
            <w:shd w:val="clear" w:color="auto" w:fill="F75E14"/>
          </w:tcPr>
          <w:p>
            <w:pPr>
              <w:spacing w:after="0"/>
              <w:rPr>
                <w:sz w:val="20"/>
                <w:szCs w:val="20"/>
                <w:color w:val="auto"/>
              </w:rPr>
            </w:pPr>
          </w:p>
        </w:tc>
      </w:tr>
      <w:tr>
        <w:trPr>
          <w:trHeight w:val="187"/>
        </w:trPr>
        <w:tc>
          <w:tcPr>
            <w:tcW w:w="2280" w:type="dxa"/>
            <w:vAlign w:val="bottom"/>
            <w:shd w:val="clear" w:color="auto" w:fill="F75E14"/>
          </w:tcPr>
          <w:p>
            <w:pPr>
              <w:spacing w:after="0"/>
              <w:rPr>
                <w:sz w:val="16"/>
                <w:szCs w:val="16"/>
                <w:color w:val="auto"/>
              </w:rPr>
            </w:pPr>
          </w:p>
        </w:tc>
        <w:tc>
          <w:tcPr>
            <w:tcW w:w="1380" w:type="dxa"/>
            <w:vAlign w:val="bottom"/>
            <w:shd w:val="clear" w:color="auto" w:fill="F75E14"/>
          </w:tcPr>
          <w:p>
            <w:pPr>
              <w:jc w:val="center"/>
              <w:spacing w:after="0"/>
              <w:rPr>
                <w:sz w:val="20"/>
                <w:szCs w:val="20"/>
                <w:color w:val="auto"/>
              </w:rPr>
            </w:pPr>
            <w:r>
              <w:rPr>
                <w:rFonts w:ascii="Arial" w:cs="Arial" w:eastAsia="Arial" w:hAnsi="Arial"/>
                <w:sz w:val="16"/>
                <w:szCs w:val="16"/>
                <w:b w:val="1"/>
                <w:bCs w:val="1"/>
                <w:color w:val="FFFFFF"/>
                <w:w w:val="99"/>
              </w:rPr>
              <w:t>2021 PBRSU</w:t>
            </w:r>
          </w:p>
        </w:tc>
        <w:tc>
          <w:tcPr>
            <w:tcW w:w="1140" w:type="dxa"/>
            <w:vAlign w:val="bottom"/>
            <w:shd w:val="clear" w:color="auto" w:fill="F75E14"/>
          </w:tcPr>
          <w:p>
            <w:pPr>
              <w:jc w:val="center"/>
              <w:spacing w:after="0"/>
              <w:rPr>
                <w:sz w:val="20"/>
                <w:szCs w:val="20"/>
                <w:color w:val="auto"/>
              </w:rPr>
            </w:pPr>
            <w:r>
              <w:rPr>
                <w:rFonts w:ascii="Arial" w:cs="Arial" w:eastAsia="Arial" w:hAnsi="Arial"/>
                <w:sz w:val="16"/>
                <w:szCs w:val="16"/>
                <w:b w:val="1"/>
                <w:bCs w:val="1"/>
                <w:color w:val="FFFFFF"/>
              </w:rPr>
              <w:t>2021 RSU</w:t>
            </w:r>
          </w:p>
        </w:tc>
        <w:tc>
          <w:tcPr>
            <w:tcW w:w="1120" w:type="dxa"/>
            <w:vAlign w:val="bottom"/>
            <w:shd w:val="clear" w:color="auto" w:fill="F75E14"/>
          </w:tcPr>
          <w:p>
            <w:pPr>
              <w:jc w:val="center"/>
              <w:spacing w:after="0"/>
              <w:rPr>
                <w:sz w:val="20"/>
                <w:szCs w:val="20"/>
                <w:color w:val="auto"/>
              </w:rPr>
            </w:pPr>
            <w:r>
              <w:rPr>
                <w:rFonts w:ascii="Arial" w:cs="Arial" w:eastAsia="Arial" w:hAnsi="Arial"/>
                <w:sz w:val="16"/>
                <w:szCs w:val="16"/>
                <w:b w:val="1"/>
                <w:bCs w:val="1"/>
                <w:color w:val="FFFFFF"/>
                <w:w w:val="96"/>
              </w:rPr>
              <w:t>2021 LTI</w:t>
            </w:r>
          </w:p>
        </w:tc>
        <w:tc>
          <w:tcPr>
            <w:tcW w:w="1240" w:type="dxa"/>
            <w:vAlign w:val="bottom"/>
            <w:shd w:val="clear" w:color="auto" w:fill="F75E14"/>
          </w:tcPr>
          <w:p>
            <w:pPr>
              <w:jc w:val="center"/>
              <w:ind w:right="20"/>
              <w:spacing w:after="0"/>
              <w:rPr>
                <w:sz w:val="20"/>
                <w:szCs w:val="20"/>
                <w:color w:val="auto"/>
              </w:rPr>
            </w:pPr>
            <w:r>
              <w:rPr>
                <w:rFonts w:ascii="Arial" w:cs="Arial" w:eastAsia="Arial" w:hAnsi="Arial"/>
                <w:sz w:val="16"/>
                <w:szCs w:val="16"/>
                <w:b w:val="1"/>
                <w:bCs w:val="1"/>
                <w:color w:val="FFFFFF"/>
              </w:rPr>
              <w:t>PBRSUs (3)</w:t>
            </w:r>
          </w:p>
        </w:tc>
        <w:tc>
          <w:tcPr>
            <w:tcW w:w="1120" w:type="dxa"/>
            <w:vAlign w:val="bottom"/>
            <w:gridSpan w:val="2"/>
            <w:shd w:val="clear" w:color="auto" w:fill="F75E14"/>
          </w:tcPr>
          <w:p>
            <w:pPr>
              <w:jc w:val="right"/>
              <w:ind w:right="80"/>
              <w:spacing w:after="0"/>
              <w:rPr>
                <w:sz w:val="20"/>
                <w:szCs w:val="20"/>
                <w:color w:val="auto"/>
              </w:rPr>
            </w:pPr>
            <w:r>
              <w:rPr>
                <w:rFonts w:ascii="Arial" w:cs="Arial" w:eastAsia="Arial" w:hAnsi="Arial"/>
                <w:sz w:val="16"/>
                <w:szCs w:val="16"/>
                <w:b w:val="1"/>
                <w:bCs w:val="1"/>
                <w:color w:val="FFFFFF"/>
              </w:rPr>
              <w:t>2021 RSUs</w:t>
            </w:r>
          </w:p>
        </w:tc>
      </w:tr>
      <w:tr>
        <w:trPr>
          <w:trHeight w:val="241"/>
        </w:trPr>
        <w:tc>
          <w:tcPr>
            <w:tcW w:w="2280" w:type="dxa"/>
            <w:vAlign w:val="bottom"/>
            <w:shd w:val="clear" w:color="auto" w:fill="F75E14"/>
          </w:tcPr>
          <w:p>
            <w:pPr>
              <w:ind w:left="80"/>
              <w:spacing w:after="0"/>
              <w:rPr>
                <w:sz w:val="20"/>
                <w:szCs w:val="20"/>
                <w:color w:val="auto"/>
              </w:rPr>
            </w:pPr>
            <w:r>
              <w:rPr>
                <w:rFonts w:ascii="Arial" w:cs="Arial" w:eastAsia="Arial" w:hAnsi="Arial"/>
                <w:sz w:val="16"/>
                <w:szCs w:val="16"/>
                <w:b w:val="1"/>
                <w:bCs w:val="1"/>
                <w:color w:val="FFFFFF"/>
              </w:rPr>
              <w:t>NEO (1)</w:t>
            </w:r>
          </w:p>
        </w:tc>
        <w:tc>
          <w:tcPr>
            <w:tcW w:w="1380" w:type="dxa"/>
            <w:vAlign w:val="bottom"/>
            <w:shd w:val="clear" w:color="auto" w:fill="F75E14"/>
          </w:tcPr>
          <w:p>
            <w:pPr>
              <w:jc w:val="center"/>
              <w:spacing w:after="0"/>
              <w:rPr>
                <w:sz w:val="20"/>
                <w:szCs w:val="20"/>
                <w:color w:val="auto"/>
              </w:rPr>
            </w:pPr>
            <w:r>
              <w:rPr>
                <w:rFonts w:ascii="Arial" w:cs="Arial" w:eastAsia="Arial" w:hAnsi="Arial"/>
                <w:sz w:val="16"/>
                <w:szCs w:val="16"/>
                <w:b w:val="1"/>
                <w:bCs w:val="1"/>
                <w:color w:val="FFFFFF"/>
                <w:w w:val="99"/>
              </w:rPr>
              <w:t>Amount (2)</w:t>
            </w:r>
          </w:p>
        </w:tc>
        <w:tc>
          <w:tcPr>
            <w:tcW w:w="1140" w:type="dxa"/>
            <w:vAlign w:val="bottom"/>
            <w:shd w:val="clear" w:color="auto" w:fill="F75E14"/>
          </w:tcPr>
          <w:p>
            <w:pPr>
              <w:jc w:val="center"/>
              <w:spacing w:after="0"/>
              <w:rPr>
                <w:sz w:val="20"/>
                <w:szCs w:val="20"/>
                <w:color w:val="auto"/>
              </w:rPr>
            </w:pPr>
            <w:r>
              <w:rPr>
                <w:rFonts w:ascii="Arial" w:cs="Arial" w:eastAsia="Arial" w:hAnsi="Arial"/>
                <w:sz w:val="16"/>
                <w:szCs w:val="16"/>
                <w:b w:val="1"/>
                <w:bCs w:val="1"/>
                <w:color w:val="FFFFFF"/>
                <w:w w:val="99"/>
              </w:rPr>
              <w:t>Amount</w:t>
            </w:r>
          </w:p>
        </w:tc>
        <w:tc>
          <w:tcPr>
            <w:tcW w:w="1120" w:type="dxa"/>
            <w:vAlign w:val="bottom"/>
            <w:shd w:val="clear" w:color="auto" w:fill="F75E14"/>
          </w:tcPr>
          <w:p>
            <w:pPr>
              <w:jc w:val="center"/>
              <w:spacing w:after="0"/>
              <w:rPr>
                <w:sz w:val="20"/>
                <w:szCs w:val="20"/>
                <w:color w:val="auto"/>
              </w:rPr>
            </w:pPr>
            <w:r>
              <w:rPr>
                <w:rFonts w:ascii="Arial" w:cs="Arial" w:eastAsia="Arial" w:hAnsi="Arial"/>
                <w:sz w:val="16"/>
                <w:szCs w:val="16"/>
                <w:b w:val="1"/>
                <w:bCs w:val="1"/>
                <w:color w:val="FFFFFF"/>
                <w:w w:val="99"/>
              </w:rPr>
              <w:t>Amount</w:t>
            </w:r>
          </w:p>
        </w:tc>
        <w:tc>
          <w:tcPr>
            <w:tcW w:w="1240" w:type="dxa"/>
            <w:vAlign w:val="bottom"/>
            <w:shd w:val="clear" w:color="auto" w:fill="F75E14"/>
          </w:tcPr>
          <w:p>
            <w:pPr>
              <w:jc w:val="center"/>
              <w:spacing w:after="0"/>
              <w:rPr>
                <w:sz w:val="20"/>
                <w:szCs w:val="20"/>
                <w:color w:val="auto"/>
              </w:rPr>
            </w:pPr>
            <w:r>
              <w:rPr>
                <w:rFonts w:ascii="Arial" w:cs="Arial" w:eastAsia="Arial" w:hAnsi="Arial"/>
                <w:sz w:val="16"/>
                <w:szCs w:val="16"/>
                <w:b w:val="1"/>
                <w:bCs w:val="1"/>
                <w:color w:val="FFFFFF"/>
              </w:rPr>
              <w:t>(# of Units)</w:t>
            </w:r>
          </w:p>
        </w:tc>
        <w:tc>
          <w:tcPr>
            <w:tcW w:w="1120" w:type="dxa"/>
            <w:vAlign w:val="bottom"/>
            <w:gridSpan w:val="2"/>
            <w:shd w:val="clear" w:color="auto" w:fill="F75E14"/>
          </w:tcPr>
          <w:p>
            <w:pPr>
              <w:jc w:val="right"/>
              <w:ind w:right="80"/>
              <w:spacing w:after="0"/>
              <w:rPr>
                <w:sz w:val="20"/>
                <w:szCs w:val="20"/>
                <w:color w:val="auto"/>
              </w:rPr>
            </w:pPr>
            <w:r>
              <w:rPr>
                <w:rFonts w:ascii="Arial" w:cs="Arial" w:eastAsia="Arial" w:hAnsi="Arial"/>
                <w:sz w:val="16"/>
                <w:szCs w:val="16"/>
                <w:b w:val="1"/>
                <w:bCs w:val="1"/>
                <w:color w:val="FFFFFF"/>
              </w:rPr>
              <w:t>(# of Units)</w:t>
            </w:r>
          </w:p>
        </w:tc>
      </w:tr>
      <w:tr>
        <w:trPr>
          <w:trHeight w:val="281"/>
        </w:trPr>
        <w:tc>
          <w:tcPr>
            <w:tcW w:w="2280" w:type="dxa"/>
            <w:vAlign w:val="bottom"/>
            <w:shd w:val="clear" w:color="auto" w:fill="D8E8EF"/>
          </w:tcPr>
          <w:p>
            <w:pPr>
              <w:ind w:left="80"/>
              <w:spacing w:after="0"/>
              <w:rPr>
                <w:sz w:val="20"/>
                <w:szCs w:val="20"/>
                <w:color w:val="auto"/>
              </w:rPr>
            </w:pPr>
            <w:r>
              <w:rPr>
                <w:rFonts w:ascii="Arial" w:cs="Arial" w:eastAsia="Arial" w:hAnsi="Arial"/>
                <w:sz w:val="16"/>
                <w:szCs w:val="16"/>
                <w:color w:val="auto"/>
              </w:rPr>
              <w:t>Hassane El-Khoury</w:t>
            </w:r>
          </w:p>
        </w:tc>
        <w:tc>
          <w:tcPr>
            <w:tcW w:w="1380" w:type="dxa"/>
            <w:vAlign w:val="bottom"/>
            <w:shd w:val="clear" w:color="auto" w:fill="D8E8EF"/>
          </w:tcPr>
          <w:p>
            <w:pPr>
              <w:jc w:val="center"/>
              <w:spacing w:after="0"/>
              <w:rPr>
                <w:sz w:val="20"/>
                <w:szCs w:val="20"/>
                <w:color w:val="auto"/>
              </w:rPr>
            </w:pPr>
            <w:r>
              <w:rPr>
                <w:rFonts w:ascii="Arial" w:cs="Arial" w:eastAsia="Arial" w:hAnsi="Arial"/>
                <w:sz w:val="16"/>
                <w:szCs w:val="16"/>
                <w:color w:val="auto"/>
                <w:w w:val="99"/>
              </w:rPr>
              <w:t>$4,800,000</w:t>
            </w:r>
          </w:p>
        </w:tc>
        <w:tc>
          <w:tcPr>
            <w:tcW w:w="1140" w:type="dxa"/>
            <w:vAlign w:val="bottom"/>
            <w:shd w:val="clear" w:color="auto" w:fill="D8E8EF"/>
          </w:tcPr>
          <w:p>
            <w:pPr>
              <w:jc w:val="center"/>
              <w:spacing w:after="0"/>
              <w:rPr>
                <w:sz w:val="20"/>
                <w:szCs w:val="20"/>
                <w:color w:val="auto"/>
              </w:rPr>
            </w:pPr>
            <w:r>
              <w:rPr>
                <w:rFonts w:ascii="Arial" w:cs="Arial" w:eastAsia="Arial" w:hAnsi="Arial"/>
                <w:sz w:val="16"/>
                <w:szCs w:val="16"/>
                <w:color w:val="auto"/>
                <w:w w:val="99"/>
              </w:rPr>
              <w:t>$3,200,000</w:t>
            </w:r>
          </w:p>
        </w:tc>
        <w:tc>
          <w:tcPr>
            <w:tcW w:w="1120" w:type="dxa"/>
            <w:vAlign w:val="bottom"/>
            <w:shd w:val="clear" w:color="auto" w:fill="D8E8EF"/>
          </w:tcPr>
          <w:p>
            <w:pPr>
              <w:jc w:val="center"/>
              <w:spacing w:after="0"/>
              <w:rPr>
                <w:sz w:val="20"/>
                <w:szCs w:val="20"/>
                <w:color w:val="auto"/>
              </w:rPr>
            </w:pPr>
            <w:r>
              <w:rPr>
                <w:rFonts w:ascii="Arial" w:cs="Arial" w:eastAsia="Arial" w:hAnsi="Arial"/>
                <w:sz w:val="16"/>
                <w:szCs w:val="16"/>
                <w:color w:val="auto"/>
                <w:w w:val="99"/>
              </w:rPr>
              <w:t>$8,000,000</w:t>
            </w:r>
          </w:p>
        </w:tc>
        <w:tc>
          <w:tcPr>
            <w:tcW w:w="1240" w:type="dxa"/>
            <w:vAlign w:val="bottom"/>
            <w:shd w:val="clear" w:color="auto" w:fill="D8E8EF"/>
          </w:tcPr>
          <w:p>
            <w:pPr>
              <w:jc w:val="right"/>
              <w:ind w:right="40"/>
              <w:spacing w:after="0"/>
              <w:rPr>
                <w:sz w:val="20"/>
                <w:szCs w:val="20"/>
                <w:color w:val="auto"/>
              </w:rPr>
            </w:pPr>
            <w:r>
              <w:rPr>
                <w:rFonts w:ascii="Arial" w:cs="Arial" w:eastAsia="Arial" w:hAnsi="Arial"/>
                <w:sz w:val="16"/>
                <w:szCs w:val="16"/>
                <w:color w:val="auto"/>
              </w:rPr>
              <w:t>116,308</w:t>
            </w:r>
          </w:p>
        </w:tc>
        <w:tc>
          <w:tcPr>
            <w:tcW w:w="1120" w:type="dxa"/>
            <w:vAlign w:val="bottom"/>
            <w:gridSpan w:val="2"/>
            <w:shd w:val="clear" w:color="auto" w:fill="D8E8EF"/>
          </w:tcPr>
          <w:p>
            <w:pPr>
              <w:jc w:val="right"/>
              <w:spacing w:after="0"/>
              <w:rPr>
                <w:sz w:val="20"/>
                <w:szCs w:val="20"/>
                <w:color w:val="auto"/>
              </w:rPr>
            </w:pPr>
            <w:r>
              <w:rPr>
                <w:rFonts w:ascii="Arial" w:cs="Arial" w:eastAsia="Arial" w:hAnsi="Arial"/>
                <w:sz w:val="16"/>
                <w:szCs w:val="16"/>
                <w:color w:val="auto"/>
              </w:rPr>
              <w:t>77,539</w:t>
            </w:r>
          </w:p>
        </w:tc>
      </w:tr>
      <w:tr>
        <w:trPr>
          <w:trHeight w:val="272"/>
        </w:trPr>
        <w:tc>
          <w:tcPr>
            <w:tcW w:w="2280" w:type="dxa"/>
            <w:vAlign w:val="bottom"/>
          </w:tcPr>
          <w:p>
            <w:pPr>
              <w:ind w:left="80"/>
              <w:spacing w:after="0"/>
              <w:rPr>
                <w:sz w:val="20"/>
                <w:szCs w:val="20"/>
                <w:color w:val="auto"/>
              </w:rPr>
            </w:pPr>
            <w:r>
              <w:rPr>
                <w:rFonts w:ascii="Arial" w:cs="Arial" w:eastAsia="Arial" w:hAnsi="Arial"/>
                <w:sz w:val="16"/>
                <w:szCs w:val="16"/>
                <w:color w:val="auto"/>
              </w:rPr>
              <w:t>Thad Trent</w:t>
            </w:r>
          </w:p>
        </w:tc>
        <w:tc>
          <w:tcPr>
            <w:tcW w:w="1380" w:type="dxa"/>
            <w:vAlign w:val="bottom"/>
          </w:tcPr>
          <w:p>
            <w:pPr>
              <w:jc w:val="center"/>
              <w:spacing w:after="0"/>
              <w:rPr>
                <w:sz w:val="20"/>
                <w:szCs w:val="20"/>
                <w:color w:val="auto"/>
              </w:rPr>
            </w:pPr>
            <w:r>
              <w:rPr>
                <w:rFonts w:ascii="Arial" w:cs="Arial" w:eastAsia="Arial" w:hAnsi="Arial"/>
                <w:sz w:val="16"/>
                <w:szCs w:val="16"/>
                <w:color w:val="auto"/>
                <w:w w:val="99"/>
              </w:rPr>
              <w:t>$2,400,000</w:t>
            </w:r>
          </w:p>
        </w:tc>
        <w:tc>
          <w:tcPr>
            <w:tcW w:w="1140" w:type="dxa"/>
            <w:vAlign w:val="bottom"/>
          </w:tcPr>
          <w:p>
            <w:pPr>
              <w:jc w:val="center"/>
              <w:spacing w:after="0"/>
              <w:rPr>
                <w:sz w:val="20"/>
                <w:szCs w:val="20"/>
                <w:color w:val="auto"/>
              </w:rPr>
            </w:pPr>
            <w:r>
              <w:rPr>
                <w:rFonts w:ascii="Arial" w:cs="Arial" w:eastAsia="Arial" w:hAnsi="Arial"/>
                <w:sz w:val="16"/>
                <w:szCs w:val="16"/>
                <w:color w:val="auto"/>
                <w:w w:val="99"/>
              </w:rPr>
              <w:t>$1,600,000</w:t>
            </w:r>
          </w:p>
        </w:tc>
        <w:tc>
          <w:tcPr>
            <w:tcW w:w="1120" w:type="dxa"/>
            <w:vAlign w:val="bottom"/>
          </w:tcPr>
          <w:p>
            <w:pPr>
              <w:jc w:val="center"/>
              <w:spacing w:after="0"/>
              <w:rPr>
                <w:sz w:val="20"/>
                <w:szCs w:val="20"/>
                <w:color w:val="auto"/>
              </w:rPr>
            </w:pPr>
            <w:r>
              <w:rPr>
                <w:rFonts w:ascii="Arial" w:cs="Arial" w:eastAsia="Arial" w:hAnsi="Arial"/>
                <w:sz w:val="16"/>
                <w:szCs w:val="16"/>
                <w:color w:val="auto"/>
                <w:w w:val="99"/>
              </w:rPr>
              <w:t>$4,000,000</w:t>
            </w: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57,348 (4)</w:t>
            </w:r>
          </w:p>
        </w:tc>
        <w:tc>
          <w:tcPr>
            <w:tcW w:w="840" w:type="dxa"/>
            <w:vAlign w:val="bottom"/>
          </w:tcPr>
          <w:p>
            <w:pPr>
              <w:jc w:val="right"/>
              <w:spacing w:after="0"/>
              <w:rPr>
                <w:sz w:val="20"/>
                <w:szCs w:val="20"/>
                <w:color w:val="auto"/>
              </w:rPr>
            </w:pPr>
            <w:r>
              <w:rPr>
                <w:rFonts w:ascii="Arial" w:cs="Arial" w:eastAsia="Arial" w:hAnsi="Arial"/>
                <w:sz w:val="16"/>
                <w:szCs w:val="16"/>
                <w:color w:val="auto"/>
              </w:rPr>
              <w:t>38,232</w:t>
            </w:r>
          </w:p>
        </w:tc>
        <w:tc>
          <w:tcPr>
            <w:tcW w:w="280" w:type="dxa"/>
            <w:vAlign w:val="bottom"/>
          </w:tcPr>
          <w:p>
            <w:pPr>
              <w:jc w:val="right"/>
              <w:spacing w:after="0"/>
              <w:rPr>
                <w:sz w:val="20"/>
                <w:szCs w:val="20"/>
                <w:color w:val="auto"/>
              </w:rPr>
            </w:pPr>
            <w:r>
              <w:rPr>
                <w:rFonts w:ascii="Arial" w:cs="Arial" w:eastAsia="Arial" w:hAnsi="Arial"/>
                <w:sz w:val="16"/>
                <w:szCs w:val="16"/>
                <w:color w:val="auto"/>
                <w:w w:val="91"/>
              </w:rPr>
              <w:t>(4)</w:t>
            </w:r>
          </w:p>
        </w:tc>
      </w:tr>
      <w:tr>
        <w:trPr>
          <w:trHeight w:val="289"/>
        </w:trPr>
        <w:tc>
          <w:tcPr>
            <w:tcW w:w="2280" w:type="dxa"/>
            <w:vAlign w:val="bottom"/>
            <w:shd w:val="clear" w:color="auto" w:fill="D8E8EF"/>
          </w:tcPr>
          <w:p>
            <w:pPr>
              <w:ind w:left="80"/>
              <w:spacing w:after="0"/>
              <w:rPr>
                <w:sz w:val="20"/>
                <w:szCs w:val="20"/>
                <w:color w:val="auto"/>
              </w:rPr>
            </w:pPr>
            <w:r>
              <w:rPr>
                <w:rFonts w:ascii="Arial" w:cs="Arial" w:eastAsia="Arial" w:hAnsi="Arial"/>
                <w:sz w:val="16"/>
                <w:szCs w:val="16"/>
                <w:color w:val="auto"/>
              </w:rPr>
              <w:t>Vincent C. Hopkin</w:t>
            </w:r>
          </w:p>
        </w:tc>
        <w:tc>
          <w:tcPr>
            <w:tcW w:w="1380" w:type="dxa"/>
            <w:vAlign w:val="bottom"/>
            <w:shd w:val="clear" w:color="auto" w:fill="D8E8EF"/>
          </w:tcPr>
          <w:p>
            <w:pPr>
              <w:jc w:val="center"/>
              <w:spacing w:after="0"/>
              <w:rPr>
                <w:sz w:val="20"/>
                <w:szCs w:val="20"/>
                <w:color w:val="auto"/>
              </w:rPr>
            </w:pPr>
            <w:r>
              <w:rPr>
                <w:rFonts w:ascii="Arial" w:cs="Arial" w:eastAsia="Arial" w:hAnsi="Arial"/>
                <w:sz w:val="16"/>
                <w:szCs w:val="16"/>
                <w:color w:val="auto"/>
                <w:w w:val="99"/>
              </w:rPr>
              <w:t>$1,275,000</w:t>
            </w:r>
          </w:p>
        </w:tc>
        <w:tc>
          <w:tcPr>
            <w:tcW w:w="1140" w:type="dxa"/>
            <w:vAlign w:val="bottom"/>
            <w:shd w:val="clear" w:color="auto" w:fill="D8E8EF"/>
          </w:tcPr>
          <w:p>
            <w:pPr>
              <w:jc w:val="center"/>
              <w:spacing w:after="0"/>
              <w:rPr>
                <w:sz w:val="20"/>
                <w:szCs w:val="20"/>
                <w:color w:val="auto"/>
              </w:rPr>
            </w:pPr>
            <w:r>
              <w:rPr>
                <w:rFonts w:ascii="Arial" w:cs="Arial" w:eastAsia="Arial" w:hAnsi="Arial"/>
                <w:sz w:val="16"/>
                <w:szCs w:val="16"/>
                <w:color w:val="auto"/>
              </w:rPr>
              <w:t>$850,000</w:t>
            </w:r>
          </w:p>
        </w:tc>
        <w:tc>
          <w:tcPr>
            <w:tcW w:w="1120" w:type="dxa"/>
            <w:vAlign w:val="bottom"/>
            <w:shd w:val="clear" w:color="auto" w:fill="D8E8EF"/>
          </w:tcPr>
          <w:p>
            <w:pPr>
              <w:jc w:val="center"/>
              <w:spacing w:after="0"/>
              <w:rPr>
                <w:sz w:val="20"/>
                <w:szCs w:val="20"/>
                <w:color w:val="auto"/>
              </w:rPr>
            </w:pPr>
            <w:r>
              <w:rPr>
                <w:rFonts w:ascii="Arial" w:cs="Arial" w:eastAsia="Arial" w:hAnsi="Arial"/>
                <w:sz w:val="16"/>
                <w:szCs w:val="16"/>
                <w:color w:val="auto"/>
                <w:w w:val="99"/>
              </w:rPr>
              <w:t>$2,125,000</w:t>
            </w:r>
          </w:p>
        </w:tc>
        <w:tc>
          <w:tcPr>
            <w:tcW w:w="1240" w:type="dxa"/>
            <w:vAlign w:val="bottom"/>
            <w:shd w:val="clear" w:color="auto" w:fill="D8E8EF"/>
          </w:tcPr>
          <w:p>
            <w:pPr>
              <w:jc w:val="right"/>
              <w:ind w:right="40"/>
              <w:spacing w:after="0"/>
              <w:rPr>
                <w:sz w:val="20"/>
                <w:szCs w:val="20"/>
                <w:color w:val="auto"/>
              </w:rPr>
            </w:pPr>
            <w:r>
              <w:rPr>
                <w:rFonts w:ascii="Arial" w:cs="Arial" w:eastAsia="Arial" w:hAnsi="Arial"/>
                <w:sz w:val="16"/>
                <w:szCs w:val="16"/>
                <w:color w:val="auto"/>
              </w:rPr>
              <w:t>30,895 (5)</w:t>
            </w:r>
          </w:p>
        </w:tc>
        <w:tc>
          <w:tcPr>
            <w:tcW w:w="840" w:type="dxa"/>
            <w:vAlign w:val="bottom"/>
            <w:shd w:val="clear" w:color="auto" w:fill="D8E8EF"/>
          </w:tcPr>
          <w:p>
            <w:pPr>
              <w:jc w:val="right"/>
              <w:spacing w:after="0"/>
              <w:rPr>
                <w:sz w:val="20"/>
                <w:szCs w:val="20"/>
                <w:color w:val="auto"/>
              </w:rPr>
            </w:pPr>
            <w:r>
              <w:rPr>
                <w:rFonts w:ascii="Arial" w:cs="Arial" w:eastAsia="Arial" w:hAnsi="Arial"/>
                <w:sz w:val="16"/>
                <w:szCs w:val="16"/>
                <w:color w:val="auto"/>
              </w:rPr>
              <w:t>20,597</w:t>
            </w:r>
          </w:p>
        </w:tc>
        <w:tc>
          <w:tcPr>
            <w:tcW w:w="280" w:type="dxa"/>
            <w:vAlign w:val="bottom"/>
            <w:shd w:val="clear" w:color="auto" w:fill="D8E8EF"/>
          </w:tcPr>
          <w:p>
            <w:pPr>
              <w:jc w:val="right"/>
              <w:spacing w:after="0"/>
              <w:rPr>
                <w:sz w:val="20"/>
                <w:szCs w:val="20"/>
                <w:color w:val="auto"/>
              </w:rPr>
            </w:pPr>
            <w:r>
              <w:rPr>
                <w:rFonts w:ascii="Arial" w:cs="Arial" w:eastAsia="Arial" w:hAnsi="Arial"/>
                <w:sz w:val="16"/>
                <w:szCs w:val="16"/>
                <w:color w:val="auto"/>
                <w:w w:val="91"/>
              </w:rPr>
              <w:t>(5)</w:t>
            </w:r>
          </w:p>
        </w:tc>
      </w:tr>
      <w:tr>
        <w:trPr>
          <w:trHeight w:val="272"/>
        </w:trPr>
        <w:tc>
          <w:tcPr>
            <w:tcW w:w="2280" w:type="dxa"/>
            <w:vAlign w:val="bottom"/>
          </w:tcPr>
          <w:p>
            <w:pPr>
              <w:ind w:left="80"/>
              <w:spacing w:after="0"/>
              <w:rPr>
                <w:sz w:val="20"/>
                <w:szCs w:val="20"/>
                <w:color w:val="auto"/>
              </w:rPr>
            </w:pPr>
            <w:r>
              <w:rPr>
                <w:rFonts w:ascii="Arial" w:cs="Arial" w:eastAsia="Arial" w:hAnsi="Arial"/>
                <w:sz w:val="16"/>
                <w:szCs w:val="16"/>
                <w:color w:val="auto"/>
              </w:rPr>
              <w:t>Simon Keeton</w:t>
            </w:r>
          </w:p>
        </w:tc>
        <w:tc>
          <w:tcPr>
            <w:tcW w:w="1380" w:type="dxa"/>
            <w:vAlign w:val="bottom"/>
          </w:tcPr>
          <w:p>
            <w:pPr>
              <w:jc w:val="center"/>
              <w:spacing w:after="0"/>
              <w:rPr>
                <w:sz w:val="20"/>
                <w:szCs w:val="20"/>
                <w:color w:val="auto"/>
              </w:rPr>
            </w:pPr>
            <w:r>
              <w:rPr>
                <w:rFonts w:ascii="Arial" w:cs="Arial" w:eastAsia="Arial" w:hAnsi="Arial"/>
                <w:sz w:val="16"/>
                <w:szCs w:val="16"/>
                <w:color w:val="auto"/>
                <w:w w:val="99"/>
              </w:rPr>
              <w:t>$1,275,000</w:t>
            </w:r>
          </w:p>
        </w:tc>
        <w:tc>
          <w:tcPr>
            <w:tcW w:w="1140" w:type="dxa"/>
            <w:vAlign w:val="bottom"/>
          </w:tcPr>
          <w:p>
            <w:pPr>
              <w:jc w:val="center"/>
              <w:spacing w:after="0"/>
              <w:rPr>
                <w:sz w:val="20"/>
                <w:szCs w:val="20"/>
                <w:color w:val="auto"/>
              </w:rPr>
            </w:pPr>
            <w:r>
              <w:rPr>
                <w:rFonts w:ascii="Arial" w:cs="Arial" w:eastAsia="Arial" w:hAnsi="Arial"/>
                <w:sz w:val="16"/>
                <w:szCs w:val="16"/>
                <w:color w:val="auto"/>
              </w:rPr>
              <w:t>$850,000</w:t>
            </w:r>
          </w:p>
        </w:tc>
        <w:tc>
          <w:tcPr>
            <w:tcW w:w="1120" w:type="dxa"/>
            <w:vAlign w:val="bottom"/>
          </w:tcPr>
          <w:p>
            <w:pPr>
              <w:jc w:val="center"/>
              <w:spacing w:after="0"/>
              <w:rPr>
                <w:sz w:val="20"/>
                <w:szCs w:val="20"/>
                <w:color w:val="auto"/>
              </w:rPr>
            </w:pPr>
            <w:r>
              <w:rPr>
                <w:rFonts w:ascii="Arial" w:cs="Arial" w:eastAsia="Arial" w:hAnsi="Arial"/>
                <w:sz w:val="16"/>
                <w:szCs w:val="16"/>
                <w:color w:val="auto"/>
                <w:w w:val="99"/>
              </w:rPr>
              <w:t>$2,125,000</w:t>
            </w: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30,895 (6)</w:t>
            </w:r>
          </w:p>
        </w:tc>
        <w:tc>
          <w:tcPr>
            <w:tcW w:w="840" w:type="dxa"/>
            <w:vAlign w:val="bottom"/>
          </w:tcPr>
          <w:p>
            <w:pPr>
              <w:jc w:val="right"/>
              <w:spacing w:after="0"/>
              <w:rPr>
                <w:sz w:val="20"/>
                <w:szCs w:val="20"/>
                <w:color w:val="auto"/>
              </w:rPr>
            </w:pPr>
            <w:r>
              <w:rPr>
                <w:rFonts w:ascii="Arial" w:cs="Arial" w:eastAsia="Arial" w:hAnsi="Arial"/>
                <w:sz w:val="16"/>
                <w:szCs w:val="16"/>
                <w:color w:val="auto"/>
              </w:rPr>
              <w:t>20,597</w:t>
            </w:r>
          </w:p>
        </w:tc>
        <w:tc>
          <w:tcPr>
            <w:tcW w:w="280" w:type="dxa"/>
            <w:vAlign w:val="bottom"/>
          </w:tcPr>
          <w:p>
            <w:pPr>
              <w:jc w:val="right"/>
              <w:spacing w:after="0"/>
              <w:rPr>
                <w:sz w:val="20"/>
                <w:szCs w:val="20"/>
                <w:color w:val="auto"/>
              </w:rPr>
            </w:pPr>
            <w:r>
              <w:rPr>
                <w:rFonts w:ascii="Arial" w:cs="Arial" w:eastAsia="Arial" w:hAnsi="Arial"/>
                <w:sz w:val="16"/>
                <w:szCs w:val="16"/>
                <w:color w:val="auto"/>
                <w:w w:val="91"/>
              </w:rPr>
              <w:t>(6)</w:t>
            </w:r>
          </w:p>
        </w:tc>
      </w:tr>
      <w:tr>
        <w:trPr>
          <w:trHeight w:val="289"/>
        </w:trPr>
        <w:tc>
          <w:tcPr>
            <w:tcW w:w="2280" w:type="dxa"/>
            <w:vAlign w:val="bottom"/>
            <w:shd w:val="clear" w:color="auto" w:fill="D8E8EF"/>
          </w:tcPr>
          <w:p>
            <w:pPr>
              <w:ind w:left="80"/>
              <w:spacing w:after="0"/>
              <w:rPr>
                <w:sz w:val="20"/>
                <w:szCs w:val="20"/>
                <w:color w:val="auto"/>
              </w:rPr>
            </w:pPr>
            <w:r>
              <w:rPr>
                <w:rFonts w:ascii="Arial" w:cs="Arial" w:eastAsia="Arial" w:hAnsi="Arial"/>
                <w:sz w:val="16"/>
                <w:szCs w:val="16"/>
                <w:color w:val="auto"/>
              </w:rPr>
              <w:t>Ross F. Jatou</w:t>
            </w:r>
          </w:p>
        </w:tc>
        <w:tc>
          <w:tcPr>
            <w:tcW w:w="1380" w:type="dxa"/>
            <w:vAlign w:val="bottom"/>
            <w:shd w:val="clear" w:color="auto" w:fill="D8E8EF"/>
          </w:tcPr>
          <w:p>
            <w:pPr>
              <w:jc w:val="center"/>
              <w:spacing w:after="0"/>
              <w:rPr>
                <w:sz w:val="20"/>
                <w:szCs w:val="20"/>
                <w:color w:val="auto"/>
              </w:rPr>
            </w:pPr>
            <w:r>
              <w:rPr>
                <w:rFonts w:ascii="Arial" w:cs="Arial" w:eastAsia="Arial" w:hAnsi="Arial"/>
                <w:sz w:val="16"/>
                <w:szCs w:val="16"/>
                <w:color w:val="auto"/>
              </w:rPr>
              <w:t>$750,000</w:t>
            </w:r>
          </w:p>
        </w:tc>
        <w:tc>
          <w:tcPr>
            <w:tcW w:w="1140" w:type="dxa"/>
            <w:vAlign w:val="bottom"/>
            <w:shd w:val="clear" w:color="auto" w:fill="D8E8EF"/>
          </w:tcPr>
          <w:p>
            <w:pPr>
              <w:jc w:val="center"/>
              <w:spacing w:after="0"/>
              <w:rPr>
                <w:sz w:val="20"/>
                <w:szCs w:val="20"/>
                <w:color w:val="auto"/>
              </w:rPr>
            </w:pPr>
            <w:r>
              <w:rPr>
                <w:rFonts w:ascii="Arial" w:cs="Arial" w:eastAsia="Arial" w:hAnsi="Arial"/>
                <w:sz w:val="16"/>
                <w:szCs w:val="16"/>
                <w:color w:val="auto"/>
              </w:rPr>
              <w:t>$500,000</w:t>
            </w:r>
          </w:p>
        </w:tc>
        <w:tc>
          <w:tcPr>
            <w:tcW w:w="1120" w:type="dxa"/>
            <w:vAlign w:val="bottom"/>
            <w:shd w:val="clear" w:color="auto" w:fill="D8E8EF"/>
          </w:tcPr>
          <w:p>
            <w:pPr>
              <w:jc w:val="center"/>
              <w:spacing w:after="0"/>
              <w:rPr>
                <w:sz w:val="20"/>
                <w:szCs w:val="20"/>
                <w:color w:val="auto"/>
              </w:rPr>
            </w:pPr>
            <w:r>
              <w:rPr>
                <w:rFonts w:ascii="Arial" w:cs="Arial" w:eastAsia="Arial" w:hAnsi="Arial"/>
                <w:sz w:val="16"/>
                <w:szCs w:val="16"/>
                <w:color w:val="auto"/>
                <w:w w:val="99"/>
              </w:rPr>
              <w:t>$1,250,000</w:t>
            </w:r>
          </w:p>
        </w:tc>
        <w:tc>
          <w:tcPr>
            <w:tcW w:w="1240" w:type="dxa"/>
            <w:vAlign w:val="bottom"/>
            <w:shd w:val="clear" w:color="auto" w:fill="D8E8EF"/>
          </w:tcPr>
          <w:p>
            <w:pPr>
              <w:jc w:val="right"/>
              <w:ind w:right="40"/>
              <w:spacing w:after="0"/>
              <w:rPr>
                <w:sz w:val="20"/>
                <w:szCs w:val="20"/>
                <w:color w:val="auto"/>
              </w:rPr>
            </w:pPr>
            <w:r>
              <w:rPr>
                <w:rFonts w:ascii="Arial" w:cs="Arial" w:eastAsia="Arial" w:hAnsi="Arial"/>
                <w:sz w:val="16"/>
                <w:szCs w:val="16"/>
                <w:color w:val="auto"/>
              </w:rPr>
              <w:t>18,174 (6)</w:t>
            </w:r>
          </w:p>
        </w:tc>
        <w:tc>
          <w:tcPr>
            <w:tcW w:w="840" w:type="dxa"/>
            <w:vAlign w:val="bottom"/>
            <w:shd w:val="clear" w:color="auto" w:fill="D8E8EF"/>
          </w:tcPr>
          <w:p>
            <w:pPr>
              <w:jc w:val="right"/>
              <w:spacing w:after="0"/>
              <w:rPr>
                <w:sz w:val="20"/>
                <w:szCs w:val="20"/>
                <w:color w:val="auto"/>
              </w:rPr>
            </w:pPr>
            <w:r>
              <w:rPr>
                <w:rFonts w:ascii="Arial" w:cs="Arial" w:eastAsia="Arial" w:hAnsi="Arial"/>
                <w:sz w:val="16"/>
                <w:szCs w:val="16"/>
                <w:color w:val="auto"/>
              </w:rPr>
              <w:t>12,116</w:t>
            </w:r>
          </w:p>
        </w:tc>
        <w:tc>
          <w:tcPr>
            <w:tcW w:w="280" w:type="dxa"/>
            <w:vAlign w:val="bottom"/>
            <w:shd w:val="clear" w:color="auto" w:fill="D8E8EF"/>
          </w:tcPr>
          <w:p>
            <w:pPr>
              <w:jc w:val="right"/>
              <w:spacing w:after="0"/>
              <w:rPr>
                <w:sz w:val="20"/>
                <w:szCs w:val="20"/>
                <w:color w:val="auto"/>
              </w:rPr>
            </w:pPr>
            <w:r>
              <w:rPr>
                <w:rFonts w:ascii="Arial" w:cs="Arial" w:eastAsia="Arial" w:hAnsi="Arial"/>
                <w:sz w:val="16"/>
                <w:szCs w:val="16"/>
                <w:color w:val="auto"/>
                <w:w w:val="91"/>
              </w:rPr>
              <w:t>(6)</w:t>
            </w:r>
          </w:p>
        </w:tc>
      </w:tr>
      <w:tr>
        <w:trPr>
          <w:trHeight w:val="264"/>
        </w:trPr>
        <w:tc>
          <w:tcPr>
            <w:tcW w:w="2280" w:type="dxa"/>
            <w:vAlign w:val="bottom"/>
          </w:tcPr>
          <w:p>
            <w:pPr>
              <w:ind w:left="80"/>
              <w:spacing w:after="0"/>
              <w:rPr>
                <w:sz w:val="20"/>
                <w:szCs w:val="20"/>
                <w:color w:val="auto"/>
              </w:rPr>
            </w:pPr>
            <w:r>
              <w:rPr>
                <w:rFonts w:ascii="Arial" w:cs="Arial" w:eastAsia="Arial" w:hAnsi="Arial"/>
                <w:sz w:val="16"/>
                <w:szCs w:val="16"/>
                <w:color w:val="auto"/>
              </w:rPr>
              <w:t>George H. Cave</w:t>
            </w:r>
          </w:p>
        </w:tc>
        <w:tc>
          <w:tcPr>
            <w:tcW w:w="1380" w:type="dxa"/>
            <w:vAlign w:val="bottom"/>
          </w:tcPr>
          <w:p>
            <w:pPr>
              <w:jc w:val="center"/>
              <w:spacing w:after="0"/>
              <w:rPr>
                <w:sz w:val="20"/>
                <w:szCs w:val="20"/>
                <w:color w:val="auto"/>
              </w:rPr>
            </w:pPr>
            <w:r>
              <w:rPr>
                <w:rFonts w:ascii="Arial" w:cs="Arial" w:eastAsia="Arial" w:hAnsi="Arial"/>
                <w:sz w:val="16"/>
                <w:szCs w:val="16"/>
                <w:color w:val="auto"/>
              </w:rPr>
              <w:t>$900,000</w:t>
            </w:r>
          </w:p>
        </w:tc>
        <w:tc>
          <w:tcPr>
            <w:tcW w:w="1140" w:type="dxa"/>
            <w:vAlign w:val="bottom"/>
          </w:tcPr>
          <w:p>
            <w:pPr>
              <w:jc w:val="center"/>
              <w:spacing w:after="0"/>
              <w:rPr>
                <w:sz w:val="20"/>
                <w:szCs w:val="20"/>
                <w:color w:val="auto"/>
              </w:rPr>
            </w:pPr>
            <w:r>
              <w:rPr>
                <w:rFonts w:ascii="Arial" w:cs="Arial" w:eastAsia="Arial" w:hAnsi="Arial"/>
                <w:sz w:val="16"/>
                <w:szCs w:val="16"/>
                <w:color w:val="auto"/>
              </w:rPr>
              <w:t>$600,000</w:t>
            </w:r>
          </w:p>
        </w:tc>
        <w:tc>
          <w:tcPr>
            <w:tcW w:w="1120" w:type="dxa"/>
            <w:vAlign w:val="bottom"/>
          </w:tcPr>
          <w:p>
            <w:pPr>
              <w:jc w:val="center"/>
              <w:spacing w:after="0"/>
              <w:rPr>
                <w:sz w:val="20"/>
                <w:szCs w:val="20"/>
                <w:color w:val="auto"/>
              </w:rPr>
            </w:pPr>
            <w:r>
              <w:rPr>
                <w:rFonts w:ascii="Arial" w:cs="Arial" w:eastAsia="Arial" w:hAnsi="Arial"/>
                <w:sz w:val="16"/>
                <w:szCs w:val="16"/>
                <w:color w:val="auto"/>
                <w:w w:val="99"/>
              </w:rPr>
              <w:t>$1,500,000</w:t>
            </w: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21,808</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14,539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938530</wp:posOffset>
            </wp:positionH>
            <wp:positionV relativeFrom="paragraph">
              <wp:posOffset>10795</wp:posOffset>
            </wp:positionV>
            <wp:extent cx="526542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265420" cy="8255"/>
                    </a:xfrm>
                    <a:prstGeom prst="rect">
                      <a:avLst/>
                    </a:prstGeom>
                    <a:noFill/>
                  </pic:spPr>
                </pic:pic>
              </a:graphicData>
            </a:graphic>
          </wp:anchor>
        </w:drawing>
      </w:r>
    </w:p>
    <w:p>
      <w:pPr>
        <w:spacing w:after="0" w:line="1" w:lineRule="exact"/>
        <w:rPr>
          <w:sz w:val="20"/>
          <w:szCs w:val="20"/>
          <w:color w:val="auto"/>
        </w:rPr>
      </w:pPr>
    </w:p>
    <w:p>
      <w:pPr>
        <w:ind w:left="2120" w:hanging="428"/>
        <w:spacing w:after="0"/>
        <w:tabs>
          <w:tab w:leader="none" w:pos="2120" w:val="left"/>
        </w:tabs>
        <w:numPr>
          <w:ilvl w:val="0"/>
          <w:numId w:val="73"/>
        </w:numPr>
        <w:rPr>
          <w:rFonts w:ascii="Arial" w:cs="Arial" w:eastAsia="Arial" w:hAnsi="Arial"/>
          <w:sz w:val="14"/>
          <w:szCs w:val="14"/>
          <w:color w:val="auto"/>
        </w:rPr>
      </w:pPr>
      <w:r>
        <w:rPr>
          <w:rFonts w:ascii="Arial" w:cs="Arial" w:eastAsia="Arial" w:hAnsi="Arial"/>
          <w:sz w:val="14"/>
          <w:szCs w:val="14"/>
          <w:color w:val="auto"/>
        </w:rPr>
        <w:t>Mr. Gutmann is not included in the table above as he did not receive a 2021 equity award prior to his retirement.</w:t>
      </w:r>
    </w:p>
    <w:p>
      <w:pPr>
        <w:spacing w:after="0" w:line="13" w:lineRule="exact"/>
        <w:rPr>
          <w:rFonts w:ascii="Arial" w:cs="Arial" w:eastAsia="Arial" w:hAnsi="Arial"/>
          <w:sz w:val="14"/>
          <w:szCs w:val="14"/>
          <w:color w:val="auto"/>
        </w:rPr>
      </w:pPr>
    </w:p>
    <w:p>
      <w:pPr>
        <w:jc w:val="both"/>
        <w:ind w:left="2120" w:right="1420" w:hanging="428"/>
        <w:spacing w:after="0" w:line="239" w:lineRule="auto"/>
        <w:tabs>
          <w:tab w:leader="none" w:pos="2120" w:val="left"/>
        </w:tabs>
        <w:numPr>
          <w:ilvl w:val="0"/>
          <w:numId w:val="73"/>
        </w:numPr>
        <w:rPr>
          <w:rFonts w:ascii="Arial" w:cs="Arial" w:eastAsia="Arial" w:hAnsi="Arial"/>
          <w:sz w:val="14"/>
          <w:szCs w:val="14"/>
          <w:color w:val="auto"/>
        </w:rPr>
      </w:pPr>
      <w:r>
        <w:rPr>
          <w:rFonts w:ascii="Arial" w:cs="Arial" w:eastAsia="Arial" w:hAnsi="Arial"/>
          <w:sz w:val="14"/>
          <w:szCs w:val="14"/>
          <w:color w:val="auto"/>
        </w:rPr>
        <w:t>The amounts disclosed in the above table reflect the grant date fair value for the 2021 PBRSUs. These amounts represent the probable outcome of the performance conditions as of the date of grant, which was based on a 100% attainment for each of the revenue, non-GAAP gross margin and non-GAAP operating expense components.</w:t>
      </w:r>
    </w:p>
    <w:p>
      <w:pPr>
        <w:jc w:val="both"/>
        <w:ind w:left="2120" w:right="1420" w:hanging="428"/>
        <w:spacing w:after="0" w:line="239" w:lineRule="auto"/>
        <w:tabs>
          <w:tab w:leader="none" w:pos="2120" w:val="left"/>
        </w:tabs>
        <w:numPr>
          <w:ilvl w:val="0"/>
          <w:numId w:val="73"/>
        </w:numPr>
        <w:rPr>
          <w:rFonts w:ascii="Arial" w:cs="Arial" w:eastAsia="Arial" w:hAnsi="Arial"/>
          <w:sz w:val="14"/>
          <w:szCs w:val="14"/>
          <w:color w:val="auto"/>
        </w:rPr>
      </w:pPr>
      <w:r>
        <w:rPr>
          <w:rFonts w:ascii="Arial" w:cs="Arial" w:eastAsia="Arial" w:hAnsi="Arial"/>
          <w:sz w:val="14"/>
          <w:szCs w:val="14"/>
          <w:color w:val="auto"/>
        </w:rPr>
        <w:t>The actual value of each such award as of December 31, 2021 is disclosed in columns (h) and (j) of the Outstanding Equity Awards at Fiscal Year-End 2021 table below in this proxy statement and described in the footnotes to such table. The number of units granted for all applicable NEOs other than Mr. Trent was based on the closing stock price on the date of grant (February 12, 2021) of $41.27 per share. For Mr. Trent, the number of units granted was based on the closing stock price on his hire date (February 16, 2021) of $41.85 per share.</w:t>
      </w:r>
    </w:p>
    <w:p>
      <w:pPr>
        <w:ind w:left="2120" w:hanging="428"/>
        <w:spacing w:after="0"/>
        <w:tabs>
          <w:tab w:leader="none" w:pos="2120" w:val="left"/>
        </w:tabs>
        <w:numPr>
          <w:ilvl w:val="0"/>
          <w:numId w:val="73"/>
        </w:numPr>
        <w:rPr>
          <w:rFonts w:ascii="Arial" w:cs="Arial" w:eastAsia="Arial" w:hAnsi="Arial"/>
          <w:sz w:val="14"/>
          <w:szCs w:val="14"/>
          <w:color w:val="auto"/>
        </w:rPr>
      </w:pPr>
      <w:r>
        <w:rPr>
          <w:rFonts w:ascii="Arial" w:cs="Arial" w:eastAsia="Arial" w:hAnsi="Arial"/>
          <w:sz w:val="14"/>
          <w:szCs w:val="14"/>
          <w:color w:val="auto"/>
        </w:rPr>
        <w:t>Excludes new hire grants of 91,996 PBRSUs and 39,427 RSUs, as applicable.</w:t>
      </w:r>
    </w:p>
    <w:p>
      <w:pPr>
        <w:ind w:left="2120" w:hanging="428"/>
        <w:spacing w:after="0"/>
        <w:tabs>
          <w:tab w:leader="none" w:pos="2120" w:val="left"/>
        </w:tabs>
        <w:numPr>
          <w:ilvl w:val="0"/>
          <w:numId w:val="73"/>
        </w:numPr>
        <w:rPr>
          <w:rFonts w:ascii="Arial" w:cs="Arial" w:eastAsia="Arial" w:hAnsi="Arial"/>
          <w:sz w:val="14"/>
          <w:szCs w:val="14"/>
          <w:color w:val="auto"/>
        </w:rPr>
      </w:pPr>
      <w:r>
        <w:rPr>
          <w:rFonts w:ascii="Arial" w:cs="Arial" w:eastAsia="Arial" w:hAnsi="Arial"/>
          <w:sz w:val="14"/>
          <w:szCs w:val="14"/>
          <w:color w:val="auto"/>
        </w:rPr>
        <w:t>Excludes off-cycle retention grants of 1,583 PBRSUs and 1,056 RSUs for Mr. Hopkin, as applicable.</w:t>
      </w:r>
    </w:p>
    <w:p>
      <w:pPr>
        <w:ind w:left="2120" w:right="1420" w:hanging="428"/>
        <w:spacing w:after="0" w:line="260" w:lineRule="auto"/>
        <w:tabs>
          <w:tab w:leader="none" w:pos="2120" w:val="left"/>
        </w:tabs>
        <w:numPr>
          <w:ilvl w:val="0"/>
          <w:numId w:val="73"/>
        </w:numPr>
        <w:rPr>
          <w:rFonts w:ascii="Arial" w:cs="Arial" w:eastAsia="Arial" w:hAnsi="Arial"/>
          <w:sz w:val="14"/>
          <w:szCs w:val="14"/>
          <w:color w:val="auto"/>
        </w:rPr>
      </w:pPr>
      <w:r>
        <w:rPr>
          <w:rFonts w:ascii="Arial" w:cs="Arial" w:eastAsia="Arial" w:hAnsi="Arial"/>
          <w:sz w:val="14"/>
          <w:szCs w:val="14"/>
          <w:color w:val="auto"/>
        </w:rPr>
        <w:t>Excludes off-cycle retention grants of 2,375 PBRSUs and 1,583 RSUs for each of Messrs. Keeton and Jatou, as applicable.</w:t>
      </w:r>
    </w:p>
    <w:p>
      <w:pPr>
        <w:spacing w:after="0" w:line="163" w:lineRule="exact"/>
        <w:rPr>
          <w:sz w:val="20"/>
          <w:szCs w:val="20"/>
          <w:color w:val="auto"/>
        </w:rPr>
      </w:pPr>
    </w:p>
    <w:p>
      <w:pPr>
        <w:jc w:val="both"/>
        <w:ind w:left="160"/>
        <w:spacing w:after="0" w:line="235" w:lineRule="auto"/>
        <w:rPr>
          <w:sz w:val="20"/>
          <w:szCs w:val="20"/>
          <w:color w:val="auto"/>
        </w:rPr>
      </w:pPr>
      <w:r>
        <w:rPr>
          <w:rFonts w:ascii="Arial" w:cs="Arial" w:eastAsia="Arial" w:hAnsi="Arial"/>
          <w:sz w:val="18"/>
          <w:szCs w:val="18"/>
          <w:i w:val="1"/>
          <w:iCs w:val="1"/>
          <w:u w:val="single" w:color="auto"/>
          <w:color w:val="auto"/>
        </w:rPr>
        <w:t>Off-Cycle Awards for Messrs. Hopkin, Keeton and Jatou</w:t>
      </w:r>
      <w:r>
        <w:rPr>
          <w:rFonts w:ascii="Arial" w:cs="Arial" w:eastAsia="Arial" w:hAnsi="Arial"/>
          <w:sz w:val="18"/>
          <w:szCs w:val="18"/>
          <w:color w:val="auto"/>
        </w:rPr>
        <w:t>. During a review of executive pay conducted by the HCC Committee in June</w:t>
      </w:r>
      <w:r>
        <w:rPr>
          <w:rFonts w:ascii="Arial" w:cs="Arial" w:eastAsia="Arial" w:hAnsi="Arial"/>
          <w:sz w:val="18"/>
          <w:szCs w:val="18"/>
          <w:i w:val="1"/>
          <w:iCs w:val="1"/>
          <w:color w:val="auto"/>
        </w:rPr>
        <w:t xml:space="preserve"> </w:t>
      </w:r>
      <w:r>
        <w:rPr>
          <w:rFonts w:ascii="Arial" w:cs="Arial" w:eastAsia="Arial" w:hAnsi="Arial"/>
          <w:sz w:val="18"/>
          <w:szCs w:val="18"/>
          <w:color w:val="auto"/>
        </w:rPr>
        <w:t>2021, it was determined that the short-term incentive and long-term incentive compensation for Messrs. Hopkin, Keeton and Jatou would be significantly and adversely impacted by economic conditions and the marketplace for key talent such that these compensation components for Messrs. Hopkin, Keeton and Jatou would be below market levels. Given that short-term and long-term incentive compensation for each of Messrs. Hopkin, Keeton and Jatou were positioned between the 25</w:t>
      </w:r>
      <w:r>
        <w:rPr>
          <w:rFonts w:ascii="Arial" w:cs="Arial" w:eastAsia="Arial" w:hAnsi="Arial"/>
          <w:sz w:val="15"/>
          <w:szCs w:val="15"/>
          <w:color w:val="auto"/>
        </w:rPr>
        <w:t>th</w:t>
      </w:r>
      <w:r>
        <w:rPr>
          <w:rFonts w:ascii="Arial" w:cs="Arial" w:eastAsia="Arial" w:hAnsi="Arial"/>
          <w:sz w:val="18"/>
          <w:szCs w:val="18"/>
          <w:color w:val="auto"/>
        </w:rPr>
        <w:t xml:space="preserve"> percentile and median of the market, the HCC Committee approved certain awards designed to align the total compensation of Messrs. Hopkin, Keeton and Jatou more closely with the median of the benchmarked data. These off-cycle retention measures included (i) an off-cycle retention award of PBRSUs with a grant date fair value of $60,000 for Mr. Hopkin and $90,000 for each of Messrs. Keeton and Jatou, respectively (the “Retention PBRSU Awards”); and (ii) an off-cycle retention award of RSUs with a grant date fair value of $40,000 for Mr. Hopkin and $60,000 for each of Messrs. Keeton and Jatou, respectively (the “Retention RSU Awards”). The Company believes that the retention measures taken with respect to Messrs. Hopkin, Keeton and Jatou, including the Retention PBRSU Awards and Retention RSU Awards described above, were reasonable in magnitude and represent an isolated practice.</w:t>
      </w:r>
    </w:p>
    <w:p>
      <w:pPr>
        <w:spacing w:after="0" w:line="132" w:lineRule="exact"/>
        <w:rPr>
          <w:sz w:val="20"/>
          <w:szCs w:val="20"/>
          <w:color w:val="auto"/>
        </w:rPr>
      </w:pPr>
    </w:p>
    <w:p>
      <w:pPr>
        <w:ind w:left="160"/>
        <w:spacing w:after="0"/>
        <w:tabs>
          <w:tab w:leader="none" w:pos="500" w:val="left"/>
        </w:tabs>
        <w:rPr>
          <w:sz w:val="20"/>
          <w:szCs w:val="20"/>
          <w:color w:val="auto"/>
        </w:rPr>
      </w:pPr>
      <w:r>
        <w:rPr>
          <w:rFonts w:ascii="Arial" w:cs="Arial" w:eastAsia="Arial" w:hAnsi="Arial"/>
          <w:sz w:val="14"/>
          <w:szCs w:val="14"/>
          <w:color w:val="F75E14"/>
        </w:rPr>
        <w:t>44</w:t>
        <w:tab/>
        <w:t>onsemi 2022 Proxy Statement</w:t>
      </w:r>
    </w:p>
    <w:p>
      <w:pPr>
        <w:sectPr>
          <w:pgSz w:w="11900" w:h="16838" w:orient="portrait"/>
          <w:cols w:equalWidth="0" w:num="1">
            <w:col w:w="11080"/>
          </w:cols>
          <w:pgMar w:left="320" w:top="454" w:right="499" w:bottom="1440" w:gutter="0" w:footer="0" w:header="0"/>
        </w:sectPr>
      </w:pPr>
    </w:p>
    <w:bookmarkStart w:id="48" w:name="page49"/>
    <w:bookmarkEnd w:id="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2" w:lineRule="exact"/>
        <w:rPr>
          <w:sz w:val="20"/>
          <w:szCs w:val="20"/>
          <w:color w:val="auto"/>
        </w:rPr>
      </w:pPr>
    </w:p>
    <w:p>
      <w:pPr>
        <w:ind w:left="7960"/>
        <w:spacing w:after="0"/>
        <w:rPr>
          <w:sz w:val="20"/>
          <w:szCs w:val="20"/>
          <w:color w:val="auto"/>
        </w:rPr>
      </w:pPr>
      <w:r>
        <w:rPr>
          <w:rFonts w:ascii="Arial" w:cs="Arial" w:eastAsia="Arial" w:hAnsi="Arial"/>
          <w:sz w:val="17"/>
          <w:szCs w:val="17"/>
          <w:color w:val="F75E14"/>
        </w:rPr>
        <w:t>Compensation Discussion and Analysis</w:t>
      </w:r>
    </w:p>
    <w:p>
      <w:pPr>
        <w:spacing w:after="0" w:line="152" w:lineRule="exact"/>
        <w:rPr>
          <w:sz w:val="20"/>
          <w:szCs w:val="20"/>
          <w:color w:val="auto"/>
        </w:rPr>
      </w:pPr>
    </w:p>
    <w:p>
      <w:pPr>
        <w:jc w:val="both"/>
        <w:ind w:left="160"/>
        <w:spacing w:after="0" w:line="239" w:lineRule="auto"/>
        <w:rPr>
          <w:sz w:val="20"/>
          <w:szCs w:val="20"/>
          <w:color w:val="auto"/>
        </w:rPr>
      </w:pPr>
      <w:r>
        <w:rPr>
          <w:rFonts w:ascii="Arial" w:cs="Arial" w:eastAsia="Arial" w:hAnsi="Arial"/>
          <w:sz w:val="18"/>
          <w:szCs w:val="18"/>
          <w:i w:val="1"/>
          <w:iCs w:val="1"/>
          <w:u w:val="single" w:color="auto"/>
          <w:color w:val="auto"/>
        </w:rPr>
        <w:t>2022 Long-Term Incentive Awards</w:t>
      </w:r>
      <w:r>
        <w:rPr>
          <w:rFonts w:ascii="Arial" w:cs="Arial" w:eastAsia="Arial" w:hAnsi="Arial"/>
          <w:sz w:val="18"/>
          <w:szCs w:val="18"/>
          <w:color w:val="auto"/>
        </w:rPr>
        <w:t>. In February 2022, the HCC Committee approved the Company’s long-term incentive program for 2022</w:t>
      </w:r>
      <w:r>
        <w:rPr>
          <w:rFonts w:ascii="Arial" w:cs="Arial" w:eastAsia="Arial" w:hAnsi="Arial"/>
          <w:sz w:val="18"/>
          <w:szCs w:val="18"/>
          <w:i w:val="1"/>
          <w:iCs w:val="1"/>
          <w:color w:val="auto"/>
        </w:rPr>
        <w:t xml:space="preserve"> </w:t>
      </w:r>
      <w:r>
        <w:rPr>
          <w:rFonts w:ascii="Arial" w:cs="Arial" w:eastAsia="Arial" w:hAnsi="Arial"/>
          <w:sz w:val="18"/>
          <w:szCs w:val="18"/>
          <w:color w:val="auto"/>
        </w:rPr>
        <w:t>(the “2022 LTI Program”) and the related equity awards under such program for the Company’s employees, including the applicable NEOs. The 2022 LTI Program was designed to reward performance consistent with the Company’s evolving long-term strategic objectives. Consistent with that approach, each of the NEOs received two awards – a PBRSU award (the “2022 PBRSUs”) and an RSU award (the “2022 RSUs”). The HCC Committee weighted the 2022 PBRSUs approximately 60% and the 2022 RSUs approximately 40% in line with the Company’s pay-for-performance philosophy.</w:t>
      </w:r>
    </w:p>
    <w:p>
      <w:pPr>
        <w:spacing w:after="0" w:line="181" w:lineRule="exact"/>
        <w:rPr>
          <w:sz w:val="20"/>
          <w:szCs w:val="20"/>
          <w:color w:val="auto"/>
        </w:rPr>
      </w:pPr>
    </w:p>
    <w:p>
      <w:pPr>
        <w:jc w:val="both"/>
        <w:ind w:left="160"/>
        <w:spacing w:after="0" w:line="265" w:lineRule="auto"/>
        <w:rPr>
          <w:sz w:val="20"/>
          <w:szCs w:val="20"/>
          <w:color w:val="auto"/>
        </w:rPr>
      </w:pPr>
      <w:r>
        <w:rPr>
          <w:rFonts w:ascii="Arial" w:cs="Arial" w:eastAsia="Arial" w:hAnsi="Arial"/>
          <w:sz w:val="18"/>
          <w:szCs w:val="18"/>
          <w:color w:val="auto"/>
        </w:rPr>
        <w:t>The 2022 RSUs will vest pro rata over three years from the date of grant, subject to continued employment or service to the Company through the vesting date.</w:t>
      </w:r>
    </w:p>
    <w:p>
      <w:pPr>
        <w:spacing w:after="0" w:line="158" w:lineRule="exact"/>
        <w:rPr>
          <w:sz w:val="20"/>
          <w:szCs w:val="20"/>
          <w:color w:val="auto"/>
        </w:rPr>
      </w:pPr>
    </w:p>
    <w:p>
      <w:pPr>
        <w:jc w:val="both"/>
        <w:ind w:left="160"/>
        <w:spacing w:after="0" w:line="243" w:lineRule="auto"/>
        <w:rPr>
          <w:sz w:val="20"/>
          <w:szCs w:val="20"/>
          <w:color w:val="auto"/>
        </w:rPr>
      </w:pPr>
      <w:r>
        <w:rPr>
          <w:rFonts w:ascii="Arial" w:cs="Arial" w:eastAsia="Arial" w:hAnsi="Arial"/>
          <w:sz w:val="18"/>
          <w:szCs w:val="18"/>
          <w:color w:val="auto"/>
        </w:rPr>
        <w:t>The 2022 PBRSUs will vest, according to their terms, only if and to the extent that certain performance goals (the “2022 Performance Goals”) established by the HCC Committee are achieved. The HCC Committee established a payout scale to translate performance levels into vesting results. Exact achievement of the 2022 Performance Goals generally translates into earning 100% of the target number of shares, with lesser earnings provided for lesser performance and greater earnings provided for greater performance.</w:t>
      </w:r>
    </w:p>
    <w:p>
      <w:pPr>
        <w:spacing w:after="0" w:line="178" w:lineRule="exact"/>
        <w:rPr>
          <w:sz w:val="20"/>
          <w:szCs w:val="20"/>
          <w:color w:val="auto"/>
        </w:rPr>
      </w:pPr>
    </w:p>
    <w:p>
      <w:pPr>
        <w:jc w:val="both"/>
        <w:ind w:left="160"/>
        <w:spacing w:after="0" w:line="236" w:lineRule="auto"/>
        <w:rPr>
          <w:sz w:val="20"/>
          <w:szCs w:val="20"/>
          <w:color w:val="auto"/>
        </w:rPr>
      </w:pPr>
      <w:r>
        <w:rPr>
          <w:rFonts w:ascii="Arial" w:cs="Arial" w:eastAsia="Arial" w:hAnsi="Arial"/>
          <w:sz w:val="18"/>
          <w:szCs w:val="18"/>
          <w:color w:val="auto"/>
        </w:rPr>
        <w:t>The 2022 Performance Goals selected by the HCC Committee in February 2022 include three financial performance goals – revenue, non-GAAP gross margin and non-GAAP operating income performance – and three operational or organizational goals – increasing the revenue driven by products containing Silicon Carbide technology, establishing baselines for each of the three categories (Scopes 1, 2 and 3) tracked by the U.S. Environmental Protection Agency across which carbon emissions are measured and establishing a customer experience program – during the fiscal year 2022 performance period. Based on the level of achievement of the performance goals under the 2022 LTI Program, each NEO could receive up to 150% achievement for the financial goals or 200% achievement for the operational and organizational goals, in each case, for results at or above the stretch levels, with straight-line interpolation between the threshold and target levels and between the target and stretch levels. Similar to the 2021 LTI Program, shares earned for 2022 performance will be divided into three portions that will be scheduled to vest over three years, no later than the date that the Company files its Annual Report on Form 10-K for each of 2022, 2023 and 2024, respectively, subject to the executive remaining continuously employed with the Company through the applicable vesting date, and as adjusted by the TSR Adjustment factor.</w:t>
      </w:r>
    </w:p>
    <w:p>
      <w:pPr>
        <w:spacing w:after="0" w:line="182" w:lineRule="exact"/>
        <w:rPr>
          <w:sz w:val="20"/>
          <w:szCs w:val="20"/>
          <w:color w:val="auto"/>
        </w:rPr>
      </w:pPr>
    </w:p>
    <w:p>
      <w:pPr>
        <w:jc w:val="both"/>
        <w:ind w:left="160"/>
        <w:spacing w:after="0"/>
        <w:rPr>
          <w:sz w:val="20"/>
          <w:szCs w:val="20"/>
          <w:color w:val="auto"/>
        </w:rPr>
      </w:pPr>
      <w:r>
        <w:rPr>
          <w:rFonts w:ascii="Arial" w:cs="Arial" w:eastAsia="Arial" w:hAnsi="Arial"/>
          <w:sz w:val="18"/>
          <w:szCs w:val="18"/>
          <w:color w:val="auto"/>
        </w:rPr>
        <w:t>Similar to the 2021 PBRSUs, the 2022 PBRSUs granted are also eligible for longer-term upside opportunities up to 150% by virtue of the TSR Adjustment. Each of the three vesting tranches described above would be subject to a modification of the aggregate PBRSUs earned based on the TSR Adjustment, which could reduce the PBRSUs otherwise earned by 50%, or alternatively could increase the PBRSUs otherwise earned to up to 150% of the target PBRSUs. The Relative TSR goals that characterize the TSR Adjustment reflect those discussed above with respect to the Relative TSR component of the 2021 PBRSUs.</w:t>
      </w:r>
    </w:p>
    <w:p>
      <w:pPr>
        <w:spacing w:after="0" w:line="182" w:lineRule="exact"/>
        <w:rPr>
          <w:sz w:val="20"/>
          <w:szCs w:val="20"/>
          <w:color w:val="auto"/>
        </w:rPr>
      </w:pPr>
    </w:p>
    <w:p>
      <w:pPr>
        <w:jc w:val="both"/>
        <w:ind w:left="160"/>
        <w:spacing w:after="0"/>
        <w:rPr>
          <w:sz w:val="20"/>
          <w:szCs w:val="20"/>
          <w:color w:val="auto"/>
        </w:rPr>
      </w:pPr>
      <w:r>
        <w:rPr>
          <w:rFonts w:ascii="Arial" w:cs="Arial" w:eastAsia="Arial" w:hAnsi="Arial"/>
          <w:sz w:val="18"/>
          <w:szCs w:val="18"/>
          <w:color w:val="auto"/>
        </w:rPr>
        <w:t>Based on its annual evaluation of the peer group at the August 2021 HCC Committee meeting, which included a review and analysis of a report prepared by Pearl Meyer, the HCC Committee determined to (i) add Monolithic Power Systems, Inc., (ii) retain Maxim Integrated Products, Inc. and Xilinx, Inc., which were acquired by Analog Devices, Inc. in August 2021 and by Advanced Micro Devices, Inc. in February 2022, respectively, pending such acquisitions, and (iii) otherwise keep the peer group used for purposes of 2022 NEO compensation decisions identical to the 2021 Peer Group.</w:t>
      </w:r>
    </w:p>
    <w:p>
      <w:pPr>
        <w:spacing w:after="0" w:line="184"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Post-Termination Compensation</w:t>
      </w:r>
    </w:p>
    <w:p>
      <w:pPr>
        <w:spacing w:after="0" w:line="206" w:lineRule="exact"/>
        <w:rPr>
          <w:sz w:val="20"/>
          <w:szCs w:val="20"/>
          <w:color w:val="auto"/>
        </w:rPr>
      </w:pPr>
    </w:p>
    <w:p>
      <w:pPr>
        <w:jc w:val="both"/>
        <w:ind w:left="160"/>
        <w:spacing w:after="0" w:line="249" w:lineRule="auto"/>
        <w:rPr>
          <w:sz w:val="20"/>
          <w:szCs w:val="20"/>
          <w:color w:val="auto"/>
        </w:rPr>
      </w:pPr>
      <w:r>
        <w:rPr>
          <w:rFonts w:ascii="Arial" w:cs="Arial" w:eastAsia="Arial" w:hAnsi="Arial"/>
          <w:sz w:val="18"/>
          <w:szCs w:val="18"/>
          <w:i w:val="1"/>
          <w:iCs w:val="1"/>
          <w:u w:val="single" w:color="auto"/>
          <w:color w:val="auto"/>
        </w:rPr>
        <w:t>Severance and Change in Control Arrangements</w:t>
      </w:r>
      <w:r>
        <w:rPr>
          <w:rFonts w:ascii="Arial" w:cs="Arial" w:eastAsia="Arial" w:hAnsi="Arial"/>
          <w:sz w:val="18"/>
          <w:szCs w:val="18"/>
          <w:color w:val="auto"/>
        </w:rPr>
        <w:t>. Under the SIP, the HCC Committee has discretion to accelerate equity-based vesting</w:t>
      </w:r>
      <w:r>
        <w:rPr>
          <w:rFonts w:ascii="Arial" w:cs="Arial" w:eastAsia="Arial" w:hAnsi="Arial"/>
          <w:sz w:val="18"/>
          <w:szCs w:val="18"/>
          <w:i w:val="1"/>
          <w:iCs w:val="1"/>
          <w:color w:val="auto"/>
        </w:rPr>
        <w:t xml:space="preserve"> </w:t>
      </w:r>
      <w:r>
        <w:rPr>
          <w:rFonts w:ascii="Arial" w:cs="Arial" w:eastAsia="Arial" w:hAnsi="Arial"/>
          <w:sz w:val="18"/>
          <w:szCs w:val="18"/>
          <w:color w:val="auto"/>
        </w:rPr>
        <w:t>upon a Change in Control (as defined in the SIP) (“Change in Control”). In addition, we have entered into the following arrangements with our NEOs that provide for post-termination payments in the event of a Change in Control:</w:t>
      </w:r>
    </w:p>
    <w:p>
      <w:pPr>
        <w:spacing w:after="0" w:line="198" w:lineRule="exact"/>
        <w:rPr>
          <w:sz w:val="20"/>
          <w:szCs w:val="20"/>
          <w:color w:val="auto"/>
        </w:rPr>
      </w:pPr>
    </w:p>
    <w:p>
      <w:pPr>
        <w:jc w:val="both"/>
        <w:ind w:left="1020" w:hanging="425"/>
        <w:spacing w:after="0" w:line="239" w:lineRule="auto"/>
        <w:tabs>
          <w:tab w:leader="none" w:pos="1020" w:val="left"/>
        </w:tabs>
        <w:numPr>
          <w:ilvl w:val="0"/>
          <w:numId w:val="74"/>
        </w:numPr>
        <w:rPr>
          <w:rFonts w:ascii="Arial" w:cs="Arial" w:eastAsia="Arial" w:hAnsi="Arial"/>
          <w:sz w:val="18"/>
          <w:szCs w:val="18"/>
          <w:color w:val="auto"/>
        </w:rPr>
      </w:pPr>
      <w:r>
        <w:rPr>
          <w:rFonts w:ascii="Arial" w:cs="Arial" w:eastAsia="Arial" w:hAnsi="Arial"/>
          <w:sz w:val="18"/>
          <w:szCs w:val="18"/>
          <w:i w:val="1"/>
          <w:iCs w:val="1"/>
          <w:color w:val="auto"/>
        </w:rPr>
        <w:t>RSU Award Agreements</w:t>
      </w:r>
      <w:r>
        <w:rPr>
          <w:rFonts w:ascii="Arial" w:cs="Arial" w:eastAsia="Arial" w:hAnsi="Arial"/>
          <w:sz w:val="18"/>
          <w:szCs w:val="18"/>
          <w:color w:val="auto"/>
        </w:rPr>
        <w:t>. The 2020 RSU agreements awarded to our NEOs contain provisions providing for the unvested</w:t>
      </w:r>
      <w:r>
        <w:rPr>
          <w:rFonts w:ascii="Arial" w:cs="Arial" w:eastAsia="Arial" w:hAnsi="Arial"/>
          <w:sz w:val="18"/>
          <w:szCs w:val="18"/>
          <w:i w:val="1"/>
          <w:iCs w:val="1"/>
          <w:color w:val="auto"/>
        </w:rPr>
        <w:t xml:space="preserve"> </w:t>
      </w:r>
      <w:r>
        <w:rPr>
          <w:rFonts w:ascii="Arial" w:cs="Arial" w:eastAsia="Arial" w:hAnsi="Arial"/>
          <w:sz w:val="18"/>
          <w:szCs w:val="18"/>
          <w:color w:val="auto"/>
        </w:rPr>
        <w:t>portion of the awards to fully vest upon any termination of employment in connection with a Change in Control, or upon a resignation by the NEO for “Good Reason” (as such terms are defined in the applicable NEO’s employment agreement), within a two-year period after a Change in Control. Under the award agreements for the 2020 RSUs awarded to our applicable NEOs, if a Change in Control occurs after a qualifying retirement, the unvested RSUs subject to those award agreements will also immediately vest. While the 2021 RSU agreements</w:t>
      </w:r>
    </w:p>
    <w:p>
      <w:pPr>
        <w:spacing w:after="0" w:line="124"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F75E14"/>
        </w:rPr>
        <w:t>onsemi 2022 Proxy Statement</w:t>
        <w:tab/>
        <w:t>45</w:t>
      </w:r>
    </w:p>
    <w:p>
      <w:pPr>
        <w:sectPr>
          <w:pgSz w:w="11900" w:h="16838" w:orient="portrait"/>
          <w:cols w:equalWidth="0" w:num="1">
            <w:col w:w="11080"/>
          </w:cols>
          <w:pgMar w:left="320" w:top="454" w:right="499" w:bottom="1440" w:gutter="0" w:footer="0" w:header="0"/>
        </w:sectPr>
      </w:pPr>
    </w:p>
    <w:bookmarkStart w:id="49" w:name="page50"/>
    <w:bookmarkEnd w:id="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2" w:lineRule="exact"/>
        <w:rPr>
          <w:sz w:val="20"/>
          <w:szCs w:val="20"/>
          <w:color w:val="auto"/>
        </w:rPr>
      </w:pPr>
    </w:p>
    <w:p>
      <w:pPr>
        <w:ind w:left="160"/>
        <w:spacing w:after="0"/>
        <w:rPr>
          <w:sz w:val="20"/>
          <w:szCs w:val="20"/>
          <w:color w:val="auto"/>
        </w:rPr>
      </w:pPr>
      <w:r>
        <w:rPr>
          <w:rFonts w:ascii="Arial" w:cs="Arial" w:eastAsia="Arial" w:hAnsi="Arial"/>
          <w:sz w:val="18"/>
          <w:szCs w:val="18"/>
          <w:color w:val="F75E14"/>
        </w:rPr>
        <w:t>Compensation Discussion and Analysis</w:t>
      </w:r>
    </w:p>
    <w:p>
      <w:pPr>
        <w:spacing w:after="0" w:line="141" w:lineRule="exact"/>
        <w:rPr>
          <w:sz w:val="20"/>
          <w:szCs w:val="20"/>
          <w:color w:val="auto"/>
        </w:rPr>
      </w:pPr>
    </w:p>
    <w:p>
      <w:pPr>
        <w:jc w:val="both"/>
        <w:ind w:left="1040"/>
        <w:spacing w:after="0"/>
        <w:rPr>
          <w:sz w:val="20"/>
          <w:szCs w:val="20"/>
          <w:color w:val="auto"/>
        </w:rPr>
      </w:pPr>
      <w:r>
        <w:rPr>
          <w:rFonts w:ascii="Arial" w:cs="Arial" w:eastAsia="Arial" w:hAnsi="Arial"/>
          <w:sz w:val="18"/>
          <w:szCs w:val="18"/>
          <w:color w:val="auto"/>
        </w:rPr>
        <w:t>awarded to our applicable NEOs do not contain similar provisions, the new hire RSU award provided to Mr. Trent in connection with his appointment as the Company’s Executive Vice President and Chief Financial Officer contains provisions causing the unvested portion of such award to vest upon a termination of employment without “Cause” or in the event Mr. Trent resigns for “Good Reason,” whether or not in connection with a Change in Control, but excluding any termination for “Retirement” (as such terms are defined in Mr. Trent’s employment agreement).</w:t>
      </w:r>
    </w:p>
    <w:p>
      <w:pPr>
        <w:spacing w:after="0" w:line="209" w:lineRule="exact"/>
        <w:rPr>
          <w:sz w:val="20"/>
          <w:szCs w:val="20"/>
          <w:color w:val="auto"/>
        </w:rPr>
      </w:pPr>
    </w:p>
    <w:p>
      <w:pPr>
        <w:jc w:val="both"/>
        <w:ind w:left="1020" w:hanging="425"/>
        <w:spacing w:after="0" w:line="237" w:lineRule="auto"/>
        <w:tabs>
          <w:tab w:leader="none" w:pos="1020" w:val="left"/>
        </w:tabs>
        <w:numPr>
          <w:ilvl w:val="0"/>
          <w:numId w:val="75"/>
        </w:numPr>
        <w:rPr>
          <w:rFonts w:ascii="Arial" w:cs="Arial" w:eastAsia="Arial" w:hAnsi="Arial"/>
          <w:sz w:val="18"/>
          <w:szCs w:val="18"/>
          <w:color w:val="auto"/>
        </w:rPr>
      </w:pPr>
      <w:r>
        <w:rPr>
          <w:rFonts w:ascii="Arial" w:cs="Arial" w:eastAsia="Arial" w:hAnsi="Arial"/>
          <w:sz w:val="18"/>
          <w:szCs w:val="18"/>
          <w:i w:val="1"/>
          <w:iCs w:val="1"/>
          <w:color w:val="auto"/>
        </w:rPr>
        <w:t>PBRSU Award Agreements</w:t>
      </w:r>
      <w:r>
        <w:rPr>
          <w:rFonts w:ascii="Arial" w:cs="Arial" w:eastAsia="Arial" w:hAnsi="Arial"/>
          <w:sz w:val="18"/>
          <w:szCs w:val="18"/>
          <w:color w:val="auto"/>
        </w:rPr>
        <w:t>. The new hire PBRSU award granted to each of Messrs. El-Khoury and Trent in connection with</w:t>
      </w:r>
      <w:r>
        <w:rPr>
          <w:rFonts w:ascii="Arial" w:cs="Arial" w:eastAsia="Arial" w:hAnsi="Arial"/>
          <w:sz w:val="18"/>
          <w:szCs w:val="18"/>
          <w:i w:val="1"/>
          <w:iCs w:val="1"/>
          <w:color w:val="auto"/>
        </w:rPr>
        <w:t xml:space="preserve"> </w:t>
      </w:r>
      <w:r>
        <w:rPr>
          <w:rFonts w:ascii="Arial" w:cs="Arial" w:eastAsia="Arial" w:hAnsi="Arial"/>
          <w:sz w:val="18"/>
          <w:szCs w:val="18"/>
          <w:color w:val="auto"/>
        </w:rPr>
        <w:t>their appointments as President and Chief Executive Officer and Executive Vice President and Chief Financial Officer, respectively, contains provisions stating that if his employment is terminated (i) without Cause in connection with or following a Change of Control at a time prior to the end of the applicable performance period for the award, the total earned units will immediately vest as if the corresponding target performance level had been achieved, and (ii) without Cause or for Good Reason (absent a Change in Control) and subject to additional requirements stated in the award agreement, a number of units will vest as of the employee’s termination of employment in an amount determined by multiplying the number of units that would be earned under the award agreement using a truncated performance period, multiplied by a fraction, the numerator of which is the number of days the employee was employed during the performance period and the denominator of which is 730.</w:t>
      </w:r>
    </w:p>
    <w:p>
      <w:pPr>
        <w:spacing w:after="0" w:line="206" w:lineRule="exact"/>
        <w:rPr>
          <w:rFonts w:ascii="Arial" w:cs="Arial" w:eastAsia="Arial" w:hAnsi="Arial"/>
          <w:sz w:val="18"/>
          <w:szCs w:val="18"/>
          <w:color w:val="auto"/>
        </w:rPr>
      </w:pPr>
    </w:p>
    <w:p>
      <w:pPr>
        <w:jc w:val="both"/>
        <w:ind w:left="1020" w:hanging="425"/>
        <w:spacing w:after="0"/>
        <w:tabs>
          <w:tab w:leader="none" w:pos="1020" w:val="left"/>
        </w:tabs>
        <w:numPr>
          <w:ilvl w:val="0"/>
          <w:numId w:val="75"/>
        </w:numPr>
        <w:rPr>
          <w:rFonts w:ascii="Arial" w:cs="Arial" w:eastAsia="Arial" w:hAnsi="Arial"/>
          <w:sz w:val="18"/>
          <w:szCs w:val="18"/>
          <w:color w:val="auto"/>
        </w:rPr>
      </w:pPr>
      <w:r>
        <w:rPr>
          <w:rFonts w:ascii="Arial" w:cs="Arial" w:eastAsia="Arial" w:hAnsi="Arial"/>
          <w:sz w:val="18"/>
          <w:szCs w:val="18"/>
          <w:i w:val="1"/>
          <w:iCs w:val="1"/>
          <w:color w:val="auto"/>
        </w:rPr>
        <w:t>Employment Agreements</w:t>
      </w:r>
      <w:r>
        <w:rPr>
          <w:rFonts w:ascii="Arial" w:cs="Arial" w:eastAsia="Arial" w:hAnsi="Arial"/>
          <w:sz w:val="18"/>
          <w:szCs w:val="18"/>
          <w:color w:val="auto"/>
        </w:rPr>
        <w:t>. The employment agreements for our NEOs provide for certain post-termination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payments in the event of a Change in Control. For a description of the severance and change in control provisions of the employment agreements for our NEOs, see “Compensation of Executive Officers — Employment, Severance and Change in Control Arrangements” and “Compensation of Executive Officers — Potential Payments Upon Termination of Employment or Change in Control” below in this proxy statement.</w:t>
      </w:r>
    </w:p>
    <w:p>
      <w:pPr>
        <w:spacing w:after="0" w:line="182" w:lineRule="exact"/>
        <w:rPr>
          <w:sz w:val="20"/>
          <w:szCs w:val="20"/>
          <w:color w:val="auto"/>
        </w:rPr>
      </w:pPr>
    </w:p>
    <w:p>
      <w:pPr>
        <w:jc w:val="both"/>
        <w:ind w:left="160"/>
        <w:spacing w:after="0" w:line="239" w:lineRule="auto"/>
        <w:rPr>
          <w:sz w:val="20"/>
          <w:szCs w:val="20"/>
          <w:color w:val="auto"/>
        </w:rPr>
      </w:pPr>
      <w:r>
        <w:rPr>
          <w:rFonts w:ascii="Arial" w:cs="Arial" w:eastAsia="Arial" w:hAnsi="Arial"/>
          <w:sz w:val="18"/>
          <w:szCs w:val="18"/>
          <w:i w:val="1"/>
          <w:iCs w:val="1"/>
          <w:u w:val="single" w:color="auto"/>
          <w:color w:val="auto"/>
        </w:rPr>
        <w:t>Retirement Provisions – RSU Award Agreements</w:t>
      </w:r>
      <w:r>
        <w:rPr>
          <w:rFonts w:ascii="Arial" w:cs="Arial" w:eastAsia="Arial" w:hAnsi="Arial"/>
          <w:sz w:val="18"/>
          <w:szCs w:val="18"/>
          <w:color w:val="auto"/>
        </w:rPr>
        <w:t>. Under our 2020 RSU award agreements to Messrs. Hopkin, Cave and Gutmann,</w:t>
      </w:r>
      <w:r>
        <w:rPr>
          <w:rFonts w:ascii="Arial" w:cs="Arial" w:eastAsia="Arial" w:hAnsi="Arial"/>
          <w:sz w:val="18"/>
          <w:szCs w:val="18"/>
          <w:i w:val="1"/>
          <w:iCs w:val="1"/>
          <w:color w:val="auto"/>
        </w:rPr>
        <w:t xml:space="preserve"> </w:t>
      </w:r>
      <w:r>
        <w:rPr>
          <w:rFonts w:ascii="Arial" w:cs="Arial" w:eastAsia="Arial" w:hAnsi="Arial"/>
          <w:sz w:val="18"/>
          <w:szCs w:val="18"/>
          <w:color w:val="auto"/>
        </w:rPr>
        <w:t>subject to certain advance notice requirements, any unvested RSUs awarded to such NEO who meets certain age and service requirements as of the grant date and retires after the six-month anniversary of the grant date set forth in the award agreement will, upon such NEO’s retirement, continue to vest in accordance with the schedule set forth in the award agreement until such RSUs become fully vested. If a Change in Control follows the date on which a grantee retires, any unvested RSUs will immediately vest as of the date of the Change in Control.</w:t>
      </w:r>
    </w:p>
    <w:p>
      <w:pPr>
        <w:spacing w:after="0" w:line="181" w:lineRule="exact"/>
        <w:rPr>
          <w:sz w:val="20"/>
          <w:szCs w:val="20"/>
          <w:color w:val="auto"/>
        </w:rPr>
      </w:pPr>
    </w:p>
    <w:p>
      <w:pPr>
        <w:jc w:val="both"/>
        <w:ind w:left="160"/>
        <w:spacing w:after="0" w:line="236" w:lineRule="auto"/>
        <w:rPr>
          <w:sz w:val="20"/>
          <w:szCs w:val="20"/>
          <w:color w:val="auto"/>
        </w:rPr>
      </w:pPr>
      <w:r>
        <w:rPr>
          <w:rFonts w:ascii="Arial" w:cs="Arial" w:eastAsia="Arial" w:hAnsi="Arial"/>
          <w:sz w:val="18"/>
          <w:szCs w:val="18"/>
          <w:i w:val="1"/>
          <w:iCs w:val="1"/>
          <w:u w:val="single" w:color="auto"/>
          <w:color w:val="auto"/>
        </w:rPr>
        <w:t>Market Alignment</w:t>
      </w:r>
      <w:r>
        <w:rPr>
          <w:rFonts w:ascii="Arial" w:cs="Arial" w:eastAsia="Arial" w:hAnsi="Arial"/>
          <w:sz w:val="18"/>
          <w:szCs w:val="18"/>
          <w:color w:val="auto"/>
        </w:rPr>
        <w:t>. The HCC Committee believes that our post-termination compensation and related arrangements with our NEOs are</w:t>
      </w:r>
      <w:r>
        <w:rPr>
          <w:rFonts w:ascii="Arial" w:cs="Arial" w:eastAsia="Arial" w:hAnsi="Arial"/>
          <w:sz w:val="18"/>
          <w:szCs w:val="18"/>
          <w:i w:val="1"/>
          <w:iCs w:val="1"/>
          <w:color w:val="auto"/>
        </w:rPr>
        <w:t xml:space="preserve"> </w:t>
      </w:r>
      <w:r>
        <w:rPr>
          <w:rFonts w:ascii="Arial" w:cs="Arial" w:eastAsia="Arial" w:hAnsi="Arial"/>
          <w:sz w:val="18"/>
          <w:szCs w:val="18"/>
          <w:color w:val="auto"/>
        </w:rPr>
        <w:t>aligned with existing market practices related to, and are consistent with, the principal objectives of our compensation programs. To the extent a NEO’s employment agreement contains severance benefits or a change in control provision, such benefits are predicated upon the NEO being terminated without Cause or resigning for Good Reason. In addition, our change in control provisions do not include excise tax gross-ups, and our severance benefits are subject to the NEO signing a general release and waiver and complying with certain restrictive covenants, including non-solicitation, confidentiality and non-disparagement agreements, as well as non-competition or non-interference agreements, all of which serve the best interests of the Company and its stockholders. The continued vesting benefit under the retirement provisions in the 2020 RSU award agreements is similarly subject to restrictions that serve the best interest of the Company and its stockholders, as the benefit was subject to meeting certain age and service-based requirements as of the grant date of the applicable award.</w:t>
      </w:r>
    </w:p>
    <w:p>
      <w:pPr>
        <w:spacing w:after="0" w:line="185" w:lineRule="exact"/>
        <w:rPr>
          <w:sz w:val="20"/>
          <w:szCs w:val="20"/>
          <w:color w:val="auto"/>
        </w:rPr>
      </w:pPr>
    </w:p>
    <w:p>
      <w:pPr>
        <w:jc w:val="both"/>
        <w:ind w:left="160"/>
        <w:spacing w:after="0" w:line="237" w:lineRule="auto"/>
        <w:rPr>
          <w:sz w:val="20"/>
          <w:szCs w:val="20"/>
          <w:color w:val="auto"/>
        </w:rPr>
      </w:pPr>
      <w:r>
        <w:rPr>
          <w:rFonts w:ascii="Arial" w:cs="Arial" w:eastAsia="Arial" w:hAnsi="Arial"/>
          <w:sz w:val="18"/>
          <w:szCs w:val="18"/>
          <w:i w:val="1"/>
          <w:iCs w:val="1"/>
          <w:u w:val="single" w:color="auto"/>
          <w:color w:val="auto"/>
        </w:rPr>
        <w:t>Advantages of Our Post-Termination Compensation Arrangements</w:t>
      </w:r>
      <w:r>
        <w:rPr>
          <w:rFonts w:ascii="Arial" w:cs="Arial" w:eastAsia="Arial" w:hAnsi="Arial"/>
          <w:sz w:val="18"/>
          <w:szCs w:val="18"/>
          <w:color w:val="auto"/>
        </w:rPr>
        <w:t>. The HCC Committee believes that our management has played a</w:t>
      </w:r>
      <w:r>
        <w:rPr>
          <w:rFonts w:ascii="Arial" w:cs="Arial" w:eastAsia="Arial" w:hAnsi="Arial"/>
          <w:sz w:val="18"/>
          <w:szCs w:val="18"/>
          <w:i w:val="1"/>
          <w:iCs w:val="1"/>
          <w:color w:val="auto"/>
        </w:rPr>
        <w:t xml:space="preserve"> </w:t>
      </w:r>
      <w:r>
        <w:rPr>
          <w:rFonts w:ascii="Arial" w:cs="Arial" w:eastAsia="Arial" w:hAnsi="Arial"/>
          <w:sz w:val="18"/>
          <w:szCs w:val="18"/>
          <w:color w:val="auto"/>
        </w:rPr>
        <w:t>crucial role in making us a successful Company and it sends an important signal to the market and potential employees that we are willing to protect our management with some guaranteed compensation in the event of a termination after a Change in Control. In addition, management may be less inclined to resist change in control transactions that are in the best interests of our stockholders if they have the added security that comes with such change in control arrangements. Similarly, the retirement benefits described in our 2020 RSU award agreements are subject to reasonable restrictions and reward long-term service with the Company beyond the date that our NEOs might otherwise retire. The HCC Committee also believes that the notice period required under the award agreements promotes a smooth and orderly transition of responsibilities to the NEO’s successor.</w:t>
      </w:r>
    </w:p>
    <w:p>
      <w:pPr>
        <w:spacing w:after="0" w:line="126" w:lineRule="exact"/>
        <w:rPr>
          <w:sz w:val="20"/>
          <w:szCs w:val="20"/>
          <w:color w:val="auto"/>
        </w:rPr>
      </w:pPr>
    </w:p>
    <w:p>
      <w:pPr>
        <w:ind w:left="160"/>
        <w:spacing w:after="0"/>
        <w:tabs>
          <w:tab w:leader="none" w:pos="500" w:val="left"/>
        </w:tabs>
        <w:rPr>
          <w:sz w:val="20"/>
          <w:szCs w:val="20"/>
          <w:color w:val="auto"/>
        </w:rPr>
      </w:pPr>
      <w:r>
        <w:rPr>
          <w:rFonts w:ascii="Arial" w:cs="Arial" w:eastAsia="Arial" w:hAnsi="Arial"/>
          <w:sz w:val="14"/>
          <w:szCs w:val="14"/>
          <w:color w:val="F75E14"/>
        </w:rPr>
        <w:t>46</w:t>
        <w:tab/>
        <w:t>onsemi 2022 Proxy Statement</w:t>
      </w:r>
    </w:p>
    <w:p>
      <w:pPr>
        <w:sectPr>
          <w:pgSz w:w="11900" w:h="16838" w:orient="portrait"/>
          <w:cols w:equalWidth="0" w:num="1">
            <w:col w:w="11080"/>
          </w:cols>
          <w:pgMar w:left="320" w:top="454" w:right="499" w:bottom="1440" w:gutter="0" w:footer="0" w:header="0"/>
        </w:sectPr>
      </w:pPr>
    </w:p>
    <w:bookmarkStart w:id="50" w:name="page51"/>
    <w:bookmarkEnd w:id="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2" w:lineRule="exact"/>
        <w:rPr>
          <w:sz w:val="20"/>
          <w:szCs w:val="20"/>
          <w:color w:val="auto"/>
        </w:rPr>
      </w:pPr>
    </w:p>
    <w:p>
      <w:pPr>
        <w:ind w:left="7960"/>
        <w:spacing w:after="0"/>
        <w:rPr>
          <w:sz w:val="20"/>
          <w:szCs w:val="20"/>
          <w:color w:val="auto"/>
        </w:rPr>
      </w:pPr>
      <w:r>
        <w:rPr>
          <w:rFonts w:ascii="Arial" w:cs="Arial" w:eastAsia="Arial" w:hAnsi="Arial"/>
          <w:sz w:val="17"/>
          <w:szCs w:val="17"/>
          <w:color w:val="F75E14"/>
        </w:rPr>
        <w:t>Compensation Discussion and Analysis</w:t>
      </w:r>
    </w:p>
    <w:p>
      <w:pPr>
        <w:spacing w:after="0" w:line="152" w:lineRule="exact"/>
        <w:rPr>
          <w:sz w:val="20"/>
          <w:szCs w:val="20"/>
          <w:color w:val="auto"/>
        </w:rPr>
      </w:pPr>
    </w:p>
    <w:p>
      <w:pPr>
        <w:jc w:val="both"/>
        <w:ind w:left="160"/>
        <w:spacing w:after="0" w:line="265" w:lineRule="auto"/>
        <w:rPr>
          <w:sz w:val="20"/>
          <w:szCs w:val="20"/>
          <w:color w:val="auto"/>
        </w:rPr>
      </w:pPr>
      <w:r>
        <w:rPr>
          <w:rFonts w:ascii="Arial" w:cs="Arial" w:eastAsia="Arial" w:hAnsi="Arial"/>
          <w:sz w:val="18"/>
          <w:szCs w:val="18"/>
          <w:b w:val="1"/>
          <w:bCs w:val="1"/>
          <w:i w:val="1"/>
          <w:iCs w:val="1"/>
          <w:color w:val="auto"/>
        </w:rPr>
        <w:t>Limited Perquisites</w:t>
      </w:r>
      <w:r>
        <w:rPr>
          <w:rFonts w:ascii="Arial" w:cs="Arial" w:eastAsia="Arial" w:hAnsi="Arial"/>
          <w:sz w:val="18"/>
          <w:szCs w:val="18"/>
          <w:color w:val="auto"/>
        </w:rPr>
        <w:t>. Consistent with our pay-for-performance compensation philosophy, we generally do not provide our executive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officers with significant perquisites other than the following, which are selected for competitive purposes:</w:t>
      </w:r>
    </w:p>
    <w:p>
      <w:pPr>
        <w:spacing w:after="0" w:line="185" w:lineRule="exact"/>
        <w:rPr>
          <w:sz w:val="20"/>
          <w:szCs w:val="20"/>
          <w:color w:val="auto"/>
        </w:rPr>
      </w:pPr>
    </w:p>
    <w:p>
      <w:pPr>
        <w:ind w:left="1020" w:hanging="425"/>
        <w:spacing w:after="0"/>
        <w:tabs>
          <w:tab w:leader="none" w:pos="10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an auto allowance of $1,200 per month;</w:t>
      </w:r>
    </w:p>
    <w:p>
      <w:pPr>
        <w:spacing w:after="0" w:line="11" w:lineRule="exact"/>
        <w:rPr>
          <w:rFonts w:ascii="Arial" w:cs="Arial" w:eastAsia="Arial" w:hAnsi="Arial"/>
          <w:sz w:val="18"/>
          <w:szCs w:val="18"/>
          <w:color w:val="auto"/>
        </w:rPr>
      </w:pPr>
    </w:p>
    <w:p>
      <w:pPr>
        <w:ind w:left="1020" w:right="20" w:hanging="425"/>
        <w:spacing w:after="0" w:line="232" w:lineRule="auto"/>
        <w:tabs>
          <w:tab w:leader="none" w:pos="10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enhanced coverage for life insurance (coverage of $1,000,000, which is $500,000 above the maximum allowed standard coverage of two times base salary that is afforded to all employees);</w:t>
      </w:r>
    </w:p>
    <w:p>
      <w:pPr>
        <w:spacing w:after="0" w:line="1" w:lineRule="exact"/>
        <w:rPr>
          <w:rFonts w:ascii="Arial" w:cs="Arial" w:eastAsia="Arial" w:hAnsi="Arial"/>
          <w:sz w:val="18"/>
          <w:szCs w:val="18"/>
          <w:color w:val="auto"/>
        </w:rPr>
      </w:pPr>
    </w:p>
    <w:p>
      <w:pPr>
        <w:ind w:left="1020" w:hanging="425"/>
        <w:spacing w:after="0" w:line="232" w:lineRule="auto"/>
        <w:tabs>
          <w:tab w:leader="none" w:pos="10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an executive physical examination; and</w:t>
      </w:r>
    </w:p>
    <w:p>
      <w:pPr>
        <w:ind w:left="1020" w:hanging="425"/>
        <w:spacing w:after="0"/>
        <w:tabs>
          <w:tab w:leader="none" w:pos="10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financial planning services reimbursement.</w:t>
      </w:r>
    </w:p>
    <w:p>
      <w:pPr>
        <w:spacing w:after="0" w:line="190" w:lineRule="exact"/>
        <w:rPr>
          <w:sz w:val="20"/>
          <w:szCs w:val="20"/>
          <w:color w:val="auto"/>
        </w:rPr>
      </w:pPr>
    </w:p>
    <w:p>
      <w:pPr>
        <w:jc w:val="both"/>
        <w:ind w:left="160"/>
        <w:spacing w:after="0"/>
        <w:rPr>
          <w:sz w:val="20"/>
          <w:szCs w:val="20"/>
          <w:color w:val="auto"/>
        </w:rPr>
      </w:pPr>
      <w:r>
        <w:rPr>
          <w:rFonts w:ascii="Arial" w:cs="Arial" w:eastAsia="Arial" w:hAnsi="Arial"/>
          <w:sz w:val="18"/>
          <w:szCs w:val="18"/>
          <w:color w:val="auto"/>
        </w:rPr>
        <w:t>Relocation payments are also available for certain of our employees, including the NEOs, and other amounts may also be available for expatriate assignments. The HCC Committee believes these limited perquisites help to maintain the competitiveness of our compensation package vis-à-vis our peer companies and provide value at a reasonable cost to the Company. These include the executive physical examination at the Mayo Clinic and financial planning services reimbursement of up to $10,000 per year. We describe the limited perquisites paid in 2021 to each of the NEOs in the Summary Compensation Table of this proxy statement.</w:t>
      </w:r>
    </w:p>
    <w:p>
      <w:pPr>
        <w:spacing w:after="0" w:line="182" w:lineRule="exact"/>
        <w:rPr>
          <w:sz w:val="20"/>
          <w:szCs w:val="20"/>
          <w:color w:val="auto"/>
        </w:rPr>
      </w:pPr>
    </w:p>
    <w:p>
      <w:pPr>
        <w:jc w:val="both"/>
        <w:ind w:left="160"/>
        <w:spacing w:after="0" w:line="243" w:lineRule="auto"/>
        <w:rPr>
          <w:sz w:val="20"/>
          <w:szCs w:val="20"/>
          <w:color w:val="auto"/>
        </w:rPr>
      </w:pPr>
      <w:r>
        <w:rPr>
          <w:rFonts w:ascii="Arial" w:cs="Arial" w:eastAsia="Arial" w:hAnsi="Arial"/>
          <w:sz w:val="18"/>
          <w:szCs w:val="18"/>
          <w:b w:val="1"/>
          <w:bCs w:val="1"/>
          <w:i w:val="1"/>
          <w:iCs w:val="1"/>
          <w:color w:val="auto"/>
        </w:rPr>
        <w:t>Other Benefit Plans and Programs</w:t>
      </w:r>
      <w:r>
        <w:rPr>
          <w:rFonts w:ascii="Arial" w:cs="Arial" w:eastAsia="Arial" w:hAnsi="Arial"/>
          <w:sz w:val="18"/>
          <w:szCs w:val="18"/>
          <w:color w:val="auto"/>
        </w:rPr>
        <w:t>. We do not offer executive retirement plans, pension benefits or non-qualified deferred compensation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plans. Instead, we provide our NEOs with opportunities to accumulate retirement income primarily through appreciation of their equity awards. Executives are eligible to participate in benefit programs available to all of the Company’s full-time employees. These generally available programs, which are designed to provide competitive capital accumulation and other benefits, include:</w:t>
      </w:r>
    </w:p>
    <w:p>
      <w:pPr>
        <w:spacing w:after="0" w:line="205" w:lineRule="exact"/>
        <w:rPr>
          <w:sz w:val="20"/>
          <w:szCs w:val="20"/>
          <w:color w:val="auto"/>
        </w:rPr>
      </w:pPr>
    </w:p>
    <w:p>
      <w:pPr>
        <w:ind w:left="1020" w:hanging="425"/>
        <w:spacing w:after="0"/>
        <w:tabs>
          <w:tab w:leader="none" w:pos="10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 tax-qualified employee stock purchase plan;</w:t>
      </w:r>
    </w:p>
    <w:p>
      <w:pPr>
        <w:spacing w:after="0" w:line="11" w:lineRule="exact"/>
        <w:rPr>
          <w:rFonts w:ascii="Arial" w:cs="Arial" w:eastAsia="Arial" w:hAnsi="Arial"/>
          <w:sz w:val="18"/>
          <w:szCs w:val="18"/>
          <w:color w:val="auto"/>
        </w:rPr>
      </w:pPr>
    </w:p>
    <w:p>
      <w:pPr>
        <w:ind w:left="1020" w:hanging="425"/>
        <w:spacing w:after="0" w:line="232" w:lineRule="auto"/>
        <w:tabs>
          <w:tab w:leader="none" w:pos="10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 401(k) savings plan; and</w:t>
      </w:r>
    </w:p>
    <w:p>
      <w:pPr>
        <w:ind w:left="1020" w:hanging="425"/>
        <w:spacing w:after="0"/>
        <w:tabs>
          <w:tab w:leader="none" w:pos="10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medical, dental, disability and life insurance programs.</w:t>
      </w:r>
    </w:p>
    <w:p>
      <w:pPr>
        <w:spacing w:after="0" w:line="190"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Individual Performance Considerations</w:t>
      </w:r>
    </w:p>
    <w:p>
      <w:pPr>
        <w:spacing w:after="0" w:line="208" w:lineRule="exact"/>
        <w:rPr>
          <w:sz w:val="20"/>
          <w:szCs w:val="20"/>
          <w:color w:val="auto"/>
        </w:rPr>
      </w:pPr>
    </w:p>
    <w:p>
      <w:pPr>
        <w:jc w:val="both"/>
        <w:ind w:left="160" w:right="20"/>
        <w:spacing w:after="0" w:line="265" w:lineRule="auto"/>
        <w:rPr>
          <w:sz w:val="20"/>
          <w:szCs w:val="20"/>
          <w:color w:val="auto"/>
        </w:rPr>
      </w:pPr>
      <w:r>
        <w:rPr>
          <w:rFonts w:ascii="Arial" w:cs="Arial" w:eastAsia="Arial" w:hAnsi="Arial"/>
          <w:sz w:val="18"/>
          <w:szCs w:val="18"/>
          <w:color w:val="auto"/>
        </w:rPr>
        <w:t>Generally, award amounts for each individual officer, and compensation variance from the market median based on the applicable benchmarking data, were based on the comparative data and other factors and processes discussed above.</w:t>
      </w:r>
    </w:p>
    <w:p>
      <w:pPr>
        <w:spacing w:after="0" w:line="158" w:lineRule="exact"/>
        <w:rPr>
          <w:sz w:val="20"/>
          <w:szCs w:val="20"/>
          <w:color w:val="auto"/>
        </w:rPr>
      </w:pPr>
    </w:p>
    <w:p>
      <w:pPr>
        <w:jc w:val="both"/>
        <w:ind w:left="160"/>
        <w:spacing w:after="0" w:line="243" w:lineRule="auto"/>
        <w:rPr>
          <w:sz w:val="20"/>
          <w:szCs w:val="20"/>
          <w:color w:val="auto"/>
        </w:rPr>
      </w:pPr>
      <w:r>
        <w:rPr>
          <w:rFonts w:ascii="Arial" w:cs="Arial" w:eastAsia="Arial" w:hAnsi="Arial"/>
          <w:sz w:val="18"/>
          <w:szCs w:val="18"/>
          <w:color w:val="auto"/>
        </w:rPr>
        <w:t>The HCC Committee’s review of the individual performance of each NEO is not formulaic. A number of factors were considered, including, but not limited to, the then-current business environment and business challenges, the safety of our employees, the quality of our environmental efforts, the retentive value of the total compensation package and the cost of retention, all of which are taken into account in the course of making subjective judgments to determine final levels of executive compensation.</w:t>
      </w:r>
    </w:p>
    <w:p>
      <w:pPr>
        <w:spacing w:after="0" w:line="178"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Impact of Taxation and Accounting Considerations on Executive Compensation</w:t>
      </w:r>
    </w:p>
    <w:p>
      <w:pPr>
        <w:spacing w:after="0" w:line="208" w:lineRule="exact"/>
        <w:rPr>
          <w:sz w:val="20"/>
          <w:szCs w:val="20"/>
          <w:color w:val="auto"/>
        </w:rPr>
      </w:pPr>
    </w:p>
    <w:p>
      <w:pPr>
        <w:jc w:val="both"/>
        <w:ind w:left="160"/>
        <w:spacing w:after="0" w:line="236" w:lineRule="auto"/>
        <w:rPr>
          <w:sz w:val="20"/>
          <w:szCs w:val="20"/>
          <w:color w:val="auto"/>
        </w:rPr>
      </w:pPr>
      <w:r>
        <w:rPr>
          <w:rFonts w:ascii="Arial" w:cs="Arial" w:eastAsia="Arial" w:hAnsi="Arial"/>
          <w:sz w:val="18"/>
          <w:szCs w:val="18"/>
          <w:color w:val="auto"/>
        </w:rPr>
        <w:t>Section 409A of the Internal Revenue Code of 1986, as amended (“Section 409A”) imposes an additional 20% federal excise tax and penalties upon employees who receive “non-qualified deferred compensation” that does not comply with Section 409A. The HCC Committee takes into account the impact of Section 409A in designing our executive plans and programs that provide for “non-qualified deferred compensation” and, as a general rule, these plans and programs are designed either to comply with the requirements of Section 409A or to qualify for an applicable exception to Section 409A so as to avoid possible adverse tax consequences that may result from failure to comply with Section 409A. The HCC Committee also considers the potential non-deductibility of awards under applicable tax laws. While the HCC Committee considers the tax deductibility of awards and the impact of Section 409A as factors in determining executive compensation, the HCC Committee also looks at other factors in making its decisions and retains the flexibility to award compensation that it determines to be consistent with the goals of our executive compensation program even if the awards are not tax deductible or otherwise not optimal from a tax perspective. We cannot guarantee that the compensation awarded to our NEOs will comply with the requirements of Section 409A or an applicable exception thereto.</w:t>
      </w:r>
    </w:p>
    <w:p>
      <w:pPr>
        <w:spacing w:after="0" w:line="182" w:lineRule="exact"/>
        <w:rPr>
          <w:sz w:val="20"/>
          <w:szCs w:val="20"/>
          <w:color w:val="auto"/>
        </w:rPr>
      </w:pPr>
    </w:p>
    <w:p>
      <w:pPr>
        <w:jc w:val="both"/>
        <w:ind w:left="160"/>
        <w:spacing w:after="0" w:line="243" w:lineRule="auto"/>
        <w:rPr>
          <w:sz w:val="20"/>
          <w:szCs w:val="20"/>
          <w:color w:val="auto"/>
        </w:rPr>
      </w:pPr>
      <w:r>
        <w:rPr>
          <w:rFonts w:ascii="Arial" w:cs="Arial" w:eastAsia="Arial" w:hAnsi="Arial"/>
          <w:sz w:val="18"/>
          <w:szCs w:val="18"/>
          <w:color w:val="auto"/>
        </w:rPr>
        <w:t>Accounting considerations also play a role in the design of our executive compensation program. Accounting rules require us to expense the grant date fair values of our equity awards (that is, the value of our equity awards based on U.S. GAAP), which reduces the amount of our reported profits under U.S. GAAP. Because of this stock-based expensing and the impact of dilution to our stockholders, we closely monitor the number, the share amounts and the fair values of the</w:t>
      </w:r>
    </w:p>
    <w:p>
      <w:pPr>
        <w:spacing w:after="0" w:line="121"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F75E14"/>
        </w:rPr>
        <w:t>onsemi 2022 Proxy Statement</w:t>
        <w:tab/>
        <w:t>47</w:t>
      </w:r>
    </w:p>
    <w:p>
      <w:pPr>
        <w:sectPr>
          <w:pgSz w:w="11900" w:h="16838" w:orient="portrait"/>
          <w:cols w:equalWidth="0" w:num="1">
            <w:col w:w="11080"/>
          </w:cols>
          <w:pgMar w:left="320" w:top="454" w:right="499" w:bottom="1440" w:gutter="0" w:footer="0" w:header="0"/>
        </w:sectPr>
      </w:pPr>
    </w:p>
    <w:bookmarkStart w:id="51" w:name="page52"/>
    <w:bookmarkEnd w:id="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2" w:lineRule="exact"/>
        <w:rPr>
          <w:sz w:val="20"/>
          <w:szCs w:val="20"/>
          <w:color w:val="auto"/>
        </w:rPr>
      </w:pPr>
    </w:p>
    <w:p>
      <w:pPr>
        <w:ind w:left="160"/>
        <w:spacing w:after="0"/>
        <w:rPr>
          <w:sz w:val="20"/>
          <w:szCs w:val="20"/>
          <w:color w:val="auto"/>
        </w:rPr>
      </w:pPr>
      <w:r>
        <w:rPr>
          <w:rFonts w:ascii="Arial" w:cs="Arial" w:eastAsia="Arial" w:hAnsi="Arial"/>
          <w:sz w:val="18"/>
          <w:szCs w:val="18"/>
          <w:color w:val="F75E14"/>
        </w:rPr>
        <w:t>Compensation Discussion and Analysis</w:t>
      </w:r>
    </w:p>
    <w:p>
      <w:pPr>
        <w:spacing w:after="0" w:line="141" w:lineRule="exact"/>
        <w:rPr>
          <w:sz w:val="20"/>
          <w:szCs w:val="20"/>
          <w:color w:val="auto"/>
        </w:rPr>
      </w:pPr>
    </w:p>
    <w:p>
      <w:pPr>
        <w:jc w:val="both"/>
        <w:ind w:left="160"/>
        <w:spacing w:after="0" w:line="249" w:lineRule="auto"/>
        <w:rPr>
          <w:sz w:val="20"/>
          <w:szCs w:val="20"/>
          <w:color w:val="auto"/>
        </w:rPr>
      </w:pPr>
      <w:r>
        <w:rPr>
          <w:rFonts w:ascii="Arial" w:cs="Arial" w:eastAsia="Arial" w:hAnsi="Arial"/>
          <w:sz w:val="18"/>
          <w:szCs w:val="18"/>
          <w:color w:val="auto"/>
        </w:rPr>
        <w:t>equity awards that are granted each year. The HCC Committee also takes into account other tax and accounting consequences of its total compensation program and weighs these factors when setting total compensation and determining the individual elements of an officer’s compensation package.</w:t>
      </w:r>
    </w:p>
    <w:p>
      <w:pPr>
        <w:spacing w:after="0" w:line="172"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Other Matters Relating to Executive Compensation</w:t>
      </w:r>
    </w:p>
    <w:p>
      <w:pPr>
        <w:spacing w:after="0" w:line="208" w:lineRule="exact"/>
        <w:rPr>
          <w:sz w:val="20"/>
          <w:szCs w:val="20"/>
          <w:color w:val="auto"/>
        </w:rPr>
      </w:pPr>
    </w:p>
    <w:p>
      <w:pPr>
        <w:jc w:val="both"/>
        <w:ind w:left="160"/>
        <w:spacing w:after="0"/>
        <w:rPr>
          <w:sz w:val="20"/>
          <w:szCs w:val="20"/>
          <w:color w:val="auto"/>
        </w:rPr>
      </w:pPr>
      <w:r>
        <w:rPr>
          <w:rFonts w:ascii="Arial" w:cs="Arial" w:eastAsia="Arial" w:hAnsi="Arial"/>
          <w:sz w:val="18"/>
          <w:szCs w:val="18"/>
          <w:b w:val="1"/>
          <w:bCs w:val="1"/>
          <w:i w:val="1"/>
          <w:iCs w:val="1"/>
          <w:color w:val="auto"/>
        </w:rPr>
        <w:t>Hedging / Pledging Transactions</w:t>
      </w:r>
      <w:r>
        <w:rPr>
          <w:rFonts w:ascii="Arial" w:cs="Arial" w:eastAsia="Arial" w:hAnsi="Arial"/>
          <w:sz w:val="18"/>
          <w:szCs w:val="18"/>
          <w:color w:val="auto"/>
        </w:rPr>
        <w:t>. We have a comprehensive Insider Trading Policy, which, among other things, prohibits our NEOs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engaging in transactions that hedge or offset, or are designed to hedge or offset, any decrease in the market value of Company securities or that otherwise have economic consequences comparable to the same. Our NEOs are also prohibited from any pledging or margin transactions with respect to our stock, including, but not limited to, holding our securities in a margin account or otherwise pledging such securities as collateral for a loan. Our other employees are also encouraged to adhere to these rules.</w:t>
      </w:r>
    </w:p>
    <w:p>
      <w:pPr>
        <w:spacing w:after="0" w:line="182" w:lineRule="exact"/>
        <w:rPr>
          <w:sz w:val="20"/>
          <w:szCs w:val="20"/>
          <w:color w:val="auto"/>
        </w:rPr>
      </w:pPr>
    </w:p>
    <w:p>
      <w:pPr>
        <w:jc w:val="both"/>
        <w:ind w:left="160"/>
        <w:spacing w:after="0" w:line="243" w:lineRule="auto"/>
        <w:rPr>
          <w:sz w:val="20"/>
          <w:szCs w:val="20"/>
          <w:color w:val="auto"/>
        </w:rPr>
      </w:pPr>
      <w:r>
        <w:rPr>
          <w:rFonts w:ascii="Arial" w:cs="Arial" w:eastAsia="Arial" w:hAnsi="Arial"/>
          <w:sz w:val="18"/>
          <w:szCs w:val="18"/>
          <w:b w:val="1"/>
          <w:bCs w:val="1"/>
          <w:i w:val="1"/>
          <w:iCs w:val="1"/>
          <w:color w:val="auto"/>
        </w:rPr>
        <w:t>Stock Ownership and Retention Guidelines for Officers</w:t>
      </w:r>
      <w:r>
        <w:rPr>
          <w:rFonts w:ascii="Arial" w:cs="Arial" w:eastAsia="Arial" w:hAnsi="Arial"/>
          <w:sz w:val="18"/>
          <w:szCs w:val="18"/>
          <w:color w:val="auto"/>
        </w:rPr>
        <w:t>. Under the Principles, as amended and restated in May 2021, an executive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holding the title of Senior Vice President or above is expected to hold our common stock in an amount equal to two to six times the officer’s base salary (based on position). As of March 1, 2022, all of our NEOs were either in compliance with, or within the five-year grace period for compliance under, such guidelines.</w:t>
      </w:r>
    </w:p>
    <w:p>
      <w:pPr>
        <w:spacing w:after="0" w:line="178" w:lineRule="exact"/>
        <w:rPr>
          <w:sz w:val="20"/>
          <w:szCs w:val="20"/>
          <w:color w:val="auto"/>
        </w:rPr>
      </w:pPr>
    </w:p>
    <w:p>
      <w:pPr>
        <w:jc w:val="both"/>
        <w:ind w:left="160"/>
        <w:spacing w:after="0" w:line="234" w:lineRule="auto"/>
        <w:rPr>
          <w:sz w:val="20"/>
          <w:szCs w:val="20"/>
          <w:color w:val="auto"/>
        </w:rPr>
      </w:pPr>
      <w:r>
        <w:rPr>
          <w:rFonts w:ascii="Arial" w:cs="Arial" w:eastAsia="Arial" w:hAnsi="Arial"/>
          <w:sz w:val="18"/>
          <w:szCs w:val="18"/>
          <w:b w:val="1"/>
          <w:bCs w:val="1"/>
          <w:i w:val="1"/>
          <w:iCs w:val="1"/>
          <w:color w:val="auto"/>
        </w:rPr>
        <w:t>Clawback Policy</w:t>
      </w:r>
      <w:r>
        <w:rPr>
          <w:rFonts w:ascii="Arial" w:cs="Arial" w:eastAsia="Arial" w:hAnsi="Arial"/>
          <w:sz w:val="18"/>
          <w:szCs w:val="18"/>
          <w:color w:val="auto"/>
        </w:rPr>
        <w:t>. In 2014, we adopted the Clawback Policy, which requires the Company to seek to recover any incentive-based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compensation awards and payments made to any covered person in the event that: (i) the Company is required to prepare a financial restatement resulting from material noncompliance with any financial reporting requirements under the federal securities laws, which restatement would have resulted in payment of a lesser incentive as determined by the Board of Directors; (ii) there has occurred any intentional misconduct by the covered person that is materially injurious to the Company; or (iii) there has occurred any breach by the covered person of any material provision in his or her employment agreement with the Company or in any other agreement with the Company that contains non-solicitation, confidentiality, non-compete, non-disclosure or non-disparagement provisions applicable to the covered person. For purposes of the Clawback Policy, a “covered person” is any current or former Senior Vice President, Executive Vice President or CEO, or any other person as determined by the Board in its sole discretion. Each of our NEOs is a “covered person” under the Clawback Policy. The compensation to be recovered pursuant to the Clawback Policy applies to any award or payment made under any incentive-based compensation plan, including any corporate bonus plan and any RSUs, PBRSUs, stock options or other form of equity award made or paid by the Company during the applicable recovery period. The applicable recovery period for an accounting restatement is the three-year period preceding the date on which the Company is required to prepare an accounting restatement (determined in accordance with any applicable law, regulation or interpretation, or otherwise by the Board), which restatement would have resulted in payment of a lesser incentive as determined by the Board. The award agreements for our PBRSU awards contain additional clawback provisions that subject the awards to Company compensation recovery policies in place from time to time and that allow the Company to require the grantee to forfeit all or a portion of any unvested PBRSUs and any shares of stock delivered pursuant to the grant agreement if: (i) the grantee’s employment is terminated for Cause (as defined in the grantee’s employment agreement or comparable agreement, or, if the grantee has no employment agreement or comparable agreement, in the SIP); or (ii) the HCC Committee, in its sole and absolute discretion, determines that the grantee engaged in serious misconduct that results or might reasonably be expected to result in financial or reputational harm to the Company.</w:t>
      </w:r>
    </w:p>
    <w:p>
      <w:pPr>
        <w:spacing w:after="0" w:line="183"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F75E14"/>
        </w:rPr>
        <w:t>COMPENSATION COMMITTEE REPORT</w:t>
      </w:r>
    </w:p>
    <w:p>
      <w:pPr>
        <w:spacing w:after="0" w:line="30" w:lineRule="exact"/>
        <w:rPr>
          <w:sz w:val="20"/>
          <w:szCs w:val="20"/>
          <w:color w:val="auto"/>
        </w:rPr>
      </w:pPr>
    </w:p>
    <w:p>
      <w:pPr>
        <w:jc w:val="both"/>
        <w:ind w:left="160"/>
        <w:spacing w:after="0" w:line="239" w:lineRule="auto"/>
        <w:rPr>
          <w:sz w:val="20"/>
          <w:szCs w:val="20"/>
          <w:color w:val="auto"/>
        </w:rPr>
      </w:pPr>
      <w:r>
        <w:rPr>
          <w:rFonts w:ascii="Arial" w:cs="Arial" w:eastAsia="Arial" w:hAnsi="Arial"/>
          <w:sz w:val="18"/>
          <w:szCs w:val="18"/>
          <w:color w:val="auto"/>
        </w:rPr>
        <w:t>The HCC Committee has reviewed and discussed with management the CD&amp;A included in the proxy statement for the Annual Meeting. Based on such review and discussion, the HCC Committee recommended to the Board of Directors that the CD&amp;A be included in the Form 10-K and this proxy statement. This report is submitted by the HCC Committee.</w:t>
      </w:r>
    </w:p>
    <w:p>
      <w:pPr>
        <w:spacing w:after="0" w:line="17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Christine Y. Yan, Chair</w:t>
      </w:r>
    </w:p>
    <w:p>
      <w:pPr>
        <w:spacing w:after="0" w:line="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Gilles Delfassy</w:t>
      </w:r>
    </w:p>
    <w:p>
      <w:pPr>
        <w:ind w:left="600"/>
        <w:spacing w:after="0" w:line="232" w:lineRule="auto"/>
        <w:rPr>
          <w:sz w:val="20"/>
          <w:szCs w:val="20"/>
          <w:color w:val="auto"/>
        </w:rPr>
      </w:pPr>
      <w:r>
        <w:rPr>
          <w:rFonts w:ascii="Arial" w:cs="Arial" w:eastAsia="Arial" w:hAnsi="Arial"/>
          <w:sz w:val="18"/>
          <w:szCs w:val="18"/>
          <w:color w:val="auto"/>
        </w:rPr>
        <w:t>Paul A. Mascarenas</w:t>
      </w:r>
    </w:p>
    <w:p>
      <w:pPr>
        <w:spacing w:after="0" w:line="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Gregory L. Waters</w:t>
      </w:r>
    </w:p>
    <w:p>
      <w:pPr>
        <w:spacing w:after="0" w:line="132" w:lineRule="exact"/>
        <w:rPr>
          <w:sz w:val="20"/>
          <w:szCs w:val="20"/>
          <w:color w:val="auto"/>
        </w:rPr>
      </w:pPr>
    </w:p>
    <w:p>
      <w:pPr>
        <w:ind w:left="160"/>
        <w:spacing w:after="0"/>
        <w:tabs>
          <w:tab w:leader="none" w:pos="500" w:val="left"/>
        </w:tabs>
        <w:rPr>
          <w:sz w:val="20"/>
          <w:szCs w:val="20"/>
          <w:color w:val="auto"/>
        </w:rPr>
      </w:pPr>
      <w:r>
        <w:rPr>
          <w:rFonts w:ascii="Arial" w:cs="Arial" w:eastAsia="Arial" w:hAnsi="Arial"/>
          <w:sz w:val="14"/>
          <w:szCs w:val="14"/>
          <w:color w:val="F75E14"/>
        </w:rPr>
        <w:t>48</w:t>
        <w:tab/>
        <w:t>onsemi 2022 Proxy Statement</w:t>
      </w:r>
    </w:p>
    <w:p>
      <w:pPr>
        <w:sectPr>
          <w:pgSz w:w="11900" w:h="16838" w:orient="portrait"/>
          <w:cols w:equalWidth="0" w:num="1">
            <w:col w:w="11080"/>
          </w:cols>
          <w:pgMar w:left="320" w:top="454" w:right="499" w:bottom="1440" w:gutter="0" w:footer="0" w:header="0"/>
        </w:sectPr>
      </w:pPr>
    </w:p>
    <w:bookmarkStart w:id="52" w:name="page53"/>
    <w:bookmarkEnd w:id="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6"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F75E14"/>
        </w:rPr>
        <w:t>COMPENSATION OF EXECUTIVE OFFICERS</w:t>
      </w:r>
    </w:p>
    <w:p>
      <w:pPr>
        <w:spacing w:after="0" w:line="30" w:lineRule="exact"/>
        <w:rPr>
          <w:sz w:val="20"/>
          <w:szCs w:val="20"/>
          <w:color w:val="auto"/>
        </w:rPr>
      </w:pPr>
    </w:p>
    <w:p>
      <w:pPr>
        <w:ind w:left="160" w:right="20"/>
        <w:spacing w:after="0" w:line="244" w:lineRule="auto"/>
        <w:rPr>
          <w:sz w:val="20"/>
          <w:szCs w:val="20"/>
          <w:color w:val="auto"/>
        </w:rPr>
      </w:pPr>
      <w:r>
        <w:rPr>
          <w:rFonts w:ascii="Arial" w:cs="Arial" w:eastAsia="Arial" w:hAnsi="Arial"/>
          <w:sz w:val="18"/>
          <w:szCs w:val="18"/>
          <w:color w:val="auto"/>
        </w:rPr>
        <w:t>The following tables set forth information concerning compensation earned by, or paid for services provided to us or our subsidiaries for the periods indicated to, our NEOs.</w:t>
      </w:r>
    </w:p>
    <w:p>
      <w:pPr>
        <w:spacing w:after="0" w:line="171"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2B4772"/>
        </w:rPr>
        <w:t>Summary Compensation Table</w:t>
      </w:r>
    </w:p>
    <w:p>
      <w:pPr>
        <w:spacing w:after="0" w:line="272" w:lineRule="exact"/>
        <w:rPr>
          <w:sz w:val="20"/>
          <w:szCs w:val="20"/>
          <w:color w:val="auto"/>
        </w:rPr>
      </w:pPr>
    </w:p>
    <w:tbl>
      <w:tblPr>
        <w:tblLayout w:type="fixed"/>
        <w:tblInd w:w="160" w:type="dxa"/>
        <w:tblCellMar>
          <w:top w:w="0" w:type="dxa"/>
          <w:left w:w="0" w:type="dxa"/>
          <w:bottom w:w="0" w:type="dxa"/>
          <w:right w:w="0" w:type="dxa"/>
        </w:tblCellMar>
      </w:tblPr>
      <w:tr>
        <w:trPr>
          <w:trHeight w:val="218"/>
        </w:trPr>
        <w:tc>
          <w:tcPr>
            <w:tcW w:w="3080" w:type="dxa"/>
            <w:vAlign w:val="bottom"/>
            <w:vMerge w:val="restart"/>
            <w:shd w:val="clear" w:color="auto" w:fill="F75E14"/>
          </w:tcPr>
          <w:p>
            <w:pPr>
              <w:jc w:val="center"/>
              <w:spacing w:after="0"/>
              <w:rPr>
                <w:sz w:val="20"/>
                <w:szCs w:val="20"/>
                <w:color w:val="auto"/>
              </w:rPr>
            </w:pPr>
            <w:r>
              <w:rPr>
                <w:rFonts w:ascii="Arial" w:cs="Arial" w:eastAsia="Arial" w:hAnsi="Arial"/>
                <w:sz w:val="14"/>
                <w:szCs w:val="14"/>
                <w:b w:val="1"/>
                <w:bCs w:val="1"/>
                <w:color w:val="FFFFFF"/>
              </w:rPr>
              <w:t>Name and Principal</w:t>
            </w:r>
          </w:p>
        </w:tc>
        <w:tc>
          <w:tcPr>
            <w:tcW w:w="540" w:type="dxa"/>
            <w:vAlign w:val="bottom"/>
            <w:shd w:val="clear" w:color="auto" w:fill="F75E14"/>
          </w:tcPr>
          <w:p>
            <w:pPr>
              <w:spacing w:after="0"/>
              <w:rPr>
                <w:sz w:val="18"/>
                <w:szCs w:val="18"/>
                <w:color w:val="auto"/>
              </w:rPr>
            </w:pPr>
          </w:p>
        </w:tc>
        <w:tc>
          <w:tcPr>
            <w:tcW w:w="700" w:type="dxa"/>
            <w:vAlign w:val="bottom"/>
            <w:shd w:val="clear" w:color="auto" w:fill="F75E14"/>
          </w:tcPr>
          <w:p>
            <w:pPr>
              <w:spacing w:after="0"/>
              <w:rPr>
                <w:sz w:val="18"/>
                <w:szCs w:val="18"/>
                <w:color w:val="auto"/>
              </w:rPr>
            </w:pPr>
          </w:p>
        </w:tc>
        <w:tc>
          <w:tcPr>
            <w:tcW w:w="780" w:type="dxa"/>
            <w:vAlign w:val="bottom"/>
            <w:shd w:val="clear" w:color="auto" w:fill="F75E14"/>
          </w:tcPr>
          <w:p>
            <w:pPr>
              <w:spacing w:after="0"/>
              <w:rPr>
                <w:sz w:val="18"/>
                <w:szCs w:val="18"/>
                <w:color w:val="auto"/>
              </w:rPr>
            </w:pPr>
          </w:p>
        </w:tc>
        <w:tc>
          <w:tcPr>
            <w:tcW w:w="840" w:type="dxa"/>
            <w:vAlign w:val="bottom"/>
            <w:vMerge w:val="restart"/>
            <w:shd w:val="clear" w:color="auto" w:fill="F75E14"/>
          </w:tcPr>
          <w:p>
            <w:pPr>
              <w:jc w:val="center"/>
              <w:spacing w:after="0"/>
              <w:rPr>
                <w:sz w:val="20"/>
                <w:szCs w:val="20"/>
                <w:color w:val="auto"/>
              </w:rPr>
            </w:pPr>
            <w:r>
              <w:rPr>
                <w:rFonts w:ascii="Arial" w:cs="Arial" w:eastAsia="Arial" w:hAnsi="Arial"/>
                <w:sz w:val="14"/>
                <w:szCs w:val="14"/>
                <w:b w:val="1"/>
                <w:bCs w:val="1"/>
                <w:color w:val="FFFFFF"/>
                <w:w w:val="99"/>
              </w:rPr>
              <w:t>Stock</w:t>
            </w:r>
          </w:p>
        </w:tc>
        <w:tc>
          <w:tcPr>
            <w:tcW w:w="680" w:type="dxa"/>
            <w:vAlign w:val="bottom"/>
            <w:vMerge w:val="restart"/>
            <w:shd w:val="clear" w:color="auto" w:fill="F75E14"/>
          </w:tcPr>
          <w:p>
            <w:pPr>
              <w:jc w:val="right"/>
              <w:ind w:right="49"/>
              <w:spacing w:after="0"/>
              <w:rPr>
                <w:sz w:val="20"/>
                <w:szCs w:val="20"/>
                <w:color w:val="auto"/>
              </w:rPr>
            </w:pPr>
            <w:r>
              <w:rPr>
                <w:rFonts w:ascii="Arial" w:cs="Arial" w:eastAsia="Arial" w:hAnsi="Arial"/>
                <w:sz w:val="14"/>
                <w:szCs w:val="14"/>
                <w:b w:val="1"/>
                <w:bCs w:val="1"/>
                <w:color w:val="FFFFFF"/>
              </w:rPr>
              <w:t>Option</w:t>
            </w:r>
          </w:p>
        </w:tc>
        <w:tc>
          <w:tcPr>
            <w:tcW w:w="1180" w:type="dxa"/>
            <w:vAlign w:val="bottom"/>
            <w:shd w:val="clear" w:color="auto" w:fill="F75E14"/>
          </w:tcPr>
          <w:p>
            <w:pPr>
              <w:jc w:val="center"/>
              <w:spacing w:after="0"/>
              <w:rPr>
                <w:sz w:val="20"/>
                <w:szCs w:val="20"/>
                <w:color w:val="auto"/>
              </w:rPr>
            </w:pPr>
            <w:r>
              <w:rPr>
                <w:rFonts w:ascii="Arial" w:cs="Arial" w:eastAsia="Arial" w:hAnsi="Arial"/>
                <w:sz w:val="14"/>
                <w:szCs w:val="14"/>
                <w:b w:val="1"/>
                <w:bCs w:val="1"/>
                <w:color w:val="FFFFFF"/>
              </w:rPr>
              <w:t>Non-Equity</w:t>
            </w:r>
          </w:p>
        </w:tc>
        <w:tc>
          <w:tcPr>
            <w:tcW w:w="1200" w:type="dxa"/>
            <w:vAlign w:val="bottom"/>
            <w:shd w:val="clear" w:color="auto" w:fill="F75E14"/>
          </w:tcPr>
          <w:p>
            <w:pPr>
              <w:spacing w:after="0"/>
              <w:rPr>
                <w:sz w:val="18"/>
                <w:szCs w:val="18"/>
                <w:color w:val="auto"/>
              </w:rPr>
            </w:pPr>
          </w:p>
        </w:tc>
        <w:tc>
          <w:tcPr>
            <w:tcW w:w="940" w:type="dxa"/>
            <w:vAlign w:val="bottom"/>
            <w:shd w:val="clear" w:color="auto" w:fill="F75E14"/>
          </w:tcPr>
          <w:p>
            <w:pPr>
              <w:spacing w:after="0"/>
              <w:rPr>
                <w:sz w:val="18"/>
                <w:szCs w:val="18"/>
                <w:color w:val="auto"/>
              </w:rPr>
            </w:pPr>
          </w:p>
        </w:tc>
        <w:tc>
          <w:tcPr>
            <w:tcW w:w="0" w:type="dxa"/>
            <w:vAlign w:val="bottom"/>
          </w:tcPr>
          <w:p>
            <w:pPr>
              <w:spacing w:after="0"/>
              <w:rPr>
                <w:sz w:val="1"/>
                <w:szCs w:val="1"/>
                <w:color w:val="auto"/>
              </w:rPr>
            </w:pPr>
          </w:p>
        </w:tc>
      </w:tr>
      <w:tr>
        <w:trPr>
          <w:trHeight w:val="147"/>
        </w:trPr>
        <w:tc>
          <w:tcPr>
            <w:tcW w:w="3080" w:type="dxa"/>
            <w:vAlign w:val="bottom"/>
            <w:vMerge w:val="continue"/>
            <w:shd w:val="clear" w:color="auto" w:fill="F75E14"/>
          </w:tcPr>
          <w:p>
            <w:pPr>
              <w:spacing w:after="0"/>
              <w:rPr>
                <w:sz w:val="12"/>
                <w:szCs w:val="12"/>
                <w:color w:val="auto"/>
              </w:rPr>
            </w:pPr>
          </w:p>
        </w:tc>
        <w:tc>
          <w:tcPr>
            <w:tcW w:w="540" w:type="dxa"/>
            <w:vAlign w:val="bottom"/>
            <w:shd w:val="clear" w:color="auto" w:fill="F75E14"/>
          </w:tcPr>
          <w:p>
            <w:pPr>
              <w:spacing w:after="0"/>
              <w:rPr>
                <w:sz w:val="12"/>
                <w:szCs w:val="12"/>
                <w:color w:val="auto"/>
              </w:rPr>
            </w:pPr>
          </w:p>
        </w:tc>
        <w:tc>
          <w:tcPr>
            <w:tcW w:w="700" w:type="dxa"/>
            <w:vAlign w:val="bottom"/>
            <w:shd w:val="clear" w:color="auto" w:fill="F75E14"/>
          </w:tcPr>
          <w:p>
            <w:pPr>
              <w:spacing w:after="0"/>
              <w:rPr>
                <w:sz w:val="12"/>
                <w:szCs w:val="12"/>
                <w:color w:val="auto"/>
              </w:rPr>
            </w:pPr>
          </w:p>
        </w:tc>
        <w:tc>
          <w:tcPr>
            <w:tcW w:w="780" w:type="dxa"/>
            <w:vAlign w:val="bottom"/>
            <w:shd w:val="clear" w:color="auto" w:fill="F75E14"/>
          </w:tcPr>
          <w:p>
            <w:pPr>
              <w:spacing w:after="0"/>
              <w:rPr>
                <w:sz w:val="12"/>
                <w:szCs w:val="12"/>
                <w:color w:val="auto"/>
              </w:rPr>
            </w:pPr>
          </w:p>
        </w:tc>
        <w:tc>
          <w:tcPr>
            <w:tcW w:w="840" w:type="dxa"/>
            <w:vAlign w:val="bottom"/>
            <w:vMerge w:val="continue"/>
            <w:shd w:val="clear" w:color="auto" w:fill="F75E14"/>
          </w:tcPr>
          <w:p>
            <w:pPr>
              <w:spacing w:after="0"/>
              <w:rPr>
                <w:sz w:val="12"/>
                <w:szCs w:val="12"/>
                <w:color w:val="auto"/>
              </w:rPr>
            </w:pPr>
          </w:p>
        </w:tc>
        <w:tc>
          <w:tcPr>
            <w:tcW w:w="680" w:type="dxa"/>
            <w:vAlign w:val="bottom"/>
            <w:vMerge w:val="continue"/>
            <w:shd w:val="clear" w:color="auto" w:fill="F75E14"/>
          </w:tcPr>
          <w:p>
            <w:pPr>
              <w:spacing w:after="0"/>
              <w:rPr>
                <w:sz w:val="12"/>
                <w:szCs w:val="12"/>
                <w:color w:val="auto"/>
              </w:rPr>
            </w:pPr>
          </w:p>
        </w:tc>
        <w:tc>
          <w:tcPr>
            <w:tcW w:w="1180" w:type="dxa"/>
            <w:vAlign w:val="bottom"/>
            <w:shd w:val="clear" w:color="auto" w:fill="F75E14"/>
          </w:tcPr>
          <w:p>
            <w:pPr>
              <w:jc w:val="center"/>
              <w:spacing w:after="0" w:line="147" w:lineRule="exact"/>
              <w:rPr>
                <w:sz w:val="20"/>
                <w:szCs w:val="20"/>
                <w:color w:val="auto"/>
              </w:rPr>
            </w:pPr>
            <w:r>
              <w:rPr>
                <w:rFonts w:ascii="Arial" w:cs="Arial" w:eastAsia="Arial" w:hAnsi="Arial"/>
                <w:sz w:val="14"/>
                <w:szCs w:val="14"/>
                <w:b w:val="1"/>
                <w:bCs w:val="1"/>
                <w:color w:val="FFFFFF"/>
              </w:rPr>
              <w:t>Incentive Plan</w:t>
            </w:r>
          </w:p>
        </w:tc>
        <w:tc>
          <w:tcPr>
            <w:tcW w:w="1200" w:type="dxa"/>
            <w:vAlign w:val="bottom"/>
            <w:shd w:val="clear" w:color="auto" w:fill="F75E14"/>
          </w:tcPr>
          <w:p>
            <w:pPr>
              <w:jc w:val="center"/>
              <w:spacing w:after="0" w:line="147" w:lineRule="exact"/>
              <w:rPr>
                <w:sz w:val="20"/>
                <w:szCs w:val="20"/>
                <w:color w:val="auto"/>
              </w:rPr>
            </w:pPr>
            <w:r>
              <w:rPr>
                <w:rFonts w:ascii="Arial" w:cs="Arial" w:eastAsia="Arial" w:hAnsi="Arial"/>
                <w:sz w:val="14"/>
                <w:szCs w:val="14"/>
                <w:b w:val="1"/>
                <w:bCs w:val="1"/>
                <w:color w:val="FFFFFF"/>
              </w:rPr>
              <w:t>All Other</w:t>
            </w:r>
          </w:p>
        </w:tc>
        <w:tc>
          <w:tcPr>
            <w:tcW w:w="940" w:type="dxa"/>
            <w:vAlign w:val="bottom"/>
            <w:shd w:val="clear" w:color="auto" w:fill="F75E14"/>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3080" w:type="dxa"/>
            <w:vAlign w:val="bottom"/>
            <w:shd w:val="clear" w:color="auto" w:fill="F75E14"/>
          </w:tcPr>
          <w:p>
            <w:pPr>
              <w:jc w:val="center"/>
              <w:spacing w:after="0"/>
              <w:rPr>
                <w:sz w:val="20"/>
                <w:szCs w:val="20"/>
                <w:color w:val="auto"/>
              </w:rPr>
            </w:pPr>
            <w:r>
              <w:rPr>
                <w:rFonts w:ascii="Arial" w:cs="Arial" w:eastAsia="Arial" w:hAnsi="Arial"/>
                <w:sz w:val="14"/>
                <w:szCs w:val="14"/>
                <w:b w:val="1"/>
                <w:bCs w:val="1"/>
                <w:color w:val="FFFFFF"/>
              </w:rPr>
              <w:t>Position</w:t>
            </w:r>
          </w:p>
        </w:tc>
        <w:tc>
          <w:tcPr>
            <w:tcW w:w="540" w:type="dxa"/>
            <w:vAlign w:val="bottom"/>
            <w:shd w:val="clear" w:color="auto" w:fill="F75E14"/>
          </w:tcPr>
          <w:p>
            <w:pPr>
              <w:ind w:left="100"/>
              <w:spacing w:after="0"/>
              <w:rPr>
                <w:sz w:val="20"/>
                <w:szCs w:val="20"/>
                <w:color w:val="auto"/>
              </w:rPr>
            </w:pPr>
            <w:r>
              <w:rPr>
                <w:rFonts w:ascii="Arial" w:cs="Arial" w:eastAsia="Arial" w:hAnsi="Arial"/>
                <w:sz w:val="14"/>
                <w:szCs w:val="14"/>
                <w:b w:val="1"/>
                <w:bCs w:val="1"/>
                <w:color w:val="FFFFFF"/>
              </w:rPr>
              <w:t>Year</w:t>
            </w:r>
          </w:p>
        </w:tc>
        <w:tc>
          <w:tcPr>
            <w:tcW w:w="700" w:type="dxa"/>
            <w:vAlign w:val="bottom"/>
            <w:shd w:val="clear" w:color="auto" w:fill="F75E14"/>
          </w:tcPr>
          <w:p>
            <w:pPr>
              <w:jc w:val="right"/>
              <w:ind w:right="89"/>
              <w:spacing w:after="0"/>
              <w:rPr>
                <w:sz w:val="20"/>
                <w:szCs w:val="20"/>
                <w:color w:val="auto"/>
              </w:rPr>
            </w:pPr>
            <w:r>
              <w:rPr>
                <w:rFonts w:ascii="Arial" w:cs="Arial" w:eastAsia="Arial" w:hAnsi="Arial"/>
                <w:sz w:val="14"/>
                <w:szCs w:val="14"/>
                <w:b w:val="1"/>
                <w:bCs w:val="1"/>
                <w:color w:val="FFFFFF"/>
              </w:rPr>
              <w:t>Salary</w:t>
            </w:r>
          </w:p>
        </w:tc>
        <w:tc>
          <w:tcPr>
            <w:tcW w:w="780" w:type="dxa"/>
            <w:vAlign w:val="bottom"/>
            <w:shd w:val="clear" w:color="auto" w:fill="F75E14"/>
          </w:tcPr>
          <w:p>
            <w:pPr>
              <w:jc w:val="right"/>
              <w:ind w:right="109"/>
              <w:spacing w:after="0"/>
              <w:rPr>
                <w:sz w:val="20"/>
                <w:szCs w:val="20"/>
                <w:color w:val="auto"/>
              </w:rPr>
            </w:pPr>
            <w:r>
              <w:rPr>
                <w:rFonts w:ascii="Arial" w:cs="Arial" w:eastAsia="Arial" w:hAnsi="Arial"/>
                <w:sz w:val="14"/>
                <w:szCs w:val="14"/>
                <w:b w:val="1"/>
                <w:bCs w:val="1"/>
                <w:color w:val="FFFFFF"/>
              </w:rPr>
              <w:t>Bonus</w:t>
            </w:r>
          </w:p>
        </w:tc>
        <w:tc>
          <w:tcPr>
            <w:tcW w:w="840" w:type="dxa"/>
            <w:vAlign w:val="bottom"/>
            <w:shd w:val="clear" w:color="auto" w:fill="F75E14"/>
          </w:tcPr>
          <w:p>
            <w:pPr>
              <w:jc w:val="center"/>
              <w:spacing w:after="0"/>
              <w:rPr>
                <w:sz w:val="20"/>
                <w:szCs w:val="20"/>
                <w:color w:val="auto"/>
              </w:rPr>
            </w:pPr>
            <w:r>
              <w:rPr>
                <w:rFonts w:ascii="Arial" w:cs="Arial" w:eastAsia="Arial" w:hAnsi="Arial"/>
                <w:sz w:val="14"/>
                <w:szCs w:val="14"/>
                <w:b w:val="1"/>
                <w:bCs w:val="1"/>
                <w:color w:val="FFFFFF"/>
                <w:w w:val="98"/>
              </w:rPr>
              <w:t>Awards</w:t>
            </w:r>
          </w:p>
        </w:tc>
        <w:tc>
          <w:tcPr>
            <w:tcW w:w="680" w:type="dxa"/>
            <w:vAlign w:val="bottom"/>
            <w:shd w:val="clear" w:color="auto" w:fill="F75E14"/>
          </w:tcPr>
          <w:p>
            <w:pPr>
              <w:jc w:val="right"/>
              <w:ind w:right="29"/>
              <w:spacing w:after="0"/>
              <w:rPr>
                <w:sz w:val="20"/>
                <w:szCs w:val="20"/>
                <w:color w:val="auto"/>
              </w:rPr>
            </w:pPr>
            <w:r>
              <w:rPr>
                <w:rFonts w:ascii="Arial" w:cs="Arial" w:eastAsia="Arial" w:hAnsi="Arial"/>
                <w:sz w:val="14"/>
                <w:szCs w:val="14"/>
                <w:b w:val="1"/>
                <w:bCs w:val="1"/>
                <w:color w:val="FFFFFF"/>
              </w:rPr>
              <w:t>Awards</w:t>
            </w:r>
          </w:p>
        </w:tc>
        <w:tc>
          <w:tcPr>
            <w:tcW w:w="1180" w:type="dxa"/>
            <w:vAlign w:val="bottom"/>
            <w:shd w:val="clear" w:color="auto" w:fill="F75E14"/>
          </w:tcPr>
          <w:p>
            <w:pPr>
              <w:jc w:val="center"/>
              <w:spacing w:after="0"/>
              <w:rPr>
                <w:sz w:val="20"/>
                <w:szCs w:val="20"/>
                <w:color w:val="auto"/>
              </w:rPr>
            </w:pPr>
            <w:r>
              <w:rPr>
                <w:rFonts w:ascii="Arial" w:cs="Arial" w:eastAsia="Arial" w:hAnsi="Arial"/>
                <w:sz w:val="14"/>
                <w:szCs w:val="14"/>
                <w:b w:val="1"/>
                <w:bCs w:val="1"/>
                <w:color w:val="FFFFFF"/>
              </w:rPr>
              <w:t>Compensation</w:t>
            </w:r>
          </w:p>
        </w:tc>
        <w:tc>
          <w:tcPr>
            <w:tcW w:w="1200" w:type="dxa"/>
            <w:vAlign w:val="bottom"/>
            <w:shd w:val="clear" w:color="auto" w:fill="F75E14"/>
          </w:tcPr>
          <w:p>
            <w:pPr>
              <w:jc w:val="center"/>
              <w:spacing w:after="0"/>
              <w:rPr>
                <w:sz w:val="20"/>
                <w:szCs w:val="20"/>
                <w:color w:val="auto"/>
              </w:rPr>
            </w:pPr>
            <w:r>
              <w:rPr>
                <w:rFonts w:ascii="Arial" w:cs="Arial" w:eastAsia="Arial" w:hAnsi="Arial"/>
                <w:sz w:val="14"/>
                <w:szCs w:val="14"/>
                <w:b w:val="1"/>
                <w:bCs w:val="1"/>
                <w:color w:val="FFFFFF"/>
              </w:rPr>
              <w:t>Compensation</w:t>
            </w:r>
          </w:p>
        </w:tc>
        <w:tc>
          <w:tcPr>
            <w:tcW w:w="940" w:type="dxa"/>
            <w:vAlign w:val="bottom"/>
            <w:shd w:val="clear" w:color="auto" w:fill="F75E14"/>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3080" w:type="dxa"/>
            <w:vAlign w:val="bottom"/>
            <w:shd w:val="clear" w:color="auto" w:fill="F75E14"/>
          </w:tcPr>
          <w:p>
            <w:pPr>
              <w:jc w:val="center"/>
              <w:spacing w:after="0"/>
              <w:rPr>
                <w:sz w:val="20"/>
                <w:szCs w:val="20"/>
                <w:color w:val="auto"/>
              </w:rPr>
            </w:pPr>
            <w:r>
              <w:rPr>
                <w:rFonts w:ascii="Arial" w:cs="Arial" w:eastAsia="Arial" w:hAnsi="Arial"/>
                <w:sz w:val="14"/>
                <w:szCs w:val="14"/>
                <w:b w:val="1"/>
                <w:bCs w:val="1"/>
                <w:color w:val="FFFFFF"/>
                <w:w w:val="93"/>
              </w:rPr>
              <w:t>(a)</w:t>
            </w:r>
          </w:p>
        </w:tc>
        <w:tc>
          <w:tcPr>
            <w:tcW w:w="540" w:type="dxa"/>
            <w:vAlign w:val="bottom"/>
            <w:shd w:val="clear" w:color="auto" w:fill="F75E14"/>
          </w:tcPr>
          <w:p>
            <w:pPr>
              <w:ind w:left="160"/>
              <w:spacing w:after="0"/>
              <w:rPr>
                <w:sz w:val="20"/>
                <w:szCs w:val="20"/>
                <w:color w:val="auto"/>
              </w:rPr>
            </w:pPr>
            <w:r>
              <w:rPr>
                <w:rFonts w:ascii="Arial" w:cs="Arial" w:eastAsia="Arial" w:hAnsi="Arial"/>
                <w:sz w:val="14"/>
                <w:szCs w:val="14"/>
                <w:b w:val="1"/>
                <w:bCs w:val="1"/>
                <w:color w:val="FFFFFF"/>
              </w:rPr>
              <w:t>(b)</w:t>
            </w:r>
          </w:p>
        </w:tc>
        <w:tc>
          <w:tcPr>
            <w:tcW w:w="700" w:type="dxa"/>
            <w:vAlign w:val="bottom"/>
            <w:shd w:val="clear" w:color="auto" w:fill="F75E14"/>
          </w:tcPr>
          <w:p>
            <w:pPr>
              <w:jc w:val="right"/>
              <w:ind w:right="109"/>
              <w:spacing w:after="0"/>
              <w:rPr>
                <w:sz w:val="20"/>
                <w:szCs w:val="20"/>
                <w:color w:val="auto"/>
              </w:rPr>
            </w:pPr>
            <w:r>
              <w:rPr>
                <w:rFonts w:ascii="Arial" w:cs="Arial" w:eastAsia="Arial" w:hAnsi="Arial"/>
                <w:sz w:val="14"/>
                <w:szCs w:val="14"/>
                <w:b w:val="1"/>
                <w:bCs w:val="1"/>
                <w:color w:val="FFFFFF"/>
              </w:rPr>
              <w:t>($) (c)</w:t>
            </w:r>
          </w:p>
        </w:tc>
        <w:tc>
          <w:tcPr>
            <w:tcW w:w="780" w:type="dxa"/>
            <w:vAlign w:val="bottom"/>
            <w:shd w:val="clear" w:color="auto" w:fill="F75E14"/>
          </w:tcPr>
          <w:p>
            <w:pPr>
              <w:jc w:val="right"/>
              <w:ind w:right="29"/>
              <w:spacing w:after="0"/>
              <w:rPr>
                <w:sz w:val="20"/>
                <w:szCs w:val="20"/>
                <w:color w:val="auto"/>
              </w:rPr>
            </w:pPr>
            <w:r>
              <w:rPr>
                <w:rFonts w:ascii="Arial" w:cs="Arial" w:eastAsia="Arial" w:hAnsi="Arial"/>
                <w:sz w:val="14"/>
                <w:szCs w:val="14"/>
                <w:b w:val="1"/>
                <w:bCs w:val="1"/>
                <w:color w:val="FFFFFF"/>
              </w:rPr>
              <w:t>($) (1) (d)</w:t>
            </w:r>
          </w:p>
        </w:tc>
        <w:tc>
          <w:tcPr>
            <w:tcW w:w="840" w:type="dxa"/>
            <w:vAlign w:val="bottom"/>
            <w:shd w:val="clear" w:color="auto" w:fill="F75E14"/>
          </w:tcPr>
          <w:p>
            <w:pPr>
              <w:jc w:val="center"/>
              <w:spacing w:after="0"/>
              <w:rPr>
                <w:sz w:val="20"/>
                <w:szCs w:val="20"/>
                <w:color w:val="auto"/>
              </w:rPr>
            </w:pPr>
            <w:r>
              <w:rPr>
                <w:rFonts w:ascii="Arial" w:cs="Arial" w:eastAsia="Arial" w:hAnsi="Arial"/>
                <w:sz w:val="14"/>
                <w:szCs w:val="14"/>
                <w:b w:val="1"/>
                <w:bCs w:val="1"/>
                <w:color w:val="FFFFFF"/>
              </w:rPr>
              <w:t>($) (2) (e)</w:t>
            </w:r>
          </w:p>
        </w:tc>
        <w:tc>
          <w:tcPr>
            <w:tcW w:w="680" w:type="dxa"/>
            <w:vAlign w:val="bottom"/>
            <w:shd w:val="clear" w:color="auto" w:fill="F75E14"/>
          </w:tcPr>
          <w:p>
            <w:pPr>
              <w:jc w:val="right"/>
              <w:ind w:right="89"/>
              <w:spacing w:after="0"/>
              <w:rPr>
                <w:sz w:val="20"/>
                <w:szCs w:val="20"/>
                <w:color w:val="auto"/>
              </w:rPr>
            </w:pPr>
            <w:r>
              <w:rPr>
                <w:rFonts w:ascii="Arial" w:cs="Arial" w:eastAsia="Arial" w:hAnsi="Arial"/>
                <w:sz w:val="14"/>
                <w:szCs w:val="14"/>
                <w:b w:val="1"/>
                <w:bCs w:val="1"/>
                <w:color w:val="FFFFFF"/>
              </w:rPr>
              <w:t>($) (f)</w:t>
            </w:r>
          </w:p>
        </w:tc>
        <w:tc>
          <w:tcPr>
            <w:tcW w:w="1180" w:type="dxa"/>
            <w:vAlign w:val="bottom"/>
            <w:shd w:val="clear" w:color="auto" w:fill="F75E14"/>
          </w:tcPr>
          <w:p>
            <w:pPr>
              <w:jc w:val="center"/>
              <w:spacing w:after="0"/>
              <w:rPr>
                <w:sz w:val="20"/>
                <w:szCs w:val="20"/>
                <w:color w:val="auto"/>
              </w:rPr>
            </w:pPr>
            <w:r>
              <w:rPr>
                <w:rFonts w:ascii="Arial" w:cs="Arial" w:eastAsia="Arial" w:hAnsi="Arial"/>
                <w:sz w:val="14"/>
                <w:szCs w:val="14"/>
                <w:b w:val="1"/>
                <w:bCs w:val="1"/>
                <w:color w:val="FFFFFF"/>
              </w:rPr>
              <w:t>($) (3) (g)</w:t>
            </w:r>
          </w:p>
        </w:tc>
        <w:tc>
          <w:tcPr>
            <w:tcW w:w="1200" w:type="dxa"/>
            <w:vAlign w:val="bottom"/>
            <w:shd w:val="clear" w:color="auto" w:fill="F75E14"/>
          </w:tcPr>
          <w:p>
            <w:pPr>
              <w:jc w:val="center"/>
              <w:spacing w:after="0"/>
              <w:rPr>
                <w:sz w:val="20"/>
                <w:szCs w:val="20"/>
                <w:color w:val="auto"/>
              </w:rPr>
            </w:pPr>
            <w:r>
              <w:rPr>
                <w:rFonts w:ascii="Arial" w:cs="Arial" w:eastAsia="Arial" w:hAnsi="Arial"/>
                <w:sz w:val="14"/>
                <w:szCs w:val="14"/>
                <w:b w:val="1"/>
                <w:bCs w:val="1"/>
                <w:color w:val="FFFFFF"/>
              </w:rPr>
              <w:t>($) (4) (i)</w:t>
            </w:r>
          </w:p>
        </w:tc>
        <w:tc>
          <w:tcPr>
            <w:tcW w:w="940" w:type="dxa"/>
            <w:vAlign w:val="bottom"/>
            <w:shd w:val="clear" w:color="auto" w:fill="F75E14"/>
          </w:tcPr>
          <w:p>
            <w:pPr>
              <w:jc w:val="right"/>
              <w:ind w:right="49"/>
              <w:spacing w:after="0"/>
              <w:rPr>
                <w:sz w:val="20"/>
                <w:szCs w:val="20"/>
                <w:color w:val="auto"/>
              </w:rPr>
            </w:pPr>
            <w:r>
              <w:rPr>
                <w:rFonts w:ascii="Arial" w:cs="Arial" w:eastAsia="Arial" w:hAnsi="Arial"/>
                <w:sz w:val="14"/>
                <w:szCs w:val="14"/>
                <w:b w:val="1"/>
                <w:bCs w:val="1"/>
                <w:color w:val="FFFFFF"/>
              </w:rPr>
              <w:t>Total ($) (j)</w:t>
            </w:r>
          </w:p>
        </w:tc>
        <w:tc>
          <w:tcPr>
            <w:tcW w:w="0" w:type="dxa"/>
            <w:vAlign w:val="bottom"/>
          </w:tcPr>
          <w:p>
            <w:pPr>
              <w:spacing w:after="0"/>
              <w:rPr>
                <w:sz w:val="1"/>
                <w:szCs w:val="1"/>
                <w:color w:val="auto"/>
              </w:rPr>
            </w:pPr>
          </w:p>
        </w:tc>
      </w:tr>
      <w:tr>
        <w:trPr>
          <w:trHeight w:val="218"/>
        </w:trPr>
        <w:tc>
          <w:tcPr>
            <w:tcW w:w="3080" w:type="dxa"/>
            <w:vAlign w:val="bottom"/>
            <w:shd w:val="clear" w:color="auto" w:fill="D8E8EF"/>
          </w:tcPr>
          <w:p>
            <w:pPr>
              <w:ind w:left="60"/>
              <w:spacing w:after="0"/>
              <w:rPr>
                <w:sz w:val="20"/>
                <w:szCs w:val="20"/>
                <w:color w:val="auto"/>
              </w:rPr>
            </w:pPr>
            <w:r>
              <w:rPr>
                <w:rFonts w:ascii="Arial" w:cs="Arial" w:eastAsia="Arial" w:hAnsi="Arial"/>
                <w:sz w:val="14"/>
                <w:szCs w:val="14"/>
                <w:i w:val="1"/>
                <w:iCs w:val="1"/>
                <w:color w:val="auto"/>
              </w:rPr>
              <w:t>Hassane El-Khoury</w:t>
            </w:r>
          </w:p>
        </w:tc>
        <w:tc>
          <w:tcPr>
            <w:tcW w:w="540" w:type="dxa"/>
            <w:vAlign w:val="bottom"/>
            <w:shd w:val="clear" w:color="auto" w:fill="D8E8EF"/>
          </w:tcPr>
          <w:p>
            <w:pPr>
              <w:ind w:left="120"/>
              <w:spacing w:after="0"/>
              <w:rPr>
                <w:sz w:val="20"/>
                <w:szCs w:val="20"/>
                <w:color w:val="auto"/>
              </w:rPr>
            </w:pPr>
            <w:r>
              <w:rPr>
                <w:rFonts w:ascii="Arial" w:cs="Arial" w:eastAsia="Arial" w:hAnsi="Arial"/>
                <w:sz w:val="14"/>
                <w:szCs w:val="14"/>
                <w:color w:val="auto"/>
              </w:rPr>
              <w:t>2021</w:t>
            </w:r>
          </w:p>
        </w:tc>
        <w:tc>
          <w:tcPr>
            <w:tcW w:w="700" w:type="dxa"/>
            <w:vAlign w:val="bottom"/>
            <w:shd w:val="clear" w:color="auto" w:fill="D8E8EF"/>
          </w:tcPr>
          <w:p>
            <w:pPr>
              <w:jc w:val="right"/>
              <w:ind w:right="9"/>
              <w:spacing w:after="0"/>
              <w:rPr>
                <w:sz w:val="20"/>
                <w:szCs w:val="20"/>
                <w:color w:val="auto"/>
              </w:rPr>
            </w:pPr>
            <w:r>
              <w:rPr>
                <w:rFonts w:ascii="Arial" w:cs="Arial" w:eastAsia="Arial" w:hAnsi="Arial"/>
                <w:sz w:val="14"/>
                <w:szCs w:val="14"/>
                <w:color w:val="auto"/>
              </w:rPr>
              <w:t>950,000</w:t>
            </w:r>
          </w:p>
        </w:tc>
        <w:tc>
          <w:tcPr>
            <w:tcW w:w="780" w:type="dxa"/>
            <w:vAlign w:val="bottom"/>
            <w:shd w:val="clear" w:color="auto" w:fill="D8E8EF"/>
          </w:tcPr>
          <w:p>
            <w:pPr>
              <w:jc w:val="right"/>
              <w:ind w:right="29"/>
              <w:spacing w:after="0"/>
              <w:rPr>
                <w:sz w:val="20"/>
                <w:szCs w:val="20"/>
                <w:color w:val="auto"/>
              </w:rPr>
            </w:pPr>
            <w:r>
              <w:rPr>
                <w:rFonts w:ascii="Arial" w:cs="Arial" w:eastAsia="Arial" w:hAnsi="Arial"/>
                <w:sz w:val="14"/>
                <w:szCs w:val="14"/>
                <w:color w:val="auto"/>
              </w:rPr>
              <w:t>285,000</w:t>
            </w:r>
          </w:p>
        </w:tc>
        <w:tc>
          <w:tcPr>
            <w:tcW w:w="840" w:type="dxa"/>
            <w:vAlign w:val="bottom"/>
            <w:shd w:val="clear" w:color="auto" w:fill="D8E8EF"/>
          </w:tcPr>
          <w:p>
            <w:pPr>
              <w:jc w:val="right"/>
              <w:ind w:right="9"/>
              <w:spacing w:after="0"/>
              <w:rPr>
                <w:sz w:val="20"/>
                <w:szCs w:val="20"/>
                <w:color w:val="auto"/>
              </w:rPr>
            </w:pPr>
            <w:r>
              <w:rPr>
                <w:rFonts w:ascii="Arial" w:cs="Arial" w:eastAsia="Arial" w:hAnsi="Arial"/>
                <w:sz w:val="14"/>
                <w:szCs w:val="14"/>
                <w:color w:val="auto"/>
              </w:rPr>
              <w:t>9,413,592</w:t>
            </w:r>
          </w:p>
        </w:tc>
        <w:tc>
          <w:tcPr>
            <w:tcW w:w="680" w:type="dxa"/>
            <w:vAlign w:val="bottom"/>
            <w:shd w:val="clear" w:color="auto" w:fill="D8E8EF"/>
          </w:tcPr>
          <w:p>
            <w:pPr>
              <w:jc w:val="right"/>
              <w:ind w:right="9"/>
              <w:spacing w:after="0"/>
              <w:rPr>
                <w:sz w:val="20"/>
                <w:szCs w:val="20"/>
                <w:color w:val="auto"/>
              </w:rPr>
            </w:pPr>
            <w:r>
              <w:rPr>
                <w:rFonts w:ascii="Arial" w:cs="Arial" w:eastAsia="Arial" w:hAnsi="Arial"/>
                <w:sz w:val="14"/>
                <w:szCs w:val="14"/>
                <w:color w:val="auto"/>
              </w:rPr>
              <w:t>0</w:t>
            </w:r>
          </w:p>
        </w:tc>
        <w:tc>
          <w:tcPr>
            <w:tcW w:w="1180" w:type="dxa"/>
            <w:vAlign w:val="bottom"/>
            <w:shd w:val="clear" w:color="auto" w:fill="D8E8EF"/>
          </w:tcPr>
          <w:p>
            <w:pPr>
              <w:jc w:val="right"/>
              <w:ind w:right="29"/>
              <w:spacing w:after="0"/>
              <w:rPr>
                <w:sz w:val="20"/>
                <w:szCs w:val="20"/>
                <w:color w:val="auto"/>
              </w:rPr>
            </w:pPr>
            <w:r>
              <w:rPr>
                <w:rFonts w:ascii="Arial" w:cs="Arial" w:eastAsia="Arial" w:hAnsi="Arial"/>
                <w:sz w:val="14"/>
                <w:szCs w:val="14"/>
                <w:color w:val="auto"/>
              </w:rPr>
              <w:t>2,137,500</w:t>
            </w:r>
          </w:p>
        </w:tc>
        <w:tc>
          <w:tcPr>
            <w:tcW w:w="1200" w:type="dxa"/>
            <w:vAlign w:val="bottom"/>
            <w:shd w:val="clear" w:color="auto" w:fill="D8E8EF"/>
          </w:tcPr>
          <w:p>
            <w:pPr>
              <w:jc w:val="right"/>
              <w:ind w:right="49"/>
              <w:spacing w:after="0"/>
              <w:rPr>
                <w:sz w:val="20"/>
                <w:szCs w:val="20"/>
                <w:color w:val="auto"/>
              </w:rPr>
            </w:pPr>
            <w:r>
              <w:rPr>
                <w:rFonts w:ascii="Arial" w:cs="Arial" w:eastAsia="Arial" w:hAnsi="Arial"/>
                <w:sz w:val="14"/>
                <w:szCs w:val="14"/>
                <w:color w:val="auto"/>
              </w:rPr>
              <w:t>39,470</w:t>
            </w:r>
          </w:p>
        </w:tc>
        <w:tc>
          <w:tcPr>
            <w:tcW w:w="940" w:type="dxa"/>
            <w:vAlign w:val="bottom"/>
            <w:shd w:val="clear" w:color="auto" w:fill="D8E8EF"/>
          </w:tcPr>
          <w:p>
            <w:pPr>
              <w:jc w:val="right"/>
              <w:ind w:right="29"/>
              <w:spacing w:after="0"/>
              <w:rPr>
                <w:sz w:val="20"/>
                <w:szCs w:val="20"/>
                <w:color w:val="auto"/>
              </w:rPr>
            </w:pPr>
            <w:r>
              <w:rPr>
                <w:rFonts w:ascii="Arial" w:cs="Arial" w:eastAsia="Arial" w:hAnsi="Arial"/>
                <w:sz w:val="14"/>
                <w:szCs w:val="14"/>
                <w:color w:val="auto"/>
              </w:rPr>
              <w:t>12,825,562</w:t>
            </w:r>
          </w:p>
        </w:tc>
        <w:tc>
          <w:tcPr>
            <w:tcW w:w="0" w:type="dxa"/>
            <w:vAlign w:val="bottom"/>
          </w:tcPr>
          <w:p>
            <w:pPr>
              <w:spacing w:after="0"/>
              <w:rPr>
                <w:sz w:val="1"/>
                <w:szCs w:val="1"/>
                <w:color w:val="auto"/>
              </w:rPr>
            </w:pPr>
          </w:p>
        </w:tc>
      </w:tr>
      <w:tr>
        <w:trPr>
          <w:trHeight w:val="190"/>
        </w:trPr>
        <w:tc>
          <w:tcPr>
            <w:tcW w:w="3080" w:type="dxa"/>
            <w:vAlign w:val="bottom"/>
            <w:tcBorders>
              <w:bottom w:val="single" w:sz="8" w:color="D8E8EF"/>
            </w:tcBorders>
            <w:shd w:val="clear" w:color="auto" w:fill="D8E8EF"/>
          </w:tcPr>
          <w:p>
            <w:pPr>
              <w:ind w:left="60"/>
              <w:spacing w:after="0"/>
              <w:rPr>
                <w:sz w:val="20"/>
                <w:szCs w:val="20"/>
                <w:color w:val="auto"/>
              </w:rPr>
            </w:pPr>
            <w:r>
              <w:rPr>
                <w:rFonts w:ascii="Arial" w:cs="Arial" w:eastAsia="Arial" w:hAnsi="Arial"/>
                <w:sz w:val="14"/>
                <w:szCs w:val="14"/>
                <w:color w:val="auto"/>
              </w:rPr>
              <w:t>President and Chief Executive Officer</w:t>
            </w:r>
          </w:p>
        </w:tc>
        <w:tc>
          <w:tcPr>
            <w:tcW w:w="540" w:type="dxa"/>
            <w:vAlign w:val="bottom"/>
            <w:tcBorders>
              <w:bottom w:val="single" w:sz="8" w:color="D8E8EF"/>
            </w:tcBorders>
            <w:shd w:val="clear" w:color="auto" w:fill="D8E8EF"/>
          </w:tcPr>
          <w:p>
            <w:pPr>
              <w:ind w:left="120"/>
              <w:spacing w:after="0"/>
              <w:rPr>
                <w:sz w:val="20"/>
                <w:szCs w:val="20"/>
                <w:color w:val="auto"/>
              </w:rPr>
            </w:pPr>
            <w:r>
              <w:rPr>
                <w:rFonts w:ascii="Arial" w:cs="Arial" w:eastAsia="Arial" w:hAnsi="Arial"/>
                <w:sz w:val="14"/>
                <w:szCs w:val="14"/>
                <w:color w:val="auto"/>
              </w:rPr>
              <w:t>2020</w:t>
            </w:r>
          </w:p>
        </w:tc>
        <w:tc>
          <w:tcPr>
            <w:tcW w:w="700" w:type="dxa"/>
            <w:vAlign w:val="bottom"/>
            <w:tcBorders>
              <w:bottom w:val="single" w:sz="8" w:color="D8E8EF"/>
            </w:tcBorders>
            <w:shd w:val="clear" w:color="auto" w:fill="D8E8EF"/>
          </w:tcPr>
          <w:p>
            <w:pPr>
              <w:jc w:val="right"/>
              <w:ind w:right="9"/>
              <w:spacing w:after="0"/>
              <w:rPr>
                <w:sz w:val="20"/>
                <w:szCs w:val="20"/>
                <w:color w:val="auto"/>
              </w:rPr>
            </w:pPr>
            <w:r>
              <w:rPr>
                <w:rFonts w:ascii="Arial" w:cs="Arial" w:eastAsia="Arial" w:hAnsi="Arial"/>
                <w:sz w:val="14"/>
                <w:szCs w:val="14"/>
                <w:color w:val="auto"/>
              </w:rPr>
              <w:t>36,538</w:t>
            </w:r>
          </w:p>
        </w:tc>
        <w:tc>
          <w:tcPr>
            <w:tcW w:w="780" w:type="dxa"/>
            <w:vAlign w:val="bottom"/>
            <w:tcBorders>
              <w:bottom w:val="single" w:sz="8" w:color="D8E8EF"/>
            </w:tcBorders>
            <w:shd w:val="clear" w:color="auto" w:fill="D8E8EF"/>
          </w:tcPr>
          <w:p>
            <w:pPr>
              <w:jc w:val="right"/>
              <w:ind w:right="29"/>
              <w:spacing w:after="0"/>
              <w:rPr>
                <w:sz w:val="20"/>
                <w:szCs w:val="20"/>
                <w:color w:val="auto"/>
              </w:rPr>
            </w:pPr>
            <w:r>
              <w:rPr>
                <w:rFonts w:ascii="Arial" w:cs="Arial" w:eastAsia="Arial" w:hAnsi="Arial"/>
                <w:sz w:val="14"/>
                <w:szCs w:val="14"/>
                <w:color w:val="auto"/>
              </w:rPr>
              <w:t>0</w:t>
            </w:r>
          </w:p>
        </w:tc>
        <w:tc>
          <w:tcPr>
            <w:tcW w:w="840" w:type="dxa"/>
            <w:vAlign w:val="bottom"/>
            <w:tcBorders>
              <w:bottom w:val="single" w:sz="8" w:color="D8E8EF"/>
            </w:tcBorders>
            <w:shd w:val="clear" w:color="auto" w:fill="D8E8EF"/>
          </w:tcPr>
          <w:p>
            <w:pPr>
              <w:jc w:val="right"/>
              <w:ind w:right="9"/>
              <w:spacing w:after="0"/>
              <w:rPr>
                <w:sz w:val="20"/>
                <w:szCs w:val="20"/>
                <w:color w:val="auto"/>
              </w:rPr>
            </w:pPr>
            <w:r>
              <w:rPr>
                <w:rFonts w:ascii="Arial" w:cs="Arial" w:eastAsia="Arial" w:hAnsi="Arial"/>
                <w:sz w:val="14"/>
                <w:szCs w:val="14"/>
                <w:color w:val="auto"/>
              </w:rPr>
              <w:t>7,578,939</w:t>
            </w:r>
          </w:p>
        </w:tc>
        <w:tc>
          <w:tcPr>
            <w:tcW w:w="680" w:type="dxa"/>
            <w:vAlign w:val="bottom"/>
            <w:tcBorders>
              <w:bottom w:val="single" w:sz="8" w:color="D8E8EF"/>
            </w:tcBorders>
            <w:shd w:val="clear" w:color="auto" w:fill="D8E8EF"/>
          </w:tcPr>
          <w:p>
            <w:pPr>
              <w:jc w:val="right"/>
              <w:ind w:right="9"/>
              <w:spacing w:after="0"/>
              <w:rPr>
                <w:sz w:val="20"/>
                <w:szCs w:val="20"/>
                <w:color w:val="auto"/>
              </w:rPr>
            </w:pPr>
            <w:r>
              <w:rPr>
                <w:rFonts w:ascii="Arial" w:cs="Arial" w:eastAsia="Arial" w:hAnsi="Arial"/>
                <w:sz w:val="14"/>
                <w:szCs w:val="14"/>
                <w:color w:val="auto"/>
              </w:rPr>
              <w:t>0</w:t>
            </w:r>
          </w:p>
        </w:tc>
        <w:tc>
          <w:tcPr>
            <w:tcW w:w="1180" w:type="dxa"/>
            <w:vAlign w:val="bottom"/>
            <w:tcBorders>
              <w:bottom w:val="single" w:sz="8" w:color="D8E8EF"/>
            </w:tcBorders>
            <w:shd w:val="clear" w:color="auto" w:fill="D8E8EF"/>
          </w:tcPr>
          <w:p>
            <w:pPr>
              <w:spacing w:after="0"/>
              <w:rPr>
                <w:sz w:val="16"/>
                <w:szCs w:val="16"/>
                <w:color w:val="auto"/>
              </w:rPr>
            </w:pPr>
          </w:p>
        </w:tc>
        <w:tc>
          <w:tcPr>
            <w:tcW w:w="1200" w:type="dxa"/>
            <w:vAlign w:val="bottom"/>
            <w:tcBorders>
              <w:bottom w:val="single" w:sz="8" w:color="D8E8EF"/>
            </w:tcBorders>
            <w:shd w:val="clear" w:color="auto" w:fill="D8E8EF"/>
          </w:tcPr>
          <w:p>
            <w:pPr>
              <w:jc w:val="right"/>
              <w:ind w:right="49"/>
              <w:spacing w:after="0"/>
              <w:rPr>
                <w:sz w:val="20"/>
                <w:szCs w:val="20"/>
                <w:color w:val="auto"/>
              </w:rPr>
            </w:pPr>
            <w:r>
              <w:rPr>
                <w:rFonts w:ascii="Arial" w:cs="Arial" w:eastAsia="Arial" w:hAnsi="Arial"/>
                <w:sz w:val="14"/>
                <w:szCs w:val="14"/>
                <w:color w:val="auto"/>
              </w:rPr>
              <w:t>251,336</w:t>
            </w:r>
          </w:p>
        </w:tc>
        <w:tc>
          <w:tcPr>
            <w:tcW w:w="940" w:type="dxa"/>
            <w:vAlign w:val="bottom"/>
            <w:tcBorders>
              <w:bottom w:val="single" w:sz="8" w:color="D8E8EF"/>
            </w:tcBorders>
            <w:shd w:val="clear" w:color="auto" w:fill="D8E8EF"/>
          </w:tcPr>
          <w:p>
            <w:pPr>
              <w:jc w:val="right"/>
              <w:ind w:right="29"/>
              <w:spacing w:after="0"/>
              <w:rPr>
                <w:sz w:val="20"/>
                <w:szCs w:val="20"/>
                <w:color w:val="auto"/>
              </w:rPr>
            </w:pPr>
            <w:r>
              <w:rPr>
                <w:rFonts w:ascii="Arial" w:cs="Arial" w:eastAsia="Arial" w:hAnsi="Arial"/>
                <w:sz w:val="14"/>
                <w:szCs w:val="14"/>
                <w:color w:val="auto"/>
              </w:rPr>
              <w:t>7,866,813</w:t>
            </w:r>
          </w:p>
        </w:tc>
        <w:tc>
          <w:tcPr>
            <w:tcW w:w="0" w:type="dxa"/>
            <w:vAlign w:val="bottom"/>
          </w:tcPr>
          <w:p>
            <w:pPr>
              <w:spacing w:after="0"/>
              <w:rPr>
                <w:sz w:val="1"/>
                <w:szCs w:val="1"/>
                <w:color w:val="auto"/>
              </w:rPr>
            </w:pPr>
          </w:p>
        </w:tc>
      </w:tr>
      <w:tr>
        <w:trPr>
          <w:trHeight w:val="218"/>
        </w:trPr>
        <w:tc>
          <w:tcPr>
            <w:tcW w:w="3080" w:type="dxa"/>
            <w:vAlign w:val="bottom"/>
          </w:tcPr>
          <w:p>
            <w:pPr>
              <w:ind w:left="60"/>
              <w:spacing w:after="0"/>
              <w:rPr>
                <w:sz w:val="20"/>
                <w:szCs w:val="20"/>
                <w:color w:val="auto"/>
              </w:rPr>
            </w:pPr>
            <w:r>
              <w:rPr>
                <w:rFonts w:ascii="Arial" w:cs="Arial" w:eastAsia="Arial" w:hAnsi="Arial"/>
                <w:sz w:val="14"/>
                <w:szCs w:val="14"/>
                <w:i w:val="1"/>
                <w:iCs w:val="1"/>
                <w:color w:val="auto"/>
              </w:rPr>
              <w:t xml:space="preserve">Thad Trent </w:t>
            </w:r>
            <w:r>
              <w:rPr>
                <w:rFonts w:ascii="Arial" w:cs="Arial" w:eastAsia="Arial" w:hAnsi="Arial"/>
                <w:sz w:val="14"/>
                <w:szCs w:val="14"/>
                <w:color w:val="auto"/>
              </w:rPr>
              <w:t>(5)</w:t>
            </w:r>
          </w:p>
        </w:tc>
        <w:tc>
          <w:tcPr>
            <w:tcW w:w="540" w:type="dxa"/>
            <w:vAlign w:val="bottom"/>
          </w:tcPr>
          <w:p>
            <w:pPr>
              <w:ind w:left="120"/>
              <w:spacing w:after="0"/>
              <w:rPr>
                <w:sz w:val="20"/>
                <w:szCs w:val="20"/>
                <w:color w:val="auto"/>
              </w:rPr>
            </w:pPr>
            <w:r>
              <w:rPr>
                <w:rFonts w:ascii="Arial" w:cs="Arial" w:eastAsia="Arial" w:hAnsi="Arial"/>
                <w:sz w:val="14"/>
                <w:szCs w:val="14"/>
                <w:color w:val="auto"/>
              </w:rPr>
              <w:t>2021</w:t>
            </w:r>
          </w:p>
        </w:tc>
        <w:tc>
          <w:tcPr>
            <w:tcW w:w="700" w:type="dxa"/>
            <w:vAlign w:val="bottom"/>
          </w:tcPr>
          <w:p>
            <w:pPr>
              <w:jc w:val="right"/>
              <w:ind w:right="9"/>
              <w:spacing w:after="0"/>
              <w:rPr>
                <w:sz w:val="20"/>
                <w:szCs w:val="20"/>
                <w:color w:val="auto"/>
              </w:rPr>
            </w:pPr>
            <w:r>
              <w:rPr>
                <w:rFonts w:ascii="Arial" w:cs="Arial" w:eastAsia="Arial" w:hAnsi="Arial"/>
                <w:sz w:val="14"/>
                <w:szCs w:val="14"/>
                <w:color w:val="auto"/>
              </w:rPr>
              <w:t>505,385</w:t>
            </w: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101,077</w:t>
            </w:r>
          </w:p>
        </w:tc>
        <w:tc>
          <w:tcPr>
            <w:tcW w:w="840" w:type="dxa"/>
            <w:vAlign w:val="bottom"/>
          </w:tcPr>
          <w:p>
            <w:pPr>
              <w:jc w:val="right"/>
              <w:ind w:right="9"/>
              <w:spacing w:after="0"/>
              <w:rPr>
                <w:sz w:val="20"/>
                <w:szCs w:val="20"/>
                <w:color w:val="auto"/>
              </w:rPr>
            </w:pPr>
            <w:r>
              <w:rPr>
                <w:rFonts w:ascii="Arial" w:cs="Arial" w:eastAsia="Arial" w:hAnsi="Arial"/>
                <w:sz w:val="14"/>
                <w:szCs w:val="14"/>
                <w:color w:val="auto"/>
              </w:rPr>
              <w:t>9,030,390</w:t>
            </w:r>
          </w:p>
        </w:tc>
        <w:tc>
          <w:tcPr>
            <w:tcW w:w="680" w:type="dxa"/>
            <w:vAlign w:val="bottom"/>
          </w:tcPr>
          <w:p>
            <w:pPr>
              <w:jc w:val="right"/>
              <w:ind w:right="9"/>
              <w:spacing w:after="0"/>
              <w:rPr>
                <w:sz w:val="20"/>
                <w:szCs w:val="20"/>
                <w:color w:val="auto"/>
              </w:rPr>
            </w:pPr>
            <w:r>
              <w:rPr>
                <w:rFonts w:ascii="Arial" w:cs="Arial" w:eastAsia="Arial" w:hAnsi="Arial"/>
                <w:sz w:val="14"/>
                <w:szCs w:val="14"/>
                <w:color w:val="auto"/>
              </w:rPr>
              <w:t>0</w:t>
            </w:r>
          </w:p>
        </w:tc>
        <w:tc>
          <w:tcPr>
            <w:tcW w:w="1180" w:type="dxa"/>
            <w:vAlign w:val="bottom"/>
          </w:tcPr>
          <w:p>
            <w:pPr>
              <w:jc w:val="right"/>
              <w:ind w:right="29"/>
              <w:spacing w:after="0"/>
              <w:rPr>
                <w:sz w:val="20"/>
                <w:szCs w:val="20"/>
                <w:color w:val="auto"/>
              </w:rPr>
            </w:pPr>
            <w:r>
              <w:rPr>
                <w:rFonts w:ascii="Arial" w:cs="Arial" w:eastAsia="Arial" w:hAnsi="Arial"/>
                <w:sz w:val="14"/>
                <w:szCs w:val="14"/>
                <w:color w:val="auto"/>
              </w:rPr>
              <w:t>758,077</w:t>
            </w:r>
          </w:p>
        </w:tc>
        <w:tc>
          <w:tcPr>
            <w:tcW w:w="1200" w:type="dxa"/>
            <w:vAlign w:val="bottom"/>
          </w:tcPr>
          <w:p>
            <w:pPr>
              <w:jc w:val="right"/>
              <w:ind w:right="49"/>
              <w:spacing w:after="0"/>
              <w:rPr>
                <w:sz w:val="20"/>
                <w:szCs w:val="20"/>
                <w:color w:val="auto"/>
              </w:rPr>
            </w:pPr>
            <w:r>
              <w:rPr>
                <w:rFonts w:ascii="Arial" w:cs="Arial" w:eastAsia="Arial" w:hAnsi="Arial"/>
                <w:sz w:val="14"/>
                <w:szCs w:val="14"/>
                <w:color w:val="auto"/>
              </w:rPr>
              <w:t>236,588</w:t>
            </w:r>
          </w:p>
        </w:tc>
        <w:tc>
          <w:tcPr>
            <w:tcW w:w="940" w:type="dxa"/>
            <w:vAlign w:val="bottom"/>
          </w:tcPr>
          <w:p>
            <w:pPr>
              <w:jc w:val="right"/>
              <w:ind w:right="29"/>
              <w:spacing w:after="0"/>
              <w:rPr>
                <w:sz w:val="20"/>
                <w:szCs w:val="20"/>
                <w:color w:val="auto"/>
              </w:rPr>
            </w:pPr>
            <w:r>
              <w:rPr>
                <w:rFonts w:ascii="Arial" w:cs="Arial" w:eastAsia="Arial" w:hAnsi="Arial"/>
                <w:sz w:val="14"/>
                <w:szCs w:val="14"/>
                <w:color w:val="auto"/>
              </w:rPr>
              <w:t>10,631,517</w:t>
            </w:r>
          </w:p>
        </w:tc>
        <w:tc>
          <w:tcPr>
            <w:tcW w:w="0" w:type="dxa"/>
            <w:vAlign w:val="bottom"/>
          </w:tcPr>
          <w:p>
            <w:pPr>
              <w:spacing w:after="0"/>
              <w:rPr>
                <w:sz w:val="1"/>
                <w:szCs w:val="1"/>
                <w:color w:val="auto"/>
              </w:rPr>
            </w:pPr>
          </w:p>
        </w:tc>
      </w:tr>
      <w:tr>
        <w:trPr>
          <w:trHeight w:val="160"/>
        </w:trPr>
        <w:tc>
          <w:tcPr>
            <w:tcW w:w="3080" w:type="dxa"/>
            <w:vAlign w:val="bottom"/>
          </w:tcPr>
          <w:p>
            <w:pPr>
              <w:ind w:left="60"/>
              <w:spacing w:after="0"/>
              <w:rPr>
                <w:sz w:val="20"/>
                <w:szCs w:val="20"/>
                <w:color w:val="auto"/>
              </w:rPr>
            </w:pPr>
            <w:r>
              <w:rPr>
                <w:rFonts w:ascii="Arial" w:cs="Arial" w:eastAsia="Arial" w:hAnsi="Arial"/>
                <w:sz w:val="14"/>
                <w:szCs w:val="14"/>
                <w:color w:val="auto"/>
              </w:rPr>
              <w:t>Executive Vice President, Chief Financial</w:t>
            </w:r>
          </w:p>
        </w:tc>
        <w:tc>
          <w:tcPr>
            <w:tcW w:w="5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3080" w:type="dxa"/>
            <w:vAlign w:val="bottom"/>
          </w:tcPr>
          <w:p>
            <w:pPr>
              <w:ind w:left="240"/>
              <w:spacing w:after="0"/>
              <w:rPr>
                <w:sz w:val="20"/>
                <w:szCs w:val="20"/>
                <w:color w:val="auto"/>
              </w:rPr>
            </w:pPr>
            <w:r>
              <w:rPr>
                <w:rFonts w:ascii="Arial" w:cs="Arial" w:eastAsia="Arial" w:hAnsi="Arial"/>
                <w:sz w:val="14"/>
                <w:szCs w:val="14"/>
                <w:color w:val="auto"/>
              </w:rPr>
              <w:t>Officer and Treasurer</w:t>
            </w:r>
          </w:p>
        </w:tc>
        <w:tc>
          <w:tcPr>
            <w:tcW w:w="5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30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3080" w:type="dxa"/>
            <w:vAlign w:val="bottom"/>
            <w:shd w:val="clear" w:color="auto" w:fill="D8E8EF"/>
          </w:tcPr>
          <w:p>
            <w:pPr>
              <w:ind w:left="60"/>
              <w:spacing w:after="0"/>
              <w:rPr>
                <w:sz w:val="20"/>
                <w:szCs w:val="20"/>
                <w:color w:val="auto"/>
              </w:rPr>
            </w:pPr>
            <w:r>
              <w:rPr>
                <w:rFonts w:ascii="Arial" w:cs="Arial" w:eastAsia="Arial" w:hAnsi="Arial"/>
                <w:sz w:val="14"/>
                <w:szCs w:val="14"/>
                <w:i w:val="1"/>
                <w:iCs w:val="1"/>
                <w:color w:val="auto"/>
              </w:rPr>
              <w:t>Vincent C. Hopkin</w:t>
            </w:r>
          </w:p>
        </w:tc>
        <w:tc>
          <w:tcPr>
            <w:tcW w:w="540" w:type="dxa"/>
            <w:vAlign w:val="bottom"/>
            <w:shd w:val="clear" w:color="auto" w:fill="D8E8EF"/>
          </w:tcPr>
          <w:p>
            <w:pPr>
              <w:ind w:left="120"/>
              <w:spacing w:after="0"/>
              <w:rPr>
                <w:sz w:val="20"/>
                <w:szCs w:val="20"/>
                <w:color w:val="auto"/>
              </w:rPr>
            </w:pPr>
            <w:r>
              <w:rPr>
                <w:rFonts w:ascii="Arial" w:cs="Arial" w:eastAsia="Arial" w:hAnsi="Arial"/>
                <w:sz w:val="14"/>
                <w:szCs w:val="14"/>
                <w:color w:val="auto"/>
              </w:rPr>
              <w:t>2021</w:t>
            </w:r>
          </w:p>
        </w:tc>
        <w:tc>
          <w:tcPr>
            <w:tcW w:w="700" w:type="dxa"/>
            <w:vAlign w:val="bottom"/>
            <w:shd w:val="clear" w:color="auto" w:fill="D8E8EF"/>
          </w:tcPr>
          <w:p>
            <w:pPr>
              <w:jc w:val="right"/>
              <w:ind w:right="9"/>
              <w:spacing w:after="0"/>
              <w:rPr>
                <w:sz w:val="20"/>
                <w:szCs w:val="20"/>
                <w:color w:val="auto"/>
              </w:rPr>
            </w:pPr>
            <w:r>
              <w:rPr>
                <w:rFonts w:ascii="Arial" w:cs="Arial" w:eastAsia="Arial" w:hAnsi="Arial"/>
                <w:sz w:val="14"/>
                <w:szCs w:val="14"/>
                <w:color w:val="auto"/>
              </w:rPr>
              <w:t>473,462</w:t>
            </w:r>
          </w:p>
        </w:tc>
        <w:tc>
          <w:tcPr>
            <w:tcW w:w="780" w:type="dxa"/>
            <w:vAlign w:val="bottom"/>
            <w:shd w:val="clear" w:color="auto" w:fill="D8E8EF"/>
          </w:tcPr>
          <w:p>
            <w:pPr>
              <w:jc w:val="right"/>
              <w:ind w:right="29"/>
              <w:spacing w:after="0"/>
              <w:rPr>
                <w:sz w:val="20"/>
                <w:szCs w:val="20"/>
                <w:color w:val="auto"/>
              </w:rPr>
            </w:pPr>
            <w:r>
              <w:rPr>
                <w:rFonts w:ascii="Arial" w:cs="Arial" w:eastAsia="Arial" w:hAnsi="Arial"/>
                <w:sz w:val="14"/>
                <w:szCs w:val="14"/>
                <w:color w:val="auto"/>
              </w:rPr>
              <w:t>80,488</w:t>
            </w:r>
          </w:p>
        </w:tc>
        <w:tc>
          <w:tcPr>
            <w:tcW w:w="840" w:type="dxa"/>
            <w:vAlign w:val="bottom"/>
            <w:shd w:val="clear" w:color="auto" w:fill="D8E8EF"/>
          </w:tcPr>
          <w:p>
            <w:pPr>
              <w:jc w:val="right"/>
              <w:ind w:right="9"/>
              <w:spacing w:after="0"/>
              <w:rPr>
                <w:sz w:val="20"/>
                <w:szCs w:val="20"/>
                <w:color w:val="auto"/>
              </w:rPr>
            </w:pPr>
            <w:r>
              <w:rPr>
                <w:rFonts w:ascii="Arial" w:cs="Arial" w:eastAsia="Arial" w:hAnsi="Arial"/>
                <w:sz w:val="14"/>
                <w:szCs w:val="14"/>
                <w:color w:val="auto"/>
              </w:rPr>
              <w:t>2,617,186</w:t>
            </w:r>
          </w:p>
        </w:tc>
        <w:tc>
          <w:tcPr>
            <w:tcW w:w="680" w:type="dxa"/>
            <w:vAlign w:val="bottom"/>
            <w:shd w:val="clear" w:color="auto" w:fill="D8E8EF"/>
          </w:tcPr>
          <w:p>
            <w:pPr>
              <w:jc w:val="right"/>
              <w:ind w:right="9"/>
              <w:spacing w:after="0"/>
              <w:rPr>
                <w:sz w:val="20"/>
                <w:szCs w:val="20"/>
                <w:color w:val="auto"/>
              </w:rPr>
            </w:pPr>
            <w:r>
              <w:rPr>
                <w:rFonts w:ascii="Arial" w:cs="Arial" w:eastAsia="Arial" w:hAnsi="Arial"/>
                <w:sz w:val="14"/>
                <w:szCs w:val="14"/>
                <w:color w:val="auto"/>
              </w:rPr>
              <w:t>0</w:t>
            </w:r>
          </w:p>
        </w:tc>
        <w:tc>
          <w:tcPr>
            <w:tcW w:w="1180" w:type="dxa"/>
            <w:vAlign w:val="bottom"/>
            <w:shd w:val="clear" w:color="auto" w:fill="D8E8EF"/>
          </w:tcPr>
          <w:p>
            <w:pPr>
              <w:jc w:val="right"/>
              <w:ind w:right="29"/>
              <w:spacing w:after="0"/>
              <w:rPr>
                <w:sz w:val="20"/>
                <w:szCs w:val="20"/>
                <w:color w:val="auto"/>
              </w:rPr>
            </w:pPr>
            <w:r>
              <w:rPr>
                <w:rFonts w:ascii="Arial" w:cs="Arial" w:eastAsia="Arial" w:hAnsi="Arial"/>
                <w:sz w:val="14"/>
                <w:szCs w:val="14"/>
                <w:color w:val="auto"/>
              </w:rPr>
              <w:t>583,542</w:t>
            </w:r>
          </w:p>
        </w:tc>
        <w:tc>
          <w:tcPr>
            <w:tcW w:w="1200" w:type="dxa"/>
            <w:vAlign w:val="bottom"/>
            <w:shd w:val="clear" w:color="auto" w:fill="D8E8EF"/>
          </w:tcPr>
          <w:p>
            <w:pPr>
              <w:jc w:val="right"/>
              <w:ind w:right="49"/>
              <w:spacing w:after="0"/>
              <w:rPr>
                <w:sz w:val="20"/>
                <w:szCs w:val="20"/>
                <w:color w:val="auto"/>
              </w:rPr>
            </w:pPr>
            <w:r>
              <w:rPr>
                <w:rFonts w:ascii="Arial" w:cs="Arial" w:eastAsia="Arial" w:hAnsi="Arial"/>
                <w:sz w:val="14"/>
                <w:szCs w:val="14"/>
                <w:color w:val="auto"/>
              </w:rPr>
              <w:t>29,599</w:t>
            </w:r>
          </w:p>
        </w:tc>
        <w:tc>
          <w:tcPr>
            <w:tcW w:w="940" w:type="dxa"/>
            <w:vAlign w:val="bottom"/>
            <w:shd w:val="clear" w:color="auto" w:fill="D8E8EF"/>
          </w:tcPr>
          <w:p>
            <w:pPr>
              <w:jc w:val="right"/>
              <w:ind w:right="29"/>
              <w:spacing w:after="0"/>
              <w:rPr>
                <w:sz w:val="20"/>
                <w:szCs w:val="20"/>
                <w:color w:val="auto"/>
              </w:rPr>
            </w:pPr>
            <w:r>
              <w:rPr>
                <w:rFonts w:ascii="Arial" w:cs="Arial" w:eastAsia="Arial" w:hAnsi="Arial"/>
                <w:sz w:val="14"/>
                <w:szCs w:val="14"/>
                <w:color w:val="auto"/>
              </w:rPr>
              <w:t>3,784,277</w:t>
            </w:r>
          </w:p>
        </w:tc>
        <w:tc>
          <w:tcPr>
            <w:tcW w:w="0" w:type="dxa"/>
            <w:vAlign w:val="bottom"/>
          </w:tcPr>
          <w:p>
            <w:pPr>
              <w:spacing w:after="0"/>
              <w:rPr>
                <w:sz w:val="1"/>
                <w:szCs w:val="1"/>
                <w:color w:val="auto"/>
              </w:rPr>
            </w:pPr>
          </w:p>
        </w:tc>
      </w:tr>
      <w:tr>
        <w:trPr>
          <w:trHeight w:val="160"/>
        </w:trPr>
        <w:tc>
          <w:tcPr>
            <w:tcW w:w="3080" w:type="dxa"/>
            <w:vAlign w:val="bottom"/>
            <w:shd w:val="clear" w:color="auto" w:fill="D8E8EF"/>
          </w:tcPr>
          <w:p>
            <w:pPr>
              <w:ind w:left="60"/>
              <w:spacing w:after="0"/>
              <w:rPr>
                <w:sz w:val="20"/>
                <w:szCs w:val="20"/>
                <w:color w:val="auto"/>
              </w:rPr>
            </w:pPr>
            <w:r>
              <w:rPr>
                <w:rFonts w:ascii="Arial" w:cs="Arial" w:eastAsia="Arial" w:hAnsi="Arial"/>
                <w:sz w:val="14"/>
                <w:szCs w:val="14"/>
                <w:color w:val="auto"/>
              </w:rPr>
              <w:t>Executive Vice President and General</w:t>
            </w:r>
          </w:p>
        </w:tc>
        <w:tc>
          <w:tcPr>
            <w:tcW w:w="540" w:type="dxa"/>
            <w:vAlign w:val="bottom"/>
            <w:shd w:val="clear" w:color="auto" w:fill="D8E8EF"/>
          </w:tcPr>
          <w:p>
            <w:pPr>
              <w:ind w:left="120"/>
              <w:spacing w:after="0"/>
              <w:rPr>
                <w:sz w:val="20"/>
                <w:szCs w:val="20"/>
                <w:color w:val="auto"/>
              </w:rPr>
            </w:pPr>
            <w:r>
              <w:rPr>
                <w:rFonts w:ascii="Arial" w:cs="Arial" w:eastAsia="Arial" w:hAnsi="Arial"/>
                <w:sz w:val="14"/>
                <w:szCs w:val="14"/>
                <w:color w:val="auto"/>
              </w:rPr>
              <w:t>2020</w:t>
            </w:r>
          </w:p>
        </w:tc>
        <w:tc>
          <w:tcPr>
            <w:tcW w:w="700" w:type="dxa"/>
            <w:vAlign w:val="bottom"/>
            <w:shd w:val="clear" w:color="auto" w:fill="D8E8EF"/>
          </w:tcPr>
          <w:p>
            <w:pPr>
              <w:jc w:val="right"/>
              <w:ind w:right="9"/>
              <w:spacing w:after="0"/>
              <w:rPr>
                <w:sz w:val="20"/>
                <w:szCs w:val="20"/>
                <w:color w:val="auto"/>
              </w:rPr>
            </w:pPr>
            <w:r>
              <w:rPr>
                <w:rFonts w:ascii="Arial" w:cs="Arial" w:eastAsia="Arial" w:hAnsi="Arial"/>
                <w:sz w:val="14"/>
                <w:szCs w:val="14"/>
                <w:color w:val="auto"/>
              </w:rPr>
              <w:t>381,919</w:t>
            </w:r>
          </w:p>
        </w:tc>
        <w:tc>
          <w:tcPr>
            <w:tcW w:w="780" w:type="dxa"/>
            <w:vAlign w:val="bottom"/>
            <w:shd w:val="clear" w:color="auto" w:fill="D8E8EF"/>
          </w:tcPr>
          <w:p>
            <w:pPr>
              <w:jc w:val="right"/>
              <w:ind w:right="29"/>
              <w:spacing w:after="0"/>
              <w:rPr>
                <w:sz w:val="20"/>
                <w:szCs w:val="20"/>
                <w:color w:val="auto"/>
              </w:rPr>
            </w:pPr>
            <w:r>
              <w:rPr>
                <w:rFonts w:ascii="Arial" w:cs="Arial" w:eastAsia="Arial" w:hAnsi="Arial"/>
                <w:sz w:val="14"/>
                <w:szCs w:val="14"/>
                <w:color w:val="auto"/>
              </w:rPr>
              <w:t>0</w:t>
            </w:r>
          </w:p>
        </w:tc>
        <w:tc>
          <w:tcPr>
            <w:tcW w:w="840" w:type="dxa"/>
            <w:vAlign w:val="bottom"/>
            <w:shd w:val="clear" w:color="auto" w:fill="D8E8EF"/>
          </w:tcPr>
          <w:p>
            <w:pPr>
              <w:jc w:val="right"/>
              <w:ind w:right="9"/>
              <w:spacing w:after="0"/>
              <w:rPr>
                <w:sz w:val="20"/>
                <w:szCs w:val="20"/>
                <w:color w:val="auto"/>
              </w:rPr>
            </w:pPr>
            <w:r>
              <w:rPr>
                <w:rFonts w:ascii="Arial" w:cs="Arial" w:eastAsia="Arial" w:hAnsi="Arial"/>
                <w:sz w:val="14"/>
                <w:szCs w:val="14"/>
                <w:color w:val="auto"/>
              </w:rPr>
              <w:t>1,624,429</w:t>
            </w:r>
          </w:p>
        </w:tc>
        <w:tc>
          <w:tcPr>
            <w:tcW w:w="680" w:type="dxa"/>
            <w:vAlign w:val="bottom"/>
            <w:shd w:val="clear" w:color="auto" w:fill="D8E8EF"/>
          </w:tcPr>
          <w:p>
            <w:pPr>
              <w:jc w:val="right"/>
              <w:ind w:right="9"/>
              <w:spacing w:after="0"/>
              <w:rPr>
                <w:sz w:val="20"/>
                <w:szCs w:val="20"/>
                <w:color w:val="auto"/>
              </w:rPr>
            </w:pPr>
            <w:r>
              <w:rPr>
                <w:rFonts w:ascii="Arial" w:cs="Arial" w:eastAsia="Arial" w:hAnsi="Arial"/>
                <w:sz w:val="14"/>
                <w:szCs w:val="14"/>
                <w:color w:val="auto"/>
              </w:rPr>
              <w:t>0</w:t>
            </w:r>
          </w:p>
        </w:tc>
        <w:tc>
          <w:tcPr>
            <w:tcW w:w="1180" w:type="dxa"/>
            <w:vAlign w:val="bottom"/>
            <w:shd w:val="clear" w:color="auto" w:fill="D8E8EF"/>
          </w:tcPr>
          <w:p>
            <w:pPr>
              <w:jc w:val="right"/>
              <w:ind w:right="29"/>
              <w:spacing w:after="0"/>
              <w:rPr>
                <w:sz w:val="20"/>
                <w:szCs w:val="20"/>
                <w:color w:val="auto"/>
              </w:rPr>
            </w:pPr>
            <w:r>
              <w:rPr>
                <w:rFonts w:ascii="Arial" w:cs="Arial" w:eastAsia="Arial" w:hAnsi="Arial"/>
                <w:sz w:val="14"/>
                <w:szCs w:val="14"/>
                <w:color w:val="auto"/>
              </w:rPr>
              <w:t>0</w:t>
            </w:r>
          </w:p>
        </w:tc>
        <w:tc>
          <w:tcPr>
            <w:tcW w:w="1200" w:type="dxa"/>
            <w:vAlign w:val="bottom"/>
            <w:shd w:val="clear" w:color="auto" w:fill="D8E8EF"/>
          </w:tcPr>
          <w:p>
            <w:pPr>
              <w:jc w:val="right"/>
              <w:ind w:right="49"/>
              <w:spacing w:after="0"/>
              <w:rPr>
                <w:sz w:val="20"/>
                <w:szCs w:val="20"/>
                <w:color w:val="auto"/>
              </w:rPr>
            </w:pPr>
            <w:r>
              <w:rPr>
                <w:rFonts w:ascii="Arial" w:cs="Arial" w:eastAsia="Arial" w:hAnsi="Arial"/>
                <w:sz w:val="14"/>
                <w:szCs w:val="14"/>
                <w:color w:val="auto"/>
              </w:rPr>
              <w:t>33,918</w:t>
            </w:r>
          </w:p>
        </w:tc>
        <w:tc>
          <w:tcPr>
            <w:tcW w:w="940" w:type="dxa"/>
            <w:vAlign w:val="bottom"/>
            <w:shd w:val="clear" w:color="auto" w:fill="D8E8EF"/>
          </w:tcPr>
          <w:p>
            <w:pPr>
              <w:jc w:val="right"/>
              <w:ind w:right="29"/>
              <w:spacing w:after="0"/>
              <w:rPr>
                <w:sz w:val="20"/>
                <w:szCs w:val="20"/>
                <w:color w:val="auto"/>
              </w:rPr>
            </w:pPr>
            <w:r>
              <w:rPr>
                <w:rFonts w:ascii="Arial" w:cs="Arial" w:eastAsia="Arial" w:hAnsi="Arial"/>
                <w:sz w:val="14"/>
                <w:szCs w:val="14"/>
                <w:color w:val="auto"/>
              </w:rPr>
              <w:t>2,040,266</w:t>
            </w:r>
          </w:p>
        </w:tc>
        <w:tc>
          <w:tcPr>
            <w:tcW w:w="0" w:type="dxa"/>
            <w:vAlign w:val="bottom"/>
          </w:tcPr>
          <w:p>
            <w:pPr>
              <w:spacing w:after="0"/>
              <w:rPr>
                <w:sz w:val="1"/>
                <w:szCs w:val="1"/>
                <w:color w:val="auto"/>
              </w:rPr>
            </w:pPr>
          </w:p>
        </w:tc>
      </w:tr>
      <w:tr>
        <w:trPr>
          <w:trHeight w:val="190"/>
        </w:trPr>
        <w:tc>
          <w:tcPr>
            <w:tcW w:w="3080" w:type="dxa"/>
            <w:vAlign w:val="bottom"/>
            <w:tcBorders>
              <w:bottom w:val="single" w:sz="8" w:color="D8E8EF"/>
            </w:tcBorders>
            <w:shd w:val="clear" w:color="auto" w:fill="D8E8EF"/>
          </w:tcPr>
          <w:p>
            <w:pPr>
              <w:ind w:left="240"/>
              <w:spacing w:after="0"/>
              <w:rPr>
                <w:sz w:val="20"/>
                <w:szCs w:val="20"/>
                <w:color w:val="auto"/>
              </w:rPr>
            </w:pPr>
            <w:r>
              <w:rPr>
                <w:rFonts w:ascii="Arial" w:cs="Arial" w:eastAsia="Arial" w:hAnsi="Arial"/>
                <w:sz w:val="14"/>
                <w:szCs w:val="14"/>
                <w:color w:val="auto"/>
              </w:rPr>
              <w:t>Manager, Advanced Solutions Group</w:t>
            </w:r>
          </w:p>
        </w:tc>
        <w:tc>
          <w:tcPr>
            <w:tcW w:w="540" w:type="dxa"/>
            <w:vAlign w:val="bottom"/>
            <w:tcBorders>
              <w:bottom w:val="single" w:sz="8" w:color="D8E8EF"/>
            </w:tcBorders>
            <w:shd w:val="clear" w:color="auto" w:fill="D8E8EF"/>
          </w:tcPr>
          <w:p>
            <w:pPr>
              <w:spacing w:after="0"/>
              <w:rPr>
                <w:sz w:val="16"/>
                <w:szCs w:val="16"/>
                <w:color w:val="auto"/>
              </w:rPr>
            </w:pPr>
          </w:p>
        </w:tc>
        <w:tc>
          <w:tcPr>
            <w:tcW w:w="700" w:type="dxa"/>
            <w:vAlign w:val="bottom"/>
            <w:tcBorders>
              <w:bottom w:val="single" w:sz="8" w:color="D8E8EF"/>
            </w:tcBorders>
            <w:shd w:val="clear" w:color="auto" w:fill="D8E8EF"/>
          </w:tcPr>
          <w:p>
            <w:pPr>
              <w:spacing w:after="0"/>
              <w:rPr>
                <w:sz w:val="16"/>
                <w:szCs w:val="16"/>
                <w:color w:val="auto"/>
              </w:rPr>
            </w:pPr>
          </w:p>
        </w:tc>
        <w:tc>
          <w:tcPr>
            <w:tcW w:w="780" w:type="dxa"/>
            <w:vAlign w:val="bottom"/>
            <w:tcBorders>
              <w:bottom w:val="single" w:sz="8" w:color="D8E8EF"/>
            </w:tcBorders>
            <w:shd w:val="clear" w:color="auto" w:fill="D8E8EF"/>
          </w:tcPr>
          <w:p>
            <w:pPr>
              <w:spacing w:after="0"/>
              <w:rPr>
                <w:sz w:val="16"/>
                <w:szCs w:val="16"/>
                <w:color w:val="auto"/>
              </w:rPr>
            </w:pPr>
          </w:p>
        </w:tc>
        <w:tc>
          <w:tcPr>
            <w:tcW w:w="840" w:type="dxa"/>
            <w:vAlign w:val="bottom"/>
            <w:tcBorders>
              <w:bottom w:val="single" w:sz="8" w:color="D8E8EF"/>
            </w:tcBorders>
            <w:shd w:val="clear" w:color="auto" w:fill="D8E8EF"/>
          </w:tcPr>
          <w:p>
            <w:pPr>
              <w:spacing w:after="0"/>
              <w:rPr>
                <w:sz w:val="16"/>
                <w:szCs w:val="16"/>
                <w:color w:val="auto"/>
              </w:rPr>
            </w:pPr>
          </w:p>
        </w:tc>
        <w:tc>
          <w:tcPr>
            <w:tcW w:w="680" w:type="dxa"/>
            <w:vAlign w:val="bottom"/>
            <w:tcBorders>
              <w:bottom w:val="single" w:sz="8" w:color="D8E8EF"/>
            </w:tcBorders>
            <w:shd w:val="clear" w:color="auto" w:fill="D8E8EF"/>
          </w:tcPr>
          <w:p>
            <w:pPr>
              <w:spacing w:after="0"/>
              <w:rPr>
                <w:sz w:val="16"/>
                <w:szCs w:val="16"/>
                <w:color w:val="auto"/>
              </w:rPr>
            </w:pPr>
          </w:p>
        </w:tc>
        <w:tc>
          <w:tcPr>
            <w:tcW w:w="1180" w:type="dxa"/>
            <w:vAlign w:val="bottom"/>
            <w:tcBorders>
              <w:bottom w:val="single" w:sz="8" w:color="D8E8EF"/>
            </w:tcBorders>
            <w:shd w:val="clear" w:color="auto" w:fill="D8E8EF"/>
          </w:tcPr>
          <w:p>
            <w:pPr>
              <w:spacing w:after="0"/>
              <w:rPr>
                <w:sz w:val="16"/>
                <w:szCs w:val="16"/>
                <w:color w:val="auto"/>
              </w:rPr>
            </w:pPr>
          </w:p>
        </w:tc>
        <w:tc>
          <w:tcPr>
            <w:tcW w:w="1200" w:type="dxa"/>
            <w:vAlign w:val="bottom"/>
            <w:tcBorders>
              <w:bottom w:val="single" w:sz="8" w:color="D8E8EF"/>
            </w:tcBorders>
            <w:shd w:val="clear" w:color="auto" w:fill="D8E8EF"/>
          </w:tcPr>
          <w:p>
            <w:pPr>
              <w:spacing w:after="0"/>
              <w:rPr>
                <w:sz w:val="16"/>
                <w:szCs w:val="16"/>
                <w:color w:val="auto"/>
              </w:rPr>
            </w:pPr>
          </w:p>
        </w:tc>
        <w:tc>
          <w:tcPr>
            <w:tcW w:w="940" w:type="dxa"/>
            <w:vAlign w:val="bottom"/>
            <w:tcBorders>
              <w:bottom w:val="single" w:sz="8" w:color="D8E8EF"/>
            </w:tcBorders>
            <w:shd w:val="clear" w:color="auto" w:fill="D8E8E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3080" w:type="dxa"/>
            <w:vAlign w:val="bottom"/>
          </w:tcPr>
          <w:p>
            <w:pPr>
              <w:ind w:left="60"/>
              <w:spacing w:after="0"/>
              <w:rPr>
                <w:sz w:val="20"/>
                <w:szCs w:val="20"/>
                <w:color w:val="auto"/>
              </w:rPr>
            </w:pPr>
            <w:r>
              <w:rPr>
                <w:rFonts w:ascii="Arial" w:cs="Arial" w:eastAsia="Arial" w:hAnsi="Arial"/>
                <w:sz w:val="14"/>
                <w:szCs w:val="14"/>
                <w:i w:val="1"/>
                <w:iCs w:val="1"/>
                <w:color w:val="auto"/>
              </w:rPr>
              <w:t>Simon Keeton</w:t>
            </w:r>
          </w:p>
        </w:tc>
        <w:tc>
          <w:tcPr>
            <w:tcW w:w="540" w:type="dxa"/>
            <w:vAlign w:val="bottom"/>
          </w:tcPr>
          <w:p>
            <w:pPr>
              <w:ind w:left="120"/>
              <w:spacing w:after="0"/>
              <w:rPr>
                <w:sz w:val="20"/>
                <w:szCs w:val="20"/>
                <w:color w:val="auto"/>
              </w:rPr>
            </w:pPr>
            <w:r>
              <w:rPr>
                <w:rFonts w:ascii="Arial" w:cs="Arial" w:eastAsia="Arial" w:hAnsi="Arial"/>
                <w:sz w:val="14"/>
                <w:szCs w:val="14"/>
                <w:color w:val="auto"/>
              </w:rPr>
              <w:t>2021</w:t>
            </w:r>
          </w:p>
        </w:tc>
        <w:tc>
          <w:tcPr>
            <w:tcW w:w="700" w:type="dxa"/>
            <w:vAlign w:val="bottom"/>
          </w:tcPr>
          <w:p>
            <w:pPr>
              <w:jc w:val="right"/>
              <w:ind w:right="9"/>
              <w:spacing w:after="0"/>
              <w:rPr>
                <w:sz w:val="20"/>
                <w:szCs w:val="20"/>
                <w:color w:val="auto"/>
              </w:rPr>
            </w:pPr>
            <w:r>
              <w:rPr>
                <w:rFonts w:ascii="Arial" w:cs="Arial" w:eastAsia="Arial" w:hAnsi="Arial"/>
                <w:sz w:val="14"/>
                <w:szCs w:val="14"/>
                <w:color w:val="auto"/>
              </w:rPr>
              <w:t>473,462</w:t>
            </w: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80,488</w:t>
            </w:r>
          </w:p>
        </w:tc>
        <w:tc>
          <w:tcPr>
            <w:tcW w:w="840" w:type="dxa"/>
            <w:vAlign w:val="bottom"/>
          </w:tcPr>
          <w:p>
            <w:pPr>
              <w:jc w:val="right"/>
              <w:ind w:right="9"/>
              <w:spacing w:after="0"/>
              <w:rPr>
                <w:sz w:val="20"/>
                <w:szCs w:val="20"/>
                <w:color w:val="auto"/>
              </w:rPr>
            </w:pPr>
            <w:r>
              <w:rPr>
                <w:rFonts w:ascii="Arial" w:cs="Arial" w:eastAsia="Arial" w:hAnsi="Arial"/>
                <w:sz w:val="14"/>
                <w:szCs w:val="14"/>
                <w:color w:val="auto"/>
              </w:rPr>
              <w:t>2,675,491</w:t>
            </w:r>
          </w:p>
        </w:tc>
        <w:tc>
          <w:tcPr>
            <w:tcW w:w="680" w:type="dxa"/>
            <w:vAlign w:val="bottom"/>
          </w:tcPr>
          <w:p>
            <w:pPr>
              <w:jc w:val="right"/>
              <w:ind w:right="9"/>
              <w:spacing w:after="0"/>
              <w:rPr>
                <w:sz w:val="20"/>
                <w:szCs w:val="20"/>
                <w:color w:val="auto"/>
              </w:rPr>
            </w:pPr>
            <w:r>
              <w:rPr>
                <w:rFonts w:ascii="Arial" w:cs="Arial" w:eastAsia="Arial" w:hAnsi="Arial"/>
                <w:sz w:val="14"/>
                <w:szCs w:val="14"/>
                <w:color w:val="auto"/>
              </w:rPr>
              <w:t>0</w:t>
            </w:r>
          </w:p>
        </w:tc>
        <w:tc>
          <w:tcPr>
            <w:tcW w:w="1180" w:type="dxa"/>
            <w:vAlign w:val="bottom"/>
          </w:tcPr>
          <w:p>
            <w:pPr>
              <w:jc w:val="right"/>
              <w:ind w:right="29"/>
              <w:spacing w:after="0"/>
              <w:rPr>
                <w:sz w:val="20"/>
                <w:szCs w:val="20"/>
                <w:color w:val="auto"/>
              </w:rPr>
            </w:pPr>
            <w:r>
              <w:rPr>
                <w:rFonts w:ascii="Arial" w:cs="Arial" w:eastAsia="Arial" w:hAnsi="Arial"/>
                <w:sz w:val="14"/>
                <w:szCs w:val="14"/>
                <w:color w:val="auto"/>
              </w:rPr>
              <w:t>603,664</w:t>
            </w:r>
          </w:p>
        </w:tc>
        <w:tc>
          <w:tcPr>
            <w:tcW w:w="1200" w:type="dxa"/>
            <w:vAlign w:val="bottom"/>
          </w:tcPr>
          <w:p>
            <w:pPr>
              <w:jc w:val="right"/>
              <w:ind w:right="49"/>
              <w:spacing w:after="0"/>
              <w:rPr>
                <w:sz w:val="20"/>
                <w:szCs w:val="20"/>
                <w:color w:val="auto"/>
              </w:rPr>
            </w:pPr>
            <w:r>
              <w:rPr>
                <w:rFonts w:ascii="Arial" w:cs="Arial" w:eastAsia="Arial" w:hAnsi="Arial"/>
                <w:sz w:val="14"/>
                <w:szCs w:val="14"/>
                <w:color w:val="auto"/>
              </w:rPr>
              <w:t>33,172</w:t>
            </w:r>
          </w:p>
        </w:tc>
        <w:tc>
          <w:tcPr>
            <w:tcW w:w="940" w:type="dxa"/>
            <w:vAlign w:val="bottom"/>
          </w:tcPr>
          <w:p>
            <w:pPr>
              <w:jc w:val="right"/>
              <w:ind w:right="29"/>
              <w:spacing w:after="0"/>
              <w:rPr>
                <w:sz w:val="20"/>
                <w:szCs w:val="20"/>
                <w:color w:val="auto"/>
              </w:rPr>
            </w:pPr>
            <w:r>
              <w:rPr>
                <w:rFonts w:ascii="Arial" w:cs="Arial" w:eastAsia="Arial" w:hAnsi="Arial"/>
                <w:sz w:val="14"/>
                <w:szCs w:val="14"/>
                <w:color w:val="auto"/>
              </w:rPr>
              <w:t>3,866,277</w:t>
            </w:r>
          </w:p>
        </w:tc>
        <w:tc>
          <w:tcPr>
            <w:tcW w:w="0" w:type="dxa"/>
            <w:vAlign w:val="bottom"/>
          </w:tcPr>
          <w:p>
            <w:pPr>
              <w:spacing w:after="0"/>
              <w:rPr>
                <w:sz w:val="1"/>
                <w:szCs w:val="1"/>
                <w:color w:val="auto"/>
              </w:rPr>
            </w:pPr>
          </w:p>
        </w:tc>
      </w:tr>
      <w:tr>
        <w:trPr>
          <w:trHeight w:val="160"/>
        </w:trPr>
        <w:tc>
          <w:tcPr>
            <w:tcW w:w="3080" w:type="dxa"/>
            <w:vAlign w:val="bottom"/>
          </w:tcPr>
          <w:p>
            <w:pPr>
              <w:ind w:left="60"/>
              <w:spacing w:after="0"/>
              <w:rPr>
                <w:sz w:val="20"/>
                <w:szCs w:val="20"/>
                <w:color w:val="auto"/>
              </w:rPr>
            </w:pPr>
            <w:r>
              <w:rPr>
                <w:rFonts w:ascii="Arial" w:cs="Arial" w:eastAsia="Arial" w:hAnsi="Arial"/>
                <w:sz w:val="14"/>
                <w:szCs w:val="14"/>
                <w:color w:val="auto"/>
              </w:rPr>
              <w:t>Executive Vice President and General</w:t>
            </w:r>
          </w:p>
        </w:tc>
        <w:tc>
          <w:tcPr>
            <w:tcW w:w="540" w:type="dxa"/>
            <w:vAlign w:val="bottom"/>
          </w:tcPr>
          <w:p>
            <w:pPr>
              <w:ind w:left="120"/>
              <w:spacing w:after="0"/>
              <w:rPr>
                <w:sz w:val="20"/>
                <w:szCs w:val="20"/>
                <w:color w:val="auto"/>
              </w:rPr>
            </w:pPr>
            <w:r>
              <w:rPr>
                <w:rFonts w:ascii="Arial" w:cs="Arial" w:eastAsia="Arial" w:hAnsi="Arial"/>
                <w:sz w:val="14"/>
                <w:szCs w:val="14"/>
                <w:color w:val="auto"/>
              </w:rPr>
              <w:t>2020</w:t>
            </w:r>
          </w:p>
        </w:tc>
        <w:tc>
          <w:tcPr>
            <w:tcW w:w="700" w:type="dxa"/>
            <w:vAlign w:val="bottom"/>
          </w:tcPr>
          <w:p>
            <w:pPr>
              <w:jc w:val="right"/>
              <w:ind w:right="9"/>
              <w:spacing w:after="0"/>
              <w:rPr>
                <w:sz w:val="20"/>
                <w:szCs w:val="20"/>
                <w:color w:val="auto"/>
              </w:rPr>
            </w:pPr>
            <w:r>
              <w:rPr>
                <w:rFonts w:ascii="Arial" w:cs="Arial" w:eastAsia="Arial" w:hAnsi="Arial"/>
                <w:sz w:val="14"/>
                <w:szCs w:val="14"/>
                <w:color w:val="auto"/>
              </w:rPr>
              <w:t>389,782</w:t>
            </w: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0</w:t>
            </w:r>
          </w:p>
        </w:tc>
        <w:tc>
          <w:tcPr>
            <w:tcW w:w="840" w:type="dxa"/>
            <w:vAlign w:val="bottom"/>
          </w:tcPr>
          <w:p>
            <w:pPr>
              <w:jc w:val="right"/>
              <w:ind w:right="9"/>
              <w:spacing w:after="0"/>
              <w:rPr>
                <w:sz w:val="20"/>
                <w:szCs w:val="20"/>
                <w:color w:val="auto"/>
              </w:rPr>
            </w:pPr>
            <w:r>
              <w:rPr>
                <w:rFonts w:ascii="Arial" w:cs="Arial" w:eastAsia="Arial" w:hAnsi="Arial"/>
                <w:sz w:val="14"/>
                <w:szCs w:val="14"/>
                <w:color w:val="auto"/>
              </w:rPr>
              <w:t>1,624,429</w:t>
            </w:r>
          </w:p>
        </w:tc>
        <w:tc>
          <w:tcPr>
            <w:tcW w:w="680" w:type="dxa"/>
            <w:vAlign w:val="bottom"/>
          </w:tcPr>
          <w:p>
            <w:pPr>
              <w:jc w:val="right"/>
              <w:ind w:right="9"/>
              <w:spacing w:after="0"/>
              <w:rPr>
                <w:sz w:val="20"/>
                <w:szCs w:val="20"/>
                <w:color w:val="auto"/>
              </w:rPr>
            </w:pPr>
            <w:r>
              <w:rPr>
                <w:rFonts w:ascii="Arial" w:cs="Arial" w:eastAsia="Arial" w:hAnsi="Arial"/>
                <w:sz w:val="14"/>
                <w:szCs w:val="14"/>
                <w:color w:val="auto"/>
              </w:rPr>
              <w:t>0</w:t>
            </w:r>
          </w:p>
        </w:tc>
        <w:tc>
          <w:tcPr>
            <w:tcW w:w="1180" w:type="dxa"/>
            <w:vAlign w:val="bottom"/>
          </w:tcPr>
          <w:p>
            <w:pPr>
              <w:jc w:val="right"/>
              <w:ind w:right="29"/>
              <w:spacing w:after="0"/>
              <w:rPr>
                <w:sz w:val="20"/>
                <w:szCs w:val="20"/>
                <w:color w:val="auto"/>
              </w:rPr>
            </w:pPr>
            <w:r>
              <w:rPr>
                <w:rFonts w:ascii="Arial" w:cs="Arial" w:eastAsia="Arial" w:hAnsi="Arial"/>
                <w:sz w:val="14"/>
                <w:szCs w:val="14"/>
                <w:color w:val="auto"/>
              </w:rPr>
              <w:t>0</w:t>
            </w:r>
          </w:p>
        </w:tc>
        <w:tc>
          <w:tcPr>
            <w:tcW w:w="1200" w:type="dxa"/>
            <w:vAlign w:val="bottom"/>
          </w:tcPr>
          <w:p>
            <w:pPr>
              <w:jc w:val="right"/>
              <w:ind w:right="49"/>
              <w:spacing w:after="0"/>
              <w:rPr>
                <w:sz w:val="20"/>
                <w:szCs w:val="20"/>
                <w:color w:val="auto"/>
              </w:rPr>
            </w:pPr>
            <w:r>
              <w:rPr>
                <w:rFonts w:ascii="Arial" w:cs="Arial" w:eastAsia="Arial" w:hAnsi="Arial"/>
                <w:sz w:val="14"/>
                <w:szCs w:val="14"/>
                <w:color w:val="auto"/>
              </w:rPr>
              <w:t>32,828</w:t>
            </w:r>
          </w:p>
        </w:tc>
        <w:tc>
          <w:tcPr>
            <w:tcW w:w="940" w:type="dxa"/>
            <w:vAlign w:val="bottom"/>
          </w:tcPr>
          <w:p>
            <w:pPr>
              <w:jc w:val="right"/>
              <w:ind w:right="29"/>
              <w:spacing w:after="0"/>
              <w:rPr>
                <w:sz w:val="20"/>
                <w:szCs w:val="20"/>
                <w:color w:val="auto"/>
              </w:rPr>
            </w:pPr>
            <w:r>
              <w:rPr>
                <w:rFonts w:ascii="Arial" w:cs="Arial" w:eastAsia="Arial" w:hAnsi="Arial"/>
                <w:sz w:val="14"/>
                <w:szCs w:val="14"/>
                <w:color w:val="auto"/>
              </w:rPr>
              <w:t>2,047,039</w:t>
            </w:r>
          </w:p>
        </w:tc>
        <w:tc>
          <w:tcPr>
            <w:tcW w:w="0" w:type="dxa"/>
            <w:vAlign w:val="bottom"/>
          </w:tcPr>
          <w:p>
            <w:pPr>
              <w:spacing w:after="0"/>
              <w:rPr>
                <w:sz w:val="1"/>
                <w:szCs w:val="1"/>
                <w:color w:val="auto"/>
              </w:rPr>
            </w:pPr>
          </w:p>
        </w:tc>
      </w:tr>
      <w:tr>
        <w:trPr>
          <w:trHeight w:val="189"/>
        </w:trPr>
        <w:tc>
          <w:tcPr>
            <w:tcW w:w="3080" w:type="dxa"/>
            <w:vAlign w:val="bottom"/>
          </w:tcPr>
          <w:p>
            <w:pPr>
              <w:ind w:left="240"/>
              <w:spacing w:after="0"/>
              <w:rPr>
                <w:sz w:val="20"/>
                <w:szCs w:val="20"/>
                <w:color w:val="auto"/>
              </w:rPr>
            </w:pPr>
            <w:r>
              <w:rPr>
                <w:rFonts w:ascii="Arial" w:cs="Arial" w:eastAsia="Arial" w:hAnsi="Arial"/>
                <w:sz w:val="14"/>
                <w:szCs w:val="14"/>
                <w:color w:val="auto"/>
              </w:rPr>
              <w:t>Manager, Power Solutions Group</w:t>
            </w:r>
          </w:p>
        </w:tc>
        <w:tc>
          <w:tcPr>
            <w:tcW w:w="540" w:type="dxa"/>
            <w:vAlign w:val="bottom"/>
          </w:tcPr>
          <w:p>
            <w:pPr>
              <w:ind w:left="120"/>
              <w:spacing w:after="0"/>
              <w:rPr>
                <w:sz w:val="20"/>
                <w:szCs w:val="20"/>
                <w:color w:val="auto"/>
              </w:rPr>
            </w:pPr>
            <w:r>
              <w:rPr>
                <w:rFonts w:ascii="Arial" w:cs="Arial" w:eastAsia="Arial" w:hAnsi="Arial"/>
                <w:sz w:val="14"/>
                <w:szCs w:val="14"/>
                <w:color w:val="auto"/>
              </w:rPr>
              <w:t>2019</w:t>
            </w:r>
          </w:p>
        </w:tc>
        <w:tc>
          <w:tcPr>
            <w:tcW w:w="700" w:type="dxa"/>
            <w:vAlign w:val="bottom"/>
          </w:tcPr>
          <w:p>
            <w:pPr>
              <w:jc w:val="right"/>
              <w:ind w:right="9"/>
              <w:spacing w:after="0"/>
              <w:rPr>
                <w:sz w:val="20"/>
                <w:szCs w:val="20"/>
                <w:color w:val="auto"/>
              </w:rPr>
            </w:pPr>
            <w:r>
              <w:rPr>
                <w:rFonts w:ascii="Arial" w:cs="Arial" w:eastAsia="Arial" w:hAnsi="Arial"/>
                <w:sz w:val="14"/>
                <w:szCs w:val="14"/>
                <w:color w:val="auto"/>
              </w:rPr>
              <w:t>390,539</w:t>
            </w: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0</w:t>
            </w:r>
          </w:p>
        </w:tc>
        <w:tc>
          <w:tcPr>
            <w:tcW w:w="840" w:type="dxa"/>
            <w:vAlign w:val="bottom"/>
          </w:tcPr>
          <w:p>
            <w:pPr>
              <w:jc w:val="right"/>
              <w:ind w:right="9"/>
              <w:spacing w:after="0"/>
              <w:rPr>
                <w:sz w:val="20"/>
                <w:szCs w:val="20"/>
                <w:color w:val="auto"/>
              </w:rPr>
            </w:pPr>
            <w:r>
              <w:rPr>
                <w:rFonts w:ascii="Arial" w:cs="Arial" w:eastAsia="Arial" w:hAnsi="Arial"/>
                <w:sz w:val="14"/>
                <w:szCs w:val="14"/>
                <w:color w:val="auto"/>
              </w:rPr>
              <w:t>1,860,030</w:t>
            </w:r>
          </w:p>
        </w:tc>
        <w:tc>
          <w:tcPr>
            <w:tcW w:w="680" w:type="dxa"/>
            <w:vAlign w:val="bottom"/>
          </w:tcPr>
          <w:p>
            <w:pPr>
              <w:jc w:val="right"/>
              <w:ind w:right="9"/>
              <w:spacing w:after="0"/>
              <w:rPr>
                <w:sz w:val="20"/>
                <w:szCs w:val="20"/>
                <w:color w:val="auto"/>
              </w:rPr>
            </w:pPr>
            <w:r>
              <w:rPr>
                <w:rFonts w:ascii="Arial" w:cs="Arial" w:eastAsia="Arial" w:hAnsi="Arial"/>
                <w:sz w:val="14"/>
                <w:szCs w:val="14"/>
                <w:color w:val="auto"/>
              </w:rPr>
              <w:t>0</w:t>
            </w:r>
          </w:p>
        </w:tc>
        <w:tc>
          <w:tcPr>
            <w:tcW w:w="1180" w:type="dxa"/>
            <w:vAlign w:val="bottom"/>
          </w:tcPr>
          <w:p>
            <w:pPr>
              <w:jc w:val="right"/>
              <w:ind w:right="29"/>
              <w:spacing w:after="0"/>
              <w:rPr>
                <w:sz w:val="20"/>
                <w:szCs w:val="20"/>
                <w:color w:val="auto"/>
              </w:rPr>
            </w:pPr>
            <w:r>
              <w:rPr>
                <w:rFonts w:ascii="Arial" w:cs="Arial" w:eastAsia="Arial" w:hAnsi="Arial"/>
                <w:sz w:val="14"/>
                <w:szCs w:val="14"/>
                <w:color w:val="auto"/>
              </w:rPr>
              <w:t>0</w:t>
            </w:r>
          </w:p>
        </w:tc>
        <w:tc>
          <w:tcPr>
            <w:tcW w:w="1200" w:type="dxa"/>
            <w:vAlign w:val="bottom"/>
          </w:tcPr>
          <w:p>
            <w:pPr>
              <w:jc w:val="right"/>
              <w:ind w:right="49"/>
              <w:spacing w:after="0"/>
              <w:rPr>
                <w:sz w:val="20"/>
                <w:szCs w:val="20"/>
                <w:color w:val="auto"/>
              </w:rPr>
            </w:pPr>
            <w:r>
              <w:rPr>
                <w:rFonts w:ascii="Arial" w:cs="Arial" w:eastAsia="Arial" w:hAnsi="Arial"/>
                <w:sz w:val="14"/>
                <w:szCs w:val="14"/>
                <w:color w:val="auto"/>
              </w:rPr>
              <w:t>31,694</w:t>
            </w:r>
          </w:p>
        </w:tc>
        <w:tc>
          <w:tcPr>
            <w:tcW w:w="940" w:type="dxa"/>
            <w:vAlign w:val="bottom"/>
          </w:tcPr>
          <w:p>
            <w:pPr>
              <w:jc w:val="right"/>
              <w:ind w:right="29"/>
              <w:spacing w:after="0"/>
              <w:rPr>
                <w:sz w:val="20"/>
                <w:szCs w:val="20"/>
                <w:color w:val="auto"/>
              </w:rPr>
            </w:pPr>
            <w:r>
              <w:rPr>
                <w:rFonts w:ascii="Arial" w:cs="Arial" w:eastAsia="Arial" w:hAnsi="Arial"/>
                <w:sz w:val="14"/>
                <w:szCs w:val="14"/>
                <w:color w:val="auto"/>
              </w:rPr>
              <w:t>2,282,262</w:t>
            </w:r>
          </w:p>
        </w:tc>
        <w:tc>
          <w:tcPr>
            <w:tcW w:w="0" w:type="dxa"/>
            <w:vAlign w:val="bottom"/>
          </w:tcPr>
          <w:p>
            <w:pPr>
              <w:spacing w:after="0"/>
              <w:rPr>
                <w:sz w:val="1"/>
                <w:szCs w:val="1"/>
                <w:color w:val="auto"/>
              </w:rPr>
            </w:pPr>
          </w:p>
        </w:tc>
      </w:tr>
      <w:tr>
        <w:trPr>
          <w:trHeight w:val="21"/>
        </w:trPr>
        <w:tc>
          <w:tcPr>
            <w:tcW w:w="30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3080" w:type="dxa"/>
            <w:vAlign w:val="bottom"/>
            <w:shd w:val="clear" w:color="auto" w:fill="D8E8EF"/>
          </w:tcPr>
          <w:p>
            <w:pPr>
              <w:ind w:left="60"/>
              <w:spacing w:after="0"/>
              <w:rPr>
                <w:sz w:val="20"/>
                <w:szCs w:val="20"/>
                <w:color w:val="auto"/>
              </w:rPr>
            </w:pPr>
            <w:r>
              <w:rPr>
                <w:rFonts w:ascii="Arial" w:cs="Arial" w:eastAsia="Arial" w:hAnsi="Arial"/>
                <w:sz w:val="14"/>
                <w:szCs w:val="14"/>
                <w:i w:val="1"/>
                <w:iCs w:val="1"/>
                <w:color w:val="auto"/>
              </w:rPr>
              <w:t>Ross F. Jatou</w:t>
            </w:r>
          </w:p>
        </w:tc>
        <w:tc>
          <w:tcPr>
            <w:tcW w:w="540" w:type="dxa"/>
            <w:vAlign w:val="bottom"/>
            <w:shd w:val="clear" w:color="auto" w:fill="D8E8EF"/>
          </w:tcPr>
          <w:p>
            <w:pPr>
              <w:ind w:left="120"/>
              <w:spacing w:after="0"/>
              <w:rPr>
                <w:sz w:val="20"/>
                <w:szCs w:val="20"/>
                <w:color w:val="auto"/>
              </w:rPr>
            </w:pPr>
            <w:r>
              <w:rPr>
                <w:rFonts w:ascii="Arial" w:cs="Arial" w:eastAsia="Arial" w:hAnsi="Arial"/>
                <w:sz w:val="14"/>
                <w:szCs w:val="14"/>
                <w:color w:val="auto"/>
              </w:rPr>
              <w:t>2021</w:t>
            </w:r>
          </w:p>
        </w:tc>
        <w:tc>
          <w:tcPr>
            <w:tcW w:w="700" w:type="dxa"/>
            <w:vAlign w:val="bottom"/>
            <w:shd w:val="clear" w:color="auto" w:fill="D8E8EF"/>
          </w:tcPr>
          <w:p>
            <w:pPr>
              <w:jc w:val="right"/>
              <w:ind w:right="9"/>
              <w:spacing w:after="0"/>
              <w:rPr>
                <w:sz w:val="20"/>
                <w:szCs w:val="20"/>
                <w:color w:val="auto"/>
              </w:rPr>
            </w:pPr>
            <w:r>
              <w:rPr>
                <w:rFonts w:ascii="Arial" w:cs="Arial" w:eastAsia="Arial" w:hAnsi="Arial"/>
                <w:sz w:val="14"/>
                <w:szCs w:val="14"/>
                <w:color w:val="auto"/>
              </w:rPr>
              <w:t>450,000</w:t>
            </w:r>
          </w:p>
        </w:tc>
        <w:tc>
          <w:tcPr>
            <w:tcW w:w="780" w:type="dxa"/>
            <w:vAlign w:val="bottom"/>
            <w:shd w:val="clear" w:color="auto" w:fill="D8E8EF"/>
          </w:tcPr>
          <w:p>
            <w:pPr>
              <w:jc w:val="right"/>
              <w:ind w:right="29"/>
              <w:spacing w:after="0"/>
              <w:rPr>
                <w:sz w:val="20"/>
                <w:szCs w:val="20"/>
                <w:color w:val="auto"/>
              </w:rPr>
            </w:pPr>
            <w:r>
              <w:rPr>
                <w:rFonts w:ascii="Arial" w:cs="Arial" w:eastAsia="Arial" w:hAnsi="Arial"/>
                <w:sz w:val="14"/>
                <w:szCs w:val="14"/>
                <w:color w:val="auto"/>
              </w:rPr>
              <w:t>76,500</w:t>
            </w:r>
          </w:p>
        </w:tc>
        <w:tc>
          <w:tcPr>
            <w:tcW w:w="840" w:type="dxa"/>
            <w:vAlign w:val="bottom"/>
            <w:shd w:val="clear" w:color="auto" w:fill="D8E8EF"/>
          </w:tcPr>
          <w:p>
            <w:pPr>
              <w:jc w:val="right"/>
              <w:ind w:right="9"/>
              <w:spacing w:after="0"/>
              <w:rPr>
                <w:sz w:val="20"/>
                <w:szCs w:val="20"/>
                <w:color w:val="auto"/>
              </w:rPr>
            </w:pPr>
            <w:r>
              <w:rPr>
                <w:rFonts w:ascii="Arial" w:cs="Arial" w:eastAsia="Arial" w:hAnsi="Arial"/>
                <w:sz w:val="14"/>
                <w:szCs w:val="14"/>
                <w:color w:val="auto"/>
              </w:rPr>
              <w:t>1,645,882</w:t>
            </w:r>
          </w:p>
        </w:tc>
        <w:tc>
          <w:tcPr>
            <w:tcW w:w="680" w:type="dxa"/>
            <w:vAlign w:val="bottom"/>
            <w:shd w:val="clear" w:color="auto" w:fill="D8E8EF"/>
          </w:tcPr>
          <w:p>
            <w:pPr>
              <w:jc w:val="right"/>
              <w:ind w:right="9"/>
              <w:spacing w:after="0"/>
              <w:rPr>
                <w:sz w:val="20"/>
                <w:szCs w:val="20"/>
                <w:color w:val="auto"/>
              </w:rPr>
            </w:pPr>
            <w:r>
              <w:rPr>
                <w:rFonts w:ascii="Arial" w:cs="Arial" w:eastAsia="Arial" w:hAnsi="Arial"/>
                <w:sz w:val="14"/>
                <w:szCs w:val="14"/>
                <w:color w:val="auto"/>
              </w:rPr>
              <w:t>0</w:t>
            </w:r>
          </w:p>
        </w:tc>
        <w:tc>
          <w:tcPr>
            <w:tcW w:w="1180" w:type="dxa"/>
            <w:vAlign w:val="bottom"/>
            <w:shd w:val="clear" w:color="auto" w:fill="D8E8EF"/>
          </w:tcPr>
          <w:p>
            <w:pPr>
              <w:jc w:val="right"/>
              <w:ind w:right="29"/>
              <w:spacing w:after="0"/>
              <w:rPr>
                <w:sz w:val="20"/>
                <w:szCs w:val="20"/>
                <w:color w:val="auto"/>
              </w:rPr>
            </w:pPr>
            <w:r>
              <w:rPr>
                <w:rFonts w:ascii="Arial" w:cs="Arial" w:eastAsia="Arial" w:hAnsi="Arial"/>
                <w:sz w:val="14"/>
                <w:szCs w:val="14"/>
                <w:color w:val="auto"/>
              </w:rPr>
              <w:t>563,805</w:t>
            </w:r>
          </w:p>
        </w:tc>
        <w:tc>
          <w:tcPr>
            <w:tcW w:w="1200" w:type="dxa"/>
            <w:vAlign w:val="bottom"/>
            <w:shd w:val="clear" w:color="auto" w:fill="D8E8EF"/>
          </w:tcPr>
          <w:p>
            <w:pPr>
              <w:jc w:val="right"/>
              <w:ind w:right="49"/>
              <w:spacing w:after="0"/>
              <w:rPr>
                <w:sz w:val="20"/>
                <w:szCs w:val="20"/>
                <w:color w:val="auto"/>
              </w:rPr>
            </w:pPr>
            <w:r>
              <w:rPr>
                <w:rFonts w:ascii="Arial" w:cs="Arial" w:eastAsia="Arial" w:hAnsi="Arial"/>
                <w:sz w:val="14"/>
                <w:szCs w:val="14"/>
                <w:color w:val="auto"/>
              </w:rPr>
              <w:t>33,522 (6)</w:t>
            </w:r>
          </w:p>
        </w:tc>
        <w:tc>
          <w:tcPr>
            <w:tcW w:w="940" w:type="dxa"/>
            <w:vAlign w:val="bottom"/>
            <w:shd w:val="clear" w:color="auto" w:fill="D8E8EF"/>
          </w:tcPr>
          <w:p>
            <w:pPr>
              <w:jc w:val="right"/>
              <w:ind w:right="29"/>
              <w:spacing w:after="0"/>
              <w:rPr>
                <w:sz w:val="20"/>
                <w:szCs w:val="20"/>
                <w:color w:val="auto"/>
              </w:rPr>
            </w:pPr>
            <w:r>
              <w:rPr>
                <w:rFonts w:ascii="Arial" w:cs="Arial" w:eastAsia="Arial" w:hAnsi="Arial"/>
                <w:sz w:val="14"/>
                <w:szCs w:val="14"/>
                <w:color w:val="auto"/>
              </w:rPr>
              <w:t>2,769,709</w:t>
            </w:r>
          </w:p>
        </w:tc>
        <w:tc>
          <w:tcPr>
            <w:tcW w:w="0" w:type="dxa"/>
            <w:vAlign w:val="bottom"/>
          </w:tcPr>
          <w:p>
            <w:pPr>
              <w:spacing w:after="0"/>
              <w:rPr>
                <w:sz w:val="1"/>
                <w:szCs w:val="1"/>
                <w:color w:val="auto"/>
              </w:rPr>
            </w:pPr>
          </w:p>
        </w:tc>
      </w:tr>
      <w:tr>
        <w:trPr>
          <w:trHeight w:val="160"/>
        </w:trPr>
        <w:tc>
          <w:tcPr>
            <w:tcW w:w="3080" w:type="dxa"/>
            <w:vAlign w:val="bottom"/>
            <w:shd w:val="clear" w:color="auto" w:fill="D8E8EF"/>
          </w:tcPr>
          <w:p>
            <w:pPr>
              <w:ind w:left="60"/>
              <w:spacing w:after="0"/>
              <w:rPr>
                <w:sz w:val="20"/>
                <w:szCs w:val="20"/>
                <w:color w:val="auto"/>
              </w:rPr>
            </w:pPr>
            <w:r>
              <w:rPr>
                <w:rFonts w:ascii="Arial" w:cs="Arial" w:eastAsia="Arial" w:hAnsi="Arial"/>
                <w:sz w:val="14"/>
                <w:szCs w:val="14"/>
                <w:color w:val="auto"/>
              </w:rPr>
              <w:t>Senior Vice President and General Manager,</w:t>
            </w:r>
          </w:p>
        </w:tc>
        <w:tc>
          <w:tcPr>
            <w:tcW w:w="540" w:type="dxa"/>
            <w:vAlign w:val="bottom"/>
            <w:shd w:val="clear" w:color="auto" w:fill="D8E8EF"/>
          </w:tcPr>
          <w:p>
            <w:pPr>
              <w:spacing w:after="0"/>
              <w:rPr>
                <w:sz w:val="13"/>
                <w:szCs w:val="13"/>
                <w:color w:val="auto"/>
              </w:rPr>
            </w:pPr>
          </w:p>
        </w:tc>
        <w:tc>
          <w:tcPr>
            <w:tcW w:w="700" w:type="dxa"/>
            <w:vAlign w:val="bottom"/>
            <w:shd w:val="clear" w:color="auto" w:fill="D8E8EF"/>
          </w:tcPr>
          <w:p>
            <w:pPr>
              <w:spacing w:after="0"/>
              <w:rPr>
                <w:sz w:val="13"/>
                <w:szCs w:val="13"/>
                <w:color w:val="auto"/>
              </w:rPr>
            </w:pPr>
          </w:p>
        </w:tc>
        <w:tc>
          <w:tcPr>
            <w:tcW w:w="780" w:type="dxa"/>
            <w:vAlign w:val="bottom"/>
            <w:shd w:val="clear" w:color="auto" w:fill="D8E8EF"/>
          </w:tcPr>
          <w:p>
            <w:pPr>
              <w:spacing w:after="0"/>
              <w:rPr>
                <w:sz w:val="13"/>
                <w:szCs w:val="13"/>
                <w:color w:val="auto"/>
              </w:rPr>
            </w:pPr>
          </w:p>
        </w:tc>
        <w:tc>
          <w:tcPr>
            <w:tcW w:w="840" w:type="dxa"/>
            <w:vAlign w:val="bottom"/>
            <w:shd w:val="clear" w:color="auto" w:fill="D8E8EF"/>
          </w:tcPr>
          <w:p>
            <w:pPr>
              <w:spacing w:after="0"/>
              <w:rPr>
                <w:sz w:val="13"/>
                <w:szCs w:val="13"/>
                <w:color w:val="auto"/>
              </w:rPr>
            </w:pPr>
          </w:p>
        </w:tc>
        <w:tc>
          <w:tcPr>
            <w:tcW w:w="680" w:type="dxa"/>
            <w:vAlign w:val="bottom"/>
            <w:shd w:val="clear" w:color="auto" w:fill="D8E8EF"/>
          </w:tcPr>
          <w:p>
            <w:pPr>
              <w:spacing w:after="0"/>
              <w:rPr>
                <w:sz w:val="13"/>
                <w:szCs w:val="13"/>
                <w:color w:val="auto"/>
              </w:rPr>
            </w:pPr>
          </w:p>
        </w:tc>
        <w:tc>
          <w:tcPr>
            <w:tcW w:w="1180" w:type="dxa"/>
            <w:vAlign w:val="bottom"/>
            <w:shd w:val="clear" w:color="auto" w:fill="D8E8EF"/>
          </w:tcPr>
          <w:p>
            <w:pPr>
              <w:spacing w:after="0"/>
              <w:rPr>
                <w:sz w:val="13"/>
                <w:szCs w:val="13"/>
                <w:color w:val="auto"/>
              </w:rPr>
            </w:pPr>
          </w:p>
        </w:tc>
        <w:tc>
          <w:tcPr>
            <w:tcW w:w="1200" w:type="dxa"/>
            <w:vAlign w:val="bottom"/>
            <w:shd w:val="clear" w:color="auto" w:fill="D8E8EF"/>
          </w:tcPr>
          <w:p>
            <w:pPr>
              <w:spacing w:after="0"/>
              <w:rPr>
                <w:sz w:val="13"/>
                <w:szCs w:val="13"/>
                <w:color w:val="auto"/>
              </w:rPr>
            </w:pPr>
          </w:p>
        </w:tc>
        <w:tc>
          <w:tcPr>
            <w:tcW w:w="940" w:type="dxa"/>
            <w:vAlign w:val="bottom"/>
            <w:shd w:val="clear" w:color="auto" w:fill="D8E8EF"/>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3080" w:type="dxa"/>
            <w:vAlign w:val="bottom"/>
            <w:tcBorders>
              <w:bottom w:val="single" w:sz="8" w:color="D8E8EF"/>
            </w:tcBorders>
            <w:shd w:val="clear" w:color="auto" w:fill="D8E8EF"/>
          </w:tcPr>
          <w:p>
            <w:pPr>
              <w:ind w:left="240"/>
              <w:spacing w:after="0"/>
              <w:rPr>
                <w:sz w:val="20"/>
                <w:szCs w:val="20"/>
                <w:color w:val="auto"/>
              </w:rPr>
            </w:pPr>
            <w:r>
              <w:rPr>
                <w:rFonts w:ascii="Arial" w:cs="Arial" w:eastAsia="Arial" w:hAnsi="Arial"/>
                <w:sz w:val="14"/>
                <w:szCs w:val="14"/>
                <w:color w:val="auto"/>
              </w:rPr>
              <w:t>Intelligent Sensing Group</w:t>
            </w:r>
          </w:p>
        </w:tc>
        <w:tc>
          <w:tcPr>
            <w:tcW w:w="540" w:type="dxa"/>
            <w:vAlign w:val="bottom"/>
            <w:tcBorders>
              <w:bottom w:val="single" w:sz="8" w:color="D8E8EF"/>
            </w:tcBorders>
            <w:shd w:val="clear" w:color="auto" w:fill="D8E8EF"/>
          </w:tcPr>
          <w:p>
            <w:pPr>
              <w:spacing w:after="0"/>
              <w:rPr>
                <w:sz w:val="16"/>
                <w:szCs w:val="16"/>
                <w:color w:val="auto"/>
              </w:rPr>
            </w:pPr>
          </w:p>
        </w:tc>
        <w:tc>
          <w:tcPr>
            <w:tcW w:w="700" w:type="dxa"/>
            <w:vAlign w:val="bottom"/>
            <w:tcBorders>
              <w:bottom w:val="single" w:sz="8" w:color="D8E8EF"/>
            </w:tcBorders>
            <w:shd w:val="clear" w:color="auto" w:fill="D8E8EF"/>
          </w:tcPr>
          <w:p>
            <w:pPr>
              <w:spacing w:after="0"/>
              <w:rPr>
                <w:sz w:val="16"/>
                <w:szCs w:val="16"/>
                <w:color w:val="auto"/>
              </w:rPr>
            </w:pPr>
          </w:p>
        </w:tc>
        <w:tc>
          <w:tcPr>
            <w:tcW w:w="780" w:type="dxa"/>
            <w:vAlign w:val="bottom"/>
            <w:tcBorders>
              <w:bottom w:val="single" w:sz="8" w:color="D8E8EF"/>
            </w:tcBorders>
            <w:shd w:val="clear" w:color="auto" w:fill="D8E8EF"/>
          </w:tcPr>
          <w:p>
            <w:pPr>
              <w:spacing w:after="0"/>
              <w:rPr>
                <w:sz w:val="16"/>
                <w:szCs w:val="16"/>
                <w:color w:val="auto"/>
              </w:rPr>
            </w:pPr>
          </w:p>
        </w:tc>
        <w:tc>
          <w:tcPr>
            <w:tcW w:w="840" w:type="dxa"/>
            <w:vAlign w:val="bottom"/>
            <w:tcBorders>
              <w:bottom w:val="single" w:sz="8" w:color="D8E8EF"/>
            </w:tcBorders>
            <w:shd w:val="clear" w:color="auto" w:fill="D8E8EF"/>
          </w:tcPr>
          <w:p>
            <w:pPr>
              <w:spacing w:after="0"/>
              <w:rPr>
                <w:sz w:val="16"/>
                <w:szCs w:val="16"/>
                <w:color w:val="auto"/>
              </w:rPr>
            </w:pPr>
          </w:p>
        </w:tc>
        <w:tc>
          <w:tcPr>
            <w:tcW w:w="680" w:type="dxa"/>
            <w:vAlign w:val="bottom"/>
            <w:tcBorders>
              <w:bottom w:val="single" w:sz="8" w:color="D8E8EF"/>
            </w:tcBorders>
            <w:shd w:val="clear" w:color="auto" w:fill="D8E8EF"/>
          </w:tcPr>
          <w:p>
            <w:pPr>
              <w:spacing w:after="0"/>
              <w:rPr>
                <w:sz w:val="16"/>
                <w:szCs w:val="16"/>
                <w:color w:val="auto"/>
              </w:rPr>
            </w:pPr>
          </w:p>
        </w:tc>
        <w:tc>
          <w:tcPr>
            <w:tcW w:w="1180" w:type="dxa"/>
            <w:vAlign w:val="bottom"/>
            <w:tcBorders>
              <w:bottom w:val="single" w:sz="8" w:color="D8E8EF"/>
            </w:tcBorders>
            <w:shd w:val="clear" w:color="auto" w:fill="D8E8EF"/>
          </w:tcPr>
          <w:p>
            <w:pPr>
              <w:spacing w:after="0"/>
              <w:rPr>
                <w:sz w:val="16"/>
                <w:szCs w:val="16"/>
                <w:color w:val="auto"/>
              </w:rPr>
            </w:pPr>
          </w:p>
        </w:tc>
        <w:tc>
          <w:tcPr>
            <w:tcW w:w="1200" w:type="dxa"/>
            <w:vAlign w:val="bottom"/>
            <w:tcBorders>
              <w:bottom w:val="single" w:sz="8" w:color="D8E8EF"/>
            </w:tcBorders>
            <w:shd w:val="clear" w:color="auto" w:fill="D8E8EF"/>
          </w:tcPr>
          <w:p>
            <w:pPr>
              <w:spacing w:after="0"/>
              <w:rPr>
                <w:sz w:val="16"/>
                <w:szCs w:val="16"/>
                <w:color w:val="auto"/>
              </w:rPr>
            </w:pPr>
          </w:p>
        </w:tc>
        <w:tc>
          <w:tcPr>
            <w:tcW w:w="940" w:type="dxa"/>
            <w:vAlign w:val="bottom"/>
            <w:tcBorders>
              <w:bottom w:val="single" w:sz="8" w:color="D8E8EF"/>
            </w:tcBorders>
            <w:shd w:val="clear" w:color="auto" w:fill="D8E8E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3080" w:type="dxa"/>
            <w:vAlign w:val="bottom"/>
          </w:tcPr>
          <w:p>
            <w:pPr>
              <w:ind w:left="60"/>
              <w:spacing w:after="0"/>
              <w:rPr>
                <w:sz w:val="20"/>
                <w:szCs w:val="20"/>
                <w:color w:val="auto"/>
              </w:rPr>
            </w:pPr>
            <w:r>
              <w:rPr>
                <w:rFonts w:ascii="Arial" w:cs="Arial" w:eastAsia="Arial" w:hAnsi="Arial"/>
                <w:sz w:val="14"/>
                <w:szCs w:val="14"/>
                <w:i w:val="1"/>
                <w:iCs w:val="1"/>
                <w:color w:val="auto"/>
              </w:rPr>
              <w:t xml:space="preserve">George H. Cave </w:t>
            </w:r>
            <w:r>
              <w:rPr>
                <w:rFonts w:ascii="Arial" w:cs="Arial" w:eastAsia="Arial" w:hAnsi="Arial"/>
                <w:sz w:val="14"/>
                <w:szCs w:val="14"/>
                <w:color w:val="auto"/>
              </w:rPr>
              <w:t>(7)</w:t>
            </w:r>
          </w:p>
        </w:tc>
        <w:tc>
          <w:tcPr>
            <w:tcW w:w="540" w:type="dxa"/>
            <w:vAlign w:val="bottom"/>
          </w:tcPr>
          <w:p>
            <w:pPr>
              <w:ind w:left="120"/>
              <w:spacing w:after="0"/>
              <w:rPr>
                <w:sz w:val="20"/>
                <w:szCs w:val="20"/>
                <w:color w:val="auto"/>
              </w:rPr>
            </w:pPr>
            <w:r>
              <w:rPr>
                <w:rFonts w:ascii="Arial" w:cs="Arial" w:eastAsia="Arial" w:hAnsi="Arial"/>
                <w:sz w:val="14"/>
                <w:szCs w:val="14"/>
                <w:color w:val="auto"/>
              </w:rPr>
              <w:t>2021</w:t>
            </w:r>
          </w:p>
        </w:tc>
        <w:tc>
          <w:tcPr>
            <w:tcW w:w="700" w:type="dxa"/>
            <w:vAlign w:val="bottom"/>
          </w:tcPr>
          <w:p>
            <w:pPr>
              <w:jc w:val="right"/>
              <w:ind w:right="9"/>
              <w:spacing w:after="0"/>
              <w:rPr>
                <w:sz w:val="20"/>
                <w:szCs w:val="20"/>
                <w:color w:val="auto"/>
              </w:rPr>
            </w:pPr>
            <w:r>
              <w:rPr>
                <w:rFonts w:ascii="Arial" w:cs="Arial" w:eastAsia="Arial" w:hAnsi="Arial"/>
                <w:sz w:val="14"/>
                <w:szCs w:val="14"/>
                <w:color w:val="auto"/>
              </w:rPr>
              <w:t>500,000</w:t>
            </w: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0 (7)</w:t>
            </w:r>
          </w:p>
        </w:tc>
        <w:tc>
          <w:tcPr>
            <w:tcW w:w="840" w:type="dxa"/>
            <w:vAlign w:val="bottom"/>
          </w:tcPr>
          <w:p>
            <w:pPr>
              <w:jc w:val="right"/>
              <w:ind w:right="9"/>
              <w:spacing w:after="0"/>
              <w:rPr>
                <w:sz w:val="20"/>
                <w:szCs w:val="20"/>
                <w:color w:val="auto"/>
              </w:rPr>
            </w:pPr>
            <w:r>
              <w:rPr>
                <w:rFonts w:ascii="Arial" w:cs="Arial" w:eastAsia="Arial" w:hAnsi="Arial"/>
                <w:sz w:val="14"/>
                <w:szCs w:val="14"/>
                <w:color w:val="auto"/>
              </w:rPr>
              <w:t>1,765,080</w:t>
            </w:r>
          </w:p>
        </w:tc>
        <w:tc>
          <w:tcPr>
            <w:tcW w:w="680" w:type="dxa"/>
            <w:vAlign w:val="bottom"/>
          </w:tcPr>
          <w:p>
            <w:pPr>
              <w:jc w:val="right"/>
              <w:ind w:right="9"/>
              <w:spacing w:after="0"/>
              <w:rPr>
                <w:sz w:val="20"/>
                <w:szCs w:val="20"/>
                <w:color w:val="auto"/>
              </w:rPr>
            </w:pPr>
            <w:r>
              <w:rPr>
                <w:rFonts w:ascii="Arial" w:cs="Arial" w:eastAsia="Arial" w:hAnsi="Arial"/>
                <w:sz w:val="14"/>
                <w:szCs w:val="14"/>
                <w:color w:val="auto"/>
              </w:rPr>
              <w:t>0</w:t>
            </w:r>
          </w:p>
        </w:tc>
        <w:tc>
          <w:tcPr>
            <w:tcW w:w="1180" w:type="dxa"/>
            <w:vAlign w:val="bottom"/>
          </w:tcPr>
          <w:p>
            <w:pPr>
              <w:jc w:val="right"/>
              <w:ind w:right="29"/>
              <w:spacing w:after="0"/>
              <w:rPr>
                <w:sz w:val="20"/>
                <w:szCs w:val="20"/>
                <w:color w:val="auto"/>
              </w:rPr>
            </w:pPr>
            <w:r>
              <w:rPr>
                <w:rFonts w:ascii="Arial" w:cs="Arial" w:eastAsia="Arial" w:hAnsi="Arial"/>
                <w:sz w:val="14"/>
                <w:szCs w:val="14"/>
                <w:color w:val="auto"/>
              </w:rPr>
              <w:t>525,000</w:t>
            </w:r>
          </w:p>
        </w:tc>
        <w:tc>
          <w:tcPr>
            <w:tcW w:w="1200" w:type="dxa"/>
            <w:vAlign w:val="bottom"/>
          </w:tcPr>
          <w:p>
            <w:pPr>
              <w:jc w:val="right"/>
              <w:ind w:right="49"/>
              <w:spacing w:after="0"/>
              <w:rPr>
                <w:sz w:val="20"/>
                <w:szCs w:val="20"/>
                <w:color w:val="auto"/>
              </w:rPr>
            </w:pPr>
            <w:r>
              <w:rPr>
                <w:rFonts w:ascii="Arial" w:cs="Arial" w:eastAsia="Arial" w:hAnsi="Arial"/>
                <w:sz w:val="14"/>
                <w:szCs w:val="14"/>
                <w:color w:val="auto"/>
              </w:rPr>
              <w:t>38,954</w:t>
            </w:r>
          </w:p>
        </w:tc>
        <w:tc>
          <w:tcPr>
            <w:tcW w:w="940" w:type="dxa"/>
            <w:vAlign w:val="bottom"/>
          </w:tcPr>
          <w:p>
            <w:pPr>
              <w:jc w:val="right"/>
              <w:ind w:right="29"/>
              <w:spacing w:after="0"/>
              <w:rPr>
                <w:sz w:val="20"/>
                <w:szCs w:val="20"/>
                <w:color w:val="auto"/>
              </w:rPr>
            </w:pPr>
            <w:r>
              <w:rPr>
                <w:rFonts w:ascii="Arial" w:cs="Arial" w:eastAsia="Arial" w:hAnsi="Arial"/>
                <w:sz w:val="14"/>
                <w:szCs w:val="14"/>
                <w:color w:val="auto"/>
              </w:rPr>
              <w:t>2,829,034</w:t>
            </w:r>
          </w:p>
        </w:tc>
        <w:tc>
          <w:tcPr>
            <w:tcW w:w="0" w:type="dxa"/>
            <w:vAlign w:val="bottom"/>
          </w:tcPr>
          <w:p>
            <w:pPr>
              <w:spacing w:after="0"/>
              <w:rPr>
                <w:sz w:val="1"/>
                <w:szCs w:val="1"/>
                <w:color w:val="auto"/>
              </w:rPr>
            </w:pPr>
          </w:p>
        </w:tc>
      </w:tr>
      <w:tr>
        <w:trPr>
          <w:trHeight w:val="160"/>
        </w:trPr>
        <w:tc>
          <w:tcPr>
            <w:tcW w:w="3080" w:type="dxa"/>
            <w:vAlign w:val="bottom"/>
          </w:tcPr>
          <w:p>
            <w:pPr>
              <w:ind w:left="60"/>
              <w:spacing w:after="0"/>
              <w:rPr>
                <w:sz w:val="20"/>
                <w:szCs w:val="20"/>
                <w:color w:val="auto"/>
              </w:rPr>
            </w:pPr>
            <w:r>
              <w:rPr>
                <w:rFonts w:ascii="Arial" w:cs="Arial" w:eastAsia="Arial" w:hAnsi="Arial"/>
                <w:sz w:val="14"/>
                <w:szCs w:val="14"/>
                <w:color w:val="auto"/>
              </w:rPr>
              <w:t>Former Executive Vice President, General</w:t>
            </w:r>
          </w:p>
        </w:tc>
        <w:tc>
          <w:tcPr>
            <w:tcW w:w="5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080" w:type="dxa"/>
            <w:vAlign w:val="bottom"/>
          </w:tcPr>
          <w:p>
            <w:pPr>
              <w:ind w:left="240"/>
              <w:spacing w:after="0"/>
              <w:rPr>
                <w:sz w:val="20"/>
                <w:szCs w:val="20"/>
                <w:color w:val="auto"/>
              </w:rPr>
            </w:pPr>
            <w:r>
              <w:rPr>
                <w:rFonts w:ascii="Arial" w:cs="Arial" w:eastAsia="Arial" w:hAnsi="Arial"/>
                <w:sz w:val="14"/>
                <w:szCs w:val="14"/>
                <w:color w:val="auto"/>
              </w:rPr>
              <w:t>Counsel, Chief Compliance Officer, Chief</w:t>
            </w:r>
          </w:p>
        </w:tc>
        <w:tc>
          <w:tcPr>
            <w:tcW w:w="5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3080" w:type="dxa"/>
            <w:vAlign w:val="bottom"/>
          </w:tcPr>
          <w:p>
            <w:pPr>
              <w:ind w:left="240"/>
              <w:spacing w:after="0"/>
              <w:rPr>
                <w:sz w:val="20"/>
                <w:szCs w:val="20"/>
                <w:color w:val="auto"/>
              </w:rPr>
            </w:pPr>
            <w:r>
              <w:rPr>
                <w:rFonts w:ascii="Arial" w:cs="Arial" w:eastAsia="Arial" w:hAnsi="Arial"/>
                <w:sz w:val="14"/>
                <w:szCs w:val="14"/>
                <w:color w:val="auto"/>
              </w:rPr>
              <w:t>Risk Officer and Secretary</w:t>
            </w:r>
          </w:p>
        </w:tc>
        <w:tc>
          <w:tcPr>
            <w:tcW w:w="5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30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3080" w:type="dxa"/>
            <w:vAlign w:val="bottom"/>
            <w:shd w:val="clear" w:color="auto" w:fill="D8E8EF"/>
          </w:tcPr>
          <w:p>
            <w:pPr>
              <w:ind w:left="60"/>
              <w:spacing w:after="0"/>
              <w:rPr>
                <w:sz w:val="20"/>
                <w:szCs w:val="20"/>
                <w:color w:val="auto"/>
              </w:rPr>
            </w:pPr>
            <w:r>
              <w:rPr>
                <w:rFonts w:ascii="Arial" w:cs="Arial" w:eastAsia="Arial" w:hAnsi="Arial"/>
                <w:sz w:val="14"/>
                <w:szCs w:val="14"/>
                <w:i w:val="1"/>
                <w:iCs w:val="1"/>
                <w:color w:val="auto"/>
              </w:rPr>
              <w:t xml:space="preserve">Bernard Gutmann </w:t>
            </w:r>
            <w:r>
              <w:rPr>
                <w:rFonts w:ascii="Arial" w:cs="Arial" w:eastAsia="Arial" w:hAnsi="Arial"/>
                <w:sz w:val="14"/>
                <w:szCs w:val="14"/>
                <w:color w:val="auto"/>
              </w:rPr>
              <w:t>(8)</w:t>
            </w:r>
          </w:p>
        </w:tc>
        <w:tc>
          <w:tcPr>
            <w:tcW w:w="540" w:type="dxa"/>
            <w:vAlign w:val="bottom"/>
            <w:shd w:val="clear" w:color="auto" w:fill="D8E8EF"/>
          </w:tcPr>
          <w:p>
            <w:pPr>
              <w:ind w:left="120"/>
              <w:spacing w:after="0"/>
              <w:rPr>
                <w:sz w:val="20"/>
                <w:szCs w:val="20"/>
                <w:color w:val="auto"/>
              </w:rPr>
            </w:pPr>
            <w:r>
              <w:rPr>
                <w:rFonts w:ascii="Arial" w:cs="Arial" w:eastAsia="Arial" w:hAnsi="Arial"/>
                <w:sz w:val="14"/>
                <w:szCs w:val="14"/>
                <w:color w:val="auto"/>
              </w:rPr>
              <w:t>2021</w:t>
            </w:r>
          </w:p>
        </w:tc>
        <w:tc>
          <w:tcPr>
            <w:tcW w:w="700" w:type="dxa"/>
            <w:vAlign w:val="bottom"/>
            <w:shd w:val="clear" w:color="auto" w:fill="D8E8EF"/>
          </w:tcPr>
          <w:p>
            <w:pPr>
              <w:jc w:val="right"/>
              <w:ind w:right="9"/>
              <w:spacing w:after="0"/>
              <w:rPr>
                <w:sz w:val="20"/>
                <w:szCs w:val="20"/>
                <w:color w:val="auto"/>
              </w:rPr>
            </w:pPr>
            <w:r>
              <w:rPr>
                <w:rFonts w:ascii="Arial" w:cs="Arial" w:eastAsia="Arial" w:hAnsi="Arial"/>
                <w:sz w:val="14"/>
                <w:szCs w:val="14"/>
                <w:color w:val="auto"/>
              </w:rPr>
              <w:t>193,154</w:t>
            </w:r>
          </w:p>
        </w:tc>
        <w:tc>
          <w:tcPr>
            <w:tcW w:w="780" w:type="dxa"/>
            <w:vAlign w:val="bottom"/>
            <w:shd w:val="clear" w:color="auto" w:fill="D8E8EF"/>
          </w:tcPr>
          <w:p>
            <w:pPr>
              <w:jc w:val="right"/>
              <w:ind w:right="29"/>
              <w:spacing w:after="0"/>
              <w:rPr>
                <w:sz w:val="20"/>
                <w:szCs w:val="20"/>
                <w:color w:val="auto"/>
              </w:rPr>
            </w:pPr>
            <w:r>
              <w:rPr>
                <w:rFonts w:ascii="Arial" w:cs="Arial" w:eastAsia="Arial" w:hAnsi="Arial"/>
                <w:sz w:val="14"/>
                <w:szCs w:val="14"/>
                <w:color w:val="auto"/>
              </w:rPr>
              <w:t>0</w:t>
            </w:r>
          </w:p>
        </w:tc>
        <w:tc>
          <w:tcPr>
            <w:tcW w:w="840" w:type="dxa"/>
            <w:vAlign w:val="bottom"/>
            <w:shd w:val="clear" w:color="auto" w:fill="D8E8EF"/>
          </w:tcPr>
          <w:p>
            <w:pPr>
              <w:jc w:val="right"/>
              <w:ind w:right="9"/>
              <w:spacing w:after="0"/>
              <w:rPr>
                <w:sz w:val="20"/>
                <w:szCs w:val="20"/>
                <w:color w:val="auto"/>
              </w:rPr>
            </w:pPr>
            <w:r>
              <w:rPr>
                <w:rFonts w:ascii="Arial" w:cs="Arial" w:eastAsia="Arial" w:hAnsi="Arial"/>
                <w:sz w:val="14"/>
                <w:szCs w:val="14"/>
                <w:color w:val="auto"/>
              </w:rPr>
              <w:t>0</w:t>
            </w:r>
          </w:p>
        </w:tc>
        <w:tc>
          <w:tcPr>
            <w:tcW w:w="680" w:type="dxa"/>
            <w:vAlign w:val="bottom"/>
            <w:shd w:val="clear" w:color="auto" w:fill="D8E8EF"/>
          </w:tcPr>
          <w:p>
            <w:pPr>
              <w:jc w:val="right"/>
              <w:ind w:right="9"/>
              <w:spacing w:after="0"/>
              <w:rPr>
                <w:sz w:val="20"/>
                <w:szCs w:val="20"/>
                <w:color w:val="auto"/>
              </w:rPr>
            </w:pPr>
            <w:r>
              <w:rPr>
                <w:rFonts w:ascii="Arial" w:cs="Arial" w:eastAsia="Arial" w:hAnsi="Arial"/>
                <w:sz w:val="14"/>
                <w:szCs w:val="14"/>
                <w:color w:val="auto"/>
              </w:rPr>
              <w:t>0</w:t>
            </w:r>
          </w:p>
        </w:tc>
        <w:tc>
          <w:tcPr>
            <w:tcW w:w="1180" w:type="dxa"/>
            <w:vAlign w:val="bottom"/>
            <w:shd w:val="clear" w:color="auto" w:fill="D8E8EF"/>
          </w:tcPr>
          <w:p>
            <w:pPr>
              <w:jc w:val="right"/>
              <w:ind w:right="29"/>
              <w:spacing w:after="0"/>
              <w:rPr>
                <w:sz w:val="20"/>
                <w:szCs w:val="20"/>
                <w:color w:val="auto"/>
              </w:rPr>
            </w:pPr>
            <w:r>
              <w:rPr>
                <w:rFonts w:ascii="Arial" w:cs="Arial" w:eastAsia="Arial" w:hAnsi="Arial"/>
                <w:sz w:val="14"/>
                <w:szCs w:val="14"/>
                <w:color w:val="auto"/>
              </w:rPr>
              <w:t>0</w:t>
            </w:r>
          </w:p>
        </w:tc>
        <w:tc>
          <w:tcPr>
            <w:tcW w:w="1200" w:type="dxa"/>
            <w:vAlign w:val="bottom"/>
            <w:shd w:val="clear" w:color="auto" w:fill="D8E8EF"/>
          </w:tcPr>
          <w:p>
            <w:pPr>
              <w:jc w:val="right"/>
              <w:ind w:right="49"/>
              <w:spacing w:after="0"/>
              <w:rPr>
                <w:sz w:val="20"/>
                <w:szCs w:val="20"/>
                <w:color w:val="auto"/>
              </w:rPr>
            </w:pPr>
            <w:r>
              <w:rPr>
                <w:rFonts w:ascii="Arial" w:cs="Arial" w:eastAsia="Arial" w:hAnsi="Arial"/>
                <w:sz w:val="14"/>
                <w:szCs w:val="14"/>
                <w:color w:val="auto"/>
              </w:rPr>
              <w:t>15,696</w:t>
            </w:r>
          </w:p>
        </w:tc>
        <w:tc>
          <w:tcPr>
            <w:tcW w:w="940" w:type="dxa"/>
            <w:vAlign w:val="bottom"/>
            <w:shd w:val="clear" w:color="auto" w:fill="D8E8EF"/>
          </w:tcPr>
          <w:p>
            <w:pPr>
              <w:jc w:val="right"/>
              <w:ind w:right="29"/>
              <w:spacing w:after="0"/>
              <w:rPr>
                <w:sz w:val="20"/>
                <w:szCs w:val="20"/>
                <w:color w:val="auto"/>
              </w:rPr>
            </w:pPr>
            <w:r>
              <w:rPr>
                <w:rFonts w:ascii="Arial" w:cs="Arial" w:eastAsia="Arial" w:hAnsi="Arial"/>
                <w:sz w:val="14"/>
                <w:szCs w:val="14"/>
                <w:color w:val="auto"/>
              </w:rPr>
              <w:t>208,850</w:t>
            </w:r>
          </w:p>
        </w:tc>
        <w:tc>
          <w:tcPr>
            <w:tcW w:w="0" w:type="dxa"/>
            <w:vAlign w:val="bottom"/>
          </w:tcPr>
          <w:p>
            <w:pPr>
              <w:spacing w:after="0"/>
              <w:rPr>
                <w:sz w:val="1"/>
                <w:szCs w:val="1"/>
                <w:color w:val="auto"/>
              </w:rPr>
            </w:pPr>
          </w:p>
        </w:tc>
      </w:tr>
      <w:tr>
        <w:trPr>
          <w:trHeight w:val="160"/>
        </w:trPr>
        <w:tc>
          <w:tcPr>
            <w:tcW w:w="3080" w:type="dxa"/>
            <w:vAlign w:val="bottom"/>
            <w:shd w:val="clear" w:color="auto" w:fill="D8E8EF"/>
          </w:tcPr>
          <w:p>
            <w:pPr>
              <w:ind w:left="60"/>
              <w:spacing w:after="0"/>
              <w:rPr>
                <w:sz w:val="20"/>
                <w:szCs w:val="20"/>
                <w:color w:val="auto"/>
              </w:rPr>
            </w:pPr>
            <w:r>
              <w:rPr>
                <w:rFonts w:ascii="Arial" w:cs="Arial" w:eastAsia="Arial" w:hAnsi="Arial"/>
                <w:sz w:val="14"/>
                <w:szCs w:val="14"/>
                <w:color w:val="auto"/>
              </w:rPr>
              <w:t>Former Executive Vice President, Chief</w:t>
            </w:r>
          </w:p>
        </w:tc>
        <w:tc>
          <w:tcPr>
            <w:tcW w:w="540" w:type="dxa"/>
            <w:vAlign w:val="bottom"/>
            <w:shd w:val="clear" w:color="auto" w:fill="D8E8EF"/>
          </w:tcPr>
          <w:p>
            <w:pPr>
              <w:ind w:left="120"/>
              <w:spacing w:after="0"/>
              <w:rPr>
                <w:sz w:val="20"/>
                <w:szCs w:val="20"/>
                <w:color w:val="auto"/>
              </w:rPr>
            </w:pPr>
            <w:r>
              <w:rPr>
                <w:rFonts w:ascii="Arial" w:cs="Arial" w:eastAsia="Arial" w:hAnsi="Arial"/>
                <w:sz w:val="14"/>
                <w:szCs w:val="14"/>
                <w:color w:val="auto"/>
              </w:rPr>
              <w:t>2020</w:t>
            </w:r>
          </w:p>
        </w:tc>
        <w:tc>
          <w:tcPr>
            <w:tcW w:w="700" w:type="dxa"/>
            <w:vAlign w:val="bottom"/>
            <w:shd w:val="clear" w:color="auto" w:fill="D8E8EF"/>
          </w:tcPr>
          <w:p>
            <w:pPr>
              <w:jc w:val="right"/>
              <w:ind w:right="9"/>
              <w:spacing w:after="0"/>
              <w:rPr>
                <w:sz w:val="20"/>
                <w:szCs w:val="20"/>
                <w:color w:val="auto"/>
              </w:rPr>
            </w:pPr>
            <w:r>
              <w:rPr>
                <w:rFonts w:ascii="Arial" w:cs="Arial" w:eastAsia="Arial" w:hAnsi="Arial"/>
                <w:sz w:val="14"/>
                <w:szCs w:val="14"/>
                <w:color w:val="auto"/>
              </w:rPr>
              <w:t>528,337</w:t>
            </w:r>
          </w:p>
        </w:tc>
        <w:tc>
          <w:tcPr>
            <w:tcW w:w="780" w:type="dxa"/>
            <w:vAlign w:val="bottom"/>
            <w:shd w:val="clear" w:color="auto" w:fill="D8E8EF"/>
          </w:tcPr>
          <w:p>
            <w:pPr>
              <w:jc w:val="right"/>
              <w:ind w:right="29"/>
              <w:spacing w:after="0"/>
              <w:rPr>
                <w:sz w:val="20"/>
                <w:szCs w:val="20"/>
                <w:color w:val="auto"/>
              </w:rPr>
            </w:pPr>
            <w:r>
              <w:rPr>
                <w:rFonts w:ascii="Arial" w:cs="Arial" w:eastAsia="Arial" w:hAnsi="Arial"/>
                <w:sz w:val="14"/>
                <w:szCs w:val="14"/>
                <w:color w:val="auto"/>
              </w:rPr>
              <w:t>0</w:t>
            </w:r>
          </w:p>
        </w:tc>
        <w:tc>
          <w:tcPr>
            <w:tcW w:w="840" w:type="dxa"/>
            <w:vAlign w:val="bottom"/>
            <w:shd w:val="clear" w:color="auto" w:fill="D8E8EF"/>
          </w:tcPr>
          <w:p>
            <w:pPr>
              <w:jc w:val="right"/>
              <w:ind w:right="9"/>
              <w:spacing w:after="0"/>
              <w:rPr>
                <w:sz w:val="20"/>
                <w:szCs w:val="20"/>
                <w:color w:val="auto"/>
              </w:rPr>
            </w:pPr>
            <w:r>
              <w:rPr>
                <w:rFonts w:ascii="Arial" w:cs="Arial" w:eastAsia="Arial" w:hAnsi="Arial"/>
                <w:sz w:val="14"/>
                <w:szCs w:val="14"/>
                <w:color w:val="auto"/>
              </w:rPr>
              <w:t>1,899,210</w:t>
            </w:r>
          </w:p>
        </w:tc>
        <w:tc>
          <w:tcPr>
            <w:tcW w:w="680" w:type="dxa"/>
            <w:vAlign w:val="bottom"/>
            <w:shd w:val="clear" w:color="auto" w:fill="D8E8EF"/>
          </w:tcPr>
          <w:p>
            <w:pPr>
              <w:jc w:val="right"/>
              <w:ind w:right="9"/>
              <w:spacing w:after="0"/>
              <w:rPr>
                <w:sz w:val="20"/>
                <w:szCs w:val="20"/>
                <w:color w:val="auto"/>
              </w:rPr>
            </w:pPr>
            <w:r>
              <w:rPr>
                <w:rFonts w:ascii="Arial" w:cs="Arial" w:eastAsia="Arial" w:hAnsi="Arial"/>
                <w:sz w:val="14"/>
                <w:szCs w:val="14"/>
                <w:color w:val="auto"/>
              </w:rPr>
              <w:t>0</w:t>
            </w:r>
          </w:p>
        </w:tc>
        <w:tc>
          <w:tcPr>
            <w:tcW w:w="1180" w:type="dxa"/>
            <w:vAlign w:val="bottom"/>
            <w:shd w:val="clear" w:color="auto" w:fill="D8E8EF"/>
          </w:tcPr>
          <w:p>
            <w:pPr>
              <w:jc w:val="right"/>
              <w:ind w:right="29"/>
              <w:spacing w:after="0"/>
              <w:rPr>
                <w:sz w:val="20"/>
                <w:szCs w:val="20"/>
                <w:color w:val="auto"/>
              </w:rPr>
            </w:pPr>
            <w:r>
              <w:rPr>
                <w:rFonts w:ascii="Arial" w:cs="Arial" w:eastAsia="Arial" w:hAnsi="Arial"/>
                <w:sz w:val="14"/>
                <w:szCs w:val="14"/>
                <w:color w:val="auto"/>
              </w:rPr>
              <w:t>0</w:t>
            </w:r>
          </w:p>
        </w:tc>
        <w:tc>
          <w:tcPr>
            <w:tcW w:w="1200" w:type="dxa"/>
            <w:vAlign w:val="bottom"/>
            <w:shd w:val="clear" w:color="auto" w:fill="D8E8EF"/>
          </w:tcPr>
          <w:p>
            <w:pPr>
              <w:jc w:val="right"/>
              <w:ind w:right="49"/>
              <w:spacing w:after="0"/>
              <w:rPr>
                <w:sz w:val="20"/>
                <w:szCs w:val="20"/>
                <w:color w:val="auto"/>
              </w:rPr>
            </w:pPr>
            <w:r>
              <w:rPr>
                <w:rFonts w:ascii="Arial" w:cs="Arial" w:eastAsia="Arial" w:hAnsi="Arial"/>
                <w:sz w:val="14"/>
                <w:szCs w:val="14"/>
                <w:color w:val="auto"/>
              </w:rPr>
              <w:t>35,988</w:t>
            </w:r>
          </w:p>
        </w:tc>
        <w:tc>
          <w:tcPr>
            <w:tcW w:w="940" w:type="dxa"/>
            <w:vAlign w:val="bottom"/>
            <w:shd w:val="clear" w:color="auto" w:fill="D8E8EF"/>
          </w:tcPr>
          <w:p>
            <w:pPr>
              <w:jc w:val="right"/>
              <w:ind w:right="29"/>
              <w:spacing w:after="0"/>
              <w:rPr>
                <w:sz w:val="20"/>
                <w:szCs w:val="20"/>
                <w:color w:val="auto"/>
              </w:rPr>
            </w:pPr>
            <w:r>
              <w:rPr>
                <w:rFonts w:ascii="Arial" w:cs="Arial" w:eastAsia="Arial" w:hAnsi="Arial"/>
                <w:sz w:val="14"/>
                <w:szCs w:val="14"/>
                <w:color w:val="auto"/>
              </w:rPr>
              <w:t>2,463,535</w:t>
            </w:r>
          </w:p>
        </w:tc>
        <w:tc>
          <w:tcPr>
            <w:tcW w:w="0" w:type="dxa"/>
            <w:vAlign w:val="bottom"/>
          </w:tcPr>
          <w:p>
            <w:pPr>
              <w:spacing w:after="0"/>
              <w:rPr>
                <w:sz w:val="1"/>
                <w:szCs w:val="1"/>
                <w:color w:val="auto"/>
              </w:rPr>
            </w:pPr>
          </w:p>
        </w:tc>
      </w:tr>
      <w:tr>
        <w:trPr>
          <w:trHeight w:val="190"/>
        </w:trPr>
        <w:tc>
          <w:tcPr>
            <w:tcW w:w="3080" w:type="dxa"/>
            <w:vAlign w:val="bottom"/>
            <w:tcBorders>
              <w:bottom w:val="single" w:sz="8" w:color="D8E8EF"/>
            </w:tcBorders>
            <w:shd w:val="clear" w:color="auto" w:fill="D8E8EF"/>
          </w:tcPr>
          <w:p>
            <w:pPr>
              <w:ind w:left="240"/>
              <w:spacing w:after="0"/>
              <w:rPr>
                <w:sz w:val="20"/>
                <w:szCs w:val="20"/>
                <w:color w:val="auto"/>
              </w:rPr>
            </w:pPr>
            <w:r>
              <w:rPr>
                <w:rFonts w:ascii="Arial" w:cs="Arial" w:eastAsia="Arial" w:hAnsi="Arial"/>
                <w:sz w:val="14"/>
                <w:szCs w:val="14"/>
                <w:color w:val="auto"/>
              </w:rPr>
              <w:t>Financial Officer and Treasurer</w:t>
            </w:r>
          </w:p>
        </w:tc>
        <w:tc>
          <w:tcPr>
            <w:tcW w:w="540" w:type="dxa"/>
            <w:vAlign w:val="bottom"/>
            <w:tcBorders>
              <w:bottom w:val="single" w:sz="8" w:color="D8E8EF"/>
            </w:tcBorders>
            <w:shd w:val="clear" w:color="auto" w:fill="D8E8EF"/>
          </w:tcPr>
          <w:p>
            <w:pPr>
              <w:ind w:left="120"/>
              <w:spacing w:after="0"/>
              <w:rPr>
                <w:sz w:val="20"/>
                <w:szCs w:val="20"/>
                <w:color w:val="auto"/>
              </w:rPr>
            </w:pPr>
            <w:r>
              <w:rPr>
                <w:rFonts w:ascii="Arial" w:cs="Arial" w:eastAsia="Arial" w:hAnsi="Arial"/>
                <w:sz w:val="14"/>
                <w:szCs w:val="14"/>
                <w:color w:val="auto"/>
              </w:rPr>
              <w:t>2019</w:t>
            </w:r>
          </w:p>
        </w:tc>
        <w:tc>
          <w:tcPr>
            <w:tcW w:w="700" w:type="dxa"/>
            <w:vAlign w:val="bottom"/>
            <w:tcBorders>
              <w:bottom w:val="single" w:sz="8" w:color="D8E8EF"/>
            </w:tcBorders>
            <w:shd w:val="clear" w:color="auto" w:fill="D8E8EF"/>
          </w:tcPr>
          <w:p>
            <w:pPr>
              <w:jc w:val="right"/>
              <w:ind w:right="9"/>
              <w:spacing w:after="0"/>
              <w:rPr>
                <w:sz w:val="20"/>
                <w:szCs w:val="20"/>
                <w:color w:val="auto"/>
              </w:rPr>
            </w:pPr>
            <w:r>
              <w:rPr>
                <w:rFonts w:ascii="Arial" w:cs="Arial" w:eastAsia="Arial" w:hAnsi="Arial"/>
                <w:sz w:val="14"/>
                <w:szCs w:val="14"/>
                <w:color w:val="auto"/>
              </w:rPr>
              <w:t>548,846</w:t>
            </w:r>
          </w:p>
        </w:tc>
        <w:tc>
          <w:tcPr>
            <w:tcW w:w="780" w:type="dxa"/>
            <w:vAlign w:val="bottom"/>
            <w:tcBorders>
              <w:bottom w:val="single" w:sz="8" w:color="D8E8EF"/>
            </w:tcBorders>
            <w:shd w:val="clear" w:color="auto" w:fill="D8E8EF"/>
          </w:tcPr>
          <w:p>
            <w:pPr>
              <w:jc w:val="right"/>
              <w:ind w:right="29"/>
              <w:spacing w:after="0"/>
              <w:rPr>
                <w:sz w:val="20"/>
                <w:szCs w:val="20"/>
                <w:color w:val="auto"/>
              </w:rPr>
            </w:pPr>
            <w:r>
              <w:rPr>
                <w:rFonts w:ascii="Arial" w:cs="Arial" w:eastAsia="Arial" w:hAnsi="Arial"/>
                <w:sz w:val="14"/>
                <w:szCs w:val="14"/>
                <w:color w:val="auto"/>
              </w:rPr>
              <w:t>0</w:t>
            </w:r>
          </w:p>
        </w:tc>
        <w:tc>
          <w:tcPr>
            <w:tcW w:w="840" w:type="dxa"/>
            <w:vAlign w:val="bottom"/>
            <w:tcBorders>
              <w:bottom w:val="single" w:sz="8" w:color="D8E8EF"/>
            </w:tcBorders>
            <w:shd w:val="clear" w:color="auto" w:fill="D8E8EF"/>
          </w:tcPr>
          <w:p>
            <w:pPr>
              <w:jc w:val="right"/>
              <w:ind w:right="9"/>
              <w:spacing w:after="0"/>
              <w:rPr>
                <w:sz w:val="20"/>
                <w:szCs w:val="20"/>
                <w:color w:val="auto"/>
              </w:rPr>
            </w:pPr>
            <w:r>
              <w:rPr>
                <w:rFonts w:ascii="Arial" w:cs="Arial" w:eastAsia="Arial" w:hAnsi="Arial"/>
                <w:sz w:val="14"/>
                <w:szCs w:val="14"/>
                <w:color w:val="auto"/>
              </w:rPr>
              <w:t>2,470,027</w:t>
            </w:r>
          </w:p>
        </w:tc>
        <w:tc>
          <w:tcPr>
            <w:tcW w:w="680" w:type="dxa"/>
            <w:vAlign w:val="bottom"/>
            <w:tcBorders>
              <w:bottom w:val="single" w:sz="8" w:color="D8E8EF"/>
            </w:tcBorders>
            <w:shd w:val="clear" w:color="auto" w:fill="D8E8EF"/>
          </w:tcPr>
          <w:p>
            <w:pPr>
              <w:jc w:val="right"/>
              <w:ind w:right="9"/>
              <w:spacing w:after="0"/>
              <w:rPr>
                <w:sz w:val="20"/>
                <w:szCs w:val="20"/>
                <w:color w:val="auto"/>
              </w:rPr>
            </w:pPr>
            <w:r>
              <w:rPr>
                <w:rFonts w:ascii="Arial" w:cs="Arial" w:eastAsia="Arial" w:hAnsi="Arial"/>
                <w:sz w:val="14"/>
                <w:szCs w:val="14"/>
                <w:color w:val="auto"/>
              </w:rPr>
              <w:t>0</w:t>
            </w:r>
          </w:p>
        </w:tc>
        <w:tc>
          <w:tcPr>
            <w:tcW w:w="1180" w:type="dxa"/>
            <w:vAlign w:val="bottom"/>
            <w:tcBorders>
              <w:bottom w:val="single" w:sz="8" w:color="D8E8EF"/>
            </w:tcBorders>
            <w:shd w:val="clear" w:color="auto" w:fill="D8E8EF"/>
          </w:tcPr>
          <w:p>
            <w:pPr>
              <w:jc w:val="right"/>
              <w:ind w:right="29"/>
              <w:spacing w:after="0"/>
              <w:rPr>
                <w:sz w:val="20"/>
                <w:szCs w:val="20"/>
                <w:color w:val="auto"/>
              </w:rPr>
            </w:pPr>
            <w:r>
              <w:rPr>
                <w:rFonts w:ascii="Arial" w:cs="Arial" w:eastAsia="Arial" w:hAnsi="Arial"/>
                <w:sz w:val="14"/>
                <w:szCs w:val="14"/>
                <w:color w:val="auto"/>
              </w:rPr>
              <w:t>0</w:t>
            </w:r>
          </w:p>
        </w:tc>
        <w:tc>
          <w:tcPr>
            <w:tcW w:w="1200" w:type="dxa"/>
            <w:vAlign w:val="bottom"/>
            <w:tcBorders>
              <w:bottom w:val="single" w:sz="8" w:color="D8E8EF"/>
            </w:tcBorders>
            <w:shd w:val="clear" w:color="auto" w:fill="D8E8EF"/>
          </w:tcPr>
          <w:p>
            <w:pPr>
              <w:jc w:val="right"/>
              <w:ind w:right="49"/>
              <w:spacing w:after="0"/>
              <w:rPr>
                <w:sz w:val="20"/>
                <w:szCs w:val="20"/>
                <w:color w:val="auto"/>
              </w:rPr>
            </w:pPr>
            <w:r>
              <w:rPr>
                <w:rFonts w:ascii="Arial" w:cs="Arial" w:eastAsia="Arial" w:hAnsi="Arial"/>
                <w:sz w:val="14"/>
                <w:szCs w:val="14"/>
                <w:color w:val="auto"/>
              </w:rPr>
              <w:t>35,766</w:t>
            </w:r>
          </w:p>
        </w:tc>
        <w:tc>
          <w:tcPr>
            <w:tcW w:w="940" w:type="dxa"/>
            <w:vAlign w:val="bottom"/>
            <w:tcBorders>
              <w:bottom w:val="single" w:sz="8" w:color="D8E8EF"/>
            </w:tcBorders>
            <w:shd w:val="clear" w:color="auto" w:fill="D8E8EF"/>
          </w:tcPr>
          <w:p>
            <w:pPr>
              <w:jc w:val="right"/>
              <w:ind w:right="29"/>
              <w:spacing w:after="0"/>
              <w:rPr>
                <w:sz w:val="20"/>
                <w:szCs w:val="20"/>
                <w:color w:val="auto"/>
              </w:rPr>
            </w:pPr>
            <w:r>
              <w:rPr>
                <w:rFonts w:ascii="Arial" w:cs="Arial" w:eastAsia="Arial" w:hAnsi="Arial"/>
                <w:sz w:val="14"/>
                <w:szCs w:val="14"/>
                <w:color w:val="auto"/>
              </w:rPr>
              <w:t>3,054,639</w:t>
            </w:r>
          </w:p>
        </w:tc>
        <w:tc>
          <w:tcPr>
            <w:tcW w:w="0" w:type="dxa"/>
            <w:vAlign w:val="bottom"/>
          </w:tcPr>
          <w:p>
            <w:pPr>
              <w:spacing w:after="0"/>
              <w:rPr>
                <w:sz w:val="1"/>
                <w:szCs w:val="1"/>
                <w:color w:val="auto"/>
              </w:rPr>
            </w:pPr>
          </w:p>
        </w:tc>
      </w:tr>
      <w:tr>
        <w:trPr>
          <w:trHeight w:val="20"/>
        </w:trPr>
        <w:tc>
          <w:tcPr>
            <w:tcW w:w="30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600" w:hanging="433"/>
        <w:spacing w:after="0"/>
        <w:tabs>
          <w:tab w:leader="none" w:pos="600" w:val="left"/>
        </w:tabs>
        <w:numPr>
          <w:ilvl w:val="0"/>
          <w:numId w:val="78"/>
        </w:numPr>
        <w:rPr>
          <w:rFonts w:ascii="Arial" w:cs="Arial" w:eastAsia="Arial" w:hAnsi="Arial"/>
          <w:sz w:val="14"/>
          <w:szCs w:val="14"/>
          <w:color w:val="auto"/>
        </w:rPr>
      </w:pPr>
      <w:r>
        <w:rPr>
          <w:rFonts w:ascii="Arial" w:cs="Arial" w:eastAsia="Arial" w:hAnsi="Arial"/>
          <w:sz w:val="14"/>
          <w:szCs w:val="14"/>
          <w:color w:val="auto"/>
        </w:rPr>
        <w:t>Represents portion of the payouts under the 2021 Bonus Program attributable to the Additional Individual Goal Achievement Percentage payable in July 2022.</w:t>
      </w:r>
    </w:p>
    <w:p>
      <w:pPr>
        <w:spacing w:after="0" w:line="57" w:lineRule="exact"/>
        <w:rPr>
          <w:rFonts w:ascii="Arial" w:cs="Arial" w:eastAsia="Arial" w:hAnsi="Arial"/>
          <w:sz w:val="14"/>
          <w:szCs w:val="14"/>
          <w:color w:val="auto"/>
        </w:rPr>
      </w:pPr>
    </w:p>
    <w:p>
      <w:pPr>
        <w:jc w:val="both"/>
        <w:ind w:left="600" w:hanging="433"/>
        <w:spacing w:after="0"/>
        <w:tabs>
          <w:tab w:leader="none" w:pos="600" w:val="left"/>
        </w:tabs>
        <w:numPr>
          <w:ilvl w:val="0"/>
          <w:numId w:val="78"/>
        </w:numPr>
        <w:rPr>
          <w:rFonts w:ascii="Arial" w:cs="Arial" w:eastAsia="Arial" w:hAnsi="Arial"/>
          <w:sz w:val="14"/>
          <w:szCs w:val="14"/>
          <w:color w:val="auto"/>
        </w:rPr>
      </w:pPr>
      <w:r>
        <w:rPr>
          <w:rFonts w:ascii="Arial" w:cs="Arial" w:eastAsia="Arial" w:hAnsi="Arial"/>
          <w:sz w:val="14"/>
          <w:szCs w:val="14"/>
          <w:color w:val="auto"/>
        </w:rPr>
        <w:t>Amounts in this column represent the aggregate grant date fair value of awards of PBRSUs and RSUs computed in accordance with FASB ASC Topic 718, which is derived using the closing price of our common stock on the date of grant, except that the Relative TSR component of the upside PBRSUs that were part of the long-term incentive compensation program structure in 2020 (the “Upside PBRSUs”) was based on a valuation as of the grant date performed by a third-party valuation firm. For the 2021 PBRSUs, the valuation was based upon a 100% attainment, which represents the probable outcomes of the performance conditions for those awards, consistent with the estimate of aggregate compensation cost to be recognized over the service period determined as of the grant date under FASB ASC Topic 718, excluding the effect of estimated forfeitures. The amounts in this column do not necessarily represent the fair value for expensing purposes or the fair value of awards that were expected to vest as of December 31, 2021. On January 28, 2022, the HCC Committee determined that the 2020 Base PBRSUs (as defined below) and Upside PBRSUs will vest at 100% by the final vesting date pursuant to the relevant award agreement. The HCC Committee also determined the first tranche for the 2021 PBRSUs vested at 100% pursuant to the relevant award agreement. Additionally, the Company’s Relative TSR at the end of the 2021 TSR Performance Period met the 150% threshold, and additional units in an amount equal to 150% of the first tranche of the 2021 PBRSUs vested pursuant to the relevant award agreement. The second and third tranches will each be evaluated at a later date pursuant to the NEO’s relevant award agreement. The estimated number of units which are expected to vest is evaluated and adjusted each reporting period, as necessary, in connection with the Company’s quarterly and annual financial statements. We further discuss the assumptions we made in the valuation of stock awards in Note 11 of the Notes to Consolidated Financial Statements in the Form</w:t>
      </w:r>
    </w:p>
    <w:p>
      <w:pPr>
        <w:spacing w:after="0" w:line="7" w:lineRule="exact"/>
        <w:rPr>
          <w:rFonts w:ascii="Arial" w:cs="Arial" w:eastAsia="Arial" w:hAnsi="Arial"/>
          <w:sz w:val="14"/>
          <w:szCs w:val="14"/>
          <w:color w:val="auto"/>
        </w:rPr>
      </w:pPr>
    </w:p>
    <w:p>
      <w:pPr>
        <w:ind w:left="600"/>
        <w:spacing w:after="0" w:line="260" w:lineRule="auto"/>
        <w:rPr>
          <w:rFonts w:ascii="Arial" w:cs="Arial" w:eastAsia="Arial" w:hAnsi="Arial"/>
          <w:sz w:val="14"/>
          <w:szCs w:val="14"/>
          <w:color w:val="auto"/>
        </w:rPr>
      </w:pPr>
      <w:r>
        <w:rPr>
          <w:rFonts w:ascii="Arial" w:cs="Arial" w:eastAsia="Arial" w:hAnsi="Arial"/>
          <w:sz w:val="14"/>
          <w:szCs w:val="14"/>
          <w:color w:val="auto"/>
        </w:rPr>
        <w:t>10-K, which assumptions in Note 11 are incorporated herein by reference. At maximum, the 2021 PBRSUs would pay out to the applicable NEOs as follows: Mr. El-Khoury: $12,520,369; Mr. Trent: $10,562,250; Mr. Hopkin: $3,442,442; Mr. Keeton: $3,500,747; Mr. Jatou: $2,131,340; and Mr. Cave: $2,347,608.</w:t>
      </w:r>
    </w:p>
    <w:p>
      <w:pPr>
        <w:spacing w:after="0" w:line="25" w:lineRule="exact"/>
        <w:rPr>
          <w:rFonts w:ascii="Arial" w:cs="Arial" w:eastAsia="Arial" w:hAnsi="Arial"/>
          <w:sz w:val="14"/>
          <w:szCs w:val="14"/>
          <w:color w:val="auto"/>
        </w:rPr>
      </w:pPr>
    </w:p>
    <w:p>
      <w:pPr>
        <w:ind w:left="600" w:hanging="433"/>
        <w:spacing w:after="0"/>
        <w:tabs>
          <w:tab w:leader="none" w:pos="600" w:val="left"/>
        </w:tabs>
        <w:numPr>
          <w:ilvl w:val="0"/>
          <w:numId w:val="78"/>
        </w:numPr>
        <w:rPr>
          <w:rFonts w:ascii="Arial" w:cs="Arial" w:eastAsia="Arial" w:hAnsi="Arial"/>
          <w:sz w:val="14"/>
          <w:szCs w:val="14"/>
          <w:color w:val="auto"/>
        </w:rPr>
      </w:pPr>
      <w:r>
        <w:rPr>
          <w:rFonts w:ascii="Arial" w:cs="Arial" w:eastAsia="Arial" w:hAnsi="Arial"/>
          <w:sz w:val="14"/>
          <w:szCs w:val="14"/>
          <w:color w:val="auto"/>
        </w:rPr>
        <w:t>The amounts in this column consist of annual cash incentives earned by the NEO in 2021, 2020 and 2019.</w:t>
      </w:r>
    </w:p>
    <w:p>
      <w:pPr>
        <w:spacing w:after="0" w:line="213" w:lineRule="exact"/>
        <w:rPr>
          <w:sz w:val="20"/>
          <w:szCs w:val="20"/>
          <w:color w:val="auto"/>
        </w:rPr>
      </w:pPr>
    </w:p>
    <w:p>
      <w:pPr>
        <w:ind w:left="8820"/>
        <w:spacing w:after="0"/>
        <w:tabs>
          <w:tab w:leader="none" w:pos="10900" w:val="left"/>
        </w:tabs>
        <w:rPr>
          <w:sz w:val="20"/>
          <w:szCs w:val="20"/>
          <w:color w:val="auto"/>
        </w:rPr>
      </w:pPr>
      <w:r>
        <w:rPr>
          <w:rFonts w:ascii="Arial" w:cs="Arial" w:eastAsia="Arial" w:hAnsi="Arial"/>
          <w:sz w:val="14"/>
          <w:szCs w:val="14"/>
          <w:color w:val="F75E14"/>
        </w:rPr>
        <w:t>onsemi 2022 Proxy Statement</w:t>
        <w:tab/>
        <w:t>49</w:t>
      </w:r>
    </w:p>
    <w:p>
      <w:pPr>
        <w:sectPr>
          <w:pgSz w:w="11900" w:h="16838" w:orient="portrait"/>
          <w:cols w:equalWidth="0" w:num="1">
            <w:col w:w="11080"/>
          </w:cols>
          <w:pgMar w:left="320" w:top="454" w:right="499" w:bottom="1440" w:gutter="0" w:footer="0" w:header="0"/>
        </w:sectPr>
      </w:pPr>
    </w:p>
    <w:bookmarkStart w:id="53" w:name="page54"/>
    <w:bookmarkEnd w:id="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2" w:lineRule="exact"/>
        <w:rPr>
          <w:sz w:val="20"/>
          <w:szCs w:val="20"/>
          <w:color w:val="auto"/>
        </w:rPr>
      </w:pPr>
    </w:p>
    <w:p>
      <w:pPr>
        <w:ind w:left="160"/>
        <w:spacing w:after="0"/>
        <w:rPr>
          <w:sz w:val="20"/>
          <w:szCs w:val="20"/>
          <w:color w:val="auto"/>
        </w:rPr>
      </w:pPr>
      <w:r>
        <w:rPr>
          <w:rFonts w:ascii="Arial" w:cs="Arial" w:eastAsia="Arial" w:hAnsi="Arial"/>
          <w:sz w:val="18"/>
          <w:szCs w:val="18"/>
          <w:color w:val="F75E14"/>
        </w:rPr>
        <w:t>Compensation of Executive Officers</w:t>
      </w:r>
    </w:p>
    <w:p>
      <w:pPr>
        <w:spacing w:after="0" w:line="150" w:lineRule="exact"/>
        <w:rPr>
          <w:sz w:val="20"/>
          <w:szCs w:val="20"/>
          <w:color w:val="auto"/>
        </w:rPr>
      </w:pPr>
    </w:p>
    <w:p>
      <w:pPr>
        <w:ind w:left="600" w:hanging="433"/>
        <w:spacing w:after="0"/>
        <w:tabs>
          <w:tab w:leader="none" w:pos="600" w:val="left"/>
        </w:tabs>
        <w:numPr>
          <w:ilvl w:val="0"/>
          <w:numId w:val="79"/>
        </w:numPr>
        <w:rPr>
          <w:rFonts w:ascii="Arial" w:cs="Arial" w:eastAsia="Arial" w:hAnsi="Arial"/>
          <w:sz w:val="14"/>
          <w:szCs w:val="14"/>
          <w:color w:val="auto"/>
        </w:rPr>
      </w:pPr>
      <w:r>
        <w:rPr>
          <w:rFonts w:ascii="Arial" w:cs="Arial" w:eastAsia="Arial" w:hAnsi="Arial"/>
          <w:sz w:val="14"/>
          <w:szCs w:val="14"/>
          <w:color w:val="auto"/>
        </w:rPr>
        <w:t>In addition to footnote (6) below, amounts in this column for 2021 consist of the items in the following table:</w:t>
      </w:r>
    </w:p>
    <w:p>
      <w:pPr>
        <w:spacing w:after="0" w:line="250" w:lineRule="exact"/>
        <w:rPr>
          <w:sz w:val="20"/>
          <w:szCs w:val="20"/>
          <w:color w:val="auto"/>
        </w:rPr>
      </w:pPr>
    </w:p>
    <w:tbl>
      <w:tblPr>
        <w:tblLayout w:type="fixed"/>
        <w:tblInd w:w="160" w:type="dxa"/>
        <w:tblCellMar>
          <w:top w:w="0" w:type="dxa"/>
          <w:left w:w="0" w:type="dxa"/>
          <w:bottom w:w="0" w:type="dxa"/>
          <w:right w:w="0" w:type="dxa"/>
        </w:tblCellMar>
      </w:tblPr>
      <w:tr>
        <w:trPr>
          <w:trHeight w:val="218"/>
        </w:trPr>
        <w:tc>
          <w:tcPr>
            <w:tcW w:w="1660" w:type="dxa"/>
            <w:vAlign w:val="bottom"/>
            <w:shd w:val="clear" w:color="auto" w:fill="F75E14"/>
          </w:tcPr>
          <w:p>
            <w:pPr>
              <w:spacing w:after="0"/>
              <w:rPr>
                <w:sz w:val="18"/>
                <w:szCs w:val="18"/>
                <w:color w:val="auto"/>
              </w:rPr>
            </w:pPr>
          </w:p>
        </w:tc>
        <w:tc>
          <w:tcPr>
            <w:tcW w:w="1200" w:type="dxa"/>
            <w:vAlign w:val="bottom"/>
            <w:shd w:val="clear" w:color="auto" w:fill="F75E14"/>
          </w:tcPr>
          <w:p>
            <w:pPr>
              <w:spacing w:after="0"/>
              <w:rPr>
                <w:sz w:val="18"/>
                <w:szCs w:val="18"/>
                <w:color w:val="auto"/>
              </w:rPr>
            </w:pPr>
          </w:p>
        </w:tc>
        <w:tc>
          <w:tcPr>
            <w:tcW w:w="1300" w:type="dxa"/>
            <w:vAlign w:val="bottom"/>
            <w:shd w:val="clear" w:color="auto" w:fill="F75E14"/>
          </w:tcPr>
          <w:p>
            <w:pPr>
              <w:spacing w:after="0"/>
              <w:rPr>
                <w:sz w:val="18"/>
                <w:szCs w:val="18"/>
                <w:color w:val="auto"/>
              </w:rPr>
            </w:pPr>
          </w:p>
        </w:tc>
        <w:tc>
          <w:tcPr>
            <w:tcW w:w="1680" w:type="dxa"/>
            <w:vAlign w:val="bottom"/>
            <w:shd w:val="clear" w:color="auto" w:fill="F75E14"/>
          </w:tcPr>
          <w:p>
            <w:pPr>
              <w:jc w:val="center"/>
              <w:spacing w:after="0"/>
              <w:rPr>
                <w:sz w:val="20"/>
                <w:szCs w:val="20"/>
                <w:color w:val="auto"/>
              </w:rPr>
            </w:pPr>
            <w:r>
              <w:rPr>
                <w:rFonts w:ascii="Arial" w:cs="Arial" w:eastAsia="Arial" w:hAnsi="Arial"/>
                <w:sz w:val="14"/>
                <w:szCs w:val="14"/>
                <w:b w:val="1"/>
                <w:bCs w:val="1"/>
                <w:color w:val="FFFFFF"/>
              </w:rPr>
              <w:t>Premiums Paid by</w:t>
            </w:r>
          </w:p>
        </w:tc>
        <w:tc>
          <w:tcPr>
            <w:tcW w:w="1060" w:type="dxa"/>
            <w:vAlign w:val="bottom"/>
            <w:shd w:val="clear" w:color="auto" w:fill="F75E14"/>
          </w:tcPr>
          <w:p>
            <w:pPr>
              <w:spacing w:after="0"/>
              <w:rPr>
                <w:sz w:val="18"/>
                <w:szCs w:val="18"/>
                <w:color w:val="auto"/>
              </w:rPr>
            </w:pPr>
          </w:p>
        </w:tc>
        <w:tc>
          <w:tcPr>
            <w:tcW w:w="940" w:type="dxa"/>
            <w:vAlign w:val="bottom"/>
            <w:shd w:val="clear" w:color="auto" w:fill="F75E14"/>
          </w:tcPr>
          <w:p>
            <w:pPr>
              <w:spacing w:after="0"/>
              <w:rPr>
                <w:sz w:val="18"/>
                <w:szCs w:val="18"/>
                <w:color w:val="auto"/>
              </w:rPr>
            </w:pPr>
          </w:p>
        </w:tc>
        <w:tc>
          <w:tcPr>
            <w:tcW w:w="1740" w:type="dxa"/>
            <w:vAlign w:val="bottom"/>
            <w:shd w:val="clear" w:color="auto" w:fill="F75E14"/>
          </w:tcPr>
          <w:p>
            <w:pPr>
              <w:spacing w:after="0"/>
              <w:rPr>
                <w:sz w:val="18"/>
                <w:szCs w:val="18"/>
                <w:color w:val="auto"/>
              </w:rPr>
            </w:pPr>
          </w:p>
        </w:tc>
        <w:tc>
          <w:tcPr>
            <w:tcW w:w="1120" w:type="dxa"/>
            <w:vAlign w:val="bottom"/>
            <w:shd w:val="clear" w:color="auto" w:fill="F75E14"/>
          </w:tcPr>
          <w:p>
            <w:pPr>
              <w:spacing w:after="0"/>
              <w:rPr>
                <w:sz w:val="18"/>
                <w:szCs w:val="18"/>
                <w:color w:val="auto"/>
              </w:rPr>
            </w:pPr>
          </w:p>
        </w:tc>
      </w:tr>
      <w:tr>
        <w:trPr>
          <w:trHeight w:val="160"/>
        </w:trPr>
        <w:tc>
          <w:tcPr>
            <w:tcW w:w="1660" w:type="dxa"/>
            <w:vAlign w:val="bottom"/>
            <w:shd w:val="clear" w:color="auto" w:fill="F75E14"/>
          </w:tcPr>
          <w:p>
            <w:pPr>
              <w:spacing w:after="0"/>
              <w:rPr>
                <w:sz w:val="13"/>
                <w:szCs w:val="13"/>
                <w:color w:val="auto"/>
              </w:rPr>
            </w:pPr>
          </w:p>
        </w:tc>
        <w:tc>
          <w:tcPr>
            <w:tcW w:w="1200" w:type="dxa"/>
            <w:vAlign w:val="bottom"/>
            <w:shd w:val="clear" w:color="auto" w:fill="F75E14"/>
          </w:tcPr>
          <w:p>
            <w:pPr>
              <w:spacing w:after="0"/>
              <w:rPr>
                <w:sz w:val="13"/>
                <w:szCs w:val="13"/>
                <w:color w:val="auto"/>
              </w:rPr>
            </w:pPr>
          </w:p>
        </w:tc>
        <w:tc>
          <w:tcPr>
            <w:tcW w:w="1300" w:type="dxa"/>
            <w:vAlign w:val="bottom"/>
            <w:shd w:val="clear" w:color="auto" w:fill="F75E14"/>
          </w:tcPr>
          <w:p>
            <w:pPr>
              <w:spacing w:after="0"/>
              <w:rPr>
                <w:sz w:val="13"/>
                <w:szCs w:val="13"/>
                <w:color w:val="auto"/>
              </w:rPr>
            </w:pPr>
          </w:p>
        </w:tc>
        <w:tc>
          <w:tcPr>
            <w:tcW w:w="1680" w:type="dxa"/>
            <w:vAlign w:val="bottom"/>
            <w:shd w:val="clear" w:color="auto" w:fill="F75E14"/>
          </w:tcPr>
          <w:p>
            <w:pPr>
              <w:jc w:val="center"/>
              <w:spacing w:after="0"/>
              <w:rPr>
                <w:sz w:val="20"/>
                <w:szCs w:val="20"/>
                <w:color w:val="auto"/>
              </w:rPr>
            </w:pPr>
            <w:r>
              <w:rPr>
                <w:rFonts w:ascii="Arial" w:cs="Arial" w:eastAsia="Arial" w:hAnsi="Arial"/>
                <w:sz w:val="14"/>
                <w:szCs w:val="14"/>
                <w:b w:val="1"/>
                <w:bCs w:val="1"/>
                <w:color w:val="FFFFFF"/>
              </w:rPr>
              <w:t>the Company for</w:t>
            </w:r>
          </w:p>
        </w:tc>
        <w:tc>
          <w:tcPr>
            <w:tcW w:w="1060" w:type="dxa"/>
            <w:vAlign w:val="bottom"/>
            <w:shd w:val="clear" w:color="auto" w:fill="F75E14"/>
          </w:tcPr>
          <w:p>
            <w:pPr>
              <w:spacing w:after="0"/>
              <w:rPr>
                <w:sz w:val="13"/>
                <w:szCs w:val="13"/>
                <w:color w:val="auto"/>
              </w:rPr>
            </w:pPr>
          </w:p>
        </w:tc>
        <w:tc>
          <w:tcPr>
            <w:tcW w:w="940" w:type="dxa"/>
            <w:vAlign w:val="bottom"/>
            <w:shd w:val="clear" w:color="auto" w:fill="F75E14"/>
          </w:tcPr>
          <w:p>
            <w:pPr>
              <w:spacing w:after="0"/>
              <w:rPr>
                <w:sz w:val="13"/>
                <w:szCs w:val="13"/>
                <w:color w:val="auto"/>
              </w:rPr>
            </w:pPr>
          </w:p>
        </w:tc>
        <w:tc>
          <w:tcPr>
            <w:tcW w:w="1740" w:type="dxa"/>
            <w:vAlign w:val="bottom"/>
            <w:shd w:val="clear" w:color="auto" w:fill="F75E14"/>
          </w:tcPr>
          <w:p>
            <w:pPr>
              <w:spacing w:after="0"/>
              <w:rPr>
                <w:sz w:val="13"/>
                <w:szCs w:val="13"/>
                <w:color w:val="auto"/>
              </w:rPr>
            </w:pPr>
          </w:p>
        </w:tc>
        <w:tc>
          <w:tcPr>
            <w:tcW w:w="1120" w:type="dxa"/>
            <w:vAlign w:val="bottom"/>
            <w:shd w:val="clear" w:color="auto" w:fill="F75E14"/>
          </w:tcPr>
          <w:p>
            <w:pPr>
              <w:spacing w:after="0"/>
              <w:rPr>
                <w:sz w:val="13"/>
                <w:szCs w:val="13"/>
                <w:color w:val="auto"/>
              </w:rPr>
            </w:pPr>
          </w:p>
        </w:tc>
      </w:tr>
      <w:tr>
        <w:trPr>
          <w:trHeight w:val="160"/>
        </w:trPr>
        <w:tc>
          <w:tcPr>
            <w:tcW w:w="1660" w:type="dxa"/>
            <w:vAlign w:val="bottom"/>
            <w:shd w:val="clear" w:color="auto" w:fill="F75E14"/>
          </w:tcPr>
          <w:p>
            <w:pPr>
              <w:spacing w:after="0"/>
              <w:rPr>
                <w:sz w:val="13"/>
                <w:szCs w:val="13"/>
                <w:color w:val="auto"/>
              </w:rPr>
            </w:pPr>
          </w:p>
        </w:tc>
        <w:tc>
          <w:tcPr>
            <w:tcW w:w="1200" w:type="dxa"/>
            <w:vAlign w:val="bottom"/>
            <w:shd w:val="clear" w:color="auto" w:fill="F75E14"/>
          </w:tcPr>
          <w:p>
            <w:pPr>
              <w:spacing w:after="0"/>
              <w:rPr>
                <w:sz w:val="13"/>
                <w:szCs w:val="13"/>
                <w:color w:val="auto"/>
              </w:rPr>
            </w:pPr>
          </w:p>
        </w:tc>
        <w:tc>
          <w:tcPr>
            <w:tcW w:w="1300" w:type="dxa"/>
            <w:vAlign w:val="bottom"/>
            <w:shd w:val="clear" w:color="auto" w:fill="F75E14"/>
          </w:tcPr>
          <w:p>
            <w:pPr>
              <w:jc w:val="center"/>
              <w:spacing w:after="0"/>
              <w:rPr>
                <w:sz w:val="20"/>
                <w:szCs w:val="20"/>
                <w:color w:val="auto"/>
              </w:rPr>
            </w:pPr>
            <w:r>
              <w:rPr>
                <w:rFonts w:ascii="Arial" w:cs="Arial" w:eastAsia="Arial" w:hAnsi="Arial"/>
                <w:sz w:val="14"/>
                <w:szCs w:val="14"/>
                <w:b w:val="1"/>
                <w:bCs w:val="1"/>
                <w:color w:val="FFFFFF"/>
              </w:rPr>
              <w:t>Executive</w:t>
            </w:r>
          </w:p>
        </w:tc>
        <w:tc>
          <w:tcPr>
            <w:tcW w:w="1680" w:type="dxa"/>
            <w:vAlign w:val="bottom"/>
            <w:shd w:val="clear" w:color="auto" w:fill="F75E14"/>
          </w:tcPr>
          <w:p>
            <w:pPr>
              <w:jc w:val="center"/>
              <w:spacing w:after="0"/>
              <w:rPr>
                <w:sz w:val="20"/>
                <w:szCs w:val="20"/>
                <w:color w:val="auto"/>
              </w:rPr>
            </w:pPr>
            <w:r>
              <w:rPr>
                <w:rFonts w:ascii="Arial" w:cs="Arial" w:eastAsia="Arial" w:hAnsi="Arial"/>
                <w:sz w:val="14"/>
                <w:szCs w:val="14"/>
                <w:b w:val="1"/>
                <w:bCs w:val="1"/>
                <w:color w:val="FFFFFF"/>
              </w:rPr>
              <w:t>Basic Life Insurance</w:t>
            </w:r>
          </w:p>
        </w:tc>
        <w:tc>
          <w:tcPr>
            <w:tcW w:w="1060" w:type="dxa"/>
            <w:vAlign w:val="bottom"/>
            <w:shd w:val="clear" w:color="auto" w:fill="F75E14"/>
          </w:tcPr>
          <w:p>
            <w:pPr>
              <w:spacing w:after="0"/>
              <w:rPr>
                <w:sz w:val="13"/>
                <w:szCs w:val="13"/>
                <w:color w:val="auto"/>
              </w:rPr>
            </w:pPr>
          </w:p>
        </w:tc>
        <w:tc>
          <w:tcPr>
            <w:tcW w:w="940" w:type="dxa"/>
            <w:vAlign w:val="bottom"/>
            <w:shd w:val="clear" w:color="auto" w:fill="F75E14"/>
          </w:tcPr>
          <w:p>
            <w:pPr>
              <w:spacing w:after="0"/>
              <w:rPr>
                <w:sz w:val="13"/>
                <w:szCs w:val="13"/>
                <w:color w:val="auto"/>
              </w:rPr>
            </w:pPr>
          </w:p>
        </w:tc>
        <w:tc>
          <w:tcPr>
            <w:tcW w:w="1740" w:type="dxa"/>
            <w:vAlign w:val="bottom"/>
            <w:shd w:val="clear" w:color="auto" w:fill="F75E14"/>
          </w:tcPr>
          <w:p>
            <w:pPr>
              <w:jc w:val="center"/>
              <w:ind w:right="69"/>
              <w:spacing w:after="0"/>
              <w:rPr>
                <w:sz w:val="20"/>
                <w:szCs w:val="20"/>
                <w:color w:val="auto"/>
              </w:rPr>
            </w:pPr>
            <w:r>
              <w:rPr>
                <w:rFonts w:ascii="Arial" w:cs="Arial" w:eastAsia="Arial" w:hAnsi="Arial"/>
                <w:sz w:val="14"/>
                <w:szCs w:val="14"/>
                <w:b w:val="1"/>
                <w:bCs w:val="1"/>
                <w:color w:val="FFFFFF"/>
              </w:rPr>
              <w:t>Imputed Income for</w:t>
            </w:r>
          </w:p>
        </w:tc>
        <w:tc>
          <w:tcPr>
            <w:tcW w:w="1120" w:type="dxa"/>
            <w:vAlign w:val="bottom"/>
            <w:shd w:val="clear" w:color="auto" w:fill="F75E14"/>
          </w:tcPr>
          <w:p>
            <w:pPr>
              <w:spacing w:after="0"/>
              <w:rPr>
                <w:sz w:val="13"/>
                <w:szCs w:val="13"/>
                <w:color w:val="auto"/>
              </w:rPr>
            </w:pPr>
          </w:p>
        </w:tc>
      </w:tr>
      <w:tr>
        <w:trPr>
          <w:trHeight w:val="160"/>
        </w:trPr>
        <w:tc>
          <w:tcPr>
            <w:tcW w:w="1660" w:type="dxa"/>
            <w:vAlign w:val="bottom"/>
            <w:shd w:val="clear" w:color="auto" w:fill="F75E14"/>
          </w:tcPr>
          <w:p>
            <w:pPr>
              <w:spacing w:after="0"/>
              <w:rPr>
                <w:sz w:val="13"/>
                <w:szCs w:val="13"/>
                <w:color w:val="auto"/>
              </w:rPr>
            </w:pPr>
          </w:p>
        </w:tc>
        <w:tc>
          <w:tcPr>
            <w:tcW w:w="1200" w:type="dxa"/>
            <w:vAlign w:val="bottom"/>
            <w:shd w:val="clear" w:color="auto" w:fill="F75E14"/>
          </w:tcPr>
          <w:p>
            <w:pPr>
              <w:jc w:val="center"/>
              <w:spacing w:after="0"/>
              <w:rPr>
                <w:sz w:val="20"/>
                <w:szCs w:val="20"/>
                <w:color w:val="auto"/>
              </w:rPr>
            </w:pPr>
            <w:r>
              <w:rPr>
                <w:rFonts w:ascii="Arial" w:cs="Arial" w:eastAsia="Arial" w:hAnsi="Arial"/>
                <w:sz w:val="14"/>
                <w:szCs w:val="14"/>
                <w:b w:val="1"/>
                <w:bCs w:val="1"/>
                <w:color w:val="FFFFFF"/>
              </w:rPr>
              <w:t>Company</w:t>
            </w:r>
          </w:p>
        </w:tc>
        <w:tc>
          <w:tcPr>
            <w:tcW w:w="1300" w:type="dxa"/>
            <w:vAlign w:val="bottom"/>
            <w:shd w:val="clear" w:color="auto" w:fill="F75E14"/>
          </w:tcPr>
          <w:p>
            <w:pPr>
              <w:jc w:val="center"/>
              <w:spacing w:after="0"/>
              <w:rPr>
                <w:sz w:val="20"/>
                <w:szCs w:val="20"/>
                <w:color w:val="auto"/>
              </w:rPr>
            </w:pPr>
            <w:r>
              <w:rPr>
                <w:rFonts w:ascii="Arial" w:cs="Arial" w:eastAsia="Arial" w:hAnsi="Arial"/>
                <w:sz w:val="14"/>
                <w:szCs w:val="14"/>
                <w:b w:val="1"/>
                <w:bCs w:val="1"/>
                <w:color w:val="FFFFFF"/>
                <w:w w:val="99"/>
              </w:rPr>
              <w:t>Group Term</w:t>
            </w:r>
          </w:p>
        </w:tc>
        <w:tc>
          <w:tcPr>
            <w:tcW w:w="1680" w:type="dxa"/>
            <w:vAlign w:val="bottom"/>
            <w:shd w:val="clear" w:color="auto" w:fill="F75E14"/>
          </w:tcPr>
          <w:p>
            <w:pPr>
              <w:jc w:val="center"/>
              <w:spacing w:after="0"/>
              <w:rPr>
                <w:sz w:val="20"/>
                <w:szCs w:val="20"/>
                <w:color w:val="auto"/>
              </w:rPr>
            </w:pPr>
            <w:r>
              <w:rPr>
                <w:rFonts w:ascii="Arial" w:cs="Arial" w:eastAsia="Arial" w:hAnsi="Arial"/>
                <w:sz w:val="14"/>
                <w:szCs w:val="14"/>
                <w:b w:val="1"/>
                <w:bCs w:val="1"/>
                <w:color w:val="FFFFFF"/>
              </w:rPr>
              <w:t>and Accidental</w:t>
            </w:r>
          </w:p>
        </w:tc>
        <w:tc>
          <w:tcPr>
            <w:tcW w:w="1060" w:type="dxa"/>
            <w:vAlign w:val="bottom"/>
            <w:shd w:val="clear" w:color="auto" w:fill="F75E14"/>
          </w:tcPr>
          <w:p>
            <w:pPr>
              <w:spacing w:after="0"/>
              <w:rPr>
                <w:sz w:val="13"/>
                <w:szCs w:val="13"/>
                <w:color w:val="auto"/>
              </w:rPr>
            </w:pPr>
          </w:p>
        </w:tc>
        <w:tc>
          <w:tcPr>
            <w:tcW w:w="940" w:type="dxa"/>
            <w:vAlign w:val="bottom"/>
            <w:shd w:val="clear" w:color="auto" w:fill="F75E14"/>
          </w:tcPr>
          <w:p>
            <w:pPr>
              <w:jc w:val="center"/>
              <w:spacing w:after="0"/>
              <w:rPr>
                <w:sz w:val="20"/>
                <w:szCs w:val="20"/>
                <w:color w:val="auto"/>
              </w:rPr>
            </w:pPr>
            <w:r>
              <w:rPr>
                <w:rFonts w:ascii="Arial" w:cs="Arial" w:eastAsia="Arial" w:hAnsi="Arial"/>
                <w:sz w:val="14"/>
                <w:szCs w:val="14"/>
                <w:b w:val="1"/>
                <w:bCs w:val="1"/>
                <w:color w:val="FFFFFF"/>
              </w:rPr>
              <w:t>Financial</w:t>
            </w:r>
          </w:p>
        </w:tc>
        <w:tc>
          <w:tcPr>
            <w:tcW w:w="1740" w:type="dxa"/>
            <w:vAlign w:val="bottom"/>
            <w:shd w:val="clear" w:color="auto" w:fill="F75E14"/>
          </w:tcPr>
          <w:p>
            <w:pPr>
              <w:jc w:val="center"/>
              <w:ind w:right="69"/>
              <w:spacing w:after="0"/>
              <w:rPr>
                <w:sz w:val="20"/>
                <w:szCs w:val="20"/>
                <w:color w:val="auto"/>
              </w:rPr>
            </w:pPr>
            <w:r>
              <w:rPr>
                <w:rFonts w:ascii="Arial" w:cs="Arial" w:eastAsia="Arial" w:hAnsi="Arial"/>
                <w:sz w:val="14"/>
                <w:szCs w:val="14"/>
                <w:b w:val="1"/>
                <w:bCs w:val="1"/>
                <w:color w:val="FFFFFF"/>
              </w:rPr>
              <w:t>Post-Tax Long-</w:t>
            </w:r>
          </w:p>
        </w:tc>
        <w:tc>
          <w:tcPr>
            <w:tcW w:w="1120" w:type="dxa"/>
            <w:vAlign w:val="bottom"/>
            <w:shd w:val="clear" w:color="auto" w:fill="F75E14"/>
          </w:tcPr>
          <w:p>
            <w:pPr>
              <w:spacing w:after="0"/>
              <w:rPr>
                <w:sz w:val="13"/>
                <w:szCs w:val="13"/>
                <w:color w:val="auto"/>
              </w:rPr>
            </w:pPr>
          </w:p>
        </w:tc>
      </w:tr>
      <w:tr>
        <w:trPr>
          <w:trHeight w:val="160"/>
        </w:trPr>
        <w:tc>
          <w:tcPr>
            <w:tcW w:w="1660" w:type="dxa"/>
            <w:vAlign w:val="bottom"/>
            <w:shd w:val="clear" w:color="auto" w:fill="F75E14"/>
          </w:tcPr>
          <w:p>
            <w:pPr>
              <w:spacing w:after="0"/>
              <w:rPr>
                <w:sz w:val="13"/>
                <w:szCs w:val="13"/>
                <w:color w:val="auto"/>
              </w:rPr>
            </w:pPr>
          </w:p>
        </w:tc>
        <w:tc>
          <w:tcPr>
            <w:tcW w:w="1200" w:type="dxa"/>
            <w:vAlign w:val="bottom"/>
            <w:shd w:val="clear" w:color="auto" w:fill="F75E14"/>
          </w:tcPr>
          <w:p>
            <w:pPr>
              <w:jc w:val="center"/>
              <w:spacing w:after="0"/>
              <w:rPr>
                <w:sz w:val="20"/>
                <w:szCs w:val="20"/>
                <w:color w:val="auto"/>
              </w:rPr>
            </w:pPr>
            <w:r>
              <w:rPr>
                <w:rFonts w:ascii="Arial" w:cs="Arial" w:eastAsia="Arial" w:hAnsi="Arial"/>
                <w:sz w:val="14"/>
                <w:szCs w:val="14"/>
                <w:b w:val="1"/>
                <w:bCs w:val="1"/>
                <w:color w:val="FFFFFF"/>
              </w:rPr>
              <w:t>Contributions</w:t>
            </w:r>
          </w:p>
        </w:tc>
        <w:tc>
          <w:tcPr>
            <w:tcW w:w="1300" w:type="dxa"/>
            <w:vAlign w:val="bottom"/>
            <w:shd w:val="clear" w:color="auto" w:fill="F75E14"/>
          </w:tcPr>
          <w:p>
            <w:pPr>
              <w:jc w:val="center"/>
              <w:spacing w:after="0"/>
              <w:rPr>
                <w:sz w:val="20"/>
                <w:szCs w:val="20"/>
                <w:color w:val="auto"/>
              </w:rPr>
            </w:pPr>
            <w:r>
              <w:rPr>
                <w:rFonts w:ascii="Arial" w:cs="Arial" w:eastAsia="Arial" w:hAnsi="Arial"/>
                <w:sz w:val="14"/>
                <w:szCs w:val="14"/>
                <w:b w:val="1"/>
                <w:bCs w:val="1"/>
                <w:color w:val="FFFFFF"/>
              </w:rPr>
              <w:t>Life Insurance</w:t>
            </w:r>
          </w:p>
        </w:tc>
        <w:tc>
          <w:tcPr>
            <w:tcW w:w="1680" w:type="dxa"/>
            <w:vAlign w:val="bottom"/>
            <w:shd w:val="clear" w:color="auto" w:fill="F75E14"/>
          </w:tcPr>
          <w:p>
            <w:pPr>
              <w:jc w:val="center"/>
              <w:spacing w:after="0"/>
              <w:rPr>
                <w:sz w:val="20"/>
                <w:szCs w:val="20"/>
                <w:color w:val="auto"/>
              </w:rPr>
            </w:pPr>
            <w:r>
              <w:rPr>
                <w:rFonts w:ascii="Arial" w:cs="Arial" w:eastAsia="Arial" w:hAnsi="Arial"/>
                <w:sz w:val="14"/>
                <w:szCs w:val="14"/>
                <w:b w:val="1"/>
                <w:bCs w:val="1"/>
                <w:color w:val="FFFFFF"/>
              </w:rPr>
              <w:t>Death and</w:t>
            </w:r>
          </w:p>
        </w:tc>
        <w:tc>
          <w:tcPr>
            <w:tcW w:w="1060" w:type="dxa"/>
            <w:vAlign w:val="bottom"/>
            <w:shd w:val="clear" w:color="auto" w:fill="F75E14"/>
          </w:tcPr>
          <w:p>
            <w:pPr>
              <w:jc w:val="center"/>
              <w:spacing w:after="0"/>
              <w:rPr>
                <w:sz w:val="20"/>
                <w:szCs w:val="20"/>
                <w:color w:val="auto"/>
              </w:rPr>
            </w:pPr>
            <w:r>
              <w:rPr>
                <w:rFonts w:ascii="Arial" w:cs="Arial" w:eastAsia="Arial" w:hAnsi="Arial"/>
                <w:sz w:val="14"/>
                <w:szCs w:val="14"/>
                <w:b w:val="1"/>
                <w:bCs w:val="1"/>
                <w:color w:val="FFFFFF"/>
              </w:rPr>
              <w:t>Car</w:t>
            </w:r>
          </w:p>
        </w:tc>
        <w:tc>
          <w:tcPr>
            <w:tcW w:w="940" w:type="dxa"/>
            <w:vAlign w:val="bottom"/>
            <w:shd w:val="clear" w:color="auto" w:fill="F75E14"/>
          </w:tcPr>
          <w:p>
            <w:pPr>
              <w:jc w:val="center"/>
              <w:spacing w:after="0"/>
              <w:rPr>
                <w:sz w:val="20"/>
                <w:szCs w:val="20"/>
                <w:color w:val="auto"/>
              </w:rPr>
            </w:pPr>
            <w:r>
              <w:rPr>
                <w:rFonts w:ascii="Arial" w:cs="Arial" w:eastAsia="Arial" w:hAnsi="Arial"/>
                <w:sz w:val="14"/>
                <w:szCs w:val="14"/>
                <w:b w:val="1"/>
                <w:bCs w:val="1"/>
                <w:color w:val="FFFFFF"/>
              </w:rPr>
              <w:t>Planning</w:t>
            </w:r>
          </w:p>
        </w:tc>
        <w:tc>
          <w:tcPr>
            <w:tcW w:w="1740" w:type="dxa"/>
            <w:vAlign w:val="bottom"/>
            <w:shd w:val="clear" w:color="auto" w:fill="F75E14"/>
          </w:tcPr>
          <w:p>
            <w:pPr>
              <w:jc w:val="center"/>
              <w:ind w:right="69"/>
              <w:spacing w:after="0"/>
              <w:rPr>
                <w:sz w:val="20"/>
                <w:szCs w:val="20"/>
                <w:color w:val="auto"/>
              </w:rPr>
            </w:pPr>
            <w:r>
              <w:rPr>
                <w:rFonts w:ascii="Arial" w:cs="Arial" w:eastAsia="Arial" w:hAnsi="Arial"/>
                <w:sz w:val="14"/>
                <w:szCs w:val="14"/>
                <w:b w:val="1"/>
                <w:bCs w:val="1"/>
                <w:color w:val="FFFFFF"/>
                <w:w w:val="99"/>
              </w:rPr>
              <w:t>Term Disability</w:t>
            </w:r>
          </w:p>
        </w:tc>
        <w:tc>
          <w:tcPr>
            <w:tcW w:w="1120" w:type="dxa"/>
            <w:vAlign w:val="bottom"/>
            <w:shd w:val="clear" w:color="auto" w:fill="F75E14"/>
          </w:tcPr>
          <w:p>
            <w:pPr>
              <w:jc w:val="center"/>
              <w:ind w:left="49"/>
              <w:spacing w:after="0"/>
              <w:rPr>
                <w:sz w:val="20"/>
                <w:szCs w:val="20"/>
                <w:color w:val="auto"/>
              </w:rPr>
            </w:pPr>
            <w:r>
              <w:rPr>
                <w:rFonts w:ascii="Arial" w:cs="Arial" w:eastAsia="Arial" w:hAnsi="Arial"/>
                <w:sz w:val="14"/>
                <w:szCs w:val="14"/>
                <w:b w:val="1"/>
                <w:bCs w:val="1"/>
                <w:color w:val="FFFFFF"/>
              </w:rPr>
              <w:t>Relocation</w:t>
            </w:r>
          </w:p>
        </w:tc>
      </w:tr>
      <w:tr>
        <w:trPr>
          <w:trHeight w:val="160"/>
        </w:trPr>
        <w:tc>
          <w:tcPr>
            <w:tcW w:w="1660" w:type="dxa"/>
            <w:vAlign w:val="bottom"/>
            <w:shd w:val="clear" w:color="auto" w:fill="F75E14"/>
          </w:tcPr>
          <w:p>
            <w:pPr>
              <w:spacing w:after="0"/>
              <w:rPr>
                <w:sz w:val="13"/>
                <w:szCs w:val="13"/>
                <w:color w:val="auto"/>
              </w:rPr>
            </w:pPr>
          </w:p>
        </w:tc>
        <w:tc>
          <w:tcPr>
            <w:tcW w:w="1200" w:type="dxa"/>
            <w:vAlign w:val="bottom"/>
            <w:shd w:val="clear" w:color="auto" w:fill="F75E14"/>
          </w:tcPr>
          <w:p>
            <w:pPr>
              <w:jc w:val="center"/>
              <w:spacing w:after="0"/>
              <w:rPr>
                <w:sz w:val="20"/>
                <w:szCs w:val="20"/>
                <w:color w:val="auto"/>
              </w:rPr>
            </w:pPr>
            <w:r>
              <w:rPr>
                <w:rFonts w:ascii="Arial" w:cs="Arial" w:eastAsia="Arial" w:hAnsi="Arial"/>
                <w:sz w:val="14"/>
                <w:szCs w:val="14"/>
                <w:b w:val="1"/>
                <w:bCs w:val="1"/>
                <w:color w:val="FFFFFF"/>
              </w:rPr>
              <w:t>Under 401(k)</w:t>
            </w:r>
          </w:p>
        </w:tc>
        <w:tc>
          <w:tcPr>
            <w:tcW w:w="1300" w:type="dxa"/>
            <w:vAlign w:val="bottom"/>
            <w:shd w:val="clear" w:color="auto" w:fill="F75E14"/>
          </w:tcPr>
          <w:p>
            <w:pPr>
              <w:jc w:val="center"/>
              <w:spacing w:after="0"/>
              <w:rPr>
                <w:sz w:val="20"/>
                <w:szCs w:val="20"/>
                <w:color w:val="auto"/>
              </w:rPr>
            </w:pPr>
            <w:r>
              <w:rPr>
                <w:rFonts w:ascii="Arial" w:cs="Arial" w:eastAsia="Arial" w:hAnsi="Arial"/>
                <w:sz w:val="14"/>
                <w:szCs w:val="14"/>
                <w:b w:val="1"/>
                <w:bCs w:val="1"/>
                <w:color w:val="FFFFFF"/>
              </w:rPr>
              <w:t>Imputed</w:t>
            </w:r>
          </w:p>
        </w:tc>
        <w:tc>
          <w:tcPr>
            <w:tcW w:w="1680" w:type="dxa"/>
            <w:vAlign w:val="bottom"/>
            <w:shd w:val="clear" w:color="auto" w:fill="F75E14"/>
          </w:tcPr>
          <w:p>
            <w:pPr>
              <w:jc w:val="center"/>
              <w:spacing w:after="0"/>
              <w:rPr>
                <w:sz w:val="20"/>
                <w:szCs w:val="20"/>
                <w:color w:val="auto"/>
              </w:rPr>
            </w:pPr>
            <w:r>
              <w:rPr>
                <w:rFonts w:ascii="Arial" w:cs="Arial" w:eastAsia="Arial" w:hAnsi="Arial"/>
                <w:sz w:val="14"/>
                <w:szCs w:val="14"/>
                <w:b w:val="1"/>
                <w:bCs w:val="1"/>
                <w:color w:val="FFFFFF"/>
              </w:rPr>
              <w:t>Dismemberment</w:t>
            </w:r>
          </w:p>
        </w:tc>
        <w:tc>
          <w:tcPr>
            <w:tcW w:w="1060" w:type="dxa"/>
            <w:vAlign w:val="bottom"/>
            <w:shd w:val="clear" w:color="auto" w:fill="F75E14"/>
          </w:tcPr>
          <w:p>
            <w:pPr>
              <w:jc w:val="center"/>
              <w:spacing w:after="0"/>
              <w:rPr>
                <w:sz w:val="20"/>
                <w:szCs w:val="20"/>
                <w:color w:val="auto"/>
              </w:rPr>
            </w:pPr>
            <w:r>
              <w:rPr>
                <w:rFonts w:ascii="Arial" w:cs="Arial" w:eastAsia="Arial" w:hAnsi="Arial"/>
                <w:sz w:val="14"/>
                <w:szCs w:val="14"/>
                <w:b w:val="1"/>
                <w:bCs w:val="1"/>
                <w:color w:val="FFFFFF"/>
              </w:rPr>
              <w:t>Allowance*</w:t>
            </w:r>
          </w:p>
        </w:tc>
        <w:tc>
          <w:tcPr>
            <w:tcW w:w="940" w:type="dxa"/>
            <w:vAlign w:val="bottom"/>
            <w:shd w:val="clear" w:color="auto" w:fill="F75E14"/>
          </w:tcPr>
          <w:p>
            <w:pPr>
              <w:jc w:val="center"/>
              <w:spacing w:after="0"/>
              <w:rPr>
                <w:sz w:val="20"/>
                <w:szCs w:val="20"/>
                <w:color w:val="auto"/>
              </w:rPr>
            </w:pPr>
            <w:r>
              <w:rPr>
                <w:rFonts w:ascii="Arial" w:cs="Arial" w:eastAsia="Arial" w:hAnsi="Arial"/>
                <w:sz w:val="14"/>
                <w:szCs w:val="14"/>
                <w:b w:val="1"/>
                <w:bCs w:val="1"/>
                <w:color w:val="FFFFFF"/>
              </w:rPr>
              <w:t>Services*</w:t>
            </w:r>
          </w:p>
        </w:tc>
        <w:tc>
          <w:tcPr>
            <w:tcW w:w="1740" w:type="dxa"/>
            <w:vAlign w:val="bottom"/>
            <w:shd w:val="clear" w:color="auto" w:fill="F75E14"/>
          </w:tcPr>
          <w:p>
            <w:pPr>
              <w:jc w:val="center"/>
              <w:ind w:right="69"/>
              <w:spacing w:after="0"/>
              <w:rPr>
                <w:sz w:val="20"/>
                <w:szCs w:val="20"/>
                <w:color w:val="auto"/>
              </w:rPr>
            </w:pPr>
            <w:r>
              <w:rPr>
                <w:rFonts w:ascii="Arial" w:cs="Arial" w:eastAsia="Arial" w:hAnsi="Arial"/>
                <w:sz w:val="14"/>
                <w:szCs w:val="14"/>
                <w:b w:val="1"/>
                <w:bCs w:val="1"/>
                <w:color w:val="FFFFFF"/>
              </w:rPr>
              <w:t>Insurance Benefit</w:t>
            </w:r>
          </w:p>
        </w:tc>
        <w:tc>
          <w:tcPr>
            <w:tcW w:w="1120" w:type="dxa"/>
            <w:vAlign w:val="bottom"/>
            <w:shd w:val="clear" w:color="auto" w:fill="F75E14"/>
          </w:tcPr>
          <w:p>
            <w:pPr>
              <w:jc w:val="center"/>
              <w:ind w:left="49"/>
              <w:spacing w:after="0"/>
              <w:rPr>
                <w:sz w:val="20"/>
                <w:szCs w:val="20"/>
                <w:color w:val="auto"/>
              </w:rPr>
            </w:pPr>
            <w:r>
              <w:rPr>
                <w:rFonts w:ascii="Arial" w:cs="Arial" w:eastAsia="Arial" w:hAnsi="Arial"/>
                <w:sz w:val="14"/>
                <w:szCs w:val="14"/>
                <w:b w:val="1"/>
                <w:bCs w:val="1"/>
                <w:color w:val="FFFFFF"/>
              </w:rPr>
              <w:t>Payments</w:t>
            </w:r>
          </w:p>
        </w:tc>
      </w:tr>
      <w:tr>
        <w:trPr>
          <w:trHeight w:val="197"/>
        </w:trPr>
        <w:tc>
          <w:tcPr>
            <w:tcW w:w="1660" w:type="dxa"/>
            <w:vAlign w:val="bottom"/>
            <w:shd w:val="clear" w:color="auto" w:fill="F75E14"/>
          </w:tcPr>
          <w:p>
            <w:pPr>
              <w:ind w:left="640"/>
              <w:spacing w:after="0"/>
              <w:rPr>
                <w:sz w:val="20"/>
                <w:szCs w:val="20"/>
                <w:color w:val="auto"/>
              </w:rPr>
            </w:pPr>
            <w:r>
              <w:rPr>
                <w:rFonts w:ascii="Arial" w:cs="Arial" w:eastAsia="Arial" w:hAnsi="Arial"/>
                <w:sz w:val="14"/>
                <w:szCs w:val="14"/>
                <w:b w:val="1"/>
                <w:bCs w:val="1"/>
                <w:color w:val="FFFFFF"/>
              </w:rPr>
              <w:t>Name</w:t>
            </w:r>
          </w:p>
        </w:tc>
        <w:tc>
          <w:tcPr>
            <w:tcW w:w="1200" w:type="dxa"/>
            <w:vAlign w:val="bottom"/>
            <w:shd w:val="clear" w:color="auto" w:fill="F75E14"/>
          </w:tcPr>
          <w:p>
            <w:pPr>
              <w:jc w:val="center"/>
              <w:spacing w:after="0"/>
              <w:rPr>
                <w:sz w:val="20"/>
                <w:szCs w:val="20"/>
                <w:color w:val="auto"/>
              </w:rPr>
            </w:pPr>
            <w:r>
              <w:rPr>
                <w:rFonts w:ascii="Arial" w:cs="Arial" w:eastAsia="Arial" w:hAnsi="Arial"/>
                <w:sz w:val="14"/>
                <w:szCs w:val="14"/>
                <w:b w:val="1"/>
                <w:bCs w:val="1"/>
                <w:color w:val="FFFFFF"/>
              </w:rPr>
              <w:t>Plan ($) (a)</w:t>
            </w:r>
          </w:p>
        </w:tc>
        <w:tc>
          <w:tcPr>
            <w:tcW w:w="1300" w:type="dxa"/>
            <w:vAlign w:val="bottom"/>
            <w:shd w:val="clear" w:color="auto" w:fill="F75E14"/>
          </w:tcPr>
          <w:p>
            <w:pPr>
              <w:jc w:val="center"/>
              <w:spacing w:after="0"/>
              <w:rPr>
                <w:sz w:val="20"/>
                <w:szCs w:val="20"/>
                <w:color w:val="auto"/>
              </w:rPr>
            </w:pPr>
            <w:r>
              <w:rPr>
                <w:rFonts w:ascii="Arial" w:cs="Arial" w:eastAsia="Arial" w:hAnsi="Arial"/>
                <w:sz w:val="14"/>
                <w:szCs w:val="14"/>
                <w:b w:val="1"/>
                <w:bCs w:val="1"/>
                <w:color w:val="FFFFFF"/>
              </w:rPr>
              <w:t>Income* ($) (b)</w:t>
            </w:r>
          </w:p>
        </w:tc>
        <w:tc>
          <w:tcPr>
            <w:tcW w:w="1680" w:type="dxa"/>
            <w:vAlign w:val="bottom"/>
            <w:shd w:val="clear" w:color="auto" w:fill="F75E14"/>
          </w:tcPr>
          <w:p>
            <w:pPr>
              <w:jc w:val="center"/>
              <w:spacing w:after="0"/>
              <w:rPr>
                <w:sz w:val="20"/>
                <w:szCs w:val="20"/>
                <w:color w:val="auto"/>
              </w:rPr>
            </w:pPr>
            <w:r>
              <w:rPr>
                <w:rFonts w:ascii="Arial" w:cs="Arial" w:eastAsia="Arial" w:hAnsi="Arial"/>
                <w:sz w:val="14"/>
                <w:szCs w:val="14"/>
                <w:b w:val="1"/>
                <w:bCs w:val="1"/>
                <w:color w:val="FFFFFF"/>
              </w:rPr>
              <w:t>Insurance ($) (c)</w:t>
            </w:r>
          </w:p>
        </w:tc>
        <w:tc>
          <w:tcPr>
            <w:tcW w:w="1060" w:type="dxa"/>
            <w:vAlign w:val="bottom"/>
            <w:shd w:val="clear" w:color="auto" w:fill="F75E14"/>
          </w:tcPr>
          <w:p>
            <w:pPr>
              <w:jc w:val="center"/>
              <w:spacing w:after="0"/>
              <w:rPr>
                <w:sz w:val="20"/>
                <w:szCs w:val="20"/>
                <w:color w:val="auto"/>
              </w:rPr>
            </w:pPr>
            <w:r>
              <w:rPr>
                <w:rFonts w:ascii="Arial" w:cs="Arial" w:eastAsia="Arial" w:hAnsi="Arial"/>
                <w:sz w:val="14"/>
                <w:szCs w:val="14"/>
                <w:b w:val="1"/>
                <w:bCs w:val="1"/>
                <w:color w:val="FFFFFF"/>
              </w:rPr>
              <w:t>($) (d)</w:t>
            </w:r>
          </w:p>
        </w:tc>
        <w:tc>
          <w:tcPr>
            <w:tcW w:w="940" w:type="dxa"/>
            <w:vAlign w:val="bottom"/>
            <w:shd w:val="clear" w:color="auto" w:fill="F75E14"/>
          </w:tcPr>
          <w:p>
            <w:pPr>
              <w:jc w:val="center"/>
              <w:spacing w:after="0"/>
              <w:rPr>
                <w:sz w:val="20"/>
                <w:szCs w:val="20"/>
                <w:color w:val="auto"/>
              </w:rPr>
            </w:pPr>
            <w:r>
              <w:rPr>
                <w:rFonts w:ascii="Arial" w:cs="Arial" w:eastAsia="Arial" w:hAnsi="Arial"/>
                <w:sz w:val="14"/>
                <w:szCs w:val="14"/>
                <w:b w:val="1"/>
                <w:bCs w:val="1"/>
                <w:color w:val="FFFFFF"/>
              </w:rPr>
              <w:t>($) (e)</w:t>
            </w:r>
          </w:p>
        </w:tc>
        <w:tc>
          <w:tcPr>
            <w:tcW w:w="1740" w:type="dxa"/>
            <w:vAlign w:val="bottom"/>
            <w:shd w:val="clear" w:color="auto" w:fill="F75E14"/>
          </w:tcPr>
          <w:p>
            <w:pPr>
              <w:jc w:val="center"/>
              <w:ind w:right="69"/>
              <w:spacing w:after="0"/>
              <w:rPr>
                <w:sz w:val="20"/>
                <w:szCs w:val="20"/>
                <w:color w:val="auto"/>
              </w:rPr>
            </w:pPr>
            <w:r>
              <w:rPr>
                <w:rFonts w:ascii="Arial" w:cs="Arial" w:eastAsia="Arial" w:hAnsi="Arial"/>
                <w:sz w:val="14"/>
                <w:szCs w:val="14"/>
                <w:b w:val="1"/>
                <w:bCs w:val="1"/>
                <w:color w:val="FFFFFF"/>
              </w:rPr>
              <w:t>Payments* ($) (f)</w:t>
            </w:r>
          </w:p>
        </w:tc>
        <w:tc>
          <w:tcPr>
            <w:tcW w:w="1120" w:type="dxa"/>
            <w:vAlign w:val="bottom"/>
            <w:shd w:val="clear" w:color="auto" w:fill="F75E14"/>
          </w:tcPr>
          <w:p>
            <w:pPr>
              <w:jc w:val="center"/>
              <w:ind w:left="49"/>
              <w:spacing w:after="0"/>
              <w:rPr>
                <w:sz w:val="20"/>
                <w:szCs w:val="20"/>
                <w:color w:val="auto"/>
              </w:rPr>
            </w:pPr>
            <w:r>
              <w:rPr>
                <w:rFonts w:ascii="Arial" w:cs="Arial" w:eastAsia="Arial" w:hAnsi="Arial"/>
                <w:sz w:val="14"/>
                <w:szCs w:val="14"/>
                <w:b w:val="1"/>
                <w:bCs w:val="1"/>
                <w:color w:val="FFFFFF"/>
              </w:rPr>
              <w:t>($) (g)</w:t>
            </w:r>
          </w:p>
        </w:tc>
      </w:tr>
      <w:tr>
        <w:trPr>
          <w:trHeight w:val="254"/>
        </w:trPr>
        <w:tc>
          <w:tcPr>
            <w:tcW w:w="1660" w:type="dxa"/>
            <w:vAlign w:val="bottom"/>
            <w:shd w:val="clear" w:color="auto" w:fill="D8E8EF"/>
          </w:tcPr>
          <w:p>
            <w:pPr>
              <w:ind w:left="80"/>
              <w:spacing w:after="0"/>
              <w:rPr>
                <w:sz w:val="20"/>
                <w:szCs w:val="20"/>
                <w:color w:val="auto"/>
              </w:rPr>
            </w:pPr>
            <w:r>
              <w:rPr>
                <w:rFonts w:ascii="Arial" w:cs="Arial" w:eastAsia="Arial" w:hAnsi="Arial"/>
                <w:sz w:val="14"/>
                <w:szCs w:val="14"/>
                <w:color w:val="auto"/>
              </w:rPr>
              <w:t>Hassane El-Khoury</w:t>
            </w:r>
          </w:p>
        </w:tc>
        <w:tc>
          <w:tcPr>
            <w:tcW w:w="1200" w:type="dxa"/>
            <w:vAlign w:val="bottom"/>
            <w:shd w:val="clear" w:color="auto" w:fill="D8E8EF"/>
          </w:tcPr>
          <w:p>
            <w:pPr>
              <w:jc w:val="right"/>
              <w:ind w:right="89"/>
              <w:spacing w:after="0"/>
              <w:rPr>
                <w:sz w:val="20"/>
                <w:szCs w:val="20"/>
                <w:color w:val="auto"/>
              </w:rPr>
            </w:pPr>
            <w:r>
              <w:rPr>
                <w:rFonts w:ascii="Arial" w:cs="Arial" w:eastAsia="Arial" w:hAnsi="Arial"/>
                <w:sz w:val="14"/>
                <w:szCs w:val="14"/>
                <w:color w:val="auto"/>
              </w:rPr>
              <w:t>11,600</w:t>
            </w:r>
          </w:p>
        </w:tc>
        <w:tc>
          <w:tcPr>
            <w:tcW w:w="1300" w:type="dxa"/>
            <w:vAlign w:val="bottom"/>
            <w:shd w:val="clear" w:color="auto" w:fill="D8E8EF"/>
          </w:tcPr>
          <w:p>
            <w:pPr>
              <w:jc w:val="right"/>
              <w:ind w:right="89"/>
              <w:spacing w:after="0"/>
              <w:rPr>
                <w:sz w:val="20"/>
                <w:szCs w:val="20"/>
                <w:color w:val="auto"/>
              </w:rPr>
            </w:pPr>
            <w:r>
              <w:rPr>
                <w:rFonts w:ascii="Arial" w:cs="Arial" w:eastAsia="Arial" w:hAnsi="Arial"/>
                <w:sz w:val="14"/>
                <w:szCs w:val="14"/>
                <w:color w:val="auto"/>
              </w:rPr>
              <w:t>540</w:t>
            </w:r>
          </w:p>
        </w:tc>
        <w:tc>
          <w:tcPr>
            <w:tcW w:w="1680" w:type="dxa"/>
            <w:vAlign w:val="bottom"/>
            <w:shd w:val="clear" w:color="auto" w:fill="D8E8EF"/>
          </w:tcPr>
          <w:p>
            <w:pPr>
              <w:jc w:val="right"/>
              <w:ind w:right="69"/>
              <w:spacing w:after="0"/>
              <w:rPr>
                <w:sz w:val="20"/>
                <w:szCs w:val="20"/>
                <w:color w:val="auto"/>
              </w:rPr>
            </w:pPr>
            <w:r>
              <w:rPr>
                <w:rFonts w:ascii="Arial" w:cs="Arial" w:eastAsia="Arial" w:hAnsi="Arial"/>
                <w:sz w:val="14"/>
                <w:szCs w:val="14"/>
                <w:color w:val="auto"/>
              </w:rPr>
              <w:t>1,380</w:t>
            </w:r>
          </w:p>
        </w:tc>
        <w:tc>
          <w:tcPr>
            <w:tcW w:w="1060" w:type="dxa"/>
            <w:vAlign w:val="bottom"/>
            <w:shd w:val="clear" w:color="auto" w:fill="D8E8EF"/>
          </w:tcPr>
          <w:p>
            <w:pPr>
              <w:jc w:val="right"/>
              <w:ind w:right="89"/>
              <w:spacing w:after="0"/>
              <w:rPr>
                <w:sz w:val="20"/>
                <w:szCs w:val="20"/>
                <w:color w:val="auto"/>
              </w:rPr>
            </w:pPr>
            <w:r>
              <w:rPr>
                <w:rFonts w:ascii="Arial" w:cs="Arial" w:eastAsia="Arial" w:hAnsi="Arial"/>
                <w:sz w:val="14"/>
                <w:szCs w:val="14"/>
                <w:color w:val="auto"/>
              </w:rPr>
              <w:t>14,400</w:t>
            </w:r>
          </w:p>
        </w:tc>
        <w:tc>
          <w:tcPr>
            <w:tcW w:w="940" w:type="dxa"/>
            <w:vAlign w:val="bottom"/>
            <w:shd w:val="clear" w:color="auto" w:fill="D8E8EF"/>
          </w:tcPr>
          <w:p>
            <w:pPr>
              <w:jc w:val="right"/>
              <w:ind w:right="89"/>
              <w:spacing w:after="0"/>
              <w:rPr>
                <w:sz w:val="20"/>
                <w:szCs w:val="20"/>
                <w:color w:val="auto"/>
              </w:rPr>
            </w:pPr>
            <w:r>
              <w:rPr>
                <w:rFonts w:ascii="Arial" w:cs="Arial" w:eastAsia="Arial" w:hAnsi="Arial"/>
                <w:sz w:val="14"/>
                <w:szCs w:val="14"/>
                <w:color w:val="auto"/>
              </w:rPr>
              <w:t>10,000</w:t>
            </w:r>
          </w:p>
        </w:tc>
        <w:tc>
          <w:tcPr>
            <w:tcW w:w="1740" w:type="dxa"/>
            <w:vAlign w:val="bottom"/>
            <w:shd w:val="clear" w:color="auto" w:fill="D8E8EF"/>
          </w:tcPr>
          <w:p>
            <w:pPr>
              <w:jc w:val="right"/>
              <w:ind w:right="209"/>
              <w:spacing w:after="0"/>
              <w:rPr>
                <w:sz w:val="20"/>
                <w:szCs w:val="20"/>
                <w:color w:val="auto"/>
              </w:rPr>
            </w:pPr>
            <w:r>
              <w:rPr>
                <w:rFonts w:ascii="Arial" w:cs="Arial" w:eastAsia="Arial" w:hAnsi="Arial"/>
                <w:sz w:val="14"/>
                <w:szCs w:val="14"/>
                <w:color w:val="auto"/>
              </w:rPr>
              <w:t>1,550</w:t>
            </w:r>
          </w:p>
        </w:tc>
        <w:tc>
          <w:tcPr>
            <w:tcW w:w="1120" w:type="dxa"/>
            <w:vAlign w:val="bottom"/>
            <w:shd w:val="clear" w:color="auto" w:fill="D8E8EF"/>
          </w:tcPr>
          <w:p>
            <w:pPr>
              <w:jc w:val="right"/>
              <w:ind w:right="49"/>
              <w:spacing w:after="0"/>
              <w:rPr>
                <w:sz w:val="20"/>
                <w:szCs w:val="20"/>
                <w:color w:val="auto"/>
              </w:rPr>
            </w:pPr>
            <w:r>
              <w:rPr>
                <w:rFonts w:ascii="Arial" w:cs="Arial" w:eastAsia="Arial" w:hAnsi="Arial"/>
                <w:sz w:val="14"/>
                <w:szCs w:val="14"/>
                <w:color w:val="auto"/>
              </w:rPr>
              <w:t>0</w:t>
            </w:r>
          </w:p>
        </w:tc>
      </w:tr>
      <w:tr>
        <w:trPr>
          <w:trHeight w:val="250"/>
        </w:trPr>
        <w:tc>
          <w:tcPr>
            <w:tcW w:w="1660" w:type="dxa"/>
            <w:vAlign w:val="bottom"/>
          </w:tcPr>
          <w:p>
            <w:pPr>
              <w:ind w:left="80"/>
              <w:spacing w:after="0"/>
              <w:rPr>
                <w:sz w:val="20"/>
                <w:szCs w:val="20"/>
                <w:color w:val="auto"/>
              </w:rPr>
            </w:pPr>
            <w:r>
              <w:rPr>
                <w:rFonts w:ascii="Arial" w:cs="Arial" w:eastAsia="Arial" w:hAnsi="Arial"/>
                <w:sz w:val="14"/>
                <w:szCs w:val="14"/>
                <w:color w:val="auto"/>
              </w:rPr>
              <w:t>Thad Trent</w:t>
            </w:r>
          </w:p>
        </w:tc>
        <w:tc>
          <w:tcPr>
            <w:tcW w:w="1200" w:type="dxa"/>
            <w:vAlign w:val="bottom"/>
          </w:tcPr>
          <w:p>
            <w:pPr>
              <w:jc w:val="right"/>
              <w:ind w:right="89"/>
              <w:spacing w:after="0"/>
              <w:rPr>
                <w:sz w:val="20"/>
                <w:szCs w:val="20"/>
                <w:color w:val="auto"/>
              </w:rPr>
            </w:pPr>
            <w:r>
              <w:rPr>
                <w:rFonts w:ascii="Arial" w:cs="Arial" w:eastAsia="Arial" w:hAnsi="Arial"/>
                <w:sz w:val="14"/>
                <w:szCs w:val="14"/>
                <w:color w:val="auto"/>
              </w:rPr>
              <w:t>11,600</w:t>
            </w:r>
          </w:p>
        </w:tc>
        <w:tc>
          <w:tcPr>
            <w:tcW w:w="1300" w:type="dxa"/>
            <w:vAlign w:val="bottom"/>
          </w:tcPr>
          <w:p>
            <w:pPr>
              <w:jc w:val="right"/>
              <w:ind w:right="89"/>
              <w:spacing w:after="0"/>
              <w:rPr>
                <w:sz w:val="20"/>
                <w:szCs w:val="20"/>
                <w:color w:val="auto"/>
              </w:rPr>
            </w:pPr>
            <w:r>
              <w:rPr>
                <w:rFonts w:ascii="Arial" w:cs="Arial" w:eastAsia="Arial" w:hAnsi="Arial"/>
                <w:sz w:val="14"/>
                <w:szCs w:val="14"/>
                <w:color w:val="auto"/>
              </w:rPr>
              <w:t>1,051</w:t>
            </w:r>
          </w:p>
        </w:tc>
        <w:tc>
          <w:tcPr>
            <w:tcW w:w="1680" w:type="dxa"/>
            <w:vAlign w:val="bottom"/>
          </w:tcPr>
          <w:p>
            <w:pPr>
              <w:jc w:val="right"/>
              <w:ind w:right="69"/>
              <w:spacing w:after="0"/>
              <w:rPr>
                <w:sz w:val="20"/>
                <w:szCs w:val="20"/>
                <w:color w:val="auto"/>
              </w:rPr>
            </w:pPr>
            <w:r>
              <w:rPr>
                <w:rFonts w:ascii="Arial" w:cs="Arial" w:eastAsia="Arial" w:hAnsi="Arial"/>
                <w:sz w:val="14"/>
                <w:szCs w:val="14"/>
                <w:color w:val="auto"/>
              </w:rPr>
              <w:t>1,380</w:t>
            </w:r>
          </w:p>
        </w:tc>
        <w:tc>
          <w:tcPr>
            <w:tcW w:w="1060" w:type="dxa"/>
            <w:vAlign w:val="bottom"/>
          </w:tcPr>
          <w:p>
            <w:pPr>
              <w:jc w:val="right"/>
              <w:ind w:right="89"/>
              <w:spacing w:after="0"/>
              <w:rPr>
                <w:sz w:val="20"/>
                <w:szCs w:val="20"/>
                <w:color w:val="auto"/>
              </w:rPr>
            </w:pPr>
            <w:r>
              <w:rPr>
                <w:rFonts w:ascii="Arial" w:cs="Arial" w:eastAsia="Arial" w:hAnsi="Arial"/>
                <w:sz w:val="14"/>
                <w:szCs w:val="14"/>
                <w:color w:val="auto"/>
              </w:rPr>
              <w:t>12,557</w:t>
            </w:r>
          </w:p>
        </w:tc>
        <w:tc>
          <w:tcPr>
            <w:tcW w:w="940" w:type="dxa"/>
            <w:vAlign w:val="bottom"/>
          </w:tcPr>
          <w:p>
            <w:pPr>
              <w:jc w:val="right"/>
              <w:ind w:right="89"/>
              <w:spacing w:after="0"/>
              <w:rPr>
                <w:sz w:val="20"/>
                <w:szCs w:val="20"/>
                <w:color w:val="auto"/>
              </w:rPr>
            </w:pPr>
            <w:r>
              <w:rPr>
                <w:rFonts w:ascii="Arial" w:cs="Arial" w:eastAsia="Arial" w:hAnsi="Arial"/>
                <w:sz w:val="14"/>
                <w:szCs w:val="14"/>
                <w:color w:val="auto"/>
              </w:rPr>
              <w:t>10,000</w:t>
            </w:r>
          </w:p>
        </w:tc>
        <w:tc>
          <w:tcPr>
            <w:tcW w:w="1740" w:type="dxa"/>
            <w:vAlign w:val="bottom"/>
          </w:tcPr>
          <w:p>
            <w:pPr>
              <w:jc w:val="right"/>
              <w:ind w:right="209"/>
              <w:spacing w:after="0"/>
              <w:rPr>
                <w:sz w:val="20"/>
                <w:szCs w:val="20"/>
                <w:color w:val="auto"/>
              </w:rPr>
            </w:pPr>
            <w:r>
              <w:rPr>
                <w:rFonts w:ascii="Arial" w:cs="Arial" w:eastAsia="Arial" w:hAnsi="Arial"/>
                <w:sz w:val="14"/>
                <w:szCs w:val="14"/>
                <w:color w:val="auto"/>
              </w:rPr>
              <w:t>0</w:t>
            </w:r>
          </w:p>
        </w:tc>
        <w:tc>
          <w:tcPr>
            <w:tcW w:w="1120" w:type="dxa"/>
            <w:vAlign w:val="bottom"/>
          </w:tcPr>
          <w:p>
            <w:pPr>
              <w:jc w:val="right"/>
              <w:ind w:right="49"/>
              <w:spacing w:after="0"/>
              <w:rPr>
                <w:sz w:val="20"/>
                <w:szCs w:val="20"/>
                <w:color w:val="auto"/>
              </w:rPr>
            </w:pPr>
            <w:r>
              <w:rPr>
                <w:rFonts w:ascii="Arial" w:cs="Arial" w:eastAsia="Arial" w:hAnsi="Arial"/>
                <w:sz w:val="14"/>
                <w:szCs w:val="14"/>
                <w:color w:val="auto"/>
              </w:rPr>
              <w:t>200,000</w:t>
            </w:r>
          </w:p>
        </w:tc>
      </w:tr>
      <w:tr>
        <w:trPr>
          <w:trHeight w:val="258"/>
        </w:trPr>
        <w:tc>
          <w:tcPr>
            <w:tcW w:w="1660" w:type="dxa"/>
            <w:vAlign w:val="bottom"/>
            <w:shd w:val="clear" w:color="auto" w:fill="D8E8EF"/>
          </w:tcPr>
          <w:p>
            <w:pPr>
              <w:ind w:left="80"/>
              <w:spacing w:after="0"/>
              <w:rPr>
                <w:sz w:val="20"/>
                <w:szCs w:val="20"/>
                <w:color w:val="auto"/>
              </w:rPr>
            </w:pPr>
            <w:r>
              <w:rPr>
                <w:rFonts w:ascii="Arial" w:cs="Arial" w:eastAsia="Arial" w:hAnsi="Arial"/>
                <w:sz w:val="14"/>
                <w:szCs w:val="14"/>
                <w:color w:val="auto"/>
              </w:rPr>
              <w:t>Vincent C. Hopkin</w:t>
            </w:r>
          </w:p>
        </w:tc>
        <w:tc>
          <w:tcPr>
            <w:tcW w:w="1200" w:type="dxa"/>
            <w:vAlign w:val="bottom"/>
            <w:shd w:val="clear" w:color="auto" w:fill="D8E8EF"/>
          </w:tcPr>
          <w:p>
            <w:pPr>
              <w:jc w:val="right"/>
              <w:ind w:right="89"/>
              <w:spacing w:after="0"/>
              <w:rPr>
                <w:sz w:val="20"/>
                <w:szCs w:val="20"/>
                <w:color w:val="auto"/>
              </w:rPr>
            </w:pPr>
            <w:r>
              <w:rPr>
                <w:rFonts w:ascii="Arial" w:cs="Arial" w:eastAsia="Arial" w:hAnsi="Arial"/>
                <w:sz w:val="14"/>
                <w:szCs w:val="14"/>
                <w:color w:val="auto"/>
              </w:rPr>
              <w:t>11,600</w:t>
            </w:r>
          </w:p>
        </w:tc>
        <w:tc>
          <w:tcPr>
            <w:tcW w:w="1300" w:type="dxa"/>
            <w:vAlign w:val="bottom"/>
            <w:shd w:val="clear" w:color="auto" w:fill="D8E8EF"/>
          </w:tcPr>
          <w:p>
            <w:pPr>
              <w:jc w:val="right"/>
              <w:ind w:right="89"/>
              <w:spacing w:after="0"/>
              <w:rPr>
                <w:sz w:val="20"/>
                <w:szCs w:val="20"/>
                <w:color w:val="auto"/>
              </w:rPr>
            </w:pPr>
            <w:r>
              <w:rPr>
                <w:rFonts w:ascii="Arial" w:cs="Arial" w:eastAsia="Arial" w:hAnsi="Arial"/>
                <w:sz w:val="14"/>
                <w:szCs w:val="14"/>
                <w:color w:val="auto"/>
              </w:rPr>
              <w:t>235</w:t>
            </w:r>
          </w:p>
        </w:tc>
        <w:tc>
          <w:tcPr>
            <w:tcW w:w="1680" w:type="dxa"/>
            <w:vAlign w:val="bottom"/>
            <w:shd w:val="clear" w:color="auto" w:fill="D8E8EF"/>
          </w:tcPr>
          <w:p>
            <w:pPr>
              <w:jc w:val="right"/>
              <w:ind w:right="69"/>
              <w:spacing w:after="0"/>
              <w:rPr>
                <w:sz w:val="20"/>
                <w:szCs w:val="20"/>
                <w:color w:val="auto"/>
              </w:rPr>
            </w:pPr>
            <w:r>
              <w:rPr>
                <w:rFonts w:ascii="Arial" w:cs="Arial" w:eastAsia="Arial" w:hAnsi="Arial"/>
                <w:sz w:val="14"/>
                <w:szCs w:val="14"/>
                <w:color w:val="auto"/>
              </w:rPr>
              <w:t>1,380</w:t>
            </w:r>
          </w:p>
        </w:tc>
        <w:tc>
          <w:tcPr>
            <w:tcW w:w="1060" w:type="dxa"/>
            <w:vAlign w:val="bottom"/>
            <w:shd w:val="clear" w:color="auto" w:fill="D8E8EF"/>
          </w:tcPr>
          <w:p>
            <w:pPr>
              <w:jc w:val="right"/>
              <w:ind w:right="89"/>
              <w:spacing w:after="0"/>
              <w:rPr>
                <w:sz w:val="20"/>
                <w:szCs w:val="20"/>
                <w:color w:val="auto"/>
              </w:rPr>
            </w:pPr>
            <w:r>
              <w:rPr>
                <w:rFonts w:ascii="Arial" w:cs="Arial" w:eastAsia="Arial" w:hAnsi="Arial"/>
                <w:sz w:val="14"/>
                <w:szCs w:val="14"/>
                <w:color w:val="auto"/>
              </w:rPr>
              <w:t>14,400</w:t>
            </w:r>
          </w:p>
        </w:tc>
        <w:tc>
          <w:tcPr>
            <w:tcW w:w="940" w:type="dxa"/>
            <w:vAlign w:val="bottom"/>
            <w:shd w:val="clear" w:color="auto" w:fill="D8E8EF"/>
          </w:tcPr>
          <w:p>
            <w:pPr>
              <w:jc w:val="right"/>
              <w:ind w:right="89"/>
              <w:spacing w:after="0"/>
              <w:rPr>
                <w:sz w:val="20"/>
                <w:szCs w:val="20"/>
                <w:color w:val="auto"/>
              </w:rPr>
            </w:pPr>
            <w:r>
              <w:rPr>
                <w:rFonts w:ascii="Arial" w:cs="Arial" w:eastAsia="Arial" w:hAnsi="Arial"/>
                <w:sz w:val="14"/>
                <w:szCs w:val="14"/>
                <w:color w:val="auto"/>
              </w:rPr>
              <w:t>900</w:t>
            </w:r>
          </w:p>
        </w:tc>
        <w:tc>
          <w:tcPr>
            <w:tcW w:w="1740" w:type="dxa"/>
            <w:vAlign w:val="bottom"/>
            <w:shd w:val="clear" w:color="auto" w:fill="D8E8EF"/>
          </w:tcPr>
          <w:p>
            <w:pPr>
              <w:jc w:val="right"/>
              <w:ind w:right="209"/>
              <w:spacing w:after="0"/>
              <w:rPr>
                <w:sz w:val="20"/>
                <w:szCs w:val="20"/>
                <w:color w:val="auto"/>
              </w:rPr>
            </w:pPr>
            <w:r>
              <w:rPr>
                <w:rFonts w:ascii="Arial" w:cs="Arial" w:eastAsia="Arial" w:hAnsi="Arial"/>
                <w:sz w:val="14"/>
                <w:szCs w:val="14"/>
                <w:color w:val="auto"/>
              </w:rPr>
              <w:t>1,084</w:t>
            </w:r>
          </w:p>
        </w:tc>
        <w:tc>
          <w:tcPr>
            <w:tcW w:w="1120" w:type="dxa"/>
            <w:vAlign w:val="bottom"/>
            <w:shd w:val="clear" w:color="auto" w:fill="D8E8EF"/>
          </w:tcPr>
          <w:p>
            <w:pPr>
              <w:jc w:val="right"/>
              <w:ind w:right="49"/>
              <w:spacing w:after="0"/>
              <w:rPr>
                <w:sz w:val="20"/>
                <w:szCs w:val="20"/>
                <w:color w:val="auto"/>
              </w:rPr>
            </w:pPr>
            <w:r>
              <w:rPr>
                <w:rFonts w:ascii="Arial" w:cs="Arial" w:eastAsia="Arial" w:hAnsi="Arial"/>
                <w:sz w:val="14"/>
                <w:szCs w:val="14"/>
                <w:color w:val="auto"/>
              </w:rPr>
              <w:t>0</w:t>
            </w:r>
          </w:p>
        </w:tc>
      </w:tr>
      <w:tr>
        <w:trPr>
          <w:trHeight w:val="250"/>
        </w:trPr>
        <w:tc>
          <w:tcPr>
            <w:tcW w:w="1660" w:type="dxa"/>
            <w:vAlign w:val="bottom"/>
          </w:tcPr>
          <w:p>
            <w:pPr>
              <w:ind w:left="80"/>
              <w:spacing w:after="0"/>
              <w:rPr>
                <w:sz w:val="20"/>
                <w:szCs w:val="20"/>
                <w:color w:val="auto"/>
              </w:rPr>
            </w:pPr>
            <w:r>
              <w:rPr>
                <w:rFonts w:ascii="Arial" w:cs="Arial" w:eastAsia="Arial" w:hAnsi="Arial"/>
                <w:sz w:val="14"/>
                <w:szCs w:val="14"/>
                <w:color w:val="auto"/>
              </w:rPr>
              <w:t>Simon Keeton</w:t>
            </w:r>
          </w:p>
        </w:tc>
        <w:tc>
          <w:tcPr>
            <w:tcW w:w="1200" w:type="dxa"/>
            <w:vAlign w:val="bottom"/>
          </w:tcPr>
          <w:p>
            <w:pPr>
              <w:jc w:val="right"/>
              <w:ind w:right="89"/>
              <w:spacing w:after="0"/>
              <w:rPr>
                <w:sz w:val="20"/>
                <w:szCs w:val="20"/>
                <w:color w:val="auto"/>
              </w:rPr>
            </w:pPr>
            <w:r>
              <w:rPr>
                <w:rFonts w:ascii="Arial" w:cs="Arial" w:eastAsia="Arial" w:hAnsi="Arial"/>
                <w:sz w:val="14"/>
                <w:szCs w:val="14"/>
                <w:color w:val="auto"/>
              </w:rPr>
              <w:t>11,600</w:t>
            </w:r>
          </w:p>
        </w:tc>
        <w:tc>
          <w:tcPr>
            <w:tcW w:w="1300" w:type="dxa"/>
            <w:vAlign w:val="bottom"/>
          </w:tcPr>
          <w:p>
            <w:pPr>
              <w:jc w:val="right"/>
              <w:ind w:right="89"/>
              <w:spacing w:after="0"/>
              <w:rPr>
                <w:sz w:val="20"/>
                <w:szCs w:val="20"/>
                <w:color w:val="auto"/>
              </w:rPr>
            </w:pPr>
            <w:r>
              <w:rPr>
                <w:rFonts w:ascii="Arial" w:cs="Arial" w:eastAsia="Arial" w:hAnsi="Arial"/>
                <w:sz w:val="14"/>
                <w:szCs w:val="14"/>
                <w:color w:val="auto"/>
              </w:rPr>
              <w:t>1,710</w:t>
            </w:r>
          </w:p>
        </w:tc>
        <w:tc>
          <w:tcPr>
            <w:tcW w:w="1680" w:type="dxa"/>
            <w:vAlign w:val="bottom"/>
          </w:tcPr>
          <w:p>
            <w:pPr>
              <w:jc w:val="right"/>
              <w:ind w:right="69"/>
              <w:spacing w:after="0"/>
              <w:rPr>
                <w:sz w:val="20"/>
                <w:szCs w:val="20"/>
                <w:color w:val="auto"/>
              </w:rPr>
            </w:pPr>
            <w:r>
              <w:rPr>
                <w:rFonts w:ascii="Arial" w:cs="Arial" w:eastAsia="Arial" w:hAnsi="Arial"/>
                <w:sz w:val="14"/>
                <w:szCs w:val="14"/>
                <w:color w:val="auto"/>
              </w:rPr>
              <w:t>1,380</w:t>
            </w:r>
          </w:p>
        </w:tc>
        <w:tc>
          <w:tcPr>
            <w:tcW w:w="1060" w:type="dxa"/>
            <w:vAlign w:val="bottom"/>
          </w:tcPr>
          <w:p>
            <w:pPr>
              <w:jc w:val="right"/>
              <w:ind w:right="89"/>
              <w:spacing w:after="0"/>
              <w:rPr>
                <w:sz w:val="20"/>
                <w:szCs w:val="20"/>
                <w:color w:val="auto"/>
              </w:rPr>
            </w:pPr>
            <w:r>
              <w:rPr>
                <w:rFonts w:ascii="Arial" w:cs="Arial" w:eastAsia="Arial" w:hAnsi="Arial"/>
                <w:sz w:val="14"/>
                <w:szCs w:val="14"/>
                <w:color w:val="auto"/>
              </w:rPr>
              <w:t>14,400</w:t>
            </w:r>
          </w:p>
        </w:tc>
        <w:tc>
          <w:tcPr>
            <w:tcW w:w="940" w:type="dxa"/>
            <w:vAlign w:val="bottom"/>
          </w:tcPr>
          <w:p>
            <w:pPr>
              <w:jc w:val="right"/>
              <w:ind w:right="89"/>
              <w:spacing w:after="0"/>
              <w:rPr>
                <w:sz w:val="20"/>
                <w:szCs w:val="20"/>
                <w:color w:val="auto"/>
              </w:rPr>
            </w:pPr>
            <w:r>
              <w:rPr>
                <w:rFonts w:ascii="Arial" w:cs="Arial" w:eastAsia="Arial" w:hAnsi="Arial"/>
                <w:sz w:val="14"/>
                <w:szCs w:val="14"/>
                <w:color w:val="auto"/>
              </w:rPr>
              <w:t>2,998</w:t>
            </w:r>
          </w:p>
        </w:tc>
        <w:tc>
          <w:tcPr>
            <w:tcW w:w="1740" w:type="dxa"/>
            <w:vAlign w:val="bottom"/>
          </w:tcPr>
          <w:p>
            <w:pPr>
              <w:jc w:val="right"/>
              <w:ind w:right="209"/>
              <w:spacing w:after="0"/>
              <w:rPr>
                <w:sz w:val="20"/>
                <w:szCs w:val="20"/>
                <w:color w:val="auto"/>
              </w:rPr>
            </w:pPr>
            <w:r>
              <w:rPr>
                <w:rFonts w:ascii="Arial" w:cs="Arial" w:eastAsia="Arial" w:hAnsi="Arial"/>
                <w:sz w:val="14"/>
                <w:szCs w:val="14"/>
                <w:color w:val="auto"/>
              </w:rPr>
              <w:t>1,084</w:t>
            </w:r>
          </w:p>
        </w:tc>
        <w:tc>
          <w:tcPr>
            <w:tcW w:w="1120" w:type="dxa"/>
            <w:vAlign w:val="bottom"/>
          </w:tcPr>
          <w:p>
            <w:pPr>
              <w:jc w:val="right"/>
              <w:ind w:right="49"/>
              <w:spacing w:after="0"/>
              <w:rPr>
                <w:sz w:val="20"/>
                <w:szCs w:val="20"/>
                <w:color w:val="auto"/>
              </w:rPr>
            </w:pPr>
            <w:r>
              <w:rPr>
                <w:rFonts w:ascii="Arial" w:cs="Arial" w:eastAsia="Arial" w:hAnsi="Arial"/>
                <w:sz w:val="14"/>
                <w:szCs w:val="14"/>
                <w:color w:val="auto"/>
              </w:rPr>
              <w:t>0</w:t>
            </w:r>
          </w:p>
        </w:tc>
      </w:tr>
      <w:tr>
        <w:trPr>
          <w:trHeight w:val="258"/>
        </w:trPr>
        <w:tc>
          <w:tcPr>
            <w:tcW w:w="1660" w:type="dxa"/>
            <w:vAlign w:val="bottom"/>
            <w:shd w:val="clear" w:color="auto" w:fill="D8E8EF"/>
          </w:tcPr>
          <w:p>
            <w:pPr>
              <w:ind w:left="80"/>
              <w:spacing w:after="0"/>
              <w:rPr>
                <w:sz w:val="20"/>
                <w:szCs w:val="20"/>
                <w:color w:val="auto"/>
              </w:rPr>
            </w:pPr>
            <w:r>
              <w:rPr>
                <w:rFonts w:ascii="Arial" w:cs="Arial" w:eastAsia="Arial" w:hAnsi="Arial"/>
                <w:sz w:val="14"/>
                <w:szCs w:val="14"/>
                <w:color w:val="auto"/>
              </w:rPr>
              <w:t>Ross F. Jatou</w:t>
            </w:r>
          </w:p>
        </w:tc>
        <w:tc>
          <w:tcPr>
            <w:tcW w:w="1200" w:type="dxa"/>
            <w:vAlign w:val="bottom"/>
            <w:shd w:val="clear" w:color="auto" w:fill="D8E8EF"/>
          </w:tcPr>
          <w:p>
            <w:pPr>
              <w:jc w:val="right"/>
              <w:ind w:right="89"/>
              <w:spacing w:after="0"/>
              <w:rPr>
                <w:sz w:val="20"/>
                <w:szCs w:val="20"/>
                <w:color w:val="auto"/>
              </w:rPr>
            </w:pPr>
            <w:r>
              <w:rPr>
                <w:rFonts w:ascii="Arial" w:cs="Arial" w:eastAsia="Arial" w:hAnsi="Arial"/>
                <w:sz w:val="14"/>
                <w:szCs w:val="14"/>
                <w:color w:val="auto"/>
              </w:rPr>
              <w:t>11,600</w:t>
            </w:r>
          </w:p>
        </w:tc>
        <w:tc>
          <w:tcPr>
            <w:tcW w:w="1300" w:type="dxa"/>
            <w:vAlign w:val="bottom"/>
            <w:shd w:val="clear" w:color="auto" w:fill="D8E8EF"/>
          </w:tcPr>
          <w:p>
            <w:pPr>
              <w:jc w:val="right"/>
              <w:ind w:right="89"/>
              <w:spacing w:after="0"/>
              <w:rPr>
                <w:sz w:val="20"/>
                <w:szCs w:val="20"/>
                <w:color w:val="auto"/>
              </w:rPr>
            </w:pPr>
            <w:r>
              <w:rPr>
                <w:rFonts w:ascii="Arial" w:cs="Arial" w:eastAsia="Arial" w:hAnsi="Arial"/>
                <w:sz w:val="14"/>
                <w:szCs w:val="14"/>
                <w:color w:val="auto"/>
              </w:rPr>
              <w:t>1,242</w:t>
            </w:r>
          </w:p>
        </w:tc>
        <w:tc>
          <w:tcPr>
            <w:tcW w:w="1680" w:type="dxa"/>
            <w:vAlign w:val="bottom"/>
            <w:shd w:val="clear" w:color="auto" w:fill="D8E8EF"/>
          </w:tcPr>
          <w:p>
            <w:pPr>
              <w:jc w:val="right"/>
              <w:ind w:right="69"/>
              <w:spacing w:after="0"/>
              <w:rPr>
                <w:sz w:val="20"/>
                <w:szCs w:val="20"/>
                <w:color w:val="auto"/>
              </w:rPr>
            </w:pPr>
            <w:r>
              <w:rPr>
                <w:rFonts w:ascii="Arial" w:cs="Arial" w:eastAsia="Arial" w:hAnsi="Arial"/>
                <w:sz w:val="14"/>
                <w:szCs w:val="14"/>
                <w:color w:val="auto"/>
              </w:rPr>
              <w:t>1,380</w:t>
            </w:r>
          </w:p>
        </w:tc>
        <w:tc>
          <w:tcPr>
            <w:tcW w:w="1060" w:type="dxa"/>
            <w:vAlign w:val="bottom"/>
            <w:shd w:val="clear" w:color="auto" w:fill="D8E8EF"/>
          </w:tcPr>
          <w:p>
            <w:pPr>
              <w:jc w:val="right"/>
              <w:ind w:right="89"/>
              <w:spacing w:after="0"/>
              <w:rPr>
                <w:sz w:val="20"/>
                <w:szCs w:val="20"/>
                <w:color w:val="auto"/>
              </w:rPr>
            </w:pPr>
            <w:r>
              <w:rPr>
                <w:rFonts w:ascii="Arial" w:cs="Arial" w:eastAsia="Arial" w:hAnsi="Arial"/>
                <w:sz w:val="14"/>
                <w:szCs w:val="14"/>
                <w:color w:val="auto"/>
              </w:rPr>
              <w:t>16,800</w:t>
            </w:r>
          </w:p>
        </w:tc>
        <w:tc>
          <w:tcPr>
            <w:tcW w:w="940" w:type="dxa"/>
            <w:vAlign w:val="bottom"/>
            <w:shd w:val="clear" w:color="auto" w:fill="D8E8EF"/>
          </w:tcPr>
          <w:p>
            <w:pPr>
              <w:jc w:val="right"/>
              <w:ind w:right="89"/>
              <w:spacing w:after="0"/>
              <w:rPr>
                <w:sz w:val="20"/>
                <w:szCs w:val="20"/>
                <w:color w:val="auto"/>
              </w:rPr>
            </w:pPr>
            <w:r>
              <w:rPr>
                <w:rFonts w:ascii="Arial" w:cs="Arial" w:eastAsia="Arial" w:hAnsi="Arial"/>
                <w:sz w:val="14"/>
                <w:szCs w:val="14"/>
                <w:color w:val="auto"/>
              </w:rPr>
              <w:t>0</w:t>
            </w:r>
          </w:p>
        </w:tc>
        <w:tc>
          <w:tcPr>
            <w:tcW w:w="1740" w:type="dxa"/>
            <w:vAlign w:val="bottom"/>
            <w:shd w:val="clear" w:color="auto" w:fill="D8E8EF"/>
          </w:tcPr>
          <w:p>
            <w:pPr>
              <w:jc w:val="right"/>
              <w:ind w:right="209"/>
              <w:spacing w:after="0"/>
              <w:rPr>
                <w:sz w:val="20"/>
                <w:szCs w:val="20"/>
                <w:color w:val="auto"/>
              </w:rPr>
            </w:pPr>
            <w:r>
              <w:rPr>
                <w:rFonts w:ascii="Arial" w:cs="Arial" w:eastAsia="Arial" w:hAnsi="Arial"/>
                <w:sz w:val="14"/>
                <w:szCs w:val="14"/>
                <w:color w:val="auto"/>
              </w:rPr>
              <w:t>0</w:t>
            </w:r>
          </w:p>
        </w:tc>
        <w:tc>
          <w:tcPr>
            <w:tcW w:w="1120" w:type="dxa"/>
            <w:vAlign w:val="bottom"/>
            <w:shd w:val="clear" w:color="auto" w:fill="D8E8EF"/>
          </w:tcPr>
          <w:p>
            <w:pPr>
              <w:jc w:val="right"/>
              <w:ind w:right="49"/>
              <w:spacing w:after="0"/>
              <w:rPr>
                <w:sz w:val="20"/>
                <w:szCs w:val="20"/>
                <w:color w:val="auto"/>
              </w:rPr>
            </w:pPr>
            <w:r>
              <w:rPr>
                <w:rFonts w:ascii="Arial" w:cs="Arial" w:eastAsia="Arial" w:hAnsi="Arial"/>
                <w:sz w:val="14"/>
                <w:szCs w:val="14"/>
                <w:color w:val="auto"/>
              </w:rPr>
              <w:t>0</w:t>
            </w:r>
          </w:p>
        </w:tc>
      </w:tr>
      <w:tr>
        <w:trPr>
          <w:trHeight w:val="250"/>
        </w:trPr>
        <w:tc>
          <w:tcPr>
            <w:tcW w:w="1660" w:type="dxa"/>
            <w:vAlign w:val="bottom"/>
          </w:tcPr>
          <w:p>
            <w:pPr>
              <w:ind w:left="80"/>
              <w:spacing w:after="0"/>
              <w:rPr>
                <w:sz w:val="20"/>
                <w:szCs w:val="20"/>
                <w:color w:val="auto"/>
              </w:rPr>
            </w:pPr>
            <w:r>
              <w:rPr>
                <w:rFonts w:ascii="Arial" w:cs="Arial" w:eastAsia="Arial" w:hAnsi="Arial"/>
                <w:sz w:val="14"/>
                <w:szCs w:val="14"/>
                <w:color w:val="auto"/>
              </w:rPr>
              <w:t>George H. Cave</w:t>
            </w:r>
          </w:p>
        </w:tc>
        <w:tc>
          <w:tcPr>
            <w:tcW w:w="1200" w:type="dxa"/>
            <w:vAlign w:val="bottom"/>
          </w:tcPr>
          <w:p>
            <w:pPr>
              <w:jc w:val="right"/>
              <w:ind w:right="89"/>
              <w:spacing w:after="0"/>
              <w:rPr>
                <w:sz w:val="20"/>
                <w:szCs w:val="20"/>
                <w:color w:val="auto"/>
              </w:rPr>
            </w:pPr>
            <w:r>
              <w:rPr>
                <w:rFonts w:ascii="Arial" w:cs="Arial" w:eastAsia="Arial" w:hAnsi="Arial"/>
                <w:sz w:val="14"/>
                <w:szCs w:val="14"/>
                <w:color w:val="auto"/>
              </w:rPr>
              <w:t>11,600</w:t>
            </w:r>
          </w:p>
        </w:tc>
        <w:tc>
          <w:tcPr>
            <w:tcW w:w="1300" w:type="dxa"/>
            <w:vAlign w:val="bottom"/>
          </w:tcPr>
          <w:p>
            <w:pPr>
              <w:jc w:val="right"/>
              <w:ind w:right="89"/>
              <w:spacing w:after="0"/>
              <w:rPr>
                <w:sz w:val="20"/>
                <w:szCs w:val="20"/>
                <w:color w:val="auto"/>
              </w:rPr>
            </w:pPr>
            <w:r>
              <w:rPr>
                <w:rFonts w:ascii="Arial" w:cs="Arial" w:eastAsia="Arial" w:hAnsi="Arial"/>
                <w:sz w:val="14"/>
                <w:szCs w:val="14"/>
                <w:color w:val="auto"/>
              </w:rPr>
              <w:t>7,524</w:t>
            </w:r>
          </w:p>
        </w:tc>
        <w:tc>
          <w:tcPr>
            <w:tcW w:w="1680" w:type="dxa"/>
            <w:vAlign w:val="bottom"/>
          </w:tcPr>
          <w:p>
            <w:pPr>
              <w:jc w:val="right"/>
              <w:ind w:right="69"/>
              <w:spacing w:after="0"/>
              <w:rPr>
                <w:sz w:val="20"/>
                <w:szCs w:val="20"/>
                <w:color w:val="auto"/>
              </w:rPr>
            </w:pPr>
            <w:r>
              <w:rPr>
                <w:rFonts w:ascii="Arial" w:cs="Arial" w:eastAsia="Arial" w:hAnsi="Arial"/>
                <w:sz w:val="14"/>
                <w:szCs w:val="14"/>
                <w:color w:val="auto"/>
              </w:rPr>
              <w:t>1,380</w:t>
            </w:r>
          </w:p>
        </w:tc>
        <w:tc>
          <w:tcPr>
            <w:tcW w:w="1060" w:type="dxa"/>
            <w:vAlign w:val="bottom"/>
          </w:tcPr>
          <w:p>
            <w:pPr>
              <w:jc w:val="right"/>
              <w:ind w:right="89"/>
              <w:spacing w:after="0"/>
              <w:rPr>
                <w:sz w:val="20"/>
                <w:szCs w:val="20"/>
                <w:color w:val="auto"/>
              </w:rPr>
            </w:pPr>
            <w:r>
              <w:rPr>
                <w:rFonts w:ascii="Arial" w:cs="Arial" w:eastAsia="Arial" w:hAnsi="Arial"/>
                <w:sz w:val="14"/>
                <w:szCs w:val="14"/>
                <w:color w:val="auto"/>
              </w:rPr>
              <w:t>14,400</w:t>
            </w:r>
          </w:p>
        </w:tc>
        <w:tc>
          <w:tcPr>
            <w:tcW w:w="940" w:type="dxa"/>
            <w:vAlign w:val="bottom"/>
          </w:tcPr>
          <w:p>
            <w:pPr>
              <w:jc w:val="right"/>
              <w:ind w:right="89"/>
              <w:spacing w:after="0"/>
              <w:rPr>
                <w:sz w:val="20"/>
                <w:szCs w:val="20"/>
                <w:color w:val="auto"/>
              </w:rPr>
            </w:pPr>
            <w:r>
              <w:rPr>
                <w:rFonts w:ascii="Arial" w:cs="Arial" w:eastAsia="Arial" w:hAnsi="Arial"/>
                <w:sz w:val="14"/>
                <w:szCs w:val="14"/>
                <w:color w:val="auto"/>
              </w:rPr>
              <w:t>2,900</w:t>
            </w:r>
          </w:p>
        </w:tc>
        <w:tc>
          <w:tcPr>
            <w:tcW w:w="1740" w:type="dxa"/>
            <w:vAlign w:val="bottom"/>
          </w:tcPr>
          <w:p>
            <w:pPr>
              <w:jc w:val="right"/>
              <w:ind w:right="209"/>
              <w:spacing w:after="0"/>
              <w:rPr>
                <w:sz w:val="20"/>
                <w:szCs w:val="20"/>
                <w:color w:val="auto"/>
              </w:rPr>
            </w:pPr>
            <w:r>
              <w:rPr>
                <w:rFonts w:ascii="Arial" w:cs="Arial" w:eastAsia="Arial" w:hAnsi="Arial"/>
                <w:sz w:val="14"/>
                <w:szCs w:val="14"/>
                <w:color w:val="auto"/>
              </w:rPr>
              <w:t>1,150</w:t>
            </w:r>
          </w:p>
        </w:tc>
        <w:tc>
          <w:tcPr>
            <w:tcW w:w="1120" w:type="dxa"/>
            <w:vAlign w:val="bottom"/>
          </w:tcPr>
          <w:p>
            <w:pPr>
              <w:jc w:val="right"/>
              <w:ind w:right="49"/>
              <w:spacing w:after="0"/>
              <w:rPr>
                <w:sz w:val="20"/>
                <w:szCs w:val="20"/>
                <w:color w:val="auto"/>
              </w:rPr>
            </w:pPr>
            <w:r>
              <w:rPr>
                <w:rFonts w:ascii="Arial" w:cs="Arial" w:eastAsia="Arial" w:hAnsi="Arial"/>
                <w:sz w:val="14"/>
                <w:szCs w:val="14"/>
                <w:color w:val="auto"/>
              </w:rPr>
              <w:t>0</w:t>
            </w:r>
          </w:p>
        </w:tc>
      </w:tr>
      <w:tr>
        <w:trPr>
          <w:trHeight w:val="254"/>
        </w:trPr>
        <w:tc>
          <w:tcPr>
            <w:tcW w:w="1660" w:type="dxa"/>
            <w:vAlign w:val="bottom"/>
            <w:tcBorders>
              <w:bottom w:val="single" w:sz="8" w:color="auto"/>
            </w:tcBorders>
            <w:shd w:val="clear" w:color="auto" w:fill="D8E8EF"/>
          </w:tcPr>
          <w:p>
            <w:pPr>
              <w:ind w:left="80"/>
              <w:spacing w:after="0"/>
              <w:rPr>
                <w:sz w:val="20"/>
                <w:szCs w:val="20"/>
                <w:color w:val="auto"/>
              </w:rPr>
            </w:pPr>
            <w:r>
              <w:rPr>
                <w:rFonts w:ascii="Arial" w:cs="Arial" w:eastAsia="Arial" w:hAnsi="Arial"/>
                <w:sz w:val="14"/>
                <w:szCs w:val="14"/>
                <w:color w:val="auto"/>
              </w:rPr>
              <w:t>Bernard Gutmann</w:t>
            </w:r>
          </w:p>
        </w:tc>
        <w:tc>
          <w:tcPr>
            <w:tcW w:w="1200" w:type="dxa"/>
            <w:vAlign w:val="bottom"/>
            <w:tcBorders>
              <w:bottom w:val="single" w:sz="8" w:color="auto"/>
            </w:tcBorders>
            <w:shd w:val="clear" w:color="auto" w:fill="D8E8EF"/>
          </w:tcPr>
          <w:p>
            <w:pPr>
              <w:jc w:val="right"/>
              <w:ind w:right="89"/>
              <w:spacing w:after="0"/>
              <w:rPr>
                <w:sz w:val="20"/>
                <w:szCs w:val="20"/>
                <w:color w:val="auto"/>
              </w:rPr>
            </w:pPr>
            <w:r>
              <w:rPr>
                <w:rFonts w:ascii="Arial" w:cs="Arial" w:eastAsia="Arial" w:hAnsi="Arial"/>
                <w:sz w:val="14"/>
                <w:szCs w:val="14"/>
                <w:color w:val="auto"/>
              </w:rPr>
              <w:t>7,726</w:t>
            </w:r>
          </w:p>
        </w:tc>
        <w:tc>
          <w:tcPr>
            <w:tcW w:w="1300" w:type="dxa"/>
            <w:vAlign w:val="bottom"/>
            <w:tcBorders>
              <w:bottom w:val="single" w:sz="8" w:color="auto"/>
            </w:tcBorders>
            <w:shd w:val="clear" w:color="auto" w:fill="D8E8EF"/>
          </w:tcPr>
          <w:p>
            <w:pPr>
              <w:jc w:val="right"/>
              <w:ind w:right="89"/>
              <w:spacing w:after="0"/>
              <w:rPr>
                <w:sz w:val="20"/>
                <w:szCs w:val="20"/>
                <w:color w:val="auto"/>
              </w:rPr>
            </w:pPr>
            <w:r>
              <w:rPr>
                <w:rFonts w:ascii="Arial" w:cs="Arial" w:eastAsia="Arial" w:hAnsi="Arial"/>
                <w:sz w:val="14"/>
                <w:szCs w:val="14"/>
                <w:color w:val="auto"/>
              </w:rPr>
              <w:t>2,315</w:t>
            </w:r>
          </w:p>
        </w:tc>
        <w:tc>
          <w:tcPr>
            <w:tcW w:w="1680" w:type="dxa"/>
            <w:vAlign w:val="bottom"/>
            <w:tcBorders>
              <w:bottom w:val="single" w:sz="8" w:color="auto"/>
            </w:tcBorders>
            <w:shd w:val="clear" w:color="auto" w:fill="D8E8EF"/>
          </w:tcPr>
          <w:p>
            <w:pPr>
              <w:jc w:val="right"/>
              <w:ind w:right="69"/>
              <w:spacing w:after="0"/>
              <w:rPr>
                <w:sz w:val="20"/>
                <w:szCs w:val="20"/>
                <w:color w:val="auto"/>
              </w:rPr>
            </w:pPr>
            <w:r>
              <w:rPr>
                <w:rFonts w:ascii="Arial" w:cs="Arial" w:eastAsia="Arial" w:hAnsi="Arial"/>
                <w:sz w:val="14"/>
                <w:szCs w:val="14"/>
                <w:color w:val="auto"/>
              </w:rPr>
              <w:t>460</w:t>
            </w:r>
          </w:p>
        </w:tc>
        <w:tc>
          <w:tcPr>
            <w:tcW w:w="1060" w:type="dxa"/>
            <w:vAlign w:val="bottom"/>
            <w:tcBorders>
              <w:bottom w:val="single" w:sz="8" w:color="auto"/>
            </w:tcBorders>
            <w:shd w:val="clear" w:color="auto" w:fill="D8E8EF"/>
          </w:tcPr>
          <w:p>
            <w:pPr>
              <w:jc w:val="right"/>
              <w:ind w:right="89"/>
              <w:spacing w:after="0"/>
              <w:rPr>
                <w:sz w:val="20"/>
                <w:szCs w:val="20"/>
                <w:color w:val="auto"/>
              </w:rPr>
            </w:pPr>
            <w:r>
              <w:rPr>
                <w:rFonts w:ascii="Arial" w:cs="Arial" w:eastAsia="Arial" w:hAnsi="Arial"/>
                <w:sz w:val="14"/>
                <w:szCs w:val="14"/>
                <w:color w:val="auto"/>
              </w:rPr>
              <w:t>4,800</w:t>
            </w:r>
          </w:p>
        </w:tc>
        <w:tc>
          <w:tcPr>
            <w:tcW w:w="940" w:type="dxa"/>
            <w:vAlign w:val="bottom"/>
            <w:tcBorders>
              <w:bottom w:val="single" w:sz="8" w:color="auto"/>
            </w:tcBorders>
            <w:shd w:val="clear" w:color="auto" w:fill="D8E8EF"/>
          </w:tcPr>
          <w:p>
            <w:pPr>
              <w:jc w:val="right"/>
              <w:ind w:right="89"/>
              <w:spacing w:after="0"/>
              <w:rPr>
                <w:sz w:val="20"/>
                <w:szCs w:val="20"/>
                <w:color w:val="auto"/>
              </w:rPr>
            </w:pPr>
            <w:r>
              <w:rPr>
                <w:rFonts w:ascii="Arial" w:cs="Arial" w:eastAsia="Arial" w:hAnsi="Arial"/>
                <w:sz w:val="14"/>
                <w:szCs w:val="14"/>
                <w:color w:val="auto"/>
              </w:rPr>
              <w:t>0</w:t>
            </w:r>
          </w:p>
        </w:tc>
        <w:tc>
          <w:tcPr>
            <w:tcW w:w="1740" w:type="dxa"/>
            <w:vAlign w:val="bottom"/>
            <w:tcBorders>
              <w:bottom w:val="single" w:sz="8" w:color="auto"/>
            </w:tcBorders>
            <w:shd w:val="clear" w:color="auto" w:fill="D8E8EF"/>
          </w:tcPr>
          <w:p>
            <w:pPr>
              <w:jc w:val="right"/>
              <w:ind w:right="209"/>
              <w:spacing w:after="0"/>
              <w:rPr>
                <w:sz w:val="20"/>
                <w:szCs w:val="20"/>
                <w:color w:val="auto"/>
              </w:rPr>
            </w:pPr>
            <w:r>
              <w:rPr>
                <w:rFonts w:ascii="Arial" w:cs="Arial" w:eastAsia="Arial" w:hAnsi="Arial"/>
                <w:sz w:val="14"/>
                <w:szCs w:val="14"/>
                <w:color w:val="auto"/>
              </w:rPr>
              <w:t>395</w:t>
            </w:r>
          </w:p>
        </w:tc>
        <w:tc>
          <w:tcPr>
            <w:tcW w:w="1120" w:type="dxa"/>
            <w:vAlign w:val="bottom"/>
            <w:tcBorders>
              <w:bottom w:val="single" w:sz="8" w:color="auto"/>
            </w:tcBorders>
            <w:shd w:val="clear" w:color="auto" w:fill="D8E8EF"/>
          </w:tcPr>
          <w:p>
            <w:pPr>
              <w:jc w:val="right"/>
              <w:ind w:right="49"/>
              <w:spacing w:after="0"/>
              <w:rPr>
                <w:sz w:val="20"/>
                <w:szCs w:val="20"/>
                <w:color w:val="auto"/>
              </w:rPr>
            </w:pPr>
            <w:r>
              <w:rPr>
                <w:rFonts w:ascii="Arial" w:cs="Arial" w:eastAsia="Arial" w:hAnsi="Arial"/>
                <w:sz w:val="14"/>
                <w:szCs w:val="14"/>
                <w:color w:val="auto"/>
              </w:rPr>
              <w:t>0</w:t>
            </w:r>
          </w:p>
        </w:tc>
      </w:tr>
    </w:tbl>
    <w:p>
      <w:pPr>
        <w:ind w:left="160"/>
        <w:spacing w:after="0"/>
        <w:rPr>
          <w:sz w:val="20"/>
          <w:szCs w:val="20"/>
          <w:color w:val="auto"/>
        </w:rPr>
      </w:pPr>
      <w:r>
        <w:rPr>
          <w:rFonts w:ascii="Arial" w:cs="Arial" w:eastAsia="Arial" w:hAnsi="Arial"/>
          <w:sz w:val="14"/>
          <w:szCs w:val="14"/>
          <w:color w:val="auto"/>
        </w:rPr>
        <w:t>*The Company also pays Medicare tax at the rate of 1.45% on the amounts listed in columns (b), (d), (e) and (f).</w:t>
      </w:r>
    </w:p>
    <w:p>
      <w:pPr>
        <w:spacing w:after="0" w:line="57" w:lineRule="exact"/>
        <w:rPr>
          <w:sz w:val="20"/>
          <w:szCs w:val="20"/>
          <w:color w:val="auto"/>
        </w:rPr>
      </w:pPr>
    </w:p>
    <w:p>
      <w:pPr>
        <w:ind w:left="600" w:right="20" w:hanging="433"/>
        <w:spacing w:after="0" w:line="281" w:lineRule="auto"/>
        <w:tabs>
          <w:tab w:leader="none" w:pos="600" w:val="left"/>
        </w:tabs>
        <w:numPr>
          <w:ilvl w:val="0"/>
          <w:numId w:val="80"/>
        </w:numPr>
        <w:rPr>
          <w:rFonts w:ascii="Arial" w:cs="Arial" w:eastAsia="Arial" w:hAnsi="Arial"/>
          <w:sz w:val="14"/>
          <w:szCs w:val="14"/>
          <w:color w:val="auto"/>
        </w:rPr>
      </w:pPr>
      <w:r>
        <w:rPr>
          <w:rFonts w:ascii="Arial" w:cs="Arial" w:eastAsia="Arial" w:hAnsi="Arial"/>
          <w:sz w:val="14"/>
          <w:szCs w:val="14"/>
          <w:color w:val="auto"/>
        </w:rPr>
        <w:t>After the Board approved the appointment of Mr. Trent as Executive Vice President, Chief Financial Officer and Treasurer on January 24, 2021, Mr. Trent assumed the role effective immediately following the filing of the 2020 Form 10-K on February 16, 2021.</w:t>
      </w:r>
    </w:p>
    <w:p>
      <w:pPr>
        <w:spacing w:after="0" w:line="10" w:lineRule="exact"/>
        <w:rPr>
          <w:rFonts w:ascii="Arial" w:cs="Arial" w:eastAsia="Arial" w:hAnsi="Arial"/>
          <w:sz w:val="14"/>
          <w:szCs w:val="14"/>
          <w:color w:val="auto"/>
        </w:rPr>
      </w:pPr>
    </w:p>
    <w:p>
      <w:pPr>
        <w:ind w:left="600" w:hanging="433"/>
        <w:spacing w:after="0"/>
        <w:tabs>
          <w:tab w:leader="none" w:pos="600" w:val="left"/>
        </w:tabs>
        <w:numPr>
          <w:ilvl w:val="0"/>
          <w:numId w:val="80"/>
        </w:numPr>
        <w:rPr>
          <w:rFonts w:ascii="Arial" w:cs="Arial" w:eastAsia="Arial" w:hAnsi="Arial"/>
          <w:sz w:val="14"/>
          <w:szCs w:val="14"/>
          <w:color w:val="auto"/>
        </w:rPr>
      </w:pPr>
      <w:r>
        <w:rPr>
          <w:rFonts w:ascii="Arial" w:cs="Arial" w:eastAsia="Arial" w:hAnsi="Arial"/>
          <w:sz w:val="14"/>
          <w:szCs w:val="14"/>
          <w:color w:val="auto"/>
        </w:rPr>
        <w:t>Includes a patent award valued at $2,500.</w:t>
      </w:r>
    </w:p>
    <w:p>
      <w:pPr>
        <w:spacing w:after="0" w:line="66" w:lineRule="exact"/>
        <w:rPr>
          <w:rFonts w:ascii="Arial" w:cs="Arial" w:eastAsia="Arial" w:hAnsi="Arial"/>
          <w:sz w:val="14"/>
          <w:szCs w:val="14"/>
          <w:color w:val="auto"/>
        </w:rPr>
      </w:pPr>
    </w:p>
    <w:p>
      <w:pPr>
        <w:jc w:val="both"/>
        <w:ind w:left="600" w:hanging="433"/>
        <w:spacing w:after="0" w:line="260" w:lineRule="auto"/>
        <w:tabs>
          <w:tab w:leader="none" w:pos="600" w:val="left"/>
        </w:tabs>
        <w:numPr>
          <w:ilvl w:val="0"/>
          <w:numId w:val="80"/>
        </w:numPr>
        <w:rPr>
          <w:rFonts w:ascii="Arial" w:cs="Arial" w:eastAsia="Arial" w:hAnsi="Arial"/>
          <w:sz w:val="14"/>
          <w:szCs w:val="14"/>
          <w:color w:val="auto"/>
        </w:rPr>
      </w:pPr>
      <w:r>
        <w:rPr>
          <w:rFonts w:ascii="Arial" w:cs="Arial" w:eastAsia="Arial" w:hAnsi="Arial"/>
          <w:sz w:val="14"/>
          <w:szCs w:val="14"/>
          <w:color w:val="auto"/>
        </w:rPr>
        <w:t>Mr. Cave transitioned to an advisory role after Pamela Tondreau was named Executive Vice President, Chief Legal Officer, Chief Compliance Officer and Secretary of the Corporation effective October 11, 2021. He then remained employed in such advisory role until retiring as of April 1, 2022. As Mr. Cave retired as of April 1, 2022, he is not eligible to receive the Additional Individual Goal Achievement Percentage payable in July 2022.</w:t>
      </w:r>
    </w:p>
    <w:p>
      <w:pPr>
        <w:spacing w:after="0" w:line="25" w:lineRule="exact"/>
        <w:rPr>
          <w:rFonts w:ascii="Arial" w:cs="Arial" w:eastAsia="Arial" w:hAnsi="Arial"/>
          <w:sz w:val="14"/>
          <w:szCs w:val="14"/>
          <w:color w:val="auto"/>
        </w:rPr>
      </w:pPr>
    </w:p>
    <w:p>
      <w:pPr>
        <w:jc w:val="both"/>
        <w:ind w:left="600" w:hanging="433"/>
        <w:spacing w:after="0" w:line="260" w:lineRule="auto"/>
        <w:tabs>
          <w:tab w:leader="none" w:pos="600" w:val="left"/>
        </w:tabs>
        <w:numPr>
          <w:ilvl w:val="0"/>
          <w:numId w:val="80"/>
        </w:numPr>
        <w:rPr>
          <w:rFonts w:ascii="Arial" w:cs="Arial" w:eastAsia="Arial" w:hAnsi="Arial"/>
          <w:sz w:val="14"/>
          <w:szCs w:val="14"/>
          <w:color w:val="auto"/>
        </w:rPr>
      </w:pPr>
      <w:r>
        <w:rPr>
          <w:rFonts w:ascii="Arial" w:cs="Arial" w:eastAsia="Arial" w:hAnsi="Arial"/>
          <w:sz w:val="14"/>
          <w:szCs w:val="14"/>
          <w:color w:val="auto"/>
        </w:rPr>
        <w:t>Mr. Gutmann retired from his position as Executive Vice President, Chief Financial Officer and Treasurer, effective as of the filing of the 2020 Form 10-K on February 16, 2021. As a result, and as the February 2021 meeting of the HCC Committee was set to occur just days prior to the effective date of his retirement, Mr. Gutmann did not receive any compensation during the 2021 fiscal year aside from his salary and the amounts described in footnote (4) above.</w:t>
      </w:r>
    </w:p>
    <w:p>
      <w:pPr>
        <w:spacing w:after="0" w:line="105" w:lineRule="exact"/>
        <w:rPr>
          <w:sz w:val="20"/>
          <w:szCs w:val="20"/>
          <w:color w:val="auto"/>
        </w:rPr>
      </w:pPr>
    </w:p>
    <w:p>
      <w:pPr>
        <w:ind w:left="160"/>
        <w:spacing w:after="0"/>
        <w:tabs>
          <w:tab w:leader="none" w:pos="500" w:val="left"/>
        </w:tabs>
        <w:rPr>
          <w:sz w:val="20"/>
          <w:szCs w:val="20"/>
          <w:color w:val="auto"/>
        </w:rPr>
      </w:pPr>
      <w:r>
        <w:rPr>
          <w:rFonts w:ascii="Arial" w:cs="Arial" w:eastAsia="Arial" w:hAnsi="Arial"/>
          <w:sz w:val="14"/>
          <w:szCs w:val="14"/>
          <w:color w:val="F75E14"/>
        </w:rPr>
        <w:t>50</w:t>
        <w:tab/>
        <w:t>onsemi 2022 Proxy Statement</w:t>
      </w:r>
    </w:p>
    <w:p>
      <w:pPr>
        <w:sectPr>
          <w:pgSz w:w="11900" w:h="16838" w:orient="portrait"/>
          <w:cols w:equalWidth="0" w:num="1">
            <w:col w:w="11080"/>
          </w:cols>
          <w:pgMar w:left="320" w:top="454" w:right="499" w:bottom="1440" w:gutter="0" w:footer="0" w:header="0"/>
        </w:sectPr>
      </w:pPr>
    </w:p>
    <w:bookmarkStart w:id="54" w:name="page55"/>
    <w:bookmarkEnd w:id="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2" w:lineRule="exact"/>
        <w:rPr>
          <w:sz w:val="20"/>
          <w:szCs w:val="20"/>
          <w:color w:val="auto"/>
        </w:rPr>
      </w:pPr>
    </w:p>
    <w:tbl>
      <w:tblPr>
        <w:tblLayout w:type="fixed"/>
        <w:tblInd w:w="160" w:type="dxa"/>
        <w:tblCellMar>
          <w:top w:w="0" w:type="dxa"/>
          <w:left w:w="0" w:type="dxa"/>
          <w:bottom w:w="0" w:type="dxa"/>
          <w:right w:w="0" w:type="dxa"/>
        </w:tblCellMar>
      </w:tblPr>
      <w:tr>
        <w:trPr>
          <w:trHeight w:val="235"/>
        </w:trPr>
        <w:tc>
          <w:tcPr>
            <w:tcW w:w="4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120" w:type="dxa"/>
            <w:vAlign w:val="bottom"/>
            <w:gridSpan w:val="4"/>
          </w:tcPr>
          <w:p>
            <w:pPr>
              <w:ind w:left="300"/>
              <w:spacing w:after="0"/>
              <w:rPr>
                <w:sz w:val="20"/>
                <w:szCs w:val="20"/>
                <w:color w:val="auto"/>
              </w:rPr>
            </w:pPr>
            <w:r>
              <w:rPr>
                <w:rFonts w:ascii="Arial" w:cs="Arial" w:eastAsia="Arial" w:hAnsi="Arial"/>
                <w:sz w:val="18"/>
                <w:szCs w:val="18"/>
                <w:color w:val="F75E14"/>
                <w:w w:val="97"/>
              </w:rPr>
              <w:t>Compensation of Executive Officers</w:t>
            </w:r>
          </w:p>
        </w:tc>
      </w:tr>
      <w:tr>
        <w:trPr>
          <w:trHeight w:val="451"/>
        </w:trPr>
        <w:tc>
          <w:tcPr>
            <w:tcW w:w="4480" w:type="dxa"/>
            <w:vAlign w:val="bottom"/>
            <w:gridSpan w:val="6"/>
          </w:tcPr>
          <w:p>
            <w:pPr>
              <w:spacing w:after="0"/>
              <w:rPr>
                <w:sz w:val="20"/>
                <w:szCs w:val="20"/>
                <w:color w:val="auto"/>
              </w:rPr>
            </w:pPr>
            <w:r>
              <w:rPr>
                <w:rFonts w:ascii="Arial" w:cs="Arial" w:eastAsia="Arial" w:hAnsi="Arial"/>
                <w:sz w:val="25"/>
                <w:szCs w:val="25"/>
                <w:b w:val="1"/>
                <w:bCs w:val="1"/>
                <w:color w:val="2B4772"/>
              </w:rPr>
              <w:t>Grants of Plan-Based Awards in 2021</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16"/>
        </w:trPr>
        <w:tc>
          <w:tcPr>
            <w:tcW w:w="460" w:type="dxa"/>
            <w:vAlign w:val="bottom"/>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spacing w:after="0"/>
              <w:rPr>
                <w:sz w:val="18"/>
                <w:szCs w:val="18"/>
                <w:color w:val="auto"/>
              </w:rPr>
            </w:pPr>
          </w:p>
        </w:tc>
        <w:tc>
          <w:tcPr>
            <w:tcW w:w="860" w:type="dxa"/>
            <w:vAlign w:val="bottom"/>
            <w:tcBorders>
              <w:bottom w:val="single" w:sz="8" w:color="auto"/>
            </w:tcBorders>
            <w:gridSpan w:val="2"/>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420" w:type="dxa"/>
            <w:vAlign w:val="bottom"/>
          </w:tcPr>
          <w:p>
            <w:pPr>
              <w:spacing w:after="0"/>
              <w:rPr>
                <w:sz w:val="18"/>
                <w:szCs w:val="18"/>
                <w:color w:val="auto"/>
              </w:rPr>
            </w:pPr>
          </w:p>
        </w:tc>
      </w:tr>
      <w:tr>
        <w:trPr>
          <w:trHeight w:val="185"/>
        </w:trPr>
        <w:tc>
          <w:tcPr>
            <w:tcW w:w="460" w:type="dxa"/>
            <w:vAlign w:val="bottom"/>
            <w:tcBorders>
              <w:right w:val="single" w:sz="8" w:color="auto"/>
            </w:tcBorders>
          </w:tcPr>
          <w:p>
            <w:pPr>
              <w:spacing w:after="0"/>
              <w:rPr>
                <w:sz w:val="16"/>
                <w:szCs w:val="16"/>
                <w:color w:val="auto"/>
              </w:rPr>
            </w:pPr>
          </w:p>
        </w:tc>
        <w:tc>
          <w:tcPr>
            <w:tcW w:w="1120" w:type="dxa"/>
            <w:vAlign w:val="bottom"/>
            <w:tcBorders>
              <w:right w:val="single" w:sz="8" w:color="auto"/>
            </w:tcBorders>
            <w:shd w:val="clear" w:color="auto" w:fill="F75E14"/>
          </w:tcPr>
          <w:p>
            <w:pPr>
              <w:spacing w:after="0"/>
              <w:rPr>
                <w:sz w:val="16"/>
                <w:szCs w:val="16"/>
                <w:color w:val="auto"/>
              </w:rPr>
            </w:pPr>
          </w:p>
        </w:tc>
        <w:tc>
          <w:tcPr>
            <w:tcW w:w="940" w:type="dxa"/>
            <w:vAlign w:val="bottom"/>
            <w:tcBorders>
              <w:right w:val="single" w:sz="8" w:color="auto"/>
            </w:tcBorders>
            <w:shd w:val="clear" w:color="auto" w:fill="F75E14"/>
          </w:tcPr>
          <w:p>
            <w:pPr>
              <w:spacing w:after="0"/>
              <w:rPr>
                <w:sz w:val="16"/>
                <w:szCs w:val="16"/>
                <w:color w:val="auto"/>
              </w:rPr>
            </w:pPr>
          </w:p>
        </w:tc>
        <w:tc>
          <w:tcPr>
            <w:tcW w:w="960" w:type="dxa"/>
            <w:vAlign w:val="bottom"/>
            <w:tcBorders>
              <w:right w:val="single" w:sz="8" w:color="auto"/>
            </w:tcBorders>
            <w:shd w:val="clear" w:color="auto" w:fill="F75E14"/>
          </w:tcPr>
          <w:p>
            <w:pPr>
              <w:spacing w:after="0"/>
              <w:rPr>
                <w:sz w:val="16"/>
                <w:szCs w:val="16"/>
                <w:color w:val="auto"/>
              </w:rPr>
            </w:pPr>
          </w:p>
        </w:tc>
        <w:tc>
          <w:tcPr>
            <w:tcW w:w="2660" w:type="dxa"/>
            <w:vAlign w:val="bottom"/>
            <w:tcBorders>
              <w:right w:val="single" w:sz="8" w:color="auto"/>
            </w:tcBorders>
            <w:gridSpan w:val="5"/>
            <w:shd w:val="clear" w:color="auto" w:fill="F75E14"/>
          </w:tcPr>
          <w:p>
            <w:pPr>
              <w:jc w:val="center"/>
              <w:spacing w:after="0"/>
              <w:rPr>
                <w:sz w:val="20"/>
                <w:szCs w:val="20"/>
                <w:color w:val="auto"/>
              </w:rPr>
            </w:pPr>
            <w:r>
              <w:rPr>
                <w:rFonts w:ascii="Arial" w:cs="Arial" w:eastAsia="Arial" w:hAnsi="Arial"/>
                <w:sz w:val="14"/>
                <w:szCs w:val="14"/>
                <w:b w:val="1"/>
                <w:bCs w:val="1"/>
                <w:color w:val="FFFFFF"/>
              </w:rPr>
              <w:t>Estimated Future Payouts</w:t>
            </w:r>
          </w:p>
        </w:tc>
        <w:tc>
          <w:tcPr>
            <w:tcW w:w="2540" w:type="dxa"/>
            <w:vAlign w:val="bottom"/>
            <w:tcBorders>
              <w:right w:val="single" w:sz="8" w:color="auto"/>
            </w:tcBorders>
            <w:gridSpan w:val="3"/>
            <w:shd w:val="clear" w:color="auto" w:fill="F75E14"/>
          </w:tcPr>
          <w:p>
            <w:pPr>
              <w:jc w:val="center"/>
              <w:spacing w:after="0"/>
              <w:rPr>
                <w:sz w:val="20"/>
                <w:szCs w:val="20"/>
                <w:color w:val="auto"/>
              </w:rPr>
            </w:pPr>
            <w:r>
              <w:rPr>
                <w:rFonts w:ascii="Arial" w:cs="Arial" w:eastAsia="Arial" w:hAnsi="Arial"/>
                <w:sz w:val="14"/>
                <w:szCs w:val="14"/>
                <w:b w:val="1"/>
                <w:bCs w:val="1"/>
                <w:color w:val="FFFFFF"/>
              </w:rPr>
              <w:t>Estimated Future Payouts</w:t>
            </w:r>
          </w:p>
        </w:tc>
        <w:tc>
          <w:tcPr>
            <w:tcW w:w="820" w:type="dxa"/>
            <w:vAlign w:val="bottom"/>
            <w:tcBorders>
              <w:right w:val="single" w:sz="8" w:color="auto"/>
            </w:tcBorders>
            <w:shd w:val="clear" w:color="auto" w:fill="F75E14"/>
          </w:tcPr>
          <w:p>
            <w:pPr>
              <w:spacing w:after="0"/>
              <w:rPr>
                <w:sz w:val="16"/>
                <w:szCs w:val="16"/>
                <w:color w:val="auto"/>
              </w:rPr>
            </w:pPr>
          </w:p>
        </w:tc>
        <w:tc>
          <w:tcPr>
            <w:tcW w:w="1000" w:type="dxa"/>
            <w:vAlign w:val="bottom"/>
            <w:tcBorders>
              <w:right w:val="single" w:sz="8" w:color="auto"/>
            </w:tcBorders>
            <w:shd w:val="clear" w:color="auto" w:fill="F75E14"/>
          </w:tcPr>
          <w:p>
            <w:pPr>
              <w:spacing w:after="0"/>
              <w:rPr>
                <w:sz w:val="16"/>
                <w:szCs w:val="16"/>
                <w:color w:val="auto"/>
              </w:rPr>
            </w:pPr>
          </w:p>
        </w:tc>
        <w:tc>
          <w:tcPr>
            <w:tcW w:w="420" w:type="dxa"/>
            <w:vAlign w:val="bottom"/>
          </w:tcPr>
          <w:p>
            <w:pPr>
              <w:spacing w:after="0"/>
              <w:rPr>
                <w:sz w:val="16"/>
                <w:szCs w:val="16"/>
                <w:color w:val="auto"/>
              </w:rPr>
            </w:pPr>
          </w:p>
        </w:tc>
      </w:tr>
      <w:tr>
        <w:trPr>
          <w:trHeight w:val="160"/>
        </w:trPr>
        <w:tc>
          <w:tcPr>
            <w:tcW w:w="460" w:type="dxa"/>
            <w:vAlign w:val="bottom"/>
            <w:tcBorders>
              <w:right w:val="single" w:sz="8" w:color="auto"/>
            </w:tcBorders>
          </w:tcPr>
          <w:p>
            <w:pPr>
              <w:spacing w:after="0"/>
              <w:rPr>
                <w:sz w:val="13"/>
                <w:szCs w:val="13"/>
                <w:color w:val="auto"/>
              </w:rPr>
            </w:pPr>
          </w:p>
        </w:tc>
        <w:tc>
          <w:tcPr>
            <w:tcW w:w="1120" w:type="dxa"/>
            <w:vAlign w:val="bottom"/>
            <w:tcBorders>
              <w:right w:val="single" w:sz="8" w:color="auto"/>
            </w:tcBorders>
            <w:shd w:val="clear" w:color="auto" w:fill="F75E14"/>
          </w:tcPr>
          <w:p>
            <w:pPr>
              <w:spacing w:after="0"/>
              <w:rPr>
                <w:sz w:val="13"/>
                <w:szCs w:val="13"/>
                <w:color w:val="auto"/>
              </w:rPr>
            </w:pPr>
          </w:p>
        </w:tc>
        <w:tc>
          <w:tcPr>
            <w:tcW w:w="940" w:type="dxa"/>
            <w:vAlign w:val="bottom"/>
            <w:tcBorders>
              <w:right w:val="single" w:sz="8" w:color="auto"/>
            </w:tcBorders>
            <w:shd w:val="clear" w:color="auto" w:fill="F75E14"/>
          </w:tcPr>
          <w:p>
            <w:pPr>
              <w:spacing w:after="0"/>
              <w:rPr>
                <w:sz w:val="13"/>
                <w:szCs w:val="13"/>
                <w:color w:val="auto"/>
              </w:rPr>
            </w:pPr>
          </w:p>
        </w:tc>
        <w:tc>
          <w:tcPr>
            <w:tcW w:w="960" w:type="dxa"/>
            <w:vAlign w:val="bottom"/>
            <w:tcBorders>
              <w:right w:val="single" w:sz="8" w:color="auto"/>
            </w:tcBorders>
            <w:shd w:val="clear" w:color="auto" w:fill="F75E14"/>
          </w:tcPr>
          <w:p>
            <w:pPr>
              <w:spacing w:after="0"/>
              <w:rPr>
                <w:sz w:val="13"/>
                <w:szCs w:val="13"/>
                <w:color w:val="auto"/>
              </w:rPr>
            </w:pPr>
          </w:p>
        </w:tc>
        <w:tc>
          <w:tcPr>
            <w:tcW w:w="2660" w:type="dxa"/>
            <w:vAlign w:val="bottom"/>
            <w:tcBorders>
              <w:right w:val="single" w:sz="8" w:color="auto"/>
            </w:tcBorders>
            <w:gridSpan w:val="5"/>
            <w:shd w:val="clear" w:color="auto" w:fill="F75E14"/>
          </w:tcPr>
          <w:p>
            <w:pPr>
              <w:jc w:val="center"/>
              <w:spacing w:after="0"/>
              <w:rPr>
                <w:sz w:val="20"/>
                <w:szCs w:val="20"/>
                <w:color w:val="auto"/>
              </w:rPr>
            </w:pPr>
            <w:r>
              <w:rPr>
                <w:rFonts w:ascii="Arial" w:cs="Arial" w:eastAsia="Arial" w:hAnsi="Arial"/>
                <w:sz w:val="14"/>
                <w:szCs w:val="14"/>
                <w:b w:val="1"/>
                <w:bCs w:val="1"/>
                <w:color w:val="FFFFFF"/>
              </w:rPr>
              <w:t>Under Non-Equity Incentive</w:t>
            </w:r>
          </w:p>
        </w:tc>
        <w:tc>
          <w:tcPr>
            <w:tcW w:w="2540" w:type="dxa"/>
            <w:vAlign w:val="bottom"/>
            <w:tcBorders>
              <w:right w:val="single" w:sz="8" w:color="auto"/>
            </w:tcBorders>
            <w:gridSpan w:val="3"/>
            <w:shd w:val="clear" w:color="auto" w:fill="F75E14"/>
          </w:tcPr>
          <w:p>
            <w:pPr>
              <w:jc w:val="center"/>
              <w:spacing w:after="0"/>
              <w:rPr>
                <w:sz w:val="20"/>
                <w:szCs w:val="20"/>
                <w:color w:val="auto"/>
              </w:rPr>
            </w:pPr>
            <w:r>
              <w:rPr>
                <w:rFonts w:ascii="Arial" w:cs="Arial" w:eastAsia="Arial" w:hAnsi="Arial"/>
                <w:sz w:val="14"/>
                <w:szCs w:val="14"/>
                <w:b w:val="1"/>
                <w:bCs w:val="1"/>
                <w:color w:val="FFFFFF"/>
              </w:rPr>
              <w:t>Under Equity Incentive Plan</w:t>
            </w:r>
          </w:p>
        </w:tc>
        <w:tc>
          <w:tcPr>
            <w:tcW w:w="820" w:type="dxa"/>
            <w:vAlign w:val="bottom"/>
            <w:tcBorders>
              <w:right w:val="single" w:sz="8" w:color="auto"/>
            </w:tcBorders>
            <w:shd w:val="clear" w:color="auto" w:fill="F75E14"/>
          </w:tcPr>
          <w:p>
            <w:pPr>
              <w:spacing w:after="0"/>
              <w:rPr>
                <w:sz w:val="13"/>
                <w:szCs w:val="13"/>
                <w:color w:val="auto"/>
              </w:rPr>
            </w:pPr>
          </w:p>
        </w:tc>
        <w:tc>
          <w:tcPr>
            <w:tcW w:w="1000" w:type="dxa"/>
            <w:vAlign w:val="bottom"/>
            <w:tcBorders>
              <w:right w:val="single" w:sz="8" w:color="auto"/>
            </w:tcBorders>
            <w:shd w:val="clear" w:color="auto" w:fill="F75E14"/>
          </w:tcPr>
          <w:p>
            <w:pPr>
              <w:spacing w:after="0"/>
              <w:rPr>
                <w:sz w:val="13"/>
                <w:szCs w:val="13"/>
                <w:color w:val="auto"/>
              </w:rPr>
            </w:pPr>
          </w:p>
        </w:tc>
        <w:tc>
          <w:tcPr>
            <w:tcW w:w="420" w:type="dxa"/>
            <w:vAlign w:val="bottom"/>
          </w:tcPr>
          <w:p>
            <w:pPr>
              <w:spacing w:after="0"/>
              <w:rPr>
                <w:sz w:val="13"/>
                <w:szCs w:val="13"/>
                <w:color w:val="auto"/>
              </w:rPr>
            </w:pPr>
          </w:p>
        </w:tc>
      </w:tr>
      <w:tr>
        <w:trPr>
          <w:trHeight w:val="255"/>
        </w:trPr>
        <w:tc>
          <w:tcPr>
            <w:tcW w:w="460" w:type="dxa"/>
            <w:vAlign w:val="bottom"/>
            <w:tcBorders>
              <w:right w:val="single" w:sz="8" w:color="auto"/>
            </w:tcBorders>
          </w:tcPr>
          <w:p>
            <w:pPr>
              <w:spacing w:after="0"/>
              <w:rPr>
                <w:sz w:val="21"/>
                <w:szCs w:val="21"/>
                <w:color w:val="auto"/>
              </w:rPr>
            </w:pPr>
          </w:p>
        </w:tc>
        <w:tc>
          <w:tcPr>
            <w:tcW w:w="1120" w:type="dxa"/>
            <w:vAlign w:val="bottom"/>
            <w:tcBorders>
              <w:bottom w:val="single" w:sz="8" w:color="F75E14"/>
              <w:right w:val="single" w:sz="8" w:color="auto"/>
            </w:tcBorders>
            <w:shd w:val="clear" w:color="auto" w:fill="F75E14"/>
          </w:tcPr>
          <w:p>
            <w:pPr>
              <w:spacing w:after="0"/>
              <w:rPr>
                <w:sz w:val="21"/>
                <w:szCs w:val="21"/>
                <w:color w:val="auto"/>
              </w:rPr>
            </w:pPr>
          </w:p>
        </w:tc>
        <w:tc>
          <w:tcPr>
            <w:tcW w:w="940" w:type="dxa"/>
            <w:vAlign w:val="bottom"/>
            <w:tcBorders>
              <w:bottom w:val="single" w:sz="8" w:color="F75E14"/>
              <w:right w:val="single" w:sz="8" w:color="auto"/>
            </w:tcBorders>
            <w:shd w:val="clear" w:color="auto" w:fill="F75E14"/>
          </w:tcPr>
          <w:p>
            <w:pPr>
              <w:spacing w:after="0"/>
              <w:rPr>
                <w:sz w:val="21"/>
                <w:szCs w:val="21"/>
                <w:color w:val="auto"/>
              </w:rPr>
            </w:pPr>
          </w:p>
        </w:tc>
        <w:tc>
          <w:tcPr>
            <w:tcW w:w="960" w:type="dxa"/>
            <w:vAlign w:val="bottom"/>
            <w:tcBorders>
              <w:bottom w:val="single" w:sz="8" w:color="F75E14"/>
              <w:right w:val="single" w:sz="8" w:color="auto"/>
            </w:tcBorders>
            <w:shd w:val="clear" w:color="auto" w:fill="F75E14"/>
          </w:tcPr>
          <w:p>
            <w:pPr>
              <w:spacing w:after="0"/>
              <w:rPr>
                <w:sz w:val="21"/>
                <w:szCs w:val="21"/>
                <w:color w:val="auto"/>
              </w:rPr>
            </w:pPr>
          </w:p>
        </w:tc>
        <w:tc>
          <w:tcPr>
            <w:tcW w:w="1900" w:type="dxa"/>
            <w:vAlign w:val="bottom"/>
            <w:tcBorders>
              <w:bottom w:val="single" w:sz="8" w:color="F75E14"/>
            </w:tcBorders>
            <w:gridSpan w:val="4"/>
            <w:shd w:val="clear" w:color="auto" w:fill="F75E14"/>
          </w:tcPr>
          <w:p>
            <w:pPr>
              <w:jc w:val="center"/>
              <w:ind w:left="709"/>
              <w:spacing w:after="0"/>
              <w:rPr>
                <w:sz w:val="20"/>
                <w:szCs w:val="20"/>
                <w:color w:val="auto"/>
              </w:rPr>
            </w:pPr>
            <w:r>
              <w:rPr>
                <w:rFonts w:ascii="Arial" w:cs="Arial" w:eastAsia="Arial" w:hAnsi="Arial"/>
                <w:sz w:val="14"/>
                <w:szCs w:val="14"/>
                <w:b w:val="1"/>
                <w:bCs w:val="1"/>
                <w:color w:val="FFFFFF"/>
              </w:rPr>
              <w:t>Plan Awards (3)</w:t>
            </w:r>
          </w:p>
        </w:tc>
        <w:tc>
          <w:tcPr>
            <w:tcW w:w="760" w:type="dxa"/>
            <w:vAlign w:val="bottom"/>
            <w:tcBorders>
              <w:bottom w:val="single" w:sz="8" w:color="F75E14"/>
              <w:right w:val="single" w:sz="8" w:color="auto"/>
            </w:tcBorders>
            <w:shd w:val="clear" w:color="auto" w:fill="F75E14"/>
          </w:tcPr>
          <w:p>
            <w:pPr>
              <w:spacing w:after="0"/>
              <w:rPr>
                <w:sz w:val="21"/>
                <w:szCs w:val="21"/>
                <w:color w:val="auto"/>
              </w:rPr>
            </w:pPr>
          </w:p>
        </w:tc>
        <w:tc>
          <w:tcPr>
            <w:tcW w:w="920" w:type="dxa"/>
            <w:vAlign w:val="bottom"/>
            <w:tcBorders>
              <w:bottom w:val="single" w:sz="8" w:color="F75E14"/>
              <w:right w:val="single" w:sz="8" w:color="F75E14"/>
            </w:tcBorders>
            <w:shd w:val="clear" w:color="auto" w:fill="F75E14"/>
          </w:tcPr>
          <w:p>
            <w:pPr>
              <w:spacing w:after="0"/>
              <w:rPr>
                <w:sz w:val="21"/>
                <w:szCs w:val="21"/>
                <w:color w:val="auto"/>
              </w:rPr>
            </w:pPr>
          </w:p>
        </w:tc>
        <w:tc>
          <w:tcPr>
            <w:tcW w:w="740" w:type="dxa"/>
            <w:vAlign w:val="bottom"/>
            <w:tcBorders>
              <w:bottom w:val="single" w:sz="8" w:color="F75E14"/>
              <w:right w:val="single" w:sz="8" w:color="F75E14"/>
            </w:tcBorders>
            <w:shd w:val="clear" w:color="auto" w:fill="F75E14"/>
          </w:tcPr>
          <w:p>
            <w:pPr>
              <w:jc w:val="center"/>
              <w:spacing w:after="0"/>
              <w:rPr>
                <w:sz w:val="20"/>
                <w:szCs w:val="20"/>
                <w:color w:val="auto"/>
              </w:rPr>
            </w:pPr>
            <w:r>
              <w:rPr>
                <w:rFonts w:ascii="Arial" w:cs="Arial" w:eastAsia="Arial" w:hAnsi="Arial"/>
                <w:sz w:val="14"/>
                <w:szCs w:val="14"/>
                <w:b w:val="1"/>
                <w:bCs w:val="1"/>
                <w:color w:val="FFFFFF"/>
              </w:rPr>
              <w:t>Awards (4)</w:t>
            </w:r>
          </w:p>
        </w:tc>
        <w:tc>
          <w:tcPr>
            <w:tcW w:w="880" w:type="dxa"/>
            <w:vAlign w:val="bottom"/>
            <w:tcBorders>
              <w:bottom w:val="single" w:sz="8" w:color="F75E14"/>
              <w:right w:val="single" w:sz="8" w:color="auto"/>
            </w:tcBorders>
            <w:shd w:val="clear" w:color="auto" w:fill="F75E14"/>
          </w:tcPr>
          <w:p>
            <w:pPr>
              <w:spacing w:after="0"/>
              <w:rPr>
                <w:sz w:val="21"/>
                <w:szCs w:val="21"/>
                <w:color w:val="auto"/>
              </w:rPr>
            </w:pPr>
          </w:p>
        </w:tc>
        <w:tc>
          <w:tcPr>
            <w:tcW w:w="820" w:type="dxa"/>
            <w:vAlign w:val="bottom"/>
            <w:tcBorders>
              <w:bottom w:val="single" w:sz="8" w:color="F75E14"/>
              <w:right w:val="single" w:sz="8" w:color="auto"/>
            </w:tcBorders>
            <w:shd w:val="clear" w:color="auto" w:fill="F75E14"/>
          </w:tcPr>
          <w:p>
            <w:pPr>
              <w:spacing w:after="0"/>
              <w:rPr>
                <w:sz w:val="21"/>
                <w:szCs w:val="21"/>
                <w:color w:val="auto"/>
              </w:rPr>
            </w:pPr>
          </w:p>
        </w:tc>
        <w:tc>
          <w:tcPr>
            <w:tcW w:w="1000" w:type="dxa"/>
            <w:vAlign w:val="bottom"/>
            <w:tcBorders>
              <w:bottom w:val="single" w:sz="8" w:color="F75E14"/>
              <w:right w:val="single" w:sz="8" w:color="auto"/>
            </w:tcBorders>
            <w:shd w:val="clear" w:color="auto" w:fill="F75E14"/>
          </w:tcPr>
          <w:p>
            <w:pPr>
              <w:spacing w:after="0"/>
              <w:rPr>
                <w:sz w:val="21"/>
                <w:szCs w:val="21"/>
                <w:color w:val="auto"/>
              </w:rPr>
            </w:pPr>
          </w:p>
        </w:tc>
        <w:tc>
          <w:tcPr>
            <w:tcW w:w="420" w:type="dxa"/>
            <w:vAlign w:val="bottom"/>
          </w:tcPr>
          <w:p>
            <w:pPr>
              <w:spacing w:after="0"/>
              <w:rPr>
                <w:sz w:val="21"/>
                <w:szCs w:val="21"/>
                <w:color w:val="auto"/>
              </w:rPr>
            </w:pPr>
          </w:p>
        </w:tc>
      </w:tr>
      <w:tr>
        <w:trPr>
          <w:trHeight w:val="131"/>
        </w:trPr>
        <w:tc>
          <w:tcPr>
            <w:tcW w:w="460" w:type="dxa"/>
            <w:vAlign w:val="bottom"/>
            <w:tcBorders>
              <w:right w:val="single" w:sz="8" w:color="auto"/>
            </w:tcBorders>
          </w:tcPr>
          <w:p>
            <w:pPr>
              <w:spacing w:after="0"/>
              <w:rPr>
                <w:sz w:val="11"/>
                <w:szCs w:val="11"/>
                <w:color w:val="auto"/>
              </w:rPr>
            </w:pPr>
          </w:p>
        </w:tc>
        <w:tc>
          <w:tcPr>
            <w:tcW w:w="1120" w:type="dxa"/>
            <w:vAlign w:val="bottom"/>
            <w:tcBorders>
              <w:top w:val="single" w:sz="8" w:color="F75E14"/>
              <w:right w:val="single" w:sz="8" w:color="auto"/>
            </w:tcBorders>
            <w:shd w:val="clear" w:color="auto" w:fill="F75E14"/>
          </w:tcPr>
          <w:p>
            <w:pPr>
              <w:spacing w:after="0"/>
              <w:rPr>
                <w:sz w:val="11"/>
                <w:szCs w:val="11"/>
                <w:color w:val="auto"/>
              </w:rPr>
            </w:pPr>
          </w:p>
        </w:tc>
        <w:tc>
          <w:tcPr>
            <w:tcW w:w="940" w:type="dxa"/>
            <w:vAlign w:val="bottom"/>
            <w:tcBorders>
              <w:top w:val="single" w:sz="8" w:color="F75E14"/>
              <w:right w:val="single" w:sz="8" w:color="auto"/>
            </w:tcBorders>
            <w:shd w:val="clear" w:color="auto" w:fill="F75E14"/>
          </w:tcPr>
          <w:p>
            <w:pPr>
              <w:spacing w:after="0"/>
              <w:rPr>
                <w:sz w:val="11"/>
                <w:szCs w:val="11"/>
                <w:color w:val="auto"/>
              </w:rPr>
            </w:pPr>
          </w:p>
        </w:tc>
        <w:tc>
          <w:tcPr>
            <w:tcW w:w="960" w:type="dxa"/>
            <w:vAlign w:val="bottom"/>
            <w:tcBorders>
              <w:top w:val="single" w:sz="8" w:color="F75E14"/>
              <w:right w:val="single" w:sz="8" w:color="auto"/>
            </w:tcBorders>
            <w:shd w:val="clear" w:color="auto" w:fill="F75E14"/>
          </w:tcPr>
          <w:p>
            <w:pPr>
              <w:spacing w:after="0"/>
              <w:rPr>
                <w:sz w:val="11"/>
                <w:szCs w:val="11"/>
                <w:color w:val="auto"/>
              </w:rPr>
            </w:pPr>
          </w:p>
        </w:tc>
        <w:tc>
          <w:tcPr>
            <w:tcW w:w="920" w:type="dxa"/>
            <w:vAlign w:val="bottom"/>
            <w:tcBorders>
              <w:top w:val="single" w:sz="8" w:color="auto"/>
              <w:right w:val="single" w:sz="8" w:color="auto"/>
            </w:tcBorders>
            <w:shd w:val="clear" w:color="auto" w:fill="F75E14"/>
          </w:tcPr>
          <w:p>
            <w:pPr>
              <w:spacing w:after="0"/>
              <w:rPr>
                <w:sz w:val="11"/>
                <w:szCs w:val="11"/>
                <w:color w:val="auto"/>
              </w:rPr>
            </w:pPr>
          </w:p>
        </w:tc>
        <w:tc>
          <w:tcPr>
            <w:tcW w:w="80" w:type="dxa"/>
            <w:vAlign w:val="bottom"/>
            <w:tcBorders>
              <w:top w:val="single" w:sz="8" w:color="auto"/>
            </w:tcBorders>
            <w:shd w:val="clear" w:color="auto" w:fill="F75E14"/>
          </w:tcPr>
          <w:p>
            <w:pPr>
              <w:spacing w:after="0"/>
              <w:rPr>
                <w:sz w:val="11"/>
                <w:szCs w:val="11"/>
                <w:color w:val="auto"/>
              </w:rPr>
            </w:pPr>
          </w:p>
        </w:tc>
        <w:tc>
          <w:tcPr>
            <w:tcW w:w="800" w:type="dxa"/>
            <w:vAlign w:val="bottom"/>
            <w:tcBorders>
              <w:top w:val="single" w:sz="8" w:color="auto"/>
              <w:right w:val="single" w:sz="8" w:color="auto"/>
            </w:tcBorders>
            <w:shd w:val="clear" w:color="auto" w:fill="F75E14"/>
          </w:tcPr>
          <w:p>
            <w:pPr>
              <w:spacing w:after="0"/>
              <w:rPr>
                <w:sz w:val="11"/>
                <w:szCs w:val="11"/>
                <w:color w:val="auto"/>
              </w:rPr>
            </w:pPr>
          </w:p>
        </w:tc>
        <w:tc>
          <w:tcPr>
            <w:tcW w:w="100" w:type="dxa"/>
            <w:vAlign w:val="bottom"/>
            <w:tcBorders>
              <w:top w:val="single" w:sz="8" w:color="auto"/>
            </w:tcBorders>
            <w:shd w:val="clear" w:color="auto" w:fill="F75E14"/>
          </w:tcPr>
          <w:p>
            <w:pPr>
              <w:spacing w:after="0"/>
              <w:rPr>
                <w:sz w:val="11"/>
                <w:szCs w:val="11"/>
                <w:color w:val="auto"/>
              </w:rPr>
            </w:pPr>
          </w:p>
        </w:tc>
        <w:tc>
          <w:tcPr>
            <w:tcW w:w="760" w:type="dxa"/>
            <w:vAlign w:val="bottom"/>
            <w:tcBorders>
              <w:top w:val="single" w:sz="8" w:color="auto"/>
              <w:right w:val="single" w:sz="8" w:color="auto"/>
            </w:tcBorders>
            <w:shd w:val="clear" w:color="auto" w:fill="F75E14"/>
          </w:tcPr>
          <w:p>
            <w:pPr>
              <w:spacing w:after="0"/>
              <w:rPr>
                <w:sz w:val="11"/>
                <w:szCs w:val="11"/>
                <w:color w:val="auto"/>
              </w:rPr>
            </w:pPr>
          </w:p>
        </w:tc>
        <w:tc>
          <w:tcPr>
            <w:tcW w:w="920" w:type="dxa"/>
            <w:vAlign w:val="bottom"/>
            <w:tcBorders>
              <w:top w:val="single" w:sz="8" w:color="auto"/>
              <w:right w:val="single" w:sz="8" w:color="auto"/>
            </w:tcBorders>
            <w:shd w:val="clear" w:color="auto" w:fill="F75E14"/>
          </w:tcPr>
          <w:p>
            <w:pPr>
              <w:spacing w:after="0"/>
              <w:rPr>
                <w:sz w:val="11"/>
                <w:szCs w:val="11"/>
                <w:color w:val="auto"/>
              </w:rPr>
            </w:pPr>
          </w:p>
        </w:tc>
        <w:tc>
          <w:tcPr>
            <w:tcW w:w="740" w:type="dxa"/>
            <w:vAlign w:val="bottom"/>
            <w:tcBorders>
              <w:top w:val="single" w:sz="8" w:color="auto"/>
              <w:right w:val="single" w:sz="8" w:color="auto"/>
            </w:tcBorders>
            <w:shd w:val="clear" w:color="auto" w:fill="F75E14"/>
          </w:tcPr>
          <w:p>
            <w:pPr>
              <w:spacing w:after="0"/>
              <w:rPr>
                <w:sz w:val="11"/>
                <w:szCs w:val="11"/>
                <w:color w:val="auto"/>
              </w:rPr>
            </w:pPr>
          </w:p>
        </w:tc>
        <w:tc>
          <w:tcPr>
            <w:tcW w:w="880" w:type="dxa"/>
            <w:vAlign w:val="bottom"/>
            <w:tcBorders>
              <w:top w:val="single" w:sz="8" w:color="auto"/>
              <w:right w:val="single" w:sz="8" w:color="auto"/>
            </w:tcBorders>
            <w:shd w:val="clear" w:color="auto" w:fill="F75E14"/>
          </w:tcPr>
          <w:p>
            <w:pPr>
              <w:spacing w:after="0"/>
              <w:rPr>
                <w:sz w:val="11"/>
                <w:szCs w:val="11"/>
                <w:color w:val="auto"/>
              </w:rPr>
            </w:pPr>
          </w:p>
        </w:tc>
        <w:tc>
          <w:tcPr>
            <w:tcW w:w="820" w:type="dxa"/>
            <w:vAlign w:val="bottom"/>
            <w:tcBorders>
              <w:top w:val="single" w:sz="8" w:color="F75E14"/>
              <w:right w:val="single" w:sz="8" w:color="auto"/>
            </w:tcBorders>
            <w:shd w:val="clear" w:color="auto" w:fill="F75E14"/>
          </w:tcPr>
          <w:p>
            <w:pPr>
              <w:jc w:val="center"/>
              <w:spacing w:after="0" w:line="131" w:lineRule="exact"/>
              <w:rPr>
                <w:sz w:val="20"/>
                <w:szCs w:val="20"/>
                <w:color w:val="auto"/>
              </w:rPr>
            </w:pPr>
            <w:r>
              <w:rPr>
                <w:rFonts w:ascii="Arial" w:cs="Arial" w:eastAsia="Arial" w:hAnsi="Arial"/>
                <w:sz w:val="14"/>
                <w:szCs w:val="14"/>
                <w:b w:val="1"/>
                <w:bCs w:val="1"/>
                <w:color w:val="FFFFFF"/>
              </w:rPr>
              <w:t>All Other</w:t>
            </w:r>
          </w:p>
        </w:tc>
        <w:tc>
          <w:tcPr>
            <w:tcW w:w="1000" w:type="dxa"/>
            <w:vAlign w:val="bottom"/>
            <w:tcBorders>
              <w:top w:val="single" w:sz="8" w:color="F75E14"/>
              <w:right w:val="single" w:sz="8" w:color="auto"/>
            </w:tcBorders>
            <w:shd w:val="clear" w:color="auto" w:fill="F75E14"/>
          </w:tcPr>
          <w:p>
            <w:pPr>
              <w:spacing w:after="0"/>
              <w:rPr>
                <w:sz w:val="11"/>
                <w:szCs w:val="11"/>
                <w:color w:val="auto"/>
              </w:rPr>
            </w:pPr>
          </w:p>
        </w:tc>
        <w:tc>
          <w:tcPr>
            <w:tcW w:w="420" w:type="dxa"/>
            <w:vAlign w:val="bottom"/>
          </w:tcPr>
          <w:p>
            <w:pPr>
              <w:spacing w:after="0"/>
              <w:rPr>
                <w:sz w:val="11"/>
                <w:szCs w:val="11"/>
                <w:color w:val="auto"/>
              </w:rPr>
            </w:pPr>
          </w:p>
        </w:tc>
      </w:tr>
      <w:tr>
        <w:trPr>
          <w:trHeight w:val="160"/>
        </w:trPr>
        <w:tc>
          <w:tcPr>
            <w:tcW w:w="460" w:type="dxa"/>
            <w:vAlign w:val="bottom"/>
            <w:tcBorders>
              <w:right w:val="single" w:sz="8" w:color="auto"/>
            </w:tcBorders>
          </w:tcPr>
          <w:p>
            <w:pPr>
              <w:spacing w:after="0"/>
              <w:rPr>
                <w:sz w:val="13"/>
                <w:szCs w:val="13"/>
                <w:color w:val="auto"/>
              </w:rPr>
            </w:pPr>
          </w:p>
        </w:tc>
        <w:tc>
          <w:tcPr>
            <w:tcW w:w="1120" w:type="dxa"/>
            <w:vAlign w:val="bottom"/>
            <w:tcBorders>
              <w:right w:val="single" w:sz="8" w:color="auto"/>
            </w:tcBorders>
            <w:shd w:val="clear" w:color="auto" w:fill="F75E14"/>
          </w:tcPr>
          <w:p>
            <w:pPr>
              <w:spacing w:after="0"/>
              <w:rPr>
                <w:sz w:val="13"/>
                <w:szCs w:val="13"/>
                <w:color w:val="auto"/>
              </w:rPr>
            </w:pPr>
          </w:p>
        </w:tc>
        <w:tc>
          <w:tcPr>
            <w:tcW w:w="940" w:type="dxa"/>
            <w:vAlign w:val="bottom"/>
            <w:tcBorders>
              <w:right w:val="single" w:sz="8" w:color="auto"/>
            </w:tcBorders>
            <w:shd w:val="clear" w:color="auto" w:fill="F75E14"/>
          </w:tcPr>
          <w:p>
            <w:pPr>
              <w:spacing w:after="0"/>
              <w:rPr>
                <w:sz w:val="13"/>
                <w:szCs w:val="13"/>
                <w:color w:val="auto"/>
              </w:rPr>
            </w:pPr>
          </w:p>
        </w:tc>
        <w:tc>
          <w:tcPr>
            <w:tcW w:w="960" w:type="dxa"/>
            <w:vAlign w:val="bottom"/>
            <w:tcBorders>
              <w:right w:val="single" w:sz="8" w:color="auto"/>
            </w:tcBorders>
            <w:shd w:val="clear" w:color="auto" w:fill="F75E14"/>
          </w:tcPr>
          <w:p>
            <w:pPr>
              <w:spacing w:after="0"/>
              <w:rPr>
                <w:sz w:val="13"/>
                <w:szCs w:val="13"/>
                <w:color w:val="auto"/>
              </w:rPr>
            </w:pPr>
          </w:p>
        </w:tc>
        <w:tc>
          <w:tcPr>
            <w:tcW w:w="920" w:type="dxa"/>
            <w:vAlign w:val="bottom"/>
            <w:tcBorders>
              <w:right w:val="single" w:sz="8" w:color="auto"/>
            </w:tcBorders>
            <w:shd w:val="clear" w:color="auto" w:fill="F75E14"/>
          </w:tcPr>
          <w:p>
            <w:pPr>
              <w:spacing w:after="0"/>
              <w:rPr>
                <w:sz w:val="13"/>
                <w:szCs w:val="13"/>
                <w:color w:val="auto"/>
              </w:rPr>
            </w:pPr>
          </w:p>
        </w:tc>
        <w:tc>
          <w:tcPr>
            <w:tcW w:w="80" w:type="dxa"/>
            <w:vAlign w:val="bottom"/>
            <w:shd w:val="clear" w:color="auto" w:fill="F75E14"/>
          </w:tcPr>
          <w:p>
            <w:pPr>
              <w:spacing w:after="0"/>
              <w:rPr>
                <w:sz w:val="13"/>
                <w:szCs w:val="13"/>
                <w:color w:val="auto"/>
              </w:rPr>
            </w:pPr>
          </w:p>
        </w:tc>
        <w:tc>
          <w:tcPr>
            <w:tcW w:w="800" w:type="dxa"/>
            <w:vAlign w:val="bottom"/>
            <w:tcBorders>
              <w:right w:val="single" w:sz="8" w:color="auto"/>
            </w:tcBorders>
            <w:shd w:val="clear" w:color="auto" w:fill="F75E14"/>
          </w:tcPr>
          <w:p>
            <w:pPr>
              <w:spacing w:after="0"/>
              <w:rPr>
                <w:sz w:val="13"/>
                <w:szCs w:val="13"/>
                <w:color w:val="auto"/>
              </w:rPr>
            </w:pPr>
          </w:p>
        </w:tc>
        <w:tc>
          <w:tcPr>
            <w:tcW w:w="100" w:type="dxa"/>
            <w:vAlign w:val="bottom"/>
            <w:shd w:val="clear" w:color="auto" w:fill="F75E14"/>
          </w:tcPr>
          <w:p>
            <w:pPr>
              <w:spacing w:after="0"/>
              <w:rPr>
                <w:sz w:val="13"/>
                <w:szCs w:val="13"/>
                <w:color w:val="auto"/>
              </w:rPr>
            </w:pPr>
          </w:p>
        </w:tc>
        <w:tc>
          <w:tcPr>
            <w:tcW w:w="760" w:type="dxa"/>
            <w:vAlign w:val="bottom"/>
            <w:tcBorders>
              <w:right w:val="single" w:sz="8" w:color="auto"/>
            </w:tcBorders>
            <w:shd w:val="clear" w:color="auto" w:fill="F75E14"/>
          </w:tcPr>
          <w:p>
            <w:pPr>
              <w:spacing w:after="0"/>
              <w:rPr>
                <w:sz w:val="13"/>
                <w:szCs w:val="13"/>
                <w:color w:val="auto"/>
              </w:rPr>
            </w:pPr>
          </w:p>
        </w:tc>
        <w:tc>
          <w:tcPr>
            <w:tcW w:w="920" w:type="dxa"/>
            <w:vAlign w:val="bottom"/>
            <w:tcBorders>
              <w:right w:val="single" w:sz="8" w:color="auto"/>
            </w:tcBorders>
            <w:shd w:val="clear" w:color="auto" w:fill="F75E14"/>
          </w:tcPr>
          <w:p>
            <w:pPr>
              <w:spacing w:after="0"/>
              <w:rPr>
                <w:sz w:val="13"/>
                <w:szCs w:val="13"/>
                <w:color w:val="auto"/>
              </w:rPr>
            </w:pPr>
          </w:p>
        </w:tc>
        <w:tc>
          <w:tcPr>
            <w:tcW w:w="740" w:type="dxa"/>
            <w:vAlign w:val="bottom"/>
            <w:tcBorders>
              <w:right w:val="single" w:sz="8" w:color="auto"/>
            </w:tcBorders>
            <w:shd w:val="clear" w:color="auto" w:fill="F75E14"/>
          </w:tcPr>
          <w:p>
            <w:pPr>
              <w:spacing w:after="0"/>
              <w:rPr>
                <w:sz w:val="13"/>
                <w:szCs w:val="13"/>
                <w:color w:val="auto"/>
              </w:rPr>
            </w:pPr>
          </w:p>
        </w:tc>
        <w:tc>
          <w:tcPr>
            <w:tcW w:w="880" w:type="dxa"/>
            <w:vAlign w:val="bottom"/>
            <w:tcBorders>
              <w:right w:val="single" w:sz="8" w:color="auto"/>
            </w:tcBorders>
            <w:shd w:val="clear" w:color="auto" w:fill="F75E14"/>
          </w:tcPr>
          <w:p>
            <w:pPr>
              <w:spacing w:after="0"/>
              <w:rPr>
                <w:sz w:val="13"/>
                <w:szCs w:val="13"/>
                <w:color w:val="auto"/>
              </w:rPr>
            </w:pPr>
          </w:p>
        </w:tc>
        <w:tc>
          <w:tcPr>
            <w:tcW w:w="820" w:type="dxa"/>
            <w:vAlign w:val="bottom"/>
            <w:tcBorders>
              <w:right w:val="single" w:sz="8" w:color="auto"/>
            </w:tcBorders>
            <w:shd w:val="clear" w:color="auto" w:fill="F75E14"/>
          </w:tcPr>
          <w:p>
            <w:pPr>
              <w:jc w:val="center"/>
              <w:spacing w:after="0"/>
              <w:rPr>
                <w:sz w:val="20"/>
                <w:szCs w:val="20"/>
                <w:color w:val="auto"/>
              </w:rPr>
            </w:pPr>
            <w:r>
              <w:rPr>
                <w:rFonts w:ascii="Arial" w:cs="Arial" w:eastAsia="Arial" w:hAnsi="Arial"/>
                <w:sz w:val="14"/>
                <w:szCs w:val="14"/>
                <w:b w:val="1"/>
                <w:bCs w:val="1"/>
                <w:color w:val="FFFFFF"/>
                <w:w w:val="99"/>
              </w:rPr>
              <w:t>Stock</w:t>
            </w:r>
          </w:p>
        </w:tc>
        <w:tc>
          <w:tcPr>
            <w:tcW w:w="1000" w:type="dxa"/>
            <w:vAlign w:val="bottom"/>
            <w:tcBorders>
              <w:right w:val="single" w:sz="8" w:color="auto"/>
            </w:tcBorders>
            <w:shd w:val="clear" w:color="auto" w:fill="F75E14"/>
          </w:tcPr>
          <w:p>
            <w:pPr>
              <w:spacing w:after="0"/>
              <w:rPr>
                <w:sz w:val="13"/>
                <w:szCs w:val="13"/>
                <w:color w:val="auto"/>
              </w:rPr>
            </w:pPr>
          </w:p>
        </w:tc>
        <w:tc>
          <w:tcPr>
            <w:tcW w:w="420" w:type="dxa"/>
            <w:vAlign w:val="bottom"/>
          </w:tcPr>
          <w:p>
            <w:pPr>
              <w:spacing w:after="0"/>
              <w:rPr>
                <w:sz w:val="13"/>
                <w:szCs w:val="13"/>
                <w:color w:val="auto"/>
              </w:rPr>
            </w:pPr>
          </w:p>
        </w:tc>
      </w:tr>
      <w:tr>
        <w:trPr>
          <w:trHeight w:val="160"/>
        </w:trPr>
        <w:tc>
          <w:tcPr>
            <w:tcW w:w="460" w:type="dxa"/>
            <w:vAlign w:val="bottom"/>
            <w:tcBorders>
              <w:right w:val="single" w:sz="8" w:color="auto"/>
            </w:tcBorders>
          </w:tcPr>
          <w:p>
            <w:pPr>
              <w:spacing w:after="0"/>
              <w:rPr>
                <w:sz w:val="13"/>
                <w:szCs w:val="13"/>
                <w:color w:val="auto"/>
              </w:rPr>
            </w:pPr>
          </w:p>
        </w:tc>
        <w:tc>
          <w:tcPr>
            <w:tcW w:w="1120" w:type="dxa"/>
            <w:vAlign w:val="bottom"/>
            <w:tcBorders>
              <w:right w:val="single" w:sz="8" w:color="auto"/>
            </w:tcBorders>
            <w:shd w:val="clear" w:color="auto" w:fill="F75E14"/>
          </w:tcPr>
          <w:p>
            <w:pPr>
              <w:spacing w:after="0"/>
              <w:rPr>
                <w:sz w:val="13"/>
                <w:szCs w:val="13"/>
                <w:color w:val="auto"/>
              </w:rPr>
            </w:pPr>
          </w:p>
        </w:tc>
        <w:tc>
          <w:tcPr>
            <w:tcW w:w="940" w:type="dxa"/>
            <w:vAlign w:val="bottom"/>
            <w:tcBorders>
              <w:right w:val="single" w:sz="8" w:color="auto"/>
            </w:tcBorders>
            <w:shd w:val="clear" w:color="auto" w:fill="F75E14"/>
          </w:tcPr>
          <w:p>
            <w:pPr>
              <w:spacing w:after="0"/>
              <w:rPr>
                <w:sz w:val="13"/>
                <w:szCs w:val="13"/>
                <w:color w:val="auto"/>
              </w:rPr>
            </w:pPr>
          </w:p>
        </w:tc>
        <w:tc>
          <w:tcPr>
            <w:tcW w:w="960" w:type="dxa"/>
            <w:vAlign w:val="bottom"/>
            <w:tcBorders>
              <w:right w:val="single" w:sz="8" w:color="auto"/>
            </w:tcBorders>
            <w:shd w:val="clear" w:color="auto" w:fill="F75E14"/>
          </w:tcPr>
          <w:p>
            <w:pPr>
              <w:spacing w:after="0"/>
              <w:rPr>
                <w:sz w:val="13"/>
                <w:szCs w:val="13"/>
                <w:color w:val="auto"/>
              </w:rPr>
            </w:pPr>
          </w:p>
        </w:tc>
        <w:tc>
          <w:tcPr>
            <w:tcW w:w="920" w:type="dxa"/>
            <w:vAlign w:val="bottom"/>
            <w:tcBorders>
              <w:right w:val="single" w:sz="8" w:color="auto"/>
            </w:tcBorders>
            <w:shd w:val="clear" w:color="auto" w:fill="F75E14"/>
          </w:tcPr>
          <w:p>
            <w:pPr>
              <w:spacing w:after="0"/>
              <w:rPr>
                <w:sz w:val="13"/>
                <w:szCs w:val="13"/>
                <w:color w:val="auto"/>
              </w:rPr>
            </w:pPr>
          </w:p>
        </w:tc>
        <w:tc>
          <w:tcPr>
            <w:tcW w:w="80" w:type="dxa"/>
            <w:vAlign w:val="bottom"/>
            <w:shd w:val="clear" w:color="auto" w:fill="F75E14"/>
          </w:tcPr>
          <w:p>
            <w:pPr>
              <w:spacing w:after="0"/>
              <w:rPr>
                <w:sz w:val="13"/>
                <w:szCs w:val="13"/>
                <w:color w:val="auto"/>
              </w:rPr>
            </w:pPr>
          </w:p>
        </w:tc>
        <w:tc>
          <w:tcPr>
            <w:tcW w:w="800" w:type="dxa"/>
            <w:vAlign w:val="bottom"/>
            <w:tcBorders>
              <w:right w:val="single" w:sz="8" w:color="auto"/>
            </w:tcBorders>
            <w:shd w:val="clear" w:color="auto" w:fill="F75E14"/>
          </w:tcPr>
          <w:p>
            <w:pPr>
              <w:spacing w:after="0"/>
              <w:rPr>
                <w:sz w:val="13"/>
                <w:szCs w:val="13"/>
                <w:color w:val="auto"/>
              </w:rPr>
            </w:pPr>
          </w:p>
        </w:tc>
        <w:tc>
          <w:tcPr>
            <w:tcW w:w="100" w:type="dxa"/>
            <w:vAlign w:val="bottom"/>
            <w:shd w:val="clear" w:color="auto" w:fill="F75E14"/>
          </w:tcPr>
          <w:p>
            <w:pPr>
              <w:spacing w:after="0"/>
              <w:rPr>
                <w:sz w:val="13"/>
                <w:szCs w:val="13"/>
                <w:color w:val="auto"/>
              </w:rPr>
            </w:pPr>
          </w:p>
        </w:tc>
        <w:tc>
          <w:tcPr>
            <w:tcW w:w="760" w:type="dxa"/>
            <w:vAlign w:val="bottom"/>
            <w:tcBorders>
              <w:right w:val="single" w:sz="8" w:color="auto"/>
            </w:tcBorders>
            <w:shd w:val="clear" w:color="auto" w:fill="F75E14"/>
          </w:tcPr>
          <w:p>
            <w:pPr>
              <w:spacing w:after="0"/>
              <w:rPr>
                <w:sz w:val="13"/>
                <w:szCs w:val="13"/>
                <w:color w:val="auto"/>
              </w:rPr>
            </w:pPr>
          </w:p>
        </w:tc>
        <w:tc>
          <w:tcPr>
            <w:tcW w:w="920" w:type="dxa"/>
            <w:vAlign w:val="bottom"/>
            <w:tcBorders>
              <w:right w:val="single" w:sz="8" w:color="auto"/>
            </w:tcBorders>
            <w:shd w:val="clear" w:color="auto" w:fill="F75E14"/>
          </w:tcPr>
          <w:p>
            <w:pPr>
              <w:spacing w:after="0"/>
              <w:rPr>
                <w:sz w:val="13"/>
                <w:szCs w:val="13"/>
                <w:color w:val="auto"/>
              </w:rPr>
            </w:pPr>
          </w:p>
        </w:tc>
        <w:tc>
          <w:tcPr>
            <w:tcW w:w="740" w:type="dxa"/>
            <w:vAlign w:val="bottom"/>
            <w:tcBorders>
              <w:right w:val="single" w:sz="8" w:color="auto"/>
            </w:tcBorders>
            <w:shd w:val="clear" w:color="auto" w:fill="F75E14"/>
          </w:tcPr>
          <w:p>
            <w:pPr>
              <w:spacing w:after="0"/>
              <w:rPr>
                <w:sz w:val="13"/>
                <w:szCs w:val="13"/>
                <w:color w:val="auto"/>
              </w:rPr>
            </w:pPr>
          </w:p>
        </w:tc>
        <w:tc>
          <w:tcPr>
            <w:tcW w:w="880" w:type="dxa"/>
            <w:vAlign w:val="bottom"/>
            <w:tcBorders>
              <w:right w:val="single" w:sz="8" w:color="auto"/>
            </w:tcBorders>
            <w:shd w:val="clear" w:color="auto" w:fill="F75E14"/>
          </w:tcPr>
          <w:p>
            <w:pPr>
              <w:spacing w:after="0"/>
              <w:rPr>
                <w:sz w:val="13"/>
                <w:szCs w:val="13"/>
                <w:color w:val="auto"/>
              </w:rPr>
            </w:pPr>
          </w:p>
        </w:tc>
        <w:tc>
          <w:tcPr>
            <w:tcW w:w="820" w:type="dxa"/>
            <w:vAlign w:val="bottom"/>
            <w:tcBorders>
              <w:right w:val="single" w:sz="8" w:color="auto"/>
            </w:tcBorders>
            <w:shd w:val="clear" w:color="auto" w:fill="F75E14"/>
          </w:tcPr>
          <w:p>
            <w:pPr>
              <w:jc w:val="center"/>
              <w:spacing w:after="0"/>
              <w:rPr>
                <w:sz w:val="20"/>
                <w:szCs w:val="20"/>
                <w:color w:val="auto"/>
              </w:rPr>
            </w:pPr>
            <w:r>
              <w:rPr>
                <w:rFonts w:ascii="Arial" w:cs="Arial" w:eastAsia="Arial" w:hAnsi="Arial"/>
                <w:sz w:val="14"/>
                <w:szCs w:val="14"/>
                <w:b w:val="1"/>
                <w:bCs w:val="1"/>
                <w:color w:val="FFFFFF"/>
              </w:rPr>
              <w:t>Awards:</w:t>
            </w:r>
          </w:p>
        </w:tc>
        <w:tc>
          <w:tcPr>
            <w:tcW w:w="1000" w:type="dxa"/>
            <w:vAlign w:val="bottom"/>
            <w:tcBorders>
              <w:right w:val="single" w:sz="8" w:color="auto"/>
            </w:tcBorders>
            <w:shd w:val="clear" w:color="auto" w:fill="F75E14"/>
          </w:tcPr>
          <w:p>
            <w:pPr>
              <w:spacing w:after="0"/>
              <w:rPr>
                <w:sz w:val="13"/>
                <w:szCs w:val="13"/>
                <w:color w:val="auto"/>
              </w:rPr>
            </w:pPr>
          </w:p>
        </w:tc>
        <w:tc>
          <w:tcPr>
            <w:tcW w:w="420" w:type="dxa"/>
            <w:vAlign w:val="bottom"/>
          </w:tcPr>
          <w:p>
            <w:pPr>
              <w:spacing w:after="0"/>
              <w:rPr>
                <w:sz w:val="13"/>
                <w:szCs w:val="13"/>
                <w:color w:val="auto"/>
              </w:rPr>
            </w:pPr>
          </w:p>
        </w:tc>
      </w:tr>
      <w:tr>
        <w:trPr>
          <w:trHeight w:val="160"/>
        </w:trPr>
        <w:tc>
          <w:tcPr>
            <w:tcW w:w="460" w:type="dxa"/>
            <w:vAlign w:val="bottom"/>
            <w:tcBorders>
              <w:right w:val="single" w:sz="8" w:color="auto"/>
            </w:tcBorders>
          </w:tcPr>
          <w:p>
            <w:pPr>
              <w:spacing w:after="0"/>
              <w:rPr>
                <w:sz w:val="13"/>
                <w:szCs w:val="13"/>
                <w:color w:val="auto"/>
              </w:rPr>
            </w:pPr>
          </w:p>
        </w:tc>
        <w:tc>
          <w:tcPr>
            <w:tcW w:w="1120" w:type="dxa"/>
            <w:vAlign w:val="bottom"/>
            <w:tcBorders>
              <w:right w:val="single" w:sz="8" w:color="auto"/>
            </w:tcBorders>
            <w:shd w:val="clear" w:color="auto" w:fill="F75E14"/>
          </w:tcPr>
          <w:p>
            <w:pPr>
              <w:spacing w:after="0"/>
              <w:rPr>
                <w:sz w:val="13"/>
                <w:szCs w:val="13"/>
                <w:color w:val="auto"/>
              </w:rPr>
            </w:pPr>
          </w:p>
        </w:tc>
        <w:tc>
          <w:tcPr>
            <w:tcW w:w="940" w:type="dxa"/>
            <w:vAlign w:val="bottom"/>
            <w:tcBorders>
              <w:right w:val="single" w:sz="8" w:color="auto"/>
            </w:tcBorders>
            <w:shd w:val="clear" w:color="auto" w:fill="F75E14"/>
          </w:tcPr>
          <w:p>
            <w:pPr>
              <w:spacing w:after="0"/>
              <w:rPr>
                <w:sz w:val="13"/>
                <w:szCs w:val="13"/>
                <w:color w:val="auto"/>
              </w:rPr>
            </w:pPr>
          </w:p>
        </w:tc>
        <w:tc>
          <w:tcPr>
            <w:tcW w:w="960" w:type="dxa"/>
            <w:vAlign w:val="bottom"/>
            <w:tcBorders>
              <w:right w:val="single" w:sz="8" w:color="auto"/>
            </w:tcBorders>
            <w:shd w:val="clear" w:color="auto" w:fill="F75E14"/>
          </w:tcPr>
          <w:p>
            <w:pPr>
              <w:spacing w:after="0"/>
              <w:rPr>
                <w:sz w:val="13"/>
                <w:szCs w:val="13"/>
                <w:color w:val="auto"/>
              </w:rPr>
            </w:pPr>
          </w:p>
        </w:tc>
        <w:tc>
          <w:tcPr>
            <w:tcW w:w="920" w:type="dxa"/>
            <w:vAlign w:val="bottom"/>
            <w:tcBorders>
              <w:right w:val="single" w:sz="8" w:color="auto"/>
            </w:tcBorders>
            <w:shd w:val="clear" w:color="auto" w:fill="F75E14"/>
          </w:tcPr>
          <w:p>
            <w:pPr>
              <w:spacing w:after="0"/>
              <w:rPr>
                <w:sz w:val="13"/>
                <w:szCs w:val="13"/>
                <w:color w:val="auto"/>
              </w:rPr>
            </w:pPr>
          </w:p>
        </w:tc>
        <w:tc>
          <w:tcPr>
            <w:tcW w:w="80" w:type="dxa"/>
            <w:vAlign w:val="bottom"/>
            <w:shd w:val="clear" w:color="auto" w:fill="F75E14"/>
          </w:tcPr>
          <w:p>
            <w:pPr>
              <w:spacing w:after="0"/>
              <w:rPr>
                <w:sz w:val="13"/>
                <w:szCs w:val="13"/>
                <w:color w:val="auto"/>
              </w:rPr>
            </w:pPr>
          </w:p>
        </w:tc>
        <w:tc>
          <w:tcPr>
            <w:tcW w:w="800" w:type="dxa"/>
            <w:vAlign w:val="bottom"/>
            <w:tcBorders>
              <w:right w:val="single" w:sz="8" w:color="auto"/>
            </w:tcBorders>
            <w:shd w:val="clear" w:color="auto" w:fill="F75E14"/>
          </w:tcPr>
          <w:p>
            <w:pPr>
              <w:spacing w:after="0"/>
              <w:rPr>
                <w:sz w:val="13"/>
                <w:szCs w:val="13"/>
                <w:color w:val="auto"/>
              </w:rPr>
            </w:pPr>
          </w:p>
        </w:tc>
        <w:tc>
          <w:tcPr>
            <w:tcW w:w="100" w:type="dxa"/>
            <w:vAlign w:val="bottom"/>
            <w:shd w:val="clear" w:color="auto" w:fill="F75E14"/>
          </w:tcPr>
          <w:p>
            <w:pPr>
              <w:spacing w:after="0"/>
              <w:rPr>
                <w:sz w:val="13"/>
                <w:szCs w:val="13"/>
                <w:color w:val="auto"/>
              </w:rPr>
            </w:pPr>
          </w:p>
        </w:tc>
        <w:tc>
          <w:tcPr>
            <w:tcW w:w="760" w:type="dxa"/>
            <w:vAlign w:val="bottom"/>
            <w:tcBorders>
              <w:right w:val="single" w:sz="8" w:color="auto"/>
            </w:tcBorders>
            <w:shd w:val="clear" w:color="auto" w:fill="F75E14"/>
          </w:tcPr>
          <w:p>
            <w:pPr>
              <w:spacing w:after="0"/>
              <w:rPr>
                <w:sz w:val="13"/>
                <w:szCs w:val="13"/>
                <w:color w:val="auto"/>
              </w:rPr>
            </w:pPr>
          </w:p>
        </w:tc>
        <w:tc>
          <w:tcPr>
            <w:tcW w:w="920" w:type="dxa"/>
            <w:vAlign w:val="bottom"/>
            <w:tcBorders>
              <w:right w:val="single" w:sz="8" w:color="auto"/>
            </w:tcBorders>
            <w:shd w:val="clear" w:color="auto" w:fill="F75E14"/>
          </w:tcPr>
          <w:p>
            <w:pPr>
              <w:spacing w:after="0"/>
              <w:rPr>
                <w:sz w:val="13"/>
                <w:szCs w:val="13"/>
                <w:color w:val="auto"/>
              </w:rPr>
            </w:pPr>
          </w:p>
        </w:tc>
        <w:tc>
          <w:tcPr>
            <w:tcW w:w="740" w:type="dxa"/>
            <w:vAlign w:val="bottom"/>
            <w:tcBorders>
              <w:right w:val="single" w:sz="8" w:color="auto"/>
            </w:tcBorders>
            <w:shd w:val="clear" w:color="auto" w:fill="F75E14"/>
          </w:tcPr>
          <w:p>
            <w:pPr>
              <w:spacing w:after="0"/>
              <w:rPr>
                <w:sz w:val="13"/>
                <w:szCs w:val="13"/>
                <w:color w:val="auto"/>
              </w:rPr>
            </w:pPr>
          </w:p>
        </w:tc>
        <w:tc>
          <w:tcPr>
            <w:tcW w:w="880" w:type="dxa"/>
            <w:vAlign w:val="bottom"/>
            <w:tcBorders>
              <w:right w:val="single" w:sz="8" w:color="auto"/>
            </w:tcBorders>
            <w:shd w:val="clear" w:color="auto" w:fill="F75E14"/>
          </w:tcPr>
          <w:p>
            <w:pPr>
              <w:spacing w:after="0"/>
              <w:rPr>
                <w:sz w:val="13"/>
                <w:szCs w:val="13"/>
                <w:color w:val="auto"/>
              </w:rPr>
            </w:pPr>
          </w:p>
        </w:tc>
        <w:tc>
          <w:tcPr>
            <w:tcW w:w="820" w:type="dxa"/>
            <w:vAlign w:val="bottom"/>
            <w:tcBorders>
              <w:right w:val="single" w:sz="8" w:color="auto"/>
            </w:tcBorders>
            <w:shd w:val="clear" w:color="auto" w:fill="F75E14"/>
          </w:tcPr>
          <w:p>
            <w:pPr>
              <w:jc w:val="center"/>
              <w:spacing w:after="0"/>
              <w:rPr>
                <w:sz w:val="20"/>
                <w:szCs w:val="20"/>
                <w:color w:val="auto"/>
              </w:rPr>
            </w:pPr>
            <w:r>
              <w:rPr>
                <w:rFonts w:ascii="Arial" w:cs="Arial" w:eastAsia="Arial" w:hAnsi="Arial"/>
                <w:sz w:val="14"/>
                <w:szCs w:val="14"/>
                <w:b w:val="1"/>
                <w:bCs w:val="1"/>
                <w:color w:val="FFFFFF"/>
              </w:rPr>
              <w:t>Number</w:t>
            </w:r>
          </w:p>
        </w:tc>
        <w:tc>
          <w:tcPr>
            <w:tcW w:w="1000" w:type="dxa"/>
            <w:vAlign w:val="bottom"/>
            <w:tcBorders>
              <w:right w:val="single" w:sz="8" w:color="auto"/>
            </w:tcBorders>
            <w:shd w:val="clear" w:color="auto" w:fill="F75E14"/>
          </w:tcPr>
          <w:p>
            <w:pPr>
              <w:jc w:val="center"/>
              <w:spacing w:after="0"/>
              <w:rPr>
                <w:sz w:val="20"/>
                <w:szCs w:val="20"/>
                <w:color w:val="auto"/>
              </w:rPr>
            </w:pPr>
            <w:r>
              <w:rPr>
                <w:rFonts w:ascii="Arial" w:cs="Arial" w:eastAsia="Arial" w:hAnsi="Arial"/>
                <w:sz w:val="14"/>
                <w:szCs w:val="14"/>
                <w:b w:val="1"/>
                <w:bCs w:val="1"/>
                <w:color w:val="FFFFFF"/>
              </w:rPr>
              <w:t>Grant Date</w:t>
            </w:r>
          </w:p>
        </w:tc>
        <w:tc>
          <w:tcPr>
            <w:tcW w:w="420" w:type="dxa"/>
            <w:vAlign w:val="bottom"/>
          </w:tcPr>
          <w:p>
            <w:pPr>
              <w:spacing w:after="0"/>
              <w:rPr>
                <w:sz w:val="13"/>
                <w:szCs w:val="13"/>
                <w:color w:val="auto"/>
              </w:rPr>
            </w:pPr>
          </w:p>
        </w:tc>
      </w:tr>
      <w:tr>
        <w:trPr>
          <w:trHeight w:val="160"/>
        </w:trPr>
        <w:tc>
          <w:tcPr>
            <w:tcW w:w="460" w:type="dxa"/>
            <w:vAlign w:val="bottom"/>
            <w:tcBorders>
              <w:right w:val="single" w:sz="8" w:color="auto"/>
            </w:tcBorders>
          </w:tcPr>
          <w:p>
            <w:pPr>
              <w:spacing w:after="0"/>
              <w:rPr>
                <w:sz w:val="13"/>
                <w:szCs w:val="13"/>
                <w:color w:val="auto"/>
              </w:rPr>
            </w:pPr>
          </w:p>
        </w:tc>
        <w:tc>
          <w:tcPr>
            <w:tcW w:w="1120" w:type="dxa"/>
            <w:vAlign w:val="bottom"/>
            <w:tcBorders>
              <w:right w:val="single" w:sz="8" w:color="auto"/>
            </w:tcBorders>
            <w:shd w:val="clear" w:color="auto" w:fill="F75E14"/>
          </w:tcPr>
          <w:p>
            <w:pPr>
              <w:spacing w:after="0"/>
              <w:rPr>
                <w:sz w:val="13"/>
                <w:szCs w:val="13"/>
                <w:color w:val="auto"/>
              </w:rPr>
            </w:pPr>
          </w:p>
        </w:tc>
        <w:tc>
          <w:tcPr>
            <w:tcW w:w="940" w:type="dxa"/>
            <w:vAlign w:val="bottom"/>
            <w:tcBorders>
              <w:right w:val="single" w:sz="8" w:color="auto"/>
            </w:tcBorders>
            <w:shd w:val="clear" w:color="auto" w:fill="F75E14"/>
          </w:tcPr>
          <w:p>
            <w:pPr>
              <w:spacing w:after="0"/>
              <w:rPr>
                <w:sz w:val="13"/>
                <w:szCs w:val="13"/>
                <w:color w:val="auto"/>
              </w:rPr>
            </w:pPr>
          </w:p>
        </w:tc>
        <w:tc>
          <w:tcPr>
            <w:tcW w:w="960" w:type="dxa"/>
            <w:vAlign w:val="bottom"/>
            <w:tcBorders>
              <w:right w:val="single" w:sz="8" w:color="auto"/>
            </w:tcBorders>
            <w:shd w:val="clear" w:color="auto" w:fill="F75E14"/>
          </w:tcPr>
          <w:p>
            <w:pPr>
              <w:spacing w:after="0"/>
              <w:rPr>
                <w:sz w:val="13"/>
                <w:szCs w:val="13"/>
                <w:color w:val="auto"/>
              </w:rPr>
            </w:pPr>
          </w:p>
        </w:tc>
        <w:tc>
          <w:tcPr>
            <w:tcW w:w="920" w:type="dxa"/>
            <w:vAlign w:val="bottom"/>
            <w:tcBorders>
              <w:right w:val="single" w:sz="8" w:color="auto"/>
            </w:tcBorders>
            <w:shd w:val="clear" w:color="auto" w:fill="F75E14"/>
          </w:tcPr>
          <w:p>
            <w:pPr>
              <w:spacing w:after="0"/>
              <w:rPr>
                <w:sz w:val="13"/>
                <w:szCs w:val="13"/>
                <w:color w:val="auto"/>
              </w:rPr>
            </w:pPr>
          </w:p>
        </w:tc>
        <w:tc>
          <w:tcPr>
            <w:tcW w:w="80" w:type="dxa"/>
            <w:vAlign w:val="bottom"/>
            <w:shd w:val="clear" w:color="auto" w:fill="F75E14"/>
          </w:tcPr>
          <w:p>
            <w:pPr>
              <w:spacing w:after="0"/>
              <w:rPr>
                <w:sz w:val="13"/>
                <w:szCs w:val="13"/>
                <w:color w:val="auto"/>
              </w:rPr>
            </w:pPr>
          </w:p>
        </w:tc>
        <w:tc>
          <w:tcPr>
            <w:tcW w:w="800" w:type="dxa"/>
            <w:vAlign w:val="bottom"/>
            <w:tcBorders>
              <w:right w:val="single" w:sz="8" w:color="auto"/>
            </w:tcBorders>
            <w:shd w:val="clear" w:color="auto" w:fill="F75E14"/>
          </w:tcPr>
          <w:p>
            <w:pPr>
              <w:spacing w:after="0"/>
              <w:rPr>
                <w:sz w:val="13"/>
                <w:szCs w:val="13"/>
                <w:color w:val="auto"/>
              </w:rPr>
            </w:pPr>
          </w:p>
        </w:tc>
        <w:tc>
          <w:tcPr>
            <w:tcW w:w="100" w:type="dxa"/>
            <w:vAlign w:val="bottom"/>
            <w:shd w:val="clear" w:color="auto" w:fill="F75E14"/>
          </w:tcPr>
          <w:p>
            <w:pPr>
              <w:spacing w:after="0"/>
              <w:rPr>
                <w:sz w:val="13"/>
                <w:szCs w:val="13"/>
                <w:color w:val="auto"/>
              </w:rPr>
            </w:pPr>
          </w:p>
        </w:tc>
        <w:tc>
          <w:tcPr>
            <w:tcW w:w="760" w:type="dxa"/>
            <w:vAlign w:val="bottom"/>
            <w:tcBorders>
              <w:right w:val="single" w:sz="8" w:color="auto"/>
            </w:tcBorders>
            <w:shd w:val="clear" w:color="auto" w:fill="F75E14"/>
          </w:tcPr>
          <w:p>
            <w:pPr>
              <w:spacing w:after="0"/>
              <w:rPr>
                <w:sz w:val="13"/>
                <w:szCs w:val="13"/>
                <w:color w:val="auto"/>
              </w:rPr>
            </w:pPr>
          </w:p>
        </w:tc>
        <w:tc>
          <w:tcPr>
            <w:tcW w:w="920" w:type="dxa"/>
            <w:vAlign w:val="bottom"/>
            <w:tcBorders>
              <w:right w:val="single" w:sz="8" w:color="auto"/>
            </w:tcBorders>
            <w:shd w:val="clear" w:color="auto" w:fill="F75E14"/>
          </w:tcPr>
          <w:p>
            <w:pPr>
              <w:spacing w:after="0"/>
              <w:rPr>
                <w:sz w:val="13"/>
                <w:szCs w:val="13"/>
                <w:color w:val="auto"/>
              </w:rPr>
            </w:pPr>
          </w:p>
        </w:tc>
        <w:tc>
          <w:tcPr>
            <w:tcW w:w="740" w:type="dxa"/>
            <w:vAlign w:val="bottom"/>
            <w:tcBorders>
              <w:right w:val="single" w:sz="8" w:color="auto"/>
            </w:tcBorders>
            <w:shd w:val="clear" w:color="auto" w:fill="F75E14"/>
          </w:tcPr>
          <w:p>
            <w:pPr>
              <w:spacing w:after="0"/>
              <w:rPr>
                <w:sz w:val="13"/>
                <w:szCs w:val="13"/>
                <w:color w:val="auto"/>
              </w:rPr>
            </w:pPr>
          </w:p>
        </w:tc>
        <w:tc>
          <w:tcPr>
            <w:tcW w:w="880" w:type="dxa"/>
            <w:vAlign w:val="bottom"/>
            <w:tcBorders>
              <w:right w:val="single" w:sz="8" w:color="auto"/>
            </w:tcBorders>
            <w:shd w:val="clear" w:color="auto" w:fill="F75E14"/>
          </w:tcPr>
          <w:p>
            <w:pPr>
              <w:spacing w:after="0"/>
              <w:rPr>
                <w:sz w:val="13"/>
                <w:szCs w:val="13"/>
                <w:color w:val="auto"/>
              </w:rPr>
            </w:pPr>
          </w:p>
        </w:tc>
        <w:tc>
          <w:tcPr>
            <w:tcW w:w="820" w:type="dxa"/>
            <w:vAlign w:val="bottom"/>
            <w:tcBorders>
              <w:right w:val="single" w:sz="8" w:color="auto"/>
            </w:tcBorders>
            <w:shd w:val="clear" w:color="auto" w:fill="F75E14"/>
          </w:tcPr>
          <w:p>
            <w:pPr>
              <w:jc w:val="center"/>
              <w:spacing w:after="0"/>
              <w:rPr>
                <w:sz w:val="20"/>
                <w:szCs w:val="20"/>
                <w:color w:val="auto"/>
              </w:rPr>
            </w:pPr>
            <w:r>
              <w:rPr>
                <w:rFonts w:ascii="Arial" w:cs="Arial" w:eastAsia="Arial" w:hAnsi="Arial"/>
                <w:sz w:val="14"/>
                <w:szCs w:val="14"/>
                <w:b w:val="1"/>
                <w:bCs w:val="1"/>
                <w:color w:val="FFFFFF"/>
              </w:rPr>
              <w:t>of</w:t>
            </w:r>
          </w:p>
        </w:tc>
        <w:tc>
          <w:tcPr>
            <w:tcW w:w="1000" w:type="dxa"/>
            <w:vAlign w:val="bottom"/>
            <w:tcBorders>
              <w:right w:val="single" w:sz="8" w:color="auto"/>
            </w:tcBorders>
            <w:shd w:val="clear" w:color="auto" w:fill="F75E14"/>
          </w:tcPr>
          <w:p>
            <w:pPr>
              <w:jc w:val="center"/>
              <w:spacing w:after="0"/>
              <w:rPr>
                <w:sz w:val="20"/>
                <w:szCs w:val="20"/>
                <w:color w:val="auto"/>
              </w:rPr>
            </w:pPr>
            <w:r>
              <w:rPr>
                <w:rFonts w:ascii="Arial" w:cs="Arial" w:eastAsia="Arial" w:hAnsi="Arial"/>
                <w:sz w:val="14"/>
                <w:szCs w:val="14"/>
                <w:b w:val="1"/>
                <w:bCs w:val="1"/>
                <w:color w:val="FFFFFF"/>
              </w:rPr>
              <w:t>Fair Value</w:t>
            </w:r>
          </w:p>
        </w:tc>
        <w:tc>
          <w:tcPr>
            <w:tcW w:w="420" w:type="dxa"/>
            <w:vAlign w:val="bottom"/>
          </w:tcPr>
          <w:p>
            <w:pPr>
              <w:spacing w:after="0"/>
              <w:rPr>
                <w:sz w:val="13"/>
                <w:szCs w:val="13"/>
                <w:color w:val="auto"/>
              </w:rPr>
            </w:pPr>
          </w:p>
        </w:tc>
      </w:tr>
      <w:tr>
        <w:trPr>
          <w:trHeight w:val="160"/>
        </w:trPr>
        <w:tc>
          <w:tcPr>
            <w:tcW w:w="460" w:type="dxa"/>
            <w:vAlign w:val="bottom"/>
            <w:tcBorders>
              <w:right w:val="single" w:sz="8" w:color="auto"/>
            </w:tcBorders>
          </w:tcPr>
          <w:p>
            <w:pPr>
              <w:spacing w:after="0"/>
              <w:rPr>
                <w:sz w:val="13"/>
                <w:szCs w:val="13"/>
                <w:color w:val="auto"/>
              </w:rPr>
            </w:pPr>
          </w:p>
        </w:tc>
        <w:tc>
          <w:tcPr>
            <w:tcW w:w="1120" w:type="dxa"/>
            <w:vAlign w:val="bottom"/>
            <w:tcBorders>
              <w:right w:val="single" w:sz="8" w:color="auto"/>
            </w:tcBorders>
            <w:shd w:val="clear" w:color="auto" w:fill="F75E14"/>
          </w:tcPr>
          <w:p>
            <w:pPr>
              <w:spacing w:after="0"/>
              <w:rPr>
                <w:sz w:val="13"/>
                <w:szCs w:val="13"/>
                <w:color w:val="auto"/>
              </w:rPr>
            </w:pPr>
          </w:p>
        </w:tc>
        <w:tc>
          <w:tcPr>
            <w:tcW w:w="940" w:type="dxa"/>
            <w:vAlign w:val="bottom"/>
            <w:tcBorders>
              <w:right w:val="single" w:sz="8" w:color="auto"/>
            </w:tcBorders>
            <w:shd w:val="clear" w:color="auto" w:fill="F75E14"/>
          </w:tcPr>
          <w:p>
            <w:pPr>
              <w:spacing w:after="0"/>
              <w:rPr>
                <w:sz w:val="13"/>
                <w:szCs w:val="13"/>
                <w:color w:val="auto"/>
              </w:rPr>
            </w:pPr>
          </w:p>
        </w:tc>
        <w:tc>
          <w:tcPr>
            <w:tcW w:w="960" w:type="dxa"/>
            <w:vAlign w:val="bottom"/>
            <w:tcBorders>
              <w:right w:val="single" w:sz="8" w:color="auto"/>
            </w:tcBorders>
            <w:shd w:val="clear" w:color="auto" w:fill="F75E14"/>
          </w:tcPr>
          <w:p>
            <w:pPr>
              <w:spacing w:after="0"/>
              <w:rPr>
                <w:sz w:val="13"/>
                <w:szCs w:val="13"/>
                <w:color w:val="auto"/>
              </w:rPr>
            </w:pPr>
          </w:p>
        </w:tc>
        <w:tc>
          <w:tcPr>
            <w:tcW w:w="920" w:type="dxa"/>
            <w:vAlign w:val="bottom"/>
            <w:tcBorders>
              <w:right w:val="single" w:sz="8" w:color="auto"/>
            </w:tcBorders>
            <w:shd w:val="clear" w:color="auto" w:fill="F75E14"/>
          </w:tcPr>
          <w:p>
            <w:pPr>
              <w:spacing w:after="0"/>
              <w:rPr>
                <w:sz w:val="13"/>
                <w:szCs w:val="13"/>
                <w:color w:val="auto"/>
              </w:rPr>
            </w:pPr>
          </w:p>
        </w:tc>
        <w:tc>
          <w:tcPr>
            <w:tcW w:w="80" w:type="dxa"/>
            <w:vAlign w:val="bottom"/>
            <w:shd w:val="clear" w:color="auto" w:fill="F75E14"/>
          </w:tcPr>
          <w:p>
            <w:pPr>
              <w:spacing w:after="0"/>
              <w:rPr>
                <w:sz w:val="13"/>
                <w:szCs w:val="13"/>
                <w:color w:val="auto"/>
              </w:rPr>
            </w:pPr>
          </w:p>
        </w:tc>
        <w:tc>
          <w:tcPr>
            <w:tcW w:w="800" w:type="dxa"/>
            <w:vAlign w:val="bottom"/>
            <w:tcBorders>
              <w:right w:val="single" w:sz="8" w:color="auto"/>
            </w:tcBorders>
            <w:shd w:val="clear" w:color="auto" w:fill="F75E14"/>
          </w:tcPr>
          <w:p>
            <w:pPr>
              <w:spacing w:after="0"/>
              <w:rPr>
                <w:sz w:val="13"/>
                <w:szCs w:val="13"/>
                <w:color w:val="auto"/>
              </w:rPr>
            </w:pPr>
          </w:p>
        </w:tc>
        <w:tc>
          <w:tcPr>
            <w:tcW w:w="100" w:type="dxa"/>
            <w:vAlign w:val="bottom"/>
            <w:shd w:val="clear" w:color="auto" w:fill="F75E14"/>
          </w:tcPr>
          <w:p>
            <w:pPr>
              <w:spacing w:after="0"/>
              <w:rPr>
                <w:sz w:val="13"/>
                <w:szCs w:val="13"/>
                <w:color w:val="auto"/>
              </w:rPr>
            </w:pPr>
          </w:p>
        </w:tc>
        <w:tc>
          <w:tcPr>
            <w:tcW w:w="760" w:type="dxa"/>
            <w:vAlign w:val="bottom"/>
            <w:tcBorders>
              <w:right w:val="single" w:sz="8" w:color="auto"/>
            </w:tcBorders>
            <w:shd w:val="clear" w:color="auto" w:fill="F75E14"/>
          </w:tcPr>
          <w:p>
            <w:pPr>
              <w:spacing w:after="0"/>
              <w:rPr>
                <w:sz w:val="13"/>
                <w:szCs w:val="13"/>
                <w:color w:val="auto"/>
              </w:rPr>
            </w:pPr>
          </w:p>
        </w:tc>
        <w:tc>
          <w:tcPr>
            <w:tcW w:w="920" w:type="dxa"/>
            <w:vAlign w:val="bottom"/>
            <w:tcBorders>
              <w:right w:val="single" w:sz="8" w:color="auto"/>
            </w:tcBorders>
            <w:shd w:val="clear" w:color="auto" w:fill="F75E14"/>
          </w:tcPr>
          <w:p>
            <w:pPr>
              <w:spacing w:after="0"/>
              <w:rPr>
                <w:sz w:val="13"/>
                <w:szCs w:val="13"/>
                <w:color w:val="auto"/>
              </w:rPr>
            </w:pPr>
          </w:p>
        </w:tc>
        <w:tc>
          <w:tcPr>
            <w:tcW w:w="740" w:type="dxa"/>
            <w:vAlign w:val="bottom"/>
            <w:tcBorders>
              <w:right w:val="single" w:sz="8" w:color="auto"/>
            </w:tcBorders>
            <w:shd w:val="clear" w:color="auto" w:fill="F75E14"/>
          </w:tcPr>
          <w:p>
            <w:pPr>
              <w:spacing w:after="0"/>
              <w:rPr>
                <w:sz w:val="13"/>
                <w:szCs w:val="13"/>
                <w:color w:val="auto"/>
              </w:rPr>
            </w:pPr>
          </w:p>
        </w:tc>
        <w:tc>
          <w:tcPr>
            <w:tcW w:w="880" w:type="dxa"/>
            <w:vAlign w:val="bottom"/>
            <w:tcBorders>
              <w:right w:val="single" w:sz="8" w:color="auto"/>
            </w:tcBorders>
            <w:shd w:val="clear" w:color="auto" w:fill="F75E14"/>
          </w:tcPr>
          <w:p>
            <w:pPr>
              <w:spacing w:after="0"/>
              <w:rPr>
                <w:sz w:val="13"/>
                <w:szCs w:val="13"/>
                <w:color w:val="auto"/>
              </w:rPr>
            </w:pPr>
          </w:p>
        </w:tc>
        <w:tc>
          <w:tcPr>
            <w:tcW w:w="820" w:type="dxa"/>
            <w:vAlign w:val="bottom"/>
            <w:tcBorders>
              <w:right w:val="single" w:sz="8" w:color="auto"/>
            </w:tcBorders>
            <w:shd w:val="clear" w:color="auto" w:fill="F75E14"/>
          </w:tcPr>
          <w:p>
            <w:pPr>
              <w:jc w:val="center"/>
              <w:spacing w:after="0"/>
              <w:rPr>
                <w:sz w:val="20"/>
                <w:szCs w:val="20"/>
                <w:color w:val="auto"/>
              </w:rPr>
            </w:pPr>
            <w:r>
              <w:rPr>
                <w:rFonts w:ascii="Arial" w:cs="Arial" w:eastAsia="Arial" w:hAnsi="Arial"/>
                <w:sz w:val="14"/>
                <w:szCs w:val="14"/>
                <w:b w:val="1"/>
                <w:bCs w:val="1"/>
                <w:color w:val="FFFFFF"/>
                <w:w w:val="98"/>
              </w:rPr>
              <w:t>Shares</w:t>
            </w:r>
          </w:p>
        </w:tc>
        <w:tc>
          <w:tcPr>
            <w:tcW w:w="1000" w:type="dxa"/>
            <w:vAlign w:val="bottom"/>
            <w:tcBorders>
              <w:right w:val="single" w:sz="8" w:color="auto"/>
            </w:tcBorders>
            <w:shd w:val="clear" w:color="auto" w:fill="F75E14"/>
          </w:tcPr>
          <w:p>
            <w:pPr>
              <w:jc w:val="center"/>
              <w:spacing w:after="0"/>
              <w:rPr>
                <w:sz w:val="20"/>
                <w:szCs w:val="20"/>
                <w:color w:val="auto"/>
              </w:rPr>
            </w:pPr>
            <w:r>
              <w:rPr>
                <w:rFonts w:ascii="Arial" w:cs="Arial" w:eastAsia="Arial" w:hAnsi="Arial"/>
                <w:sz w:val="14"/>
                <w:szCs w:val="14"/>
                <w:b w:val="1"/>
                <w:bCs w:val="1"/>
                <w:color w:val="FFFFFF"/>
              </w:rPr>
              <w:t>of Stock</w:t>
            </w:r>
          </w:p>
        </w:tc>
        <w:tc>
          <w:tcPr>
            <w:tcW w:w="420" w:type="dxa"/>
            <w:vAlign w:val="bottom"/>
          </w:tcPr>
          <w:p>
            <w:pPr>
              <w:spacing w:after="0"/>
              <w:rPr>
                <w:sz w:val="13"/>
                <w:szCs w:val="13"/>
                <w:color w:val="auto"/>
              </w:rPr>
            </w:pPr>
          </w:p>
        </w:tc>
      </w:tr>
      <w:tr>
        <w:trPr>
          <w:trHeight w:val="160"/>
        </w:trPr>
        <w:tc>
          <w:tcPr>
            <w:tcW w:w="460" w:type="dxa"/>
            <w:vAlign w:val="bottom"/>
            <w:tcBorders>
              <w:right w:val="single" w:sz="8" w:color="auto"/>
            </w:tcBorders>
          </w:tcPr>
          <w:p>
            <w:pPr>
              <w:spacing w:after="0"/>
              <w:rPr>
                <w:sz w:val="13"/>
                <w:szCs w:val="13"/>
                <w:color w:val="auto"/>
              </w:rPr>
            </w:pPr>
          </w:p>
        </w:tc>
        <w:tc>
          <w:tcPr>
            <w:tcW w:w="1120" w:type="dxa"/>
            <w:vAlign w:val="bottom"/>
            <w:tcBorders>
              <w:right w:val="single" w:sz="8" w:color="auto"/>
            </w:tcBorders>
            <w:shd w:val="clear" w:color="auto" w:fill="F75E14"/>
          </w:tcPr>
          <w:p>
            <w:pPr>
              <w:spacing w:after="0"/>
              <w:rPr>
                <w:sz w:val="13"/>
                <w:szCs w:val="13"/>
                <w:color w:val="auto"/>
              </w:rPr>
            </w:pPr>
          </w:p>
        </w:tc>
        <w:tc>
          <w:tcPr>
            <w:tcW w:w="940" w:type="dxa"/>
            <w:vAlign w:val="bottom"/>
            <w:tcBorders>
              <w:right w:val="single" w:sz="8" w:color="auto"/>
            </w:tcBorders>
            <w:shd w:val="clear" w:color="auto" w:fill="F75E14"/>
          </w:tcPr>
          <w:p>
            <w:pPr>
              <w:spacing w:after="0"/>
              <w:rPr>
                <w:sz w:val="13"/>
                <w:szCs w:val="13"/>
                <w:color w:val="auto"/>
              </w:rPr>
            </w:pPr>
          </w:p>
        </w:tc>
        <w:tc>
          <w:tcPr>
            <w:tcW w:w="960" w:type="dxa"/>
            <w:vAlign w:val="bottom"/>
            <w:tcBorders>
              <w:right w:val="single" w:sz="8" w:color="auto"/>
            </w:tcBorders>
            <w:shd w:val="clear" w:color="auto" w:fill="F75E14"/>
          </w:tcPr>
          <w:p>
            <w:pPr>
              <w:spacing w:after="0"/>
              <w:rPr>
                <w:sz w:val="13"/>
                <w:szCs w:val="13"/>
                <w:color w:val="auto"/>
              </w:rPr>
            </w:pPr>
          </w:p>
        </w:tc>
        <w:tc>
          <w:tcPr>
            <w:tcW w:w="920" w:type="dxa"/>
            <w:vAlign w:val="bottom"/>
            <w:tcBorders>
              <w:right w:val="single" w:sz="8" w:color="auto"/>
            </w:tcBorders>
            <w:shd w:val="clear" w:color="auto" w:fill="F75E14"/>
          </w:tcPr>
          <w:p>
            <w:pPr>
              <w:spacing w:after="0"/>
              <w:rPr>
                <w:sz w:val="13"/>
                <w:szCs w:val="13"/>
                <w:color w:val="auto"/>
              </w:rPr>
            </w:pPr>
          </w:p>
        </w:tc>
        <w:tc>
          <w:tcPr>
            <w:tcW w:w="80" w:type="dxa"/>
            <w:vAlign w:val="bottom"/>
            <w:shd w:val="clear" w:color="auto" w:fill="F75E14"/>
          </w:tcPr>
          <w:p>
            <w:pPr>
              <w:spacing w:after="0"/>
              <w:rPr>
                <w:sz w:val="13"/>
                <w:szCs w:val="13"/>
                <w:color w:val="auto"/>
              </w:rPr>
            </w:pPr>
          </w:p>
        </w:tc>
        <w:tc>
          <w:tcPr>
            <w:tcW w:w="800" w:type="dxa"/>
            <w:vAlign w:val="bottom"/>
            <w:tcBorders>
              <w:right w:val="single" w:sz="8" w:color="auto"/>
            </w:tcBorders>
            <w:shd w:val="clear" w:color="auto" w:fill="F75E14"/>
          </w:tcPr>
          <w:p>
            <w:pPr>
              <w:spacing w:after="0"/>
              <w:rPr>
                <w:sz w:val="13"/>
                <w:szCs w:val="13"/>
                <w:color w:val="auto"/>
              </w:rPr>
            </w:pPr>
          </w:p>
        </w:tc>
        <w:tc>
          <w:tcPr>
            <w:tcW w:w="100" w:type="dxa"/>
            <w:vAlign w:val="bottom"/>
            <w:shd w:val="clear" w:color="auto" w:fill="F75E14"/>
          </w:tcPr>
          <w:p>
            <w:pPr>
              <w:spacing w:after="0"/>
              <w:rPr>
                <w:sz w:val="13"/>
                <w:szCs w:val="13"/>
                <w:color w:val="auto"/>
              </w:rPr>
            </w:pPr>
          </w:p>
        </w:tc>
        <w:tc>
          <w:tcPr>
            <w:tcW w:w="760" w:type="dxa"/>
            <w:vAlign w:val="bottom"/>
            <w:tcBorders>
              <w:right w:val="single" w:sz="8" w:color="auto"/>
            </w:tcBorders>
            <w:shd w:val="clear" w:color="auto" w:fill="F75E14"/>
          </w:tcPr>
          <w:p>
            <w:pPr>
              <w:spacing w:after="0"/>
              <w:rPr>
                <w:sz w:val="13"/>
                <w:szCs w:val="13"/>
                <w:color w:val="auto"/>
              </w:rPr>
            </w:pPr>
          </w:p>
        </w:tc>
        <w:tc>
          <w:tcPr>
            <w:tcW w:w="920" w:type="dxa"/>
            <w:vAlign w:val="bottom"/>
            <w:tcBorders>
              <w:right w:val="single" w:sz="8" w:color="auto"/>
            </w:tcBorders>
            <w:shd w:val="clear" w:color="auto" w:fill="F75E14"/>
          </w:tcPr>
          <w:p>
            <w:pPr>
              <w:spacing w:after="0"/>
              <w:rPr>
                <w:sz w:val="13"/>
                <w:szCs w:val="13"/>
                <w:color w:val="auto"/>
              </w:rPr>
            </w:pPr>
          </w:p>
        </w:tc>
        <w:tc>
          <w:tcPr>
            <w:tcW w:w="740" w:type="dxa"/>
            <w:vAlign w:val="bottom"/>
            <w:tcBorders>
              <w:right w:val="single" w:sz="8" w:color="auto"/>
            </w:tcBorders>
            <w:shd w:val="clear" w:color="auto" w:fill="F75E14"/>
          </w:tcPr>
          <w:p>
            <w:pPr>
              <w:spacing w:after="0"/>
              <w:rPr>
                <w:sz w:val="13"/>
                <w:szCs w:val="13"/>
                <w:color w:val="auto"/>
              </w:rPr>
            </w:pPr>
          </w:p>
        </w:tc>
        <w:tc>
          <w:tcPr>
            <w:tcW w:w="880" w:type="dxa"/>
            <w:vAlign w:val="bottom"/>
            <w:tcBorders>
              <w:right w:val="single" w:sz="8" w:color="auto"/>
            </w:tcBorders>
            <w:shd w:val="clear" w:color="auto" w:fill="F75E14"/>
          </w:tcPr>
          <w:p>
            <w:pPr>
              <w:spacing w:after="0"/>
              <w:rPr>
                <w:sz w:val="13"/>
                <w:szCs w:val="13"/>
                <w:color w:val="auto"/>
              </w:rPr>
            </w:pPr>
          </w:p>
        </w:tc>
        <w:tc>
          <w:tcPr>
            <w:tcW w:w="820" w:type="dxa"/>
            <w:vAlign w:val="bottom"/>
            <w:tcBorders>
              <w:right w:val="single" w:sz="8" w:color="auto"/>
            </w:tcBorders>
            <w:shd w:val="clear" w:color="auto" w:fill="F75E14"/>
          </w:tcPr>
          <w:p>
            <w:pPr>
              <w:jc w:val="center"/>
              <w:spacing w:after="0"/>
              <w:rPr>
                <w:sz w:val="20"/>
                <w:szCs w:val="20"/>
                <w:color w:val="auto"/>
              </w:rPr>
            </w:pPr>
            <w:r>
              <w:rPr>
                <w:rFonts w:ascii="Arial" w:cs="Arial" w:eastAsia="Arial" w:hAnsi="Arial"/>
                <w:sz w:val="14"/>
                <w:szCs w:val="14"/>
                <w:b w:val="1"/>
                <w:bCs w:val="1"/>
                <w:color w:val="FFFFFF"/>
              </w:rPr>
              <w:t>of Stock</w:t>
            </w:r>
          </w:p>
        </w:tc>
        <w:tc>
          <w:tcPr>
            <w:tcW w:w="1000" w:type="dxa"/>
            <w:vAlign w:val="bottom"/>
            <w:tcBorders>
              <w:right w:val="single" w:sz="8" w:color="auto"/>
            </w:tcBorders>
            <w:shd w:val="clear" w:color="auto" w:fill="F75E14"/>
          </w:tcPr>
          <w:p>
            <w:pPr>
              <w:jc w:val="center"/>
              <w:spacing w:after="0"/>
              <w:rPr>
                <w:sz w:val="20"/>
                <w:szCs w:val="20"/>
                <w:color w:val="auto"/>
              </w:rPr>
            </w:pPr>
            <w:r>
              <w:rPr>
                <w:rFonts w:ascii="Arial" w:cs="Arial" w:eastAsia="Arial" w:hAnsi="Arial"/>
                <w:sz w:val="14"/>
                <w:szCs w:val="14"/>
                <w:b w:val="1"/>
                <w:bCs w:val="1"/>
                <w:color w:val="FFFFFF"/>
              </w:rPr>
              <w:t>and Option</w:t>
            </w:r>
          </w:p>
        </w:tc>
        <w:tc>
          <w:tcPr>
            <w:tcW w:w="420" w:type="dxa"/>
            <w:vAlign w:val="bottom"/>
          </w:tcPr>
          <w:p>
            <w:pPr>
              <w:spacing w:after="0"/>
              <w:rPr>
                <w:sz w:val="13"/>
                <w:szCs w:val="13"/>
                <w:color w:val="auto"/>
              </w:rPr>
            </w:pPr>
          </w:p>
        </w:tc>
      </w:tr>
      <w:tr>
        <w:trPr>
          <w:trHeight w:val="160"/>
        </w:trPr>
        <w:tc>
          <w:tcPr>
            <w:tcW w:w="460" w:type="dxa"/>
            <w:vAlign w:val="bottom"/>
            <w:tcBorders>
              <w:right w:val="single" w:sz="8" w:color="auto"/>
            </w:tcBorders>
          </w:tcPr>
          <w:p>
            <w:pPr>
              <w:spacing w:after="0"/>
              <w:rPr>
                <w:sz w:val="13"/>
                <w:szCs w:val="13"/>
                <w:color w:val="auto"/>
              </w:rPr>
            </w:pPr>
          </w:p>
        </w:tc>
        <w:tc>
          <w:tcPr>
            <w:tcW w:w="1120" w:type="dxa"/>
            <w:vAlign w:val="bottom"/>
            <w:tcBorders>
              <w:right w:val="single" w:sz="8" w:color="auto"/>
            </w:tcBorders>
            <w:shd w:val="clear" w:color="auto" w:fill="F75E14"/>
          </w:tcPr>
          <w:p>
            <w:pPr>
              <w:ind w:left="320"/>
              <w:spacing w:after="0"/>
              <w:rPr>
                <w:sz w:val="20"/>
                <w:szCs w:val="20"/>
                <w:color w:val="auto"/>
              </w:rPr>
            </w:pPr>
            <w:r>
              <w:rPr>
                <w:rFonts w:ascii="Arial" w:cs="Arial" w:eastAsia="Arial" w:hAnsi="Arial"/>
                <w:sz w:val="14"/>
                <w:szCs w:val="14"/>
                <w:b w:val="1"/>
                <w:bCs w:val="1"/>
                <w:color w:val="FFFFFF"/>
              </w:rPr>
              <w:t>Name (1)</w:t>
            </w:r>
          </w:p>
        </w:tc>
        <w:tc>
          <w:tcPr>
            <w:tcW w:w="940" w:type="dxa"/>
            <w:vAlign w:val="bottom"/>
            <w:tcBorders>
              <w:right w:val="single" w:sz="8" w:color="auto"/>
            </w:tcBorders>
            <w:shd w:val="clear" w:color="auto" w:fill="F75E14"/>
          </w:tcPr>
          <w:p>
            <w:pPr>
              <w:jc w:val="center"/>
              <w:spacing w:after="0"/>
              <w:rPr>
                <w:sz w:val="20"/>
                <w:szCs w:val="20"/>
                <w:color w:val="auto"/>
              </w:rPr>
            </w:pPr>
            <w:r>
              <w:rPr>
                <w:rFonts w:ascii="Arial" w:cs="Arial" w:eastAsia="Arial" w:hAnsi="Arial"/>
                <w:sz w:val="14"/>
                <w:szCs w:val="14"/>
                <w:b w:val="1"/>
                <w:bCs w:val="1"/>
                <w:color w:val="FFFFFF"/>
              </w:rPr>
              <w:t>Grant Date</w:t>
            </w:r>
          </w:p>
        </w:tc>
        <w:tc>
          <w:tcPr>
            <w:tcW w:w="960" w:type="dxa"/>
            <w:vAlign w:val="bottom"/>
            <w:tcBorders>
              <w:right w:val="single" w:sz="8" w:color="auto"/>
            </w:tcBorders>
            <w:shd w:val="clear" w:color="auto" w:fill="F75E14"/>
          </w:tcPr>
          <w:p>
            <w:pPr>
              <w:jc w:val="center"/>
              <w:spacing w:after="0"/>
              <w:rPr>
                <w:sz w:val="20"/>
                <w:szCs w:val="20"/>
                <w:color w:val="auto"/>
              </w:rPr>
            </w:pPr>
            <w:r>
              <w:rPr>
                <w:rFonts w:ascii="Arial" w:cs="Arial" w:eastAsia="Arial" w:hAnsi="Arial"/>
                <w:sz w:val="14"/>
                <w:szCs w:val="14"/>
                <w:b w:val="1"/>
                <w:bCs w:val="1"/>
                <w:color w:val="FFFFFF"/>
              </w:rPr>
              <w:t>Approval</w:t>
            </w:r>
          </w:p>
        </w:tc>
        <w:tc>
          <w:tcPr>
            <w:tcW w:w="920" w:type="dxa"/>
            <w:vAlign w:val="bottom"/>
            <w:tcBorders>
              <w:right w:val="single" w:sz="8" w:color="auto"/>
            </w:tcBorders>
            <w:shd w:val="clear" w:color="auto" w:fill="F75E14"/>
          </w:tcPr>
          <w:p>
            <w:pPr>
              <w:jc w:val="center"/>
              <w:spacing w:after="0"/>
              <w:rPr>
                <w:sz w:val="20"/>
                <w:szCs w:val="20"/>
                <w:color w:val="auto"/>
              </w:rPr>
            </w:pPr>
            <w:r>
              <w:rPr>
                <w:rFonts w:ascii="Arial" w:cs="Arial" w:eastAsia="Arial" w:hAnsi="Arial"/>
                <w:sz w:val="14"/>
                <w:szCs w:val="14"/>
                <w:b w:val="1"/>
                <w:bCs w:val="1"/>
                <w:color w:val="FFFFFF"/>
              </w:rPr>
              <w:t>Threshold</w:t>
            </w:r>
          </w:p>
        </w:tc>
        <w:tc>
          <w:tcPr>
            <w:tcW w:w="80" w:type="dxa"/>
            <w:vAlign w:val="bottom"/>
            <w:shd w:val="clear" w:color="auto" w:fill="F75E14"/>
          </w:tcPr>
          <w:p>
            <w:pPr>
              <w:spacing w:after="0"/>
              <w:rPr>
                <w:sz w:val="13"/>
                <w:szCs w:val="13"/>
                <w:color w:val="auto"/>
              </w:rPr>
            </w:pPr>
          </w:p>
        </w:tc>
        <w:tc>
          <w:tcPr>
            <w:tcW w:w="800" w:type="dxa"/>
            <w:vAlign w:val="bottom"/>
            <w:tcBorders>
              <w:right w:val="single" w:sz="8" w:color="auto"/>
            </w:tcBorders>
            <w:shd w:val="clear" w:color="auto" w:fill="F75E14"/>
          </w:tcPr>
          <w:p>
            <w:pPr>
              <w:ind w:left="160"/>
              <w:spacing w:after="0"/>
              <w:rPr>
                <w:sz w:val="20"/>
                <w:szCs w:val="20"/>
                <w:color w:val="auto"/>
              </w:rPr>
            </w:pPr>
            <w:r>
              <w:rPr>
                <w:rFonts w:ascii="Arial" w:cs="Arial" w:eastAsia="Arial" w:hAnsi="Arial"/>
                <w:sz w:val="14"/>
                <w:szCs w:val="14"/>
                <w:b w:val="1"/>
                <w:bCs w:val="1"/>
                <w:color w:val="FFFFFF"/>
              </w:rPr>
              <w:t>Target</w:t>
            </w:r>
          </w:p>
        </w:tc>
        <w:tc>
          <w:tcPr>
            <w:tcW w:w="100" w:type="dxa"/>
            <w:vAlign w:val="bottom"/>
            <w:shd w:val="clear" w:color="auto" w:fill="F75E14"/>
          </w:tcPr>
          <w:p>
            <w:pPr>
              <w:spacing w:after="0"/>
              <w:rPr>
                <w:sz w:val="13"/>
                <w:szCs w:val="13"/>
                <w:color w:val="auto"/>
              </w:rPr>
            </w:pPr>
          </w:p>
        </w:tc>
        <w:tc>
          <w:tcPr>
            <w:tcW w:w="760" w:type="dxa"/>
            <w:vAlign w:val="bottom"/>
            <w:tcBorders>
              <w:right w:val="single" w:sz="8" w:color="auto"/>
            </w:tcBorders>
            <w:shd w:val="clear" w:color="auto" w:fill="F75E14"/>
          </w:tcPr>
          <w:p>
            <w:pPr>
              <w:jc w:val="center"/>
              <w:ind w:right="29"/>
              <w:spacing w:after="0"/>
              <w:rPr>
                <w:sz w:val="20"/>
                <w:szCs w:val="20"/>
                <w:color w:val="auto"/>
              </w:rPr>
            </w:pPr>
            <w:r>
              <w:rPr>
                <w:rFonts w:ascii="Arial" w:cs="Arial" w:eastAsia="Arial" w:hAnsi="Arial"/>
                <w:sz w:val="14"/>
                <w:szCs w:val="14"/>
                <w:b w:val="1"/>
                <w:bCs w:val="1"/>
                <w:color w:val="FFFFFF"/>
              </w:rPr>
              <w:t>Maximum</w:t>
            </w:r>
          </w:p>
        </w:tc>
        <w:tc>
          <w:tcPr>
            <w:tcW w:w="920" w:type="dxa"/>
            <w:vAlign w:val="bottom"/>
            <w:tcBorders>
              <w:right w:val="single" w:sz="8" w:color="auto"/>
            </w:tcBorders>
            <w:shd w:val="clear" w:color="auto" w:fill="F75E14"/>
          </w:tcPr>
          <w:p>
            <w:pPr>
              <w:jc w:val="center"/>
              <w:spacing w:after="0"/>
              <w:rPr>
                <w:sz w:val="20"/>
                <w:szCs w:val="20"/>
                <w:color w:val="auto"/>
              </w:rPr>
            </w:pPr>
            <w:r>
              <w:rPr>
                <w:rFonts w:ascii="Arial" w:cs="Arial" w:eastAsia="Arial" w:hAnsi="Arial"/>
                <w:sz w:val="14"/>
                <w:szCs w:val="14"/>
                <w:b w:val="1"/>
                <w:bCs w:val="1"/>
                <w:color w:val="FFFFFF"/>
              </w:rPr>
              <w:t>Threshold</w:t>
            </w:r>
          </w:p>
        </w:tc>
        <w:tc>
          <w:tcPr>
            <w:tcW w:w="740" w:type="dxa"/>
            <w:vAlign w:val="bottom"/>
            <w:tcBorders>
              <w:right w:val="single" w:sz="8" w:color="auto"/>
            </w:tcBorders>
            <w:shd w:val="clear" w:color="auto" w:fill="F75E14"/>
          </w:tcPr>
          <w:p>
            <w:pPr>
              <w:ind w:left="180"/>
              <w:spacing w:after="0"/>
              <w:rPr>
                <w:sz w:val="20"/>
                <w:szCs w:val="20"/>
                <w:color w:val="auto"/>
              </w:rPr>
            </w:pPr>
            <w:r>
              <w:rPr>
                <w:rFonts w:ascii="Arial" w:cs="Arial" w:eastAsia="Arial" w:hAnsi="Arial"/>
                <w:sz w:val="14"/>
                <w:szCs w:val="14"/>
                <w:b w:val="1"/>
                <w:bCs w:val="1"/>
                <w:color w:val="FFFFFF"/>
              </w:rPr>
              <w:t>Target</w:t>
            </w:r>
          </w:p>
        </w:tc>
        <w:tc>
          <w:tcPr>
            <w:tcW w:w="880" w:type="dxa"/>
            <w:vAlign w:val="bottom"/>
            <w:tcBorders>
              <w:right w:val="single" w:sz="8" w:color="auto"/>
            </w:tcBorders>
            <w:shd w:val="clear" w:color="auto" w:fill="F75E14"/>
          </w:tcPr>
          <w:p>
            <w:pPr>
              <w:jc w:val="center"/>
              <w:spacing w:after="0"/>
              <w:rPr>
                <w:sz w:val="20"/>
                <w:szCs w:val="20"/>
                <w:color w:val="auto"/>
              </w:rPr>
            </w:pPr>
            <w:r>
              <w:rPr>
                <w:rFonts w:ascii="Arial" w:cs="Arial" w:eastAsia="Arial" w:hAnsi="Arial"/>
                <w:sz w:val="14"/>
                <w:szCs w:val="14"/>
                <w:b w:val="1"/>
                <w:bCs w:val="1"/>
                <w:color w:val="FFFFFF"/>
              </w:rPr>
              <w:t>Maximum</w:t>
            </w:r>
          </w:p>
        </w:tc>
        <w:tc>
          <w:tcPr>
            <w:tcW w:w="820" w:type="dxa"/>
            <w:vAlign w:val="bottom"/>
            <w:tcBorders>
              <w:right w:val="single" w:sz="8" w:color="auto"/>
            </w:tcBorders>
            <w:shd w:val="clear" w:color="auto" w:fill="F75E14"/>
          </w:tcPr>
          <w:p>
            <w:pPr>
              <w:jc w:val="center"/>
              <w:spacing w:after="0"/>
              <w:rPr>
                <w:sz w:val="20"/>
                <w:szCs w:val="20"/>
                <w:color w:val="auto"/>
              </w:rPr>
            </w:pPr>
            <w:r>
              <w:rPr>
                <w:rFonts w:ascii="Arial" w:cs="Arial" w:eastAsia="Arial" w:hAnsi="Arial"/>
                <w:sz w:val="14"/>
                <w:szCs w:val="14"/>
                <w:b w:val="1"/>
                <w:bCs w:val="1"/>
                <w:color w:val="FFFFFF"/>
              </w:rPr>
              <w:t>or Units</w:t>
            </w:r>
          </w:p>
        </w:tc>
        <w:tc>
          <w:tcPr>
            <w:tcW w:w="1000" w:type="dxa"/>
            <w:vAlign w:val="bottom"/>
            <w:tcBorders>
              <w:right w:val="single" w:sz="8" w:color="auto"/>
            </w:tcBorders>
            <w:shd w:val="clear" w:color="auto" w:fill="F75E14"/>
          </w:tcPr>
          <w:p>
            <w:pPr>
              <w:jc w:val="center"/>
              <w:spacing w:after="0"/>
              <w:rPr>
                <w:sz w:val="20"/>
                <w:szCs w:val="20"/>
                <w:color w:val="auto"/>
              </w:rPr>
            </w:pPr>
            <w:r>
              <w:rPr>
                <w:rFonts w:ascii="Arial" w:cs="Arial" w:eastAsia="Arial" w:hAnsi="Arial"/>
                <w:sz w:val="14"/>
                <w:szCs w:val="14"/>
                <w:b w:val="1"/>
                <w:bCs w:val="1"/>
                <w:color w:val="FFFFFF"/>
              </w:rPr>
              <w:t>Awards</w:t>
            </w:r>
          </w:p>
        </w:tc>
        <w:tc>
          <w:tcPr>
            <w:tcW w:w="420" w:type="dxa"/>
            <w:vAlign w:val="bottom"/>
          </w:tcPr>
          <w:p>
            <w:pPr>
              <w:spacing w:after="0"/>
              <w:rPr>
                <w:sz w:val="13"/>
                <w:szCs w:val="13"/>
                <w:color w:val="auto"/>
              </w:rPr>
            </w:pPr>
          </w:p>
        </w:tc>
      </w:tr>
      <w:tr>
        <w:trPr>
          <w:trHeight w:val="255"/>
        </w:trPr>
        <w:tc>
          <w:tcPr>
            <w:tcW w:w="460" w:type="dxa"/>
            <w:vAlign w:val="bottom"/>
            <w:tcBorders>
              <w:right w:val="single" w:sz="8" w:color="auto"/>
            </w:tcBorders>
          </w:tcPr>
          <w:p>
            <w:pPr>
              <w:spacing w:after="0"/>
              <w:rPr>
                <w:sz w:val="21"/>
                <w:szCs w:val="21"/>
                <w:color w:val="auto"/>
              </w:rPr>
            </w:pPr>
          </w:p>
        </w:tc>
        <w:tc>
          <w:tcPr>
            <w:tcW w:w="1120" w:type="dxa"/>
            <w:vAlign w:val="bottom"/>
            <w:tcBorders>
              <w:bottom w:val="single" w:sz="8" w:color="F75E14"/>
              <w:right w:val="single" w:sz="8" w:color="auto"/>
            </w:tcBorders>
            <w:shd w:val="clear" w:color="auto" w:fill="F75E14"/>
          </w:tcPr>
          <w:p>
            <w:pPr>
              <w:ind w:left="540"/>
              <w:spacing w:after="0"/>
              <w:rPr>
                <w:sz w:val="20"/>
                <w:szCs w:val="20"/>
                <w:color w:val="auto"/>
              </w:rPr>
            </w:pPr>
            <w:r>
              <w:rPr>
                <w:rFonts w:ascii="Arial" w:cs="Arial" w:eastAsia="Arial" w:hAnsi="Arial"/>
                <w:sz w:val="14"/>
                <w:szCs w:val="14"/>
                <w:b w:val="1"/>
                <w:bCs w:val="1"/>
                <w:color w:val="FFFFFF"/>
              </w:rPr>
              <w:t>(a)</w:t>
            </w:r>
          </w:p>
        </w:tc>
        <w:tc>
          <w:tcPr>
            <w:tcW w:w="940" w:type="dxa"/>
            <w:vAlign w:val="bottom"/>
            <w:tcBorders>
              <w:bottom w:val="single" w:sz="8" w:color="F75E14"/>
              <w:right w:val="single" w:sz="8" w:color="auto"/>
            </w:tcBorders>
            <w:shd w:val="clear" w:color="auto" w:fill="F75E14"/>
          </w:tcPr>
          <w:p>
            <w:pPr>
              <w:jc w:val="center"/>
              <w:spacing w:after="0"/>
              <w:rPr>
                <w:sz w:val="20"/>
                <w:szCs w:val="20"/>
                <w:color w:val="auto"/>
              </w:rPr>
            </w:pPr>
            <w:r>
              <w:rPr>
                <w:rFonts w:ascii="Arial" w:cs="Arial" w:eastAsia="Arial" w:hAnsi="Arial"/>
                <w:sz w:val="14"/>
                <w:szCs w:val="14"/>
                <w:b w:val="1"/>
                <w:bCs w:val="1"/>
                <w:color w:val="FFFFFF"/>
              </w:rPr>
              <w:t>(b)</w:t>
            </w:r>
          </w:p>
        </w:tc>
        <w:tc>
          <w:tcPr>
            <w:tcW w:w="960" w:type="dxa"/>
            <w:vAlign w:val="bottom"/>
            <w:tcBorders>
              <w:bottom w:val="single" w:sz="8" w:color="F75E14"/>
              <w:right w:val="single" w:sz="8" w:color="auto"/>
            </w:tcBorders>
            <w:shd w:val="clear" w:color="auto" w:fill="F75E14"/>
          </w:tcPr>
          <w:p>
            <w:pPr>
              <w:jc w:val="center"/>
              <w:spacing w:after="0"/>
              <w:rPr>
                <w:sz w:val="20"/>
                <w:szCs w:val="20"/>
                <w:color w:val="auto"/>
              </w:rPr>
            </w:pPr>
            <w:r>
              <w:rPr>
                <w:rFonts w:ascii="Arial" w:cs="Arial" w:eastAsia="Arial" w:hAnsi="Arial"/>
                <w:sz w:val="14"/>
                <w:szCs w:val="14"/>
                <w:b w:val="1"/>
                <w:bCs w:val="1"/>
                <w:color w:val="FFFFFF"/>
              </w:rPr>
              <w:t>Date (2)</w:t>
            </w:r>
          </w:p>
        </w:tc>
        <w:tc>
          <w:tcPr>
            <w:tcW w:w="920" w:type="dxa"/>
            <w:vAlign w:val="bottom"/>
            <w:tcBorders>
              <w:bottom w:val="single" w:sz="8" w:color="F75E14"/>
              <w:right w:val="single" w:sz="8" w:color="auto"/>
            </w:tcBorders>
            <w:shd w:val="clear" w:color="auto" w:fill="F75E14"/>
          </w:tcPr>
          <w:p>
            <w:pPr>
              <w:jc w:val="center"/>
              <w:spacing w:after="0"/>
              <w:rPr>
                <w:sz w:val="20"/>
                <w:szCs w:val="20"/>
                <w:color w:val="auto"/>
              </w:rPr>
            </w:pPr>
            <w:r>
              <w:rPr>
                <w:rFonts w:ascii="Arial" w:cs="Arial" w:eastAsia="Arial" w:hAnsi="Arial"/>
                <w:sz w:val="14"/>
                <w:szCs w:val="14"/>
                <w:b w:val="1"/>
                <w:bCs w:val="1"/>
                <w:color w:val="FFFFFF"/>
                <w:w w:val="99"/>
              </w:rPr>
              <w:t>($) (c)</w:t>
            </w:r>
          </w:p>
        </w:tc>
        <w:tc>
          <w:tcPr>
            <w:tcW w:w="80" w:type="dxa"/>
            <w:vAlign w:val="bottom"/>
            <w:tcBorders>
              <w:bottom w:val="single" w:sz="8" w:color="F75E14"/>
            </w:tcBorders>
            <w:shd w:val="clear" w:color="auto" w:fill="F75E14"/>
          </w:tcPr>
          <w:p>
            <w:pPr>
              <w:spacing w:after="0"/>
              <w:rPr>
                <w:sz w:val="21"/>
                <w:szCs w:val="21"/>
                <w:color w:val="auto"/>
              </w:rPr>
            </w:pPr>
          </w:p>
        </w:tc>
        <w:tc>
          <w:tcPr>
            <w:tcW w:w="800" w:type="dxa"/>
            <w:vAlign w:val="bottom"/>
            <w:tcBorders>
              <w:bottom w:val="single" w:sz="8" w:color="F75E14"/>
              <w:right w:val="single" w:sz="8" w:color="auto"/>
            </w:tcBorders>
            <w:shd w:val="clear" w:color="auto" w:fill="F75E14"/>
          </w:tcPr>
          <w:p>
            <w:pPr>
              <w:ind w:left="180"/>
              <w:spacing w:after="0"/>
              <w:rPr>
                <w:sz w:val="20"/>
                <w:szCs w:val="20"/>
                <w:color w:val="auto"/>
              </w:rPr>
            </w:pPr>
            <w:r>
              <w:rPr>
                <w:rFonts w:ascii="Arial" w:cs="Arial" w:eastAsia="Arial" w:hAnsi="Arial"/>
                <w:sz w:val="14"/>
                <w:szCs w:val="14"/>
                <w:b w:val="1"/>
                <w:bCs w:val="1"/>
                <w:color w:val="FFFFFF"/>
              </w:rPr>
              <w:t>($) (d)</w:t>
            </w:r>
          </w:p>
        </w:tc>
        <w:tc>
          <w:tcPr>
            <w:tcW w:w="100" w:type="dxa"/>
            <w:vAlign w:val="bottom"/>
            <w:tcBorders>
              <w:bottom w:val="single" w:sz="8" w:color="F75E14"/>
            </w:tcBorders>
            <w:shd w:val="clear" w:color="auto" w:fill="F75E14"/>
          </w:tcPr>
          <w:p>
            <w:pPr>
              <w:spacing w:after="0"/>
              <w:rPr>
                <w:sz w:val="21"/>
                <w:szCs w:val="21"/>
                <w:color w:val="auto"/>
              </w:rPr>
            </w:pPr>
          </w:p>
        </w:tc>
        <w:tc>
          <w:tcPr>
            <w:tcW w:w="760" w:type="dxa"/>
            <w:vAlign w:val="bottom"/>
            <w:tcBorders>
              <w:bottom w:val="single" w:sz="8" w:color="F75E14"/>
              <w:right w:val="single" w:sz="8" w:color="auto"/>
            </w:tcBorders>
            <w:shd w:val="clear" w:color="auto" w:fill="F75E14"/>
          </w:tcPr>
          <w:p>
            <w:pPr>
              <w:jc w:val="center"/>
              <w:ind w:right="9"/>
              <w:spacing w:after="0"/>
              <w:rPr>
                <w:sz w:val="20"/>
                <w:szCs w:val="20"/>
                <w:color w:val="auto"/>
              </w:rPr>
            </w:pPr>
            <w:r>
              <w:rPr>
                <w:rFonts w:ascii="Arial" w:cs="Arial" w:eastAsia="Arial" w:hAnsi="Arial"/>
                <w:sz w:val="14"/>
                <w:szCs w:val="14"/>
                <w:b w:val="1"/>
                <w:bCs w:val="1"/>
                <w:color w:val="FFFFFF"/>
              </w:rPr>
              <w:t>($) (e) (5)</w:t>
            </w:r>
          </w:p>
        </w:tc>
        <w:tc>
          <w:tcPr>
            <w:tcW w:w="920" w:type="dxa"/>
            <w:vAlign w:val="bottom"/>
            <w:tcBorders>
              <w:bottom w:val="single" w:sz="8" w:color="F75E14"/>
              <w:right w:val="single" w:sz="8" w:color="auto"/>
            </w:tcBorders>
            <w:shd w:val="clear" w:color="auto" w:fill="F75E14"/>
          </w:tcPr>
          <w:p>
            <w:pPr>
              <w:jc w:val="center"/>
              <w:spacing w:after="0"/>
              <w:rPr>
                <w:sz w:val="20"/>
                <w:szCs w:val="20"/>
                <w:color w:val="auto"/>
              </w:rPr>
            </w:pPr>
            <w:r>
              <w:rPr>
                <w:rFonts w:ascii="Arial" w:cs="Arial" w:eastAsia="Arial" w:hAnsi="Arial"/>
                <w:sz w:val="14"/>
                <w:szCs w:val="14"/>
                <w:b w:val="1"/>
                <w:bCs w:val="1"/>
                <w:color w:val="FFFFFF"/>
              </w:rPr>
              <w:t>(#) (f)</w:t>
            </w:r>
          </w:p>
        </w:tc>
        <w:tc>
          <w:tcPr>
            <w:tcW w:w="740" w:type="dxa"/>
            <w:vAlign w:val="bottom"/>
            <w:tcBorders>
              <w:bottom w:val="single" w:sz="8" w:color="F75E14"/>
              <w:right w:val="single" w:sz="8" w:color="auto"/>
            </w:tcBorders>
            <w:shd w:val="clear" w:color="auto" w:fill="F75E14"/>
          </w:tcPr>
          <w:p>
            <w:pPr>
              <w:ind w:left="180"/>
              <w:spacing w:after="0"/>
              <w:rPr>
                <w:sz w:val="20"/>
                <w:szCs w:val="20"/>
                <w:color w:val="auto"/>
              </w:rPr>
            </w:pPr>
            <w:r>
              <w:rPr>
                <w:rFonts w:ascii="Arial" w:cs="Arial" w:eastAsia="Arial" w:hAnsi="Arial"/>
                <w:sz w:val="14"/>
                <w:szCs w:val="14"/>
                <w:b w:val="1"/>
                <w:bCs w:val="1"/>
                <w:color w:val="FFFFFF"/>
              </w:rPr>
              <w:t>(#) (g)</w:t>
            </w:r>
          </w:p>
        </w:tc>
        <w:tc>
          <w:tcPr>
            <w:tcW w:w="880" w:type="dxa"/>
            <w:vAlign w:val="bottom"/>
            <w:tcBorders>
              <w:bottom w:val="single" w:sz="8" w:color="F75E14"/>
              <w:right w:val="single" w:sz="8" w:color="auto"/>
            </w:tcBorders>
            <w:shd w:val="clear" w:color="auto" w:fill="F75E14"/>
          </w:tcPr>
          <w:p>
            <w:pPr>
              <w:jc w:val="center"/>
              <w:spacing w:after="0"/>
              <w:rPr>
                <w:sz w:val="20"/>
                <w:szCs w:val="20"/>
                <w:color w:val="auto"/>
              </w:rPr>
            </w:pPr>
            <w:r>
              <w:rPr>
                <w:rFonts w:ascii="Arial" w:cs="Arial" w:eastAsia="Arial" w:hAnsi="Arial"/>
                <w:sz w:val="14"/>
                <w:szCs w:val="14"/>
                <w:b w:val="1"/>
                <w:bCs w:val="1"/>
                <w:color w:val="FFFFFF"/>
              </w:rPr>
              <w:t>(#) (h)</w:t>
            </w:r>
          </w:p>
        </w:tc>
        <w:tc>
          <w:tcPr>
            <w:tcW w:w="820" w:type="dxa"/>
            <w:vAlign w:val="bottom"/>
            <w:tcBorders>
              <w:bottom w:val="single" w:sz="8" w:color="F75E14"/>
              <w:right w:val="single" w:sz="8" w:color="auto"/>
            </w:tcBorders>
            <w:shd w:val="clear" w:color="auto" w:fill="F75E14"/>
          </w:tcPr>
          <w:p>
            <w:pPr>
              <w:jc w:val="center"/>
              <w:spacing w:after="0"/>
              <w:rPr>
                <w:sz w:val="20"/>
                <w:szCs w:val="20"/>
                <w:color w:val="auto"/>
              </w:rPr>
            </w:pPr>
            <w:r>
              <w:rPr>
                <w:rFonts w:ascii="Arial" w:cs="Arial" w:eastAsia="Arial" w:hAnsi="Arial"/>
                <w:sz w:val="14"/>
                <w:szCs w:val="14"/>
                <w:b w:val="1"/>
                <w:bCs w:val="1"/>
                <w:color w:val="FFFFFF"/>
              </w:rPr>
              <w:t>(#) (i) (6)</w:t>
            </w:r>
          </w:p>
        </w:tc>
        <w:tc>
          <w:tcPr>
            <w:tcW w:w="1000" w:type="dxa"/>
            <w:vAlign w:val="bottom"/>
            <w:tcBorders>
              <w:bottom w:val="single" w:sz="8" w:color="F75E14"/>
              <w:right w:val="single" w:sz="8" w:color="auto"/>
            </w:tcBorders>
            <w:shd w:val="clear" w:color="auto" w:fill="F75E14"/>
          </w:tcPr>
          <w:p>
            <w:pPr>
              <w:jc w:val="center"/>
              <w:spacing w:after="0"/>
              <w:rPr>
                <w:sz w:val="20"/>
                <w:szCs w:val="20"/>
                <w:color w:val="auto"/>
              </w:rPr>
            </w:pPr>
            <w:r>
              <w:rPr>
                <w:rFonts w:ascii="Arial" w:cs="Arial" w:eastAsia="Arial" w:hAnsi="Arial"/>
                <w:sz w:val="14"/>
                <w:szCs w:val="14"/>
                <w:b w:val="1"/>
                <w:bCs w:val="1"/>
                <w:color w:val="FFFFFF"/>
              </w:rPr>
              <w:t>($) (l) (7)</w:t>
            </w:r>
          </w:p>
        </w:tc>
        <w:tc>
          <w:tcPr>
            <w:tcW w:w="420" w:type="dxa"/>
            <w:vAlign w:val="bottom"/>
          </w:tcPr>
          <w:p>
            <w:pPr>
              <w:spacing w:after="0"/>
              <w:rPr>
                <w:sz w:val="21"/>
                <w:szCs w:val="21"/>
                <w:color w:val="auto"/>
              </w:rPr>
            </w:pPr>
          </w:p>
        </w:tc>
      </w:tr>
      <w:tr>
        <w:trPr>
          <w:trHeight w:val="214"/>
        </w:trPr>
        <w:tc>
          <w:tcPr>
            <w:tcW w:w="460" w:type="dxa"/>
            <w:vAlign w:val="bottom"/>
            <w:tcBorders>
              <w:right w:val="single" w:sz="8" w:color="auto"/>
            </w:tcBorders>
          </w:tcPr>
          <w:p>
            <w:pPr>
              <w:spacing w:after="0"/>
              <w:rPr>
                <w:sz w:val="18"/>
                <w:szCs w:val="18"/>
                <w:color w:val="auto"/>
              </w:rPr>
            </w:pPr>
          </w:p>
        </w:tc>
        <w:tc>
          <w:tcPr>
            <w:tcW w:w="1120" w:type="dxa"/>
            <w:vAlign w:val="bottom"/>
            <w:tcBorders>
              <w:top w:val="single" w:sz="8" w:color="auto"/>
              <w:bottom w:val="single" w:sz="8" w:color="D8E8EF"/>
              <w:right w:val="single" w:sz="8" w:color="auto"/>
            </w:tcBorders>
            <w:shd w:val="clear" w:color="auto" w:fill="D8E8EF"/>
          </w:tcPr>
          <w:p>
            <w:pPr>
              <w:ind w:left="140"/>
              <w:spacing w:after="0"/>
              <w:rPr>
                <w:sz w:val="20"/>
                <w:szCs w:val="20"/>
                <w:color w:val="auto"/>
              </w:rPr>
            </w:pPr>
            <w:r>
              <w:rPr>
                <w:rFonts w:ascii="Arial" w:cs="Arial" w:eastAsia="Arial" w:hAnsi="Arial"/>
                <w:sz w:val="14"/>
                <w:szCs w:val="14"/>
                <w:color w:val="auto"/>
              </w:rPr>
              <w:t>Hassane</w:t>
            </w:r>
          </w:p>
        </w:tc>
        <w:tc>
          <w:tcPr>
            <w:tcW w:w="940" w:type="dxa"/>
            <w:vAlign w:val="bottom"/>
            <w:tcBorders>
              <w:top w:val="single" w:sz="8" w:color="auto"/>
              <w:bottom w:val="single" w:sz="8" w:color="auto"/>
              <w:right w:val="single" w:sz="8" w:color="auto"/>
            </w:tcBorders>
            <w:shd w:val="clear" w:color="auto" w:fill="D8E8EF"/>
          </w:tcPr>
          <w:p>
            <w:pPr>
              <w:spacing w:after="0"/>
              <w:rPr>
                <w:sz w:val="18"/>
                <w:szCs w:val="18"/>
                <w:color w:val="auto"/>
              </w:rPr>
            </w:pPr>
          </w:p>
        </w:tc>
        <w:tc>
          <w:tcPr>
            <w:tcW w:w="960" w:type="dxa"/>
            <w:vAlign w:val="bottom"/>
            <w:tcBorders>
              <w:top w:val="single" w:sz="8" w:color="auto"/>
              <w:bottom w:val="single" w:sz="8" w:color="auto"/>
              <w:right w:val="single" w:sz="8" w:color="auto"/>
            </w:tcBorders>
            <w:shd w:val="clear" w:color="auto" w:fill="D8E8EF"/>
          </w:tcPr>
          <w:p>
            <w:pPr>
              <w:jc w:val="center"/>
              <w:spacing w:after="0"/>
              <w:rPr>
                <w:sz w:val="20"/>
                <w:szCs w:val="20"/>
                <w:color w:val="auto"/>
              </w:rPr>
            </w:pPr>
            <w:r>
              <w:rPr>
                <w:rFonts w:ascii="Arial" w:cs="Arial" w:eastAsia="Arial" w:hAnsi="Arial"/>
                <w:sz w:val="14"/>
                <w:szCs w:val="14"/>
                <w:color w:val="auto"/>
              </w:rPr>
              <w:t>02/12/2021</w:t>
            </w:r>
          </w:p>
        </w:tc>
        <w:tc>
          <w:tcPr>
            <w:tcW w:w="920" w:type="dxa"/>
            <w:vAlign w:val="bottom"/>
            <w:tcBorders>
              <w:top w:val="single" w:sz="8" w:color="auto"/>
              <w:bottom w:val="single" w:sz="8" w:color="auto"/>
              <w:right w:val="single" w:sz="8" w:color="auto"/>
            </w:tcBorders>
            <w:shd w:val="clear" w:color="auto" w:fill="D8E8EF"/>
          </w:tcPr>
          <w:p>
            <w:pPr>
              <w:jc w:val="center"/>
              <w:spacing w:after="0"/>
              <w:rPr>
                <w:sz w:val="20"/>
                <w:szCs w:val="20"/>
                <w:color w:val="auto"/>
              </w:rPr>
            </w:pPr>
            <w:r>
              <w:rPr>
                <w:rFonts w:ascii="Arial" w:cs="Arial" w:eastAsia="Arial" w:hAnsi="Arial"/>
                <w:sz w:val="14"/>
                <w:szCs w:val="14"/>
                <w:color w:val="auto"/>
              </w:rPr>
              <w:t>0</w:t>
            </w:r>
          </w:p>
        </w:tc>
        <w:tc>
          <w:tcPr>
            <w:tcW w:w="80" w:type="dxa"/>
            <w:vAlign w:val="bottom"/>
            <w:tcBorders>
              <w:top w:val="single" w:sz="8" w:color="auto"/>
              <w:bottom w:val="single" w:sz="8" w:color="auto"/>
            </w:tcBorders>
            <w:shd w:val="clear" w:color="auto" w:fill="D8E8EF"/>
          </w:tcPr>
          <w:p>
            <w:pPr>
              <w:spacing w:after="0"/>
              <w:rPr>
                <w:sz w:val="18"/>
                <w:szCs w:val="18"/>
                <w:color w:val="auto"/>
              </w:rPr>
            </w:pPr>
          </w:p>
        </w:tc>
        <w:tc>
          <w:tcPr>
            <w:tcW w:w="800" w:type="dxa"/>
            <w:vAlign w:val="bottom"/>
            <w:tcBorders>
              <w:top w:val="single" w:sz="8" w:color="auto"/>
              <w:bottom w:val="single" w:sz="8" w:color="auto"/>
              <w:right w:val="single" w:sz="8" w:color="auto"/>
            </w:tcBorders>
            <w:shd w:val="clear" w:color="auto" w:fill="D8E8EF"/>
          </w:tcPr>
          <w:p>
            <w:pPr>
              <w:jc w:val="center"/>
              <w:spacing w:after="0"/>
              <w:rPr>
                <w:sz w:val="20"/>
                <w:szCs w:val="20"/>
                <w:color w:val="auto"/>
              </w:rPr>
            </w:pPr>
            <w:r>
              <w:rPr>
                <w:rFonts w:ascii="Arial" w:cs="Arial" w:eastAsia="Arial" w:hAnsi="Arial"/>
                <w:sz w:val="14"/>
                <w:szCs w:val="14"/>
                <w:color w:val="auto"/>
                <w:w w:val="99"/>
              </w:rPr>
              <w:t>1,425,000</w:t>
            </w:r>
          </w:p>
        </w:tc>
        <w:tc>
          <w:tcPr>
            <w:tcW w:w="100" w:type="dxa"/>
            <w:vAlign w:val="bottom"/>
            <w:tcBorders>
              <w:top w:val="single" w:sz="8" w:color="auto"/>
              <w:bottom w:val="single" w:sz="8" w:color="auto"/>
            </w:tcBorders>
            <w:shd w:val="clear" w:color="auto" w:fill="D8E8EF"/>
          </w:tcPr>
          <w:p>
            <w:pPr>
              <w:spacing w:after="0"/>
              <w:rPr>
                <w:sz w:val="18"/>
                <w:szCs w:val="18"/>
                <w:color w:val="auto"/>
              </w:rPr>
            </w:pPr>
          </w:p>
        </w:tc>
        <w:tc>
          <w:tcPr>
            <w:tcW w:w="760" w:type="dxa"/>
            <w:vAlign w:val="bottom"/>
            <w:tcBorders>
              <w:top w:val="single" w:sz="8" w:color="auto"/>
              <w:bottom w:val="single" w:sz="8" w:color="auto"/>
              <w:right w:val="single" w:sz="8" w:color="auto"/>
            </w:tcBorders>
            <w:shd w:val="clear" w:color="auto" w:fill="D8E8EF"/>
          </w:tcPr>
          <w:p>
            <w:pPr>
              <w:jc w:val="center"/>
              <w:ind w:right="9"/>
              <w:spacing w:after="0"/>
              <w:rPr>
                <w:sz w:val="20"/>
                <w:szCs w:val="20"/>
                <w:color w:val="auto"/>
              </w:rPr>
            </w:pPr>
            <w:r>
              <w:rPr>
                <w:rFonts w:ascii="Arial" w:cs="Arial" w:eastAsia="Arial" w:hAnsi="Arial"/>
                <w:sz w:val="14"/>
                <w:szCs w:val="14"/>
                <w:color w:val="auto"/>
              </w:rPr>
              <w:t>2,137,500</w:t>
            </w:r>
          </w:p>
        </w:tc>
        <w:tc>
          <w:tcPr>
            <w:tcW w:w="920" w:type="dxa"/>
            <w:vAlign w:val="bottom"/>
            <w:tcBorders>
              <w:top w:val="single" w:sz="8" w:color="auto"/>
              <w:bottom w:val="single" w:sz="8" w:color="auto"/>
              <w:right w:val="single" w:sz="8" w:color="auto"/>
            </w:tcBorders>
            <w:shd w:val="clear" w:color="auto" w:fill="D8E8EF"/>
          </w:tcPr>
          <w:p>
            <w:pPr>
              <w:spacing w:after="0"/>
              <w:rPr>
                <w:sz w:val="18"/>
                <w:szCs w:val="18"/>
                <w:color w:val="auto"/>
              </w:rPr>
            </w:pPr>
          </w:p>
        </w:tc>
        <w:tc>
          <w:tcPr>
            <w:tcW w:w="740" w:type="dxa"/>
            <w:vAlign w:val="bottom"/>
            <w:tcBorders>
              <w:top w:val="single" w:sz="8" w:color="auto"/>
              <w:bottom w:val="single" w:sz="8" w:color="auto"/>
              <w:right w:val="single" w:sz="8" w:color="auto"/>
            </w:tcBorders>
            <w:shd w:val="clear" w:color="auto" w:fill="D8E8EF"/>
          </w:tcPr>
          <w:p>
            <w:pPr>
              <w:spacing w:after="0"/>
              <w:rPr>
                <w:sz w:val="18"/>
                <w:szCs w:val="18"/>
                <w:color w:val="auto"/>
              </w:rPr>
            </w:pPr>
          </w:p>
        </w:tc>
        <w:tc>
          <w:tcPr>
            <w:tcW w:w="880" w:type="dxa"/>
            <w:vAlign w:val="bottom"/>
            <w:tcBorders>
              <w:top w:val="single" w:sz="8" w:color="auto"/>
              <w:bottom w:val="single" w:sz="8" w:color="auto"/>
              <w:right w:val="single" w:sz="8" w:color="auto"/>
            </w:tcBorders>
            <w:shd w:val="clear" w:color="auto" w:fill="D8E8EF"/>
          </w:tcPr>
          <w:p>
            <w:pPr>
              <w:spacing w:after="0"/>
              <w:rPr>
                <w:sz w:val="18"/>
                <w:szCs w:val="18"/>
                <w:color w:val="auto"/>
              </w:rPr>
            </w:pPr>
          </w:p>
        </w:tc>
        <w:tc>
          <w:tcPr>
            <w:tcW w:w="820" w:type="dxa"/>
            <w:vAlign w:val="bottom"/>
            <w:tcBorders>
              <w:top w:val="single" w:sz="8" w:color="auto"/>
              <w:bottom w:val="single" w:sz="8" w:color="auto"/>
              <w:right w:val="single" w:sz="8" w:color="auto"/>
            </w:tcBorders>
            <w:shd w:val="clear" w:color="auto" w:fill="D8E8EF"/>
          </w:tcPr>
          <w:p>
            <w:pPr>
              <w:spacing w:after="0"/>
              <w:rPr>
                <w:sz w:val="18"/>
                <w:szCs w:val="18"/>
                <w:color w:val="auto"/>
              </w:rPr>
            </w:pPr>
          </w:p>
        </w:tc>
        <w:tc>
          <w:tcPr>
            <w:tcW w:w="1000" w:type="dxa"/>
            <w:vAlign w:val="bottom"/>
            <w:tcBorders>
              <w:top w:val="single" w:sz="8" w:color="auto"/>
              <w:bottom w:val="single" w:sz="8" w:color="auto"/>
              <w:right w:val="single" w:sz="8" w:color="auto"/>
            </w:tcBorders>
            <w:shd w:val="clear" w:color="auto" w:fill="D8E8EF"/>
          </w:tcPr>
          <w:p>
            <w:pPr>
              <w:spacing w:after="0"/>
              <w:rPr>
                <w:sz w:val="18"/>
                <w:szCs w:val="18"/>
                <w:color w:val="auto"/>
              </w:rPr>
            </w:pPr>
          </w:p>
        </w:tc>
        <w:tc>
          <w:tcPr>
            <w:tcW w:w="420" w:type="dxa"/>
            <w:vAlign w:val="bottom"/>
          </w:tcPr>
          <w:p>
            <w:pPr>
              <w:spacing w:after="0"/>
              <w:rPr>
                <w:sz w:val="18"/>
                <w:szCs w:val="18"/>
                <w:color w:val="auto"/>
              </w:rPr>
            </w:pPr>
          </w:p>
        </w:tc>
      </w:tr>
      <w:tr>
        <w:trPr>
          <w:trHeight w:val="210"/>
        </w:trPr>
        <w:tc>
          <w:tcPr>
            <w:tcW w:w="460" w:type="dxa"/>
            <w:vAlign w:val="bottom"/>
            <w:tcBorders>
              <w:right w:val="single" w:sz="8" w:color="auto"/>
            </w:tcBorders>
          </w:tcPr>
          <w:p>
            <w:pPr>
              <w:spacing w:after="0"/>
              <w:rPr>
                <w:sz w:val="18"/>
                <w:szCs w:val="18"/>
                <w:color w:val="auto"/>
              </w:rPr>
            </w:pPr>
          </w:p>
        </w:tc>
        <w:tc>
          <w:tcPr>
            <w:tcW w:w="1120" w:type="dxa"/>
            <w:vAlign w:val="bottom"/>
            <w:tcBorders>
              <w:bottom w:val="single" w:sz="8" w:color="D8E8EF"/>
              <w:right w:val="single" w:sz="8" w:color="auto"/>
            </w:tcBorders>
            <w:shd w:val="clear" w:color="auto" w:fill="D8E8EF"/>
          </w:tcPr>
          <w:p>
            <w:pPr>
              <w:ind w:left="140"/>
              <w:spacing w:after="0"/>
              <w:rPr>
                <w:sz w:val="20"/>
                <w:szCs w:val="20"/>
                <w:color w:val="auto"/>
              </w:rPr>
            </w:pPr>
            <w:r>
              <w:rPr>
                <w:rFonts w:ascii="Arial" w:cs="Arial" w:eastAsia="Arial" w:hAnsi="Arial"/>
                <w:sz w:val="14"/>
                <w:szCs w:val="14"/>
                <w:color w:val="auto"/>
              </w:rPr>
              <w:t>El-Khoury</w:t>
            </w:r>
          </w:p>
        </w:tc>
        <w:tc>
          <w:tcPr>
            <w:tcW w:w="940" w:type="dxa"/>
            <w:vAlign w:val="bottom"/>
            <w:tcBorders>
              <w:bottom w:val="single" w:sz="8" w:color="auto"/>
              <w:right w:val="single" w:sz="8" w:color="auto"/>
            </w:tcBorders>
            <w:shd w:val="clear" w:color="auto" w:fill="D8E8EF"/>
          </w:tcPr>
          <w:p>
            <w:pPr>
              <w:jc w:val="center"/>
              <w:spacing w:after="0"/>
              <w:rPr>
                <w:sz w:val="20"/>
                <w:szCs w:val="20"/>
                <w:color w:val="auto"/>
              </w:rPr>
            </w:pPr>
            <w:r>
              <w:rPr>
                <w:rFonts w:ascii="Arial" w:cs="Arial" w:eastAsia="Arial" w:hAnsi="Arial"/>
                <w:sz w:val="14"/>
                <w:szCs w:val="14"/>
                <w:color w:val="auto"/>
                <w:w w:val="99"/>
              </w:rPr>
              <w:t>02/12/2021</w:t>
            </w:r>
          </w:p>
        </w:tc>
        <w:tc>
          <w:tcPr>
            <w:tcW w:w="960" w:type="dxa"/>
            <w:vAlign w:val="bottom"/>
            <w:tcBorders>
              <w:bottom w:val="single" w:sz="8" w:color="auto"/>
              <w:right w:val="single" w:sz="8" w:color="auto"/>
            </w:tcBorders>
            <w:shd w:val="clear" w:color="auto" w:fill="D8E8EF"/>
          </w:tcPr>
          <w:p>
            <w:pPr>
              <w:spacing w:after="0"/>
              <w:rPr>
                <w:sz w:val="18"/>
                <w:szCs w:val="18"/>
                <w:color w:val="auto"/>
              </w:rPr>
            </w:pPr>
          </w:p>
        </w:tc>
        <w:tc>
          <w:tcPr>
            <w:tcW w:w="920" w:type="dxa"/>
            <w:vAlign w:val="bottom"/>
            <w:tcBorders>
              <w:bottom w:val="single" w:sz="8" w:color="auto"/>
              <w:right w:val="single" w:sz="8" w:color="auto"/>
            </w:tcBorders>
            <w:shd w:val="clear" w:color="auto" w:fill="D8E8EF"/>
          </w:tcPr>
          <w:p>
            <w:pPr>
              <w:spacing w:after="0"/>
              <w:rPr>
                <w:sz w:val="18"/>
                <w:szCs w:val="18"/>
                <w:color w:val="auto"/>
              </w:rPr>
            </w:pPr>
          </w:p>
        </w:tc>
        <w:tc>
          <w:tcPr>
            <w:tcW w:w="80" w:type="dxa"/>
            <w:vAlign w:val="bottom"/>
            <w:tcBorders>
              <w:bottom w:val="single" w:sz="8" w:color="auto"/>
            </w:tcBorders>
            <w:shd w:val="clear" w:color="auto" w:fill="D8E8EF"/>
          </w:tcPr>
          <w:p>
            <w:pPr>
              <w:spacing w:after="0"/>
              <w:rPr>
                <w:sz w:val="18"/>
                <w:szCs w:val="18"/>
                <w:color w:val="auto"/>
              </w:rPr>
            </w:pPr>
          </w:p>
        </w:tc>
        <w:tc>
          <w:tcPr>
            <w:tcW w:w="800" w:type="dxa"/>
            <w:vAlign w:val="bottom"/>
            <w:tcBorders>
              <w:bottom w:val="single" w:sz="8" w:color="auto"/>
              <w:right w:val="single" w:sz="8" w:color="auto"/>
            </w:tcBorders>
            <w:shd w:val="clear" w:color="auto" w:fill="D8E8EF"/>
          </w:tcPr>
          <w:p>
            <w:pPr>
              <w:spacing w:after="0"/>
              <w:rPr>
                <w:sz w:val="18"/>
                <w:szCs w:val="18"/>
                <w:color w:val="auto"/>
              </w:rPr>
            </w:pPr>
          </w:p>
        </w:tc>
        <w:tc>
          <w:tcPr>
            <w:tcW w:w="100" w:type="dxa"/>
            <w:vAlign w:val="bottom"/>
            <w:tcBorders>
              <w:bottom w:val="single" w:sz="8" w:color="auto"/>
            </w:tcBorders>
            <w:shd w:val="clear" w:color="auto" w:fill="D8E8EF"/>
          </w:tcPr>
          <w:p>
            <w:pPr>
              <w:spacing w:after="0"/>
              <w:rPr>
                <w:sz w:val="18"/>
                <w:szCs w:val="18"/>
                <w:color w:val="auto"/>
              </w:rPr>
            </w:pPr>
          </w:p>
        </w:tc>
        <w:tc>
          <w:tcPr>
            <w:tcW w:w="760" w:type="dxa"/>
            <w:vAlign w:val="bottom"/>
            <w:tcBorders>
              <w:bottom w:val="single" w:sz="8" w:color="auto"/>
              <w:right w:val="single" w:sz="8" w:color="auto"/>
            </w:tcBorders>
            <w:shd w:val="clear" w:color="auto" w:fill="D8E8EF"/>
          </w:tcPr>
          <w:p>
            <w:pPr>
              <w:spacing w:after="0"/>
              <w:rPr>
                <w:sz w:val="18"/>
                <w:szCs w:val="18"/>
                <w:color w:val="auto"/>
              </w:rPr>
            </w:pPr>
          </w:p>
        </w:tc>
        <w:tc>
          <w:tcPr>
            <w:tcW w:w="920" w:type="dxa"/>
            <w:vAlign w:val="bottom"/>
            <w:tcBorders>
              <w:bottom w:val="single" w:sz="8" w:color="auto"/>
              <w:right w:val="single" w:sz="8" w:color="auto"/>
            </w:tcBorders>
            <w:shd w:val="clear" w:color="auto" w:fill="D8E8EF"/>
          </w:tcPr>
          <w:p>
            <w:pPr>
              <w:spacing w:after="0"/>
              <w:rPr>
                <w:sz w:val="18"/>
                <w:szCs w:val="18"/>
                <w:color w:val="auto"/>
              </w:rPr>
            </w:pPr>
          </w:p>
        </w:tc>
        <w:tc>
          <w:tcPr>
            <w:tcW w:w="740" w:type="dxa"/>
            <w:vAlign w:val="bottom"/>
            <w:tcBorders>
              <w:bottom w:val="single" w:sz="8" w:color="auto"/>
              <w:right w:val="single" w:sz="8" w:color="auto"/>
            </w:tcBorders>
            <w:shd w:val="clear" w:color="auto" w:fill="D8E8EF"/>
          </w:tcPr>
          <w:p>
            <w:pPr>
              <w:spacing w:after="0"/>
              <w:rPr>
                <w:sz w:val="18"/>
                <w:szCs w:val="18"/>
                <w:color w:val="auto"/>
              </w:rPr>
            </w:pPr>
          </w:p>
        </w:tc>
        <w:tc>
          <w:tcPr>
            <w:tcW w:w="880" w:type="dxa"/>
            <w:vAlign w:val="bottom"/>
            <w:tcBorders>
              <w:bottom w:val="single" w:sz="8" w:color="auto"/>
              <w:right w:val="single" w:sz="8" w:color="auto"/>
            </w:tcBorders>
            <w:shd w:val="clear" w:color="auto" w:fill="D8E8EF"/>
          </w:tcPr>
          <w:p>
            <w:pPr>
              <w:spacing w:after="0"/>
              <w:rPr>
                <w:sz w:val="18"/>
                <w:szCs w:val="18"/>
                <w:color w:val="auto"/>
              </w:rPr>
            </w:pPr>
          </w:p>
        </w:tc>
        <w:tc>
          <w:tcPr>
            <w:tcW w:w="820" w:type="dxa"/>
            <w:vAlign w:val="bottom"/>
            <w:tcBorders>
              <w:bottom w:val="single" w:sz="8" w:color="auto"/>
              <w:right w:val="single" w:sz="8" w:color="auto"/>
            </w:tcBorders>
            <w:shd w:val="clear" w:color="auto" w:fill="D8E8EF"/>
          </w:tcPr>
          <w:p>
            <w:pPr>
              <w:jc w:val="center"/>
              <w:spacing w:after="0"/>
              <w:rPr>
                <w:sz w:val="20"/>
                <w:szCs w:val="20"/>
                <w:color w:val="auto"/>
              </w:rPr>
            </w:pPr>
            <w:r>
              <w:rPr>
                <w:rFonts w:ascii="Arial" w:cs="Arial" w:eastAsia="Arial" w:hAnsi="Arial"/>
                <w:sz w:val="14"/>
                <w:szCs w:val="14"/>
                <w:color w:val="auto"/>
                <w:w w:val="97"/>
              </w:rPr>
              <w:t>77,539</w:t>
            </w:r>
          </w:p>
        </w:tc>
        <w:tc>
          <w:tcPr>
            <w:tcW w:w="1000" w:type="dxa"/>
            <w:vAlign w:val="bottom"/>
            <w:tcBorders>
              <w:bottom w:val="single" w:sz="8" w:color="auto"/>
              <w:right w:val="single" w:sz="8" w:color="auto"/>
            </w:tcBorders>
            <w:shd w:val="clear" w:color="auto" w:fill="D8E8EF"/>
          </w:tcPr>
          <w:p>
            <w:pPr>
              <w:jc w:val="center"/>
              <w:spacing w:after="0"/>
              <w:rPr>
                <w:sz w:val="20"/>
                <w:szCs w:val="20"/>
                <w:color w:val="auto"/>
              </w:rPr>
            </w:pPr>
            <w:r>
              <w:rPr>
                <w:rFonts w:ascii="Arial" w:cs="Arial" w:eastAsia="Arial" w:hAnsi="Arial"/>
                <w:sz w:val="14"/>
                <w:szCs w:val="14"/>
                <w:color w:val="auto"/>
              </w:rPr>
              <w:t>3,200,035</w:t>
            </w:r>
          </w:p>
        </w:tc>
        <w:tc>
          <w:tcPr>
            <w:tcW w:w="420" w:type="dxa"/>
            <w:vAlign w:val="bottom"/>
          </w:tcPr>
          <w:p>
            <w:pPr>
              <w:spacing w:after="0"/>
              <w:rPr>
                <w:sz w:val="18"/>
                <w:szCs w:val="18"/>
                <w:color w:val="auto"/>
              </w:rPr>
            </w:pPr>
          </w:p>
        </w:tc>
      </w:tr>
      <w:tr>
        <w:trPr>
          <w:trHeight w:val="207"/>
        </w:trPr>
        <w:tc>
          <w:tcPr>
            <w:tcW w:w="460" w:type="dxa"/>
            <w:vAlign w:val="bottom"/>
            <w:tcBorders>
              <w:right w:val="single" w:sz="8" w:color="auto"/>
            </w:tcBorders>
          </w:tcPr>
          <w:p>
            <w:pPr>
              <w:spacing w:after="0"/>
              <w:rPr>
                <w:sz w:val="18"/>
                <w:szCs w:val="18"/>
                <w:color w:val="auto"/>
              </w:rPr>
            </w:pPr>
          </w:p>
        </w:tc>
        <w:tc>
          <w:tcPr>
            <w:tcW w:w="1120" w:type="dxa"/>
            <w:vAlign w:val="bottom"/>
            <w:tcBorders>
              <w:bottom w:val="single" w:sz="8" w:color="auto"/>
              <w:right w:val="single" w:sz="8" w:color="auto"/>
            </w:tcBorders>
            <w:shd w:val="clear" w:color="auto" w:fill="D8E8EF"/>
          </w:tcPr>
          <w:p>
            <w:pPr>
              <w:spacing w:after="0"/>
              <w:rPr>
                <w:sz w:val="18"/>
                <w:szCs w:val="18"/>
                <w:color w:val="auto"/>
              </w:rPr>
            </w:pPr>
          </w:p>
        </w:tc>
        <w:tc>
          <w:tcPr>
            <w:tcW w:w="940" w:type="dxa"/>
            <w:vAlign w:val="bottom"/>
            <w:tcBorders>
              <w:bottom w:val="single" w:sz="8" w:color="auto"/>
              <w:right w:val="single" w:sz="8" w:color="auto"/>
            </w:tcBorders>
            <w:shd w:val="clear" w:color="auto" w:fill="D8E8EF"/>
          </w:tcPr>
          <w:p>
            <w:pPr>
              <w:jc w:val="center"/>
              <w:spacing w:after="0"/>
              <w:rPr>
                <w:sz w:val="20"/>
                <w:szCs w:val="20"/>
                <w:color w:val="auto"/>
              </w:rPr>
            </w:pPr>
            <w:r>
              <w:rPr>
                <w:rFonts w:ascii="Arial" w:cs="Arial" w:eastAsia="Arial" w:hAnsi="Arial"/>
                <w:sz w:val="14"/>
                <w:szCs w:val="14"/>
                <w:color w:val="auto"/>
                <w:w w:val="99"/>
              </w:rPr>
              <w:t>02/12/2021</w:t>
            </w:r>
          </w:p>
        </w:tc>
        <w:tc>
          <w:tcPr>
            <w:tcW w:w="960" w:type="dxa"/>
            <w:vAlign w:val="bottom"/>
            <w:tcBorders>
              <w:bottom w:val="single" w:sz="8" w:color="auto"/>
              <w:right w:val="single" w:sz="8" w:color="auto"/>
            </w:tcBorders>
            <w:shd w:val="clear" w:color="auto" w:fill="D8E8EF"/>
          </w:tcPr>
          <w:p>
            <w:pPr>
              <w:spacing w:after="0"/>
              <w:rPr>
                <w:sz w:val="18"/>
                <w:szCs w:val="18"/>
                <w:color w:val="auto"/>
              </w:rPr>
            </w:pPr>
          </w:p>
        </w:tc>
        <w:tc>
          <w:tcPr>
            <w:tcW w:w="920" w:type="dxa"/>
            <w:vAlign w:val="bottom"/>
            <w:tcBorders>
              <w:bottom w:val="single" w:sz="8" w:color="auto"/>
              <w:right w:val="single" w:sz="8" w:color="auto"/>
            </w:tcBorders>
            <w:shd w:val="clear" w:color="auto" w:fill="D8E8EF"/>
          </w:tcPr>
          <w:p>
            <w:pPr>
              <w:spacing w:after="0"/>
              <w:rPr>
                <w:sz w:val="18"/>
                <w:szCs w:val="18"/>
                <w:color w:val="auto"/>
              </w:rPr>
            </w:pPr>
          </w:p>
        </w:tc>
        <w:tc>
          <w:tcPr>
            <w:tcW w:w="80" w:type="dxa"/>
            <w:vAlign w:val="bottom"/>
            <w:tcBorders>
              <w:bottom w:val="single" w:sz="8" w:color="auto"/>
            </w:tcBorders>
            <w:shd w:val="clear" w:color="auto" w:fill="D8E8EF"/>
          </w:tcPr>
          <w:p>
            <w:pPr>
              <w:spacing w:after="0"/>
              <w:rPr>
                <w:sz w:val="18"/>
                <w:szCs w:val="18"/>
                <w:color w:val="auto"/>
              </w:rPr>
            </w:pPr>
          </w:p>
        </w:tc>
        <w:tc>
          <w:tcPr>
            <w:tcW w:w="800" w:type="dxa"/>
            <w:vAlign w:val="bottom"/>
            <w:tcBorders>
              <w:bottom w:val="single" w:sz="8" w:color="auto"/>
              <w:right w:val="single" w:sz="8" w:color="auto"/>
            </w:tcBorders>
            <w:shd w:val="clear" w:color="auto" w:fill="D8E8EF"/>
          </w:tcPr>
          <w:p>
            <w:pPr>
              <w:spacing w:after="0"/>
              <w:rPr>
                <w:sz w:val="18"/>
                <w:szCs w:val="18"/>
                <w:color w:val="auto"/>
              </w:rPr>
            </w:pPr>
          </w:p>
        </w:tc>
        <w:tc>
          <w:tcPr>
            <w:tcW w:w="100" w:type="dxa"/>
            <w:vAlign w:val="bottom"/>
            <w:tcBorders>
              <w:bottom w:val="single" w:sz="8" w:color="auto"/>
            </w:tcBorders>
            <w:shd w:val="clear" w:color="auto" w:fill="D8E8EF"/>
          </w:tcPr>
          <w:p>
            <w:pPr>
              <w:spacing w:after="0"/>
              <w:rPr>
                <w:sz w:val="18"/>
                <w:szCs w:val="18"/>
                <w:color w:val="auto"/>
              </w:rPr>
            </w:pPr>
          </w:p>
        </w:tc>
        <w:tc>
          <w:tcPr>
            <w:tcW w:w="760" w:type="dxa"/>
            <w:vAlign w:val="bottom"/>
            <w:tcBorders>
              <w:bottom w:val="single" w:sz="8" w:color="auto"/>
              <w:right w:val="single" w:sz="8" w:color="auto"/>
            </w:tcBorders>
            <w:shd w:val="clear" w:color="auto" w:fill="D8E8EF"/>
          </w:tcPr>
          <w:p>
            <w:pPr>
              <w:spacing w:after="0"/>
              <w:rPr>
                <w:sz w:val="18"/>
                <w:szCs w:val="18"/>
                <w:color w:val="auto"/>
              </w:rPr>
            </w:pPr>
          </w:p>
        </w:tc>
        <w:tc>
          <w:tcPr>
            <w:tcW w:w="920" w:type="dxa"/>
            <w:vAlign w:val="bottom"/>
            <w:tcBorders>
              <w:bottom w:val="single" w:sz="8" w:color="auto"/>
              <w:right w:val="single" w:sz="8" w:color="auto"/>
            </w:tcBorders>
            <w:shd w:val="clear" w:color="auto" w:fill="D8E8EF"/>
          </w:tcPr>
          <w:p>
            <w:pPr>
              <w:jc w:val="center"/>
              <w:spacing w:after="0"/>
              <w:rPr>
                <w:sz w:val="20"/>
                <w:szCs w:val="20"/>
                <w:color w:val="auto"/>
              </w:rPr>
            </w:pPr>
            <w:r>
              <w:rPr>
                <w:rFonts w:ascii="Arial" w:cs="Arial" w:eastAsia="Arial" w:hAnsi="Arial"/>
                <w:sz w:val="14"/>
                <w:szCs w:val="14"/>
                <w:color w:val="auto"/>
              </w:rPr>
              <w:t>0</w:t>
            </w:r>
          </w:p>
        </w:tc>
        <w:tc>
          <w:tcPr>
            <w:tcW w:w="740" w:type="dxa"/>
            <w:vAlign w:val="bottom"/>
            <w:tcBorders>
              <w:bottom w:val="single" w:sz="8" w:color="auto"/>
              <w:right w:val="single" w:sz="8" w:color="auto"/>
            </w:tcBorders>
            <w:shd w:val="clear" w:color="auto" w:fill="D8E8EF"/>
          </w:tcPr>
          <w:p>
            <w:pPr>
              <w:jc w:val="center"/>
              <w:spacing w:after="0"/>
              <w:rPr>
                <w:sz w:val="20"/>
                <w:szCs w:val="20"/>
                <w:color w:val="auto"/>
              </w:rPr>
            </w:pPr>
            <w:r>
              <w:rPr>
                <w:rFonts w:ascii="Arial" w:cs="Arial" w:eastAsia="Arial" w:hAnsi="Arial"/>
                <w:sz w:val="14"/>
                <w:szCs w:val="14"/>
                <w:color w:val="auto"/>
                <w:w w:val="98"/>
              </w:rPr>
              <w:t>116,308</w:t>
            </w:r>
          </w:p>
        </w:tc>
        <w:tc>
          <w:tcPr>
            <w:tcW w:w="880" w:type="dxa"/>
            <w:vAlign w:val="bottom"/>
            <w:tcBorders>
              <w:bottom w:val="single" w:sz="8" w:color="auto"/>
              <w:right w:val="single" w:sz="8" w:color="auto"/>
            </w:tcBorders>
            <w:shd w:val="clear" w:color="auto" w:fill="D8E8EF"/>
          </w:tcPr>
          <w:p>
            <w:pPr>
              <w:jc w:val="center"/>
              <w:spacing w:after="0"/>
              <w:rPr>
                <w:sz w:val="20"/>
                <w:szCs w:val="20"/>
                <w:color w:val="auto"/>
              </w:rPr>
            </w:pPr>
            <w:r>
              <w:rPr>
                <w:rFonts w:ascii="Arial" w:cs="Arial" w:eastAsia="Arial" w:hAnsi="Arial"/>
                <w:sz w:val="14"/>
                <w:szCs w:val="14"/>
                <w:color w:val="auto"/>
              </w:rPr>
              <w:t>261,693</w:t>
            </w:r>
          </w:p>
        </w:tc>
        <w:tc>
          <w:tcPr>
            <w:tcW w:w="820" w:type="dxa"/>
            <w:vAlign w:val="bottom"/>
            <w:tcBorders>
              <w:bottom w:val="single" w:sz="8" w:color="auto"/>
              <w:right w:val="single" w:sz="8" w:color="auto"/>
            </w:tcBorders>
            <w:shd w:val="clear" w:color="auto" w:fill="D8E8EF"/>
          </w:tcPr>
          <w:p>
            <w:pPr>
              <w:spacing w:after="0"/>
              <w:rPr>
                <w:sz w:val="18"/>
                <w:szCs w:val="18"/>
                <w:color w:val="auto"/>
              </w:rPr>
            </w:pPr>
          </w:p>
        </w:tc>
        <w:tc>
          <w:tcPr>
            <w:tcW w:w="1000" w:type="dxa"/>
            <w:vAlign w:val="bottom"/>
            <w:tcBorders>
              <w:bottom w:val="single" w:sz="8" w:color="auto"/>
              <w:right w:val="single" w:sz="8" w:color="auto"/>
            </w:tcBorders>
            <w:shd w:val="clear" w:color="auto" w:fill="D8E8EF"/>
          </w:tcPr>
          <w:p>
            <w:pPr>
              <w:jc w:val="center"/>
              <w:spacing w:after="0"/>
              <w:rPr>
                <w:sz w:val="20"/>
                <w:szCs w:val="20"/>
                <w:color w:val="auto"/>
              </w:rPr>
            </w:pPr>
            <w:r>
              <w:rPr>
                <w:rFonts w:ascii="Arial" w:cs="Arial" w:eastAsia="Arial" w:hAnsi="Arial"/>
                <w:sz w:val="14"/>
                <w:szCs w:val="14"/>
                <w:color w:val="auto"/>
              </w:rPr>
              <w:t>6,213,557</w:t>
            </w:r>
          </w:p>
        </w:tc>
        <w:tc>
          <w:tcPr>
            <w:tcW w:w="420" w:type="dxa"/>
            <w:vAlign w:val="bottom"/>
          </w:tcPr>
          <w:p>
            <w:pPr>
              <w:spacing w:after="0"/>
              <w:rPr>
                <w:sz w:val="18"/>
                <w:szCs w:val="18"/>
                <w:color w:val="auto"/>
              </w:rPr>
            </w:pPr>
          </w:p>
        </w:tc>
      </w:tr>
      <w:tr>
        <w:trPr>
          <w:trHeight w:val="221"/>
        </w:trPr>
        <w:tc>
          <w:tcPr>
            <w:tcW w:w="460" w:type="dxa"/>
            <w:vAlign w:val="bottom"/>
            <w:tcBorders>
              <w:right w:val="single" w:sz="8" w:color="auto"/>
            </w:tcBorders>
          </w:tcPr>
          <w:p>
            <w:pPr>
              <w:spacing w:after="0"/>
              <w:rPr>
                <w:sz w:val="19"/>
                <w:szCs w:val="19"/>
                <w:color w:val="auto"/>
              </w:rPr>
            </w:pPr>
          </w:p>
        </w:tc>
        <w:tc>
          <w:tcPr>
            <w:tcW w:w="1120" w:type="dxa"/>
            <w:vAlign w:val="bottom"/>
            <w:tcBorders>
              <w:right w:val="single" w:sz="8" w:color="auto"/>
            </w:tcBorders>
          </w:tcPr>
          <w:p>
            <w:pPr>
              <w:ind w:left="140"/>
              <w:spacing w:after="0"/>
              <w:rPr>
                <w:sz w:val="20"/>
                <w:szCs w:val="20"/>
                <w:color w:val="auto"/>
              </w:rPr>
            </w:pPr>
            <w:r>
              <w:rPr>
                <w:rFonts w:ascii="Arial" w:cs="Arial" w:eastAsia="Arial" w:hAnsi="Arial"/>
                <w:sz w:val="14"/>
                <w:szCs w:val="14"/>
                <w:color w:val="auto"/>
              </w:rPr>
              <w:t>Thad Trent (8)</w:t>
            </w:r>
          </w:p>
        </w:tc>
        <w:tc>
          <w:tcPr>
            <w:tcW w:w="940" w:type="dxa"/>
            <w:vAlign w:val="bottom"/>
            <w:tcBorders>
              <w:bottom w:val="single" w:sz="8" w:color="auto"/>
              <w:right w:val="single" w:sz="8" w:color="auto"/>
            </w:tcBorders>
          </w:tcPr>
          <w:p>
            <w:pPr>
              <w:spacing w:after="0"/>
              <w:rPr>
                <w:sz w:val="19"/>
                <w:szCs w:val="19"/>
                <w:color w:val="auto"/>
              </w:rPr>
            </w:pPr>
          </w:p>
        </w:tc>
        <w:tc>
          <w:tcPr>
            <w:tcW w:w="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02/12/2021</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0</w:t>
            </w: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8"/>
              </w:rPr>
              <w:t>505,385</w:t>
            </w: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right w:val="single" w:sz="8" w:color="auto"/>
            </w:tcBorders>
          </w:tcPr>
          <w:p>
            <w:pPr>
              <w:jc w:val="center"/>
              <w:ind w:right="9"/>
              <w:spacing w:after="0"/>
              <w:rPr>
                <w:sz w:val="20"/>
                <w:szCs w:val="20"/>
                <w:color w:val="auto"/>
              </w:rPr>
            </w:pPr>
            <w:r>
              <w:rPr>
                <w:rFonts w:ascii="Arial" w:cs="Arial" w:eastAsia="Arial" w:hAnsi="Arial"/>
                <w:sz w:val="14"/>
                <w:szCs w:val="14"/>
                <w:color w:val="auto"/>
              </w:rPr>
              <w:t>758,077</w:t>
            </w:r>
          </w:p>
        </w:tc>
        <w:tc>
          <w:tcPr>
            <w:tcW w:w="920" w:type="dxa"/>
            <w:vAlign w:val="bottom"/>
            <w:tcBorders>
              <w:bottom w:val="single" w:sz="8" w:color="auto"/>
              <w:right w:val="single" w:sz="8" w:color="auto"/>
            </w:tcBorders>
          </w:tcPr>
          <w:p>
            <w:pPr>
              <w:spacing w:after="0"/>
              <w:rPr>
                <w:sz w:val="19"/>
                <w:szCs w:val="19"/>
                <w:color w:val="auto"/>
              </w:rPr>
            </w:pPr>
          </w:p>
        </w:tc>
        <w:tc>
          <w:tcPr>
            <w:tcW w:w="740" w:type="dxa"/>
            <w:vAlign w:val="bottom"/>
            <w:tcBorders>
              <w:bottom w:val="single" w:sz="8" w:color="auto"/>
              <w:right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spacing w:after="0"/>
              <w:rPr>
                <w:sz w:val="19"/>
                <w:szCs w:val="19"/>
                <w:color w:val="auto"/>
              </w:rPr>
            </w:pPr>
          </w:p>
        </w:tc>
        <w:tc>
          <w:tcPr>
            <w:tcW w:w="820" w:type="dxa"/>
            <w:vAlign w:val="bottom"/>
            <w:tcBorders>
              <w:bottom w:val="single" w:sz="8" w:color="auto"/>
              <w:right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spacing w:after="0"/>
              <w:rPr>
                <w:sz w:val="19"/>
                <w:szCs w:val="19"/>
                <w:color w:val="auto"/>
              </w:rPr>
            </w:pPr>
          </w:p>
        </w:tc>
        <w:tc>
          <w:tcPr>
            <w:tcW w:w="420" w:type="dxa"/>
            <w:vAlign w:val="bottom"/>
          </w:tcPr>
          <w:p>
            <w:pPr>
              <w:spacing w:after="0"/>
              <w:rPr>
                <w:sz w:val="19"/>
                <w:szCs w:val="19"/>
                <w:color w:val="auto"/>
              </w:rPr>
            </w:pPr>
          </w:p>
        </w:tc>
      </w:tr>
      <w:tr>
        <w:trPr>
          <w:trHeight w:val="207"/>
        </w:trPr>
        <w:tc>
          <w:tcPr>
            <w:tcW w:w="46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02/16/2021</w:t>
            </w:r>
          </w:p>
        </w:tc>
        <w:tc>
          <w:tcPr>
            <w:tcW w:w="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02/12/2021</w:t>
            </w:r>
          </w:p>
        </w:tc>
        <w:tc>
          <w:tcPr>
            <w:tcW w:w="920" w:type="dxa"/>
            <w:vAlign w:val="bottom"/>
            <w:tcBorders>
              <w:bottom w:val="single" w:sz="8" w:color="auto"/>
              <w:right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0" w:type="dxa"/>
            <w:vAlign w:val="bottom"/>
            <w:tcBorders>
              <w:bottom w:val="single" w:sz="8" w:color="auto"/>
              <w:right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740" w:type="dxa"/>
            <w:vAlign w:val="bottom"/>
            <w:tcBorders>
              <w:bottom w:val="single" w:sz="8" w:color="auto"/>
              <w:right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spacing w:after="0"/>
              <w:rPr>
                <w:sz w:val="18"/>
                <w:szCs w:val="18"/>
                <w:color w:val="auto"/>
              </w:rPr>
            </w:pP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7"/>
              </w:rPr>
              <w:t>77,659</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3,250,029</w:t>
            </w:r>
          </w:p>
        </w:tc>
        <w:tc>
          <w:tcPr>
            <w:tcW w:w="420" w:type="dxa"/>
            <w:vAlign w:val="bottom"/>
          </w:tcPr>
          <w:p>
            <w:pPr>
              <w:spacing w:after="0"/>
              <w:rPr>
                <w:sz w:val="18"/>
                <w:szCs w:val="18"/>
                <w:color w:val="auto"/>
              </w:rPr>
            </w:pPr>
          </w:p>
        </w:tc>
      </w:tr>
      <w:tr>
        <w:trPr>
          <w:trHeight w:val="207"/>
        </w:trPr>
        <w:tc>
          <w:tcPr>
            <w:tcW w:w="46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02/16/2021</w:t>
            </w:r>
          </w:p>
        </w:tc>
        <w:tc>
          <w:tcPr>
            <w:tcW w:w="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02/12/2021</w:t>
            </w:r>
          </w:p>
        </w:tc>
        <w:tc>
          <w:tcPr>
            <w:tcW w:w="920" w:type="dxa"/>
            <w:vAlign w:val="bottom"/>
            <w:tcBorders>
              <w:bottom w:val="single" w:sz="8" w:color="auto"/>
              <w:right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0" w:type="dxa"/>
            <w:vAlign w:val="bottom"/>
            <w:tcBorders>
              <w:bottom w:val="single" w:sz="8" w:color="auto"/>
              <w:right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0</w:t>
            </w:r>
          </w:p>
        </w:tc>
        <w:tc>
          <w:tcPr>
            <w:tcW w:w="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91,996</w:t>
            </w:r>
          </w:p>
        </w:tc>
        <w:tc>
          <w:tcPr>
            <w:tcW w:w="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91,996</w:t>
            </w:r>
          </w:p>
        </w:tc>
        <w:tc>
          <w:tcPr>
            <w:tcW w:w="820" w:type="dxa"/>
            <w:vAlign w:val="bottom"/>
            <w:tcBorders>
              <w:bottom w:val="single" w:sz="8" w:color="auto"/>
              <w:right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2,716,642</w:t>
            </w:r>
          </w:p>
        </w:tc>
        <w:tc>
          <w:tcPr>
            <w:tcW w:w="420" w:type="dxa"/>
            <w:vAlign w:val="bottom"/>
          </w:tcPr>
          <w:p>
            <w:pPr>
              <w:spacing w:after="0"/>
              <w:rPr>
                <w:sz w:val="18"/>
                <w:szCs w:val="18"/>
                <w:color w:val="auto"/>
              </w:rPr>
            </w:pPr>
          </w:p>
        </w:tc>
      </w:tr>
      <w:tr>
        <w:trPr>
          <w:trHeight w:val="207"/>
        </w:trPr>
        <w:tc>
          <w:tcPr>
            <w:tcW w:w="460" w:type="dxa"/>
            <w:vAlign w:val="bottom"/>
            <w:tcBorders>
              <w:right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spacing w:after="0"/>
              <w:rPr>
                <w:sz w:val="18"/>
                <w:szCs w:val="18"/>
                <w:color w:val="auto"/>
              </w:rPr>
            </w:pPr>
          </w:p>
        </w:tc>
        <w:tc>
          <w:tcPr>
            <w:tcW w:w="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02/16/2021</w:t>
            </w:r>
          </w:p>
        </w:tc>
        <w:tc>
          <w:tcPr>
            <w:tcW w:w="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02/12/2021</w:t>
            </w:r>
          </w:p>
        </w:tc>
        <w:tc>
          <w:tcPr>
            <w:tcW w:w="920" w:type="dxa"/>
            <w:vAlign w:val="bottom"/>
            <w:tcBorders>
              <w:bottom w:val="single" w:sz="8" w:color="auto"/>
              <w:right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0" w:type="dxa"/>
            <w:vAlign w:val="bottom"/>
            <w:tcBorders>
              <w:bottom w:val="single" w:sz="8" w:color="auto"/>
              <w:right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0</w:t>
            </w:r>
          </w:p>
        </w:tc>
        <w:tc>
          <w:tcPr>
            <w:tcW w:w="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57,348</w:t>
            </w:r>
          </w:p>
        </w:tc>
        <w:tc>
          <w:tcPr>
            <w:tcW w:w="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129,033</w:t>
            </w:r>
          </w:p>
        </w:tc>
        <w:tc>
          <w:tcPr>
            <w:tcW w:w="820" w:type="dxa"/>
            <w:vAlign w:val="bottom"/>
            <w:tcBorders>
              <w:bottom w:val="single" w:sz="8" w:color="auto"/>
              <w:right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3,063,719</w:t>
            </w:r>
          </w:p>
        </w:tc>
        <w:tc>
          <w:tcPr>
            <w:tcW w:w="420" w:type="dxa"/>
            <w:vAlign w:val="bottom"/>
          </w:tcPr>
          <w:p>
            <w:pPr>
              <w:spacing w:after="0"/>
              <w:rPr>
                <w:sz w:val="18"/>
                <w:szCs w:val="18"/>
                <w:color w:val="auto"/>
              </w:rPr>
            </w:pPr>
          </w:p>
        </w:tc>
      </w:tr>
      <w:tr>
        <w:trPr>
          <w:trHeight w:val="218"/>
        </w:trPr>
        <w:tc>
          <w:tcPr>
            <w:tcW w:w="460" w:type="dxa"/>
            <w:vAlign w:val="bottom"/>
            <w:tcBorders>
              <w:right w:val="single" w:sz="8" w:color="auto"/>
            </w:tcBorders>
          </w:tcPr>
          <w:p>
            <w:pPr>
              <w:spacing w:after="0"/>
              <w:rPr>
                <w:sz w:val="18"/>
                <w:szCs w:val="18"/>
                <w:color w:val="auto"/>
              </w:rPr>
            </w:pPr>
          </w:p>
        </w:tc>
        <w:tc>
          <w:tcPr>
            <w:tcW w:w="1120" w:type="dxa"/>
            <w:vAlign w:val="bottom"/>
            <w:tcBorders>
              <w:bottom w:val="single" w:sz="8" w:color="D8E8EF"/>
              <w:right w:val="single" w:sz="8" w:color="auto"/>
            </w:tcBorders>
            <w:shd w:val="clear" w:color="auto" w:fill="D8E8EF"/>
          </w:tcPr>
          <w:p>
            <w:pPr>
              <w:ind w:left="140"/>
              <w:spacing w:after="0"/>
              <w:rPr>
                <w:sz w:val="20"/>
                <w:szCs w:val="20"/>
                <w:color w:val="auto"/>
              </w:rPr>
            </w:pPr>
            <w:r>
              <w:rPr>
                <w:rFonts w:ascii="Arial" w:cs="Arial" w:eastAsia="Arial" w:hAnsi="Arial"/>
                <w:sz w:val="14"/>
                <w:szCs w:val="14"/>
                <w:color w:val="auto"/>
              </w:rPr>
              <w:t>Vincent C.</w:t>
            </w:r>
          </w:p>
        </w:tc>
        <w:tc>
          <w:tcPr>
            <w:tcW w:w="940" w:type="dxa"/>
            <w:vAlign w:val="bottom"/>
            <w:tcBorders>
              <w:bottom w:val="single" w:sz="8" w:color="auto"/>
              <w:right w:val="single" w:sz="8" w:color="auto"/>
            </w:tcBorders>
            <w:shd w:val="clear" w:color="auto" w:fill="D8E8EF"/>
          </w:tcPr>
          <w:p>
            <w:pPr>
              <w:spacing w:after="0"/>
              <w:rPr>
                <w:sz w:val="18"/>
                <w:szCs w:val="18"/>
                <w:color w:val="auto"/>
              </w:rPr>
            </w:pPr>
          </w:p>
        </w:tc>
        <w:tc>
          <w:tcPr>
            <w:tcW w:w="960" w:type="dxa"/>
            <w:vAlign w:val="bottom"/>
            <w:tcBorders>
              <w:bottom w:val="single" w:sz="8" w:color="auto"/>
              <w:right w:val="single" w:sz="8" w:color="auto"/>
            </w:tcBorders>
            <w:shd w:val="clear" w:color="auto" w:fill="D8E8EF"/>
          </w:tcPr>
          <w:p>
            <w:pPr>
              <w:jc w:val="center"/>
              <w:spacing w:after="0"/>
              <w:rPr>
                <w:sz w:val="20"/>
                <w:szCs w:val="20"/>
                <w:color w:val="auto"/>
              </w:rPr>
            </w:pPr>
            <w:r>
              <w:rPr>
                <w:rFonts w:ascii="Arial" w:cs="Arial" w:eastAsia="Arial" w:hAnsi="Arial"/>
                <w:sz w:val="14"/>
                <w:szCs w:val="14"/>
                <w:color w:val="auto"/>
              </w:rPr>
              <w:t>02/12/2021</w:t>
            </w:r>
          </w:p>
        </w:tc>
        <w:tc>
          <w:tcPr>
            <w:tcW w:w="920" w:type="dxa"/>
            <w:vAlign w:val="bottom"/>
            <w:tcBorders>
              <w:bottom w:val="single" w:sz="8" w:color="auto"/>
              <w:right w:val="single" w:sz="8" w:color="auto"/>
            </w:tcBorders>
            <w:shd w:val="clear" w:color="auto" w:fill="D8E8EF"/>
          </w:tcPr>
          <w:p>
            <w:pPr>
              <w:jc w:val="center"/>
              <w:spacing w:after="0"/>
              <w:rPr>
                <w:sz w:val="20"/>
                <w:szCs w:val="20"/>
                <w:color w:val="auto"/>
              </w:rPr>
            </w:pPr>
            <w:r>
              <w:rPr>
                <w:rFonts w:ascii="Arial" w:cs="Arial" w:eastAsia="Arial" w:hAnsi="Arial"/>
                <w:sz w:val="14"/>
                <w:szCs w:val="14"/>
                <w:color w:val="auto"/>
              </w:rPr>
              <w:t>0</w:t>
            </w:r>
          </w:p>
        </w:tc>
        <w:tc>
          <w:tcPr>
            <w:tcW w:w="80" w:type="dxa"/>
            <w:vAlign w:val="bottom"/>
            <w:tcBorders>
              <w:bottom w:val="single" w:sz="8" w:color="auto"/>
            </w:tcBorders>
            <w:shd w:val="clear" w:color="auto" w:fill="D8E8EF"/>
          </w:tcPr>
          <w:p>
            <w:pPr>
              <w:spacing w:after="0"/>
              <w:rPr>
                <w:sz w:val="18"/>
                <w:szCs w:val="18"/>
                <w:color w:val="auto"/>
              </w:rPr>
            </w:pPr>
          </w:p>
        </w:tc>
        <w:tc>
          <w:tcPr>
            <w:tcW w:w="800" w:type="dxa"/>
            <w:vAlign w:val="bottom"/>
            <w:tcBorders>
              <w:bottom w:val="single" w:sz="8" w:color="auto"/>
              <w:right w:val="single" w:sz="8" w:color="auto"/>
            </w:tcBorders>
            <w:shd w:val="clear" w:color="auto" w:fill="D8E8EF"/>
          </w:tcPr>
          <w:p>
            <w:pPr>
              <w:jc w:val="center"/>
              <w:spacing w:after="0"/>
              <w:rPr>
                <w:sz w:val="20"/>
                <w:szCs w:val="20"/>
                <w:color w:val="auto"/>
              </w:rPr>
            </w:pPr>
            <w:r>
              <w:rPr>
                <w:rFonts w:ascii="Arial" w:cs="Arial" w:eastAsia="Arial" w:hAnsi="Arial"/>
                <w:sz w:val="14"/>
                <w:szCs w:val="14"/>
                <w:color w:val="auto"/>
                <w:w w:val="98"/>
              </w:rPr>
              <w:t>402,443</w:t>
            </w:r>
          </w:p>
        </w:tc>
        <w:tc>
          <w:tcPr>
            <w:tcW w:w="100" w:type="dxa"/>
            <w:vAlign w:val="bottom"/>
            <w:tcBorders>
              <w:bottom w:val="single" w:sz="8" w:color="auto"/>
            </w:tcBorders>
            <w:shd w:val="clear" w:color="auto" w:fill="D8E8EF"/>
          </w:tcPr>
          <w:p>
            <w:pPr>
              <w:spacing w:after="0"/>
              <w:rPr>
                <w:sz w:val="18"/>
                <w:szCs w:val="18"/>
                <w:color w:val="auto"/>
              </w:rPr>
            </w:pPr>
          </w:p>
        </w:tc>
        <w:tc>
          <w:tcPr>
            <w:tcW w:w="760" w:type="dxa"/>
            <w:vAlign w:val="bottom"/>
            <w:tcBorders>
              <w:bottom w:val="single" w:sz="8" w:color="auto"/>
              <w:right w:val="single" w:sz="8" w:color="auto"/>
            </w:tcBorders>
            <w:shd w:val="clear" w:color="auto" w:fill="D8E8EF"/>
          </w:tcPr>
          <w:p>
            <w:pPr>
              <w:jc w:val="center"/>
              <w:ind w:right="9"/>
              <w:spacing w:after="0"/>
              <w:rPr>
                <w:sz w:val="20"/>
                <w:szCs w:val="20"/>
                <w:color w:val="auto"/>
              </w:rPr>
            </w:pPr>
            <w:r>
              <w:rPr>
                <w:rFonts w:ascii="Arial" w:cs="Arial" w:eastAsia="Arial" w:hAnsi="Arial"/>
                <w:sz w:val="14"/>
                <w:szCs w:val="14"/>
                <w:color w:val="auto"/>
              </w:rPr>
              <w:t>603,664</w:t>
            </w:r>
          </w:p>
        </w:tc>
        <w:tc>
          <w:tcPr>
            <w:tcW w:w="920" w:type="dxa"/>
            <w:vAlign w:val="bottom"/>
            <w:tcBorders>
              <w:bottom w:val="single" w:sz="8" w:color="auto"/>
              <w:right w:val="single" w:sz="8" w:color="auto"/>
            </w:tcBorders>
            <w:shd w:val="clear" w:color="auto" w:fill="D8E8EF"/>
          </w:tcPr>
          <w:p>
            <w:pPr>
              <w:spacing w:after="0"/>
              <w:rPr>
                <w:sz w:val="18"/>
                <w:szCs w:val="18"/>
                <w:color w:val="auto"/>
              </w:rPr>
            </w:pPr>
          </w:p>
        </w:tc>
        <w:tc>
          <w:tcPr>
            <w:tcW w:w="740" w:type="dxa"/>
            <w:vAlign w:val="bottom"/>
            <w:tcBorders>
              <w:bottom w:val="single" w:sz="8" w:color="auto"/>
              <w:right w:val="single" w:sz="8" w:color="auto"/>
            </w:tcBorders>
            <w:shd w:val="clear" w:color="auto" w:fill="D8E8EF"/>
          </w:tcPr>
          <w:p>
            <w:pPr>
              <w:spacing w:after="0"/>
              <w:rPr>
                <w:sz w:val="18"/>
                <w:szCs w:val="18"/>
                <w:color w:val="auto"/>
              </w:rPr>
            </w:pPr>
          </w:p>
        </w:tc>
        <w:tc>
          <w:tcPr>
            <w:tcW w:w="880" w:type="dxa"/>
            <w:vAlign w:val="bottom"/>
            <w:tcBorders>
              <w:bottom w:val="single" w:sz="8" w:color="auto"/>
              <w:right w:val="single" w:sz="8" w:color="auto"/>
            </w:tcBorders>
            <w:shd w:val="clear" w:color="auto" w:fill="D8E8EF"/>
          </w:tcPr>
          <w:p>
            <w:pPr>
              <w:spacing w:after="0"/>
              <w:rPr>
                <w:sz w:val="18"/>
                <w:szCs w:val="18"/>
                <w:color w:val="auto"/>
              </w:rPr>
            </w:pPr>
          </w:p>
        </w:tc>
        <w:tc>
          <w:tcPr>
            <w:tcW w:w="820" w:type="dxa"/>
            <w:vAlign w:val="bottom"/>
            <w:tcBorders>
              <w:bottom w:val="single" w:sz="8" w:color="auto"/>
              <w:right w:val="single" w:sz="8" w:color="auto"/>
            </w:tcBorders>
            <w:shd w:val="clear" w:color="auto" w:fill="D8E8EF"/>
          </w:tcPr>
          <w:p>
            <w:pPr>
              <w:spacing w:after="0"/>
              <w:rPr>
                <w:sz w:val="18"/>
                <w:szCs w:val="18"/>
                <w:color w:val="auto"/>
              </w:rPr>
            </w:pPr>
          </w:p>
        </w:tc>
        <w:tc>
          <w:tcPr>
            <w:tcW w:w="1000" w:type="dxa"/>
            <w:vAlign w:val="bottom"/>
            <w:tcBorders>
              <w:bottom w:val="single" w:sz="8" w:color="auto"/>
              <w:right w:val="single" w:sz="8" w:color="auto"/>
            </w:tcBorders>
            <w:shd w:val="clear" w:color="auto" w:fill="D8E8EF"/>
          </w:tcPr>
          <w:p>
            <w:pPr>
              <w:spacing w:after="0"/>
              <w:rPr>
                <w:sz w:val="18"/>
                <w:szCs w:val="18"/>
                <w:color w:val="auto"/>
              </w:rPr>
            </w:pPr>
          </w:p>
        </w:tc>
        <w:tc>
          <w:tcPr>
            <w:tcW w:w="420" w:type="dxa"/>
            <w:vAlign w:val="bottom"/>
          </w:tcPr>
          <w:p>
            <w:pPr>
              <w:spacing w:after="0"/>
              <w:rPr>
                <w:sz w:val="18"/>
                <w:szCs w:val="18"/>
                <w:color w:val="auto"/>
              </w:rPr>
            </w:pPr>
          </w:p>
        </w:tc>
      </w:tr>
      <w:tr>
        <w:trPr>
          <w:trHeight w:val="210"/>
        </w:trPr>
        <w:tc>
          <w:tcPr>
            <w:tcW w:w="460" w:type="dxa"/>
            <w:vAlign w:val="bottom"/>
            <w:tcBorders>
              <w:right w:val="single" w:sz="8" w:color="auto"/>
            </w:tcBorders>
          </w:tcPr>
          <w:p>
            <w:pPr>
              <w:spacing w:after="0"/>
              <w:rPr>
                <w:sz w:val="18"/>
                <w:szCs w:val="18"/>
                <w:color w:val="auto"/>
              </w:rPr>
            </w:pPr>
          </w:p>
        </w:tc>
        <w:tc>
          <w:tcPr>
            <w:tcW w:w="1120" w:type="dxa"/>
            <w:vAlign w:val="bottom"/>
            <w:tcBorders>
              <w:bottom w:val="single" w:sz="8" w:color="D8E8EF"/>
              <w:right w:val="single" w:sz="8" w:color="auto"/>
            </w:tcBorders>
            <w:shd w:val="clear" w:color="auto" w:fill="D8E8EF"/>
          </w:tcPr>
          <w:p>
            <w:pPr>
              <w:ind w:left="140"/>
              <w:spacing w:after="0"/>
              <w:rPr>
                <w:sz w:val="20"/>
                <w:szCs w:val="20"/>
                <w:color w:val="auto"/>
              </w:rPr>
            </w:pPr>
            <w:r>
              <w:rPr>
                <w:rFonts w:ascii="Arial" w:cs="Arial" w:eastAsia="Arial" w:hAnsi="Arial"/>
                <w:sz w:val="14"/>
                <w:szCs w:val="14"/>
                <w:color w:val="auto"/>
              </w:rPr>
              <w:t>Hopkin</w:t>
            </w:r>
          </w:p>
        </w:tc>
        <w:tc>
          <w:tcPr>
            <w:tcW w:w="940" w:type="dxa"/>
            <w:vAlign w:val="bottom"/>
            <w:tcBorders>
              <w:bottom w:val="single" w:sz="8" w:color="auto"/>
              <w:right w:val="single" w:sz="8" w:color="auto"/>
            </w:tcBorders>
            <w:shd w:val="clear" w:color="auto" w:fill="D8E8EF"/>
          </w:tcPr>
          <w:p>
            <w:pPr>
              <w:jc w:val="center"/>
              <w:spacing w:after="0"/>
              <w:rPr>
                <w:sz w:val="20"/>
                <w:szCs w:val="20"/>
                <w:color w:val="auto"/>
              </w:rPr>
            </w:pPr>
            <w:r>
              <w:rPr>
                <w:rFonts w:ascii="Arial" w:cs="Arial" w:eastAsia="Arial" w:hAnsi="Arial"/>
                <w:sz w:val="14"/>
                <w:szCs w:val="14"/>
                <w:color w:val="auto"/>
                <w:w w:val="99"/>
              </w:rPr>
              <w:t>02/12/2021</w:t>
            </w:r>
          </w:p>
        </w:tc>
        <w:tc>
          <w:tcPr>
            <w:tcW w:w="960" w:type="dxa"/>
            <w:vAlign w:val="bottom"/>
            <w:tcBorders>
              <w:bottom w:val="single" w:sz="8" w:color="auto"/>
              <w:right w:val="single" w:sz="8" w:color="auto"/>
            </w:tcBorders>
            <w:shd w:val="clear" w:color="auto" w:fill="D8E8EF"/>
          </w:tcPr>
          <w:p>
            <w:pPr>
              <w:jc w:val="center"/>
              <w:spacing w:after="0"/>
              <w:rPr>
                <w:sz w:val="20"/>
                <w:szCs w:val="20"/>
                <w:color w:val="auto"/>
              </w:rPr>
            </w:pPr>
            <w:r>
              <w:rPr>
                <w:rFonts w:ascii="Arial" w:cs="Arial" w:eastAsia="Arial" w:hAnsi="Arial"/>
                <w:sz w:val="14"/>
                <w:szCs w:val="14"/>
                <w:color w:val="auto"/>
              </w:rPr>
              <w:t>02/12/2021</w:t>
            </w:r>
          </w:p>
        </w:tc>
        <w:tc>
          <w:tcPr>
            <w:tcW w:w="920" w:type="dxa"/>
            <w:vAlign w:val="bottom"/>
            <w:tcBorders>
              <w:bottom w:val="single" w:sz="8" w:color="auto"/>
              <w:right w:val="single" w:sz="8" w:color="auto"/>
            </w:tcBorders>
            <w:shd w:val="clear" w:color="auto" w:fill="D8E8EF"/>
          </w:tcPr>
          <w:p>
            <w:pPr>
              <w:spacing w:after="0"/>
              <w:rPr>
                <w:sz w:val="18"/>
                <w:szCs w:val="18"/>
                <w:color w:val="auto"/>
              </w:rPr>
            </w:pPr>
          </w:p>
        </w:tc>
        <w:tc>
          <w:tcPr>
            <w:tcW w:w="80" w:type="dxa"/>
            <w:vAlign w:val="bottom"/>
            <w:tcBorders>
              <w:bottom w:val="single" w:sz="8" w:color="auto"/>
            </w:tcBorders>
            <w:shd w:val="clear" w:color="auto" w:fill="D8E8EF"/>
          </w:tcPr>
          <w:p>
            <w:pPr>
              <w:spacing w:after="0"/>
              <w:rPr>
                <w:sz w:val="18"/>
                <w:szCs w:val="18"/>
                <w:color w:val="auto"/>
              </w:rPr>
            </w:pPr>
          </w:p>
        </w:tc>
        <w:tc>
          <w:tcPr>
            <w:tcW w:w="800" w:type="dxa"/>
            <w:vAlign w:val="bottom"/>
            <w:tcBorders>
              <w:bottom w:val="single" w:sz="8" w:color="auto"/>
              <w:right w:val="single" w:sz="8" w:color="auto"/>
            </w:tcBorders>
            <w:shd w:val="clear" w:color="auto" w:fill="D8E8EF"/>
          </w:tcPr>
          <w:p>
            <w:pPr>
              <w:spacing w:after="0"/>
              <w:rPr>
                <w:sz w:val="18"/>
                <w:szCs w:val="18"/>
                <w:color w:val="auto"/>
              </w:rPr>
            </w:pPr>
          </w:p>
        </w:tc>
        <w:tc>
          <w:tcPr>
            <w:tcW w:w="100" w:type="dxa"/>
            <w:vAlign w:val="bottom"/>
            <w:tcBorders>
              <w:bottom w:val="single" w:sz="8" w:color="auto"/>
            </w:tcBorders>
            <w:shd w:val="clear" w:color="auto" w:fill="D8E8EF"/>
          </w:tcPr>
          <w:p>
            <w:pPr>
              <w:spacing w:after="0"/>
              <w:rPr>
                <w:sz w:val="18"/>
                <w:szCs w:val="18"/>
                <w:color w:val="auto"/>
              </w:rPr>
            </w:pPr>
          </w:p>
        </w:tc>
        <w:tc>
          <w:tcPr>
            <w:tcW w:w="760" w:type="dxa"/>
            <w:vAlign w:val="bottom"/>
            <w:tcBorders>
              <w:bottom w:val="single" w:sz="8" w:color="auto"/>
              <w:right w:val="single" w:sz="8" w:color="auto"/>
            </w:tcBorders>
            <w:shd w:val="clear" w:color="auto" w:fill="D8E8EF"/>
          </w:tcPr>
          <w:p>
            <w:pPr>
              <w:spacing w:after="0"/>
              <w:rPr>
                <w:sz w:val="18"/>
                <w:szCs w:val="18"/>
                <w:color w:val="auto"/>
              </w:rPr>
            </w:pPr>
          </w:p>
        </w:tc>
        <w:tc>
          <w:tcPr>
            <w:tcW w:w="920" w:type="dxa"/>
            <w:vAlign w:val="bottom"/>
            <w:tcBorders>
              <w:bottom w:val="single" w:sz="8" w:color="auto"/>
              <w:right w:val="single" w:sz="8" w:color="auto"/>
            </w:tcBorders>
            <w:shd w:val="clear" w:color="auto" w:fill="D8E8EF"/>
          </w:tcPr>
          <w:p>
            <w:pPr>
              <w:spacing w:after="0"/>
              <w:rPr>
                <w:sz w:val="18"/>
                <w:szCs w:val="18"/>
                <w:color w:val="auto"/>
              </w:rPr>
            </w:pPr>
          </w:p>
        </w:tc>
        <w:tc>
          <w:tcPr>
            <w:tcW w:w="740" w:type="dxa"/>
            <w:vAlign w:val="bottom"/>
            <w:tcBorders>
              <w:bottom w:val="single" w:sz="8" w:color="auto"/>
              <w:right w:val="single" w:sz="8" w:color="auto"/>
            </w:tcBorders>
            <w:shd w:val="clear" w:color="auto" w:fill="D8E8EF"/>
          </w:tcPr>
          <w:p>
            <w:pPr>
              <w:spacing w:after="0"/>
              <w:rPr>
                <w:sz w:val="18"/>
                <w:szCs w:val="18"/>
                <w:color w:val="auto"/>
              </w:rPr>
            </w:pPr>
          </w:p>
        </w:tc>
        <w:tc>
          <w:tcPr>
            <w:tcW w:w="880" w:type="dxa"/>
            <w:vAlign w:val="bottom"/>
            <w:tcBorders>
              <w:bottom w:val="single" w:sz="8" w:color="auto"/>
              <w:right w:val="single" w:sz="8" w:color="auto"/>
            </w:tcBorders>
            <w:shd w:val="clear" w:color="auto" w:fill="D8E8EF"/>
          </w:tcPr>
          <w:p>
            <w:pPr>
              <w:spacing w:after="0"/>
              <w:rPr>
                <w:sz w:val="18"/>
                <w:szCs w:val="18"/>
                <w:color w:val="auto"/>
              </w:rPr>
            </w:pPr>
          </w:p>
        </w:tc>
        <w:tc>
          <w:tcPr>
            <w:tcW w:w="820" w:type="dxa"/>
            <w:vAlign w:val="bottom"/>
            <w:tcBorders>
              <w:bottom w:val="single" w:sz="8" w:color="auto"/>
              <w:right w:val="single" w:sz="8" w:color="auto"/>
            </w:tcBorders>
            <w:shd w:val="clear" w:color="auto" w:fill="D8E8EF"/>
          </w:tcPr>
          <w:p>
            <w:pPr>
              <w:jc w:val="center"/>
              <w:spacing w:after="0"/>
              <w:rPr>
                <w:sz w:val="20"/>
                <w:szCs w:val="20"/>
                <w:color w:val="auto"/>
              </w:rPr>
            </w:pPr>
            <w:r>
              <w:rPr>
                <w:rFonts w:ascii="Arial" w:cs="Arial" w:eastAsia="Arial" w:hAnsi="Arial"/>
                <w:sz w:val="14"/>
                <w:szCs w:val="14"/>
                <w:color w:val="auto"/>
                <w:w w:val="97"/>
              </w:rPr>
              <w:t>20,597</w:t>
            </w:r>
          </w:p>
        </w:tc>
        <w:tc>
          <w:tcPr>
            <w:tcW w:w="1000" w:type="dxa"/>
            <w:vAlign w:val="bottom"/>
            <w:tcBorders>
              <w:bottom w:val="single" w:sz="8" w:color="auto"/>
              <w:right w:val="single" w:sz="8" w:color="auto"/>
            </w:tcBorders>
            <w:shd w:val="clear" w:color="auto" w:fill="D8E8EF"/>
          </w:tcPr>
          <w:p>
            <w:pPr>
              <w:jc w:val="center"/>
              <w:spacing w:after="0"/>
              <w:rPr>
                <w:sz w:val="20"/>
                <w:szCs w:val="20"/>
                <w:color w:val="auto"/>
              </w:rPr>
            </w:pPr>
            <w:r>
              <w:rPr>
                <w:rFonts w:ascii="Arial" w:cs="Arial" w:eastAsia="Arial" w:hAnsi="Arial"/>
                <w:sz w:val="14"/>
                <w:szCs w:val="14"/>
                <w:color w:val="auto"/>
              </w:rPr>
              <w:t>850,038</w:t>
            </w:r>
          </w:p>
        </w:tc>
        <w:tc>
          <w:tcPr>
            <w:tcW w:w="420" w:type="dxa"/>
            <w:vAlign w:val="bottom"/>
          </w:tcPr>
          <w:p>
            <w:pPr>
              <w:spacing w:after="0"/>
              <w:rPr>
                <w:sz w:val="18"/>
                <w:szCs w:val="18"/>
                <w:color w:val="auto"/>
              </w:rPr>
            </w:pPr>
          </w:p>
        </w:tc>
      </w:tr>
      <w:tr>
        <w:trPr>
          <w:trHeight w:val="207"/>
        </w:trPr>
        <w:tc>
          <w:tcPr>
            <w:tcW w:w="460" w:type="dxa"/>
            <w:vAlign w:val="bottom"/>
            <w:tcBorders>
              <w:right w:val="single" w:sz="8" w:color="auto"/>
            </w:tcBorders>
          </w:tcPr>
          <w:p>
            <w:pPr>
              <w:spacing w:after="0"/>
              <w:rPr>
                <w:sz w:val="18"/>
                <w:szCs w:val="18"/>
                <w:color w:val="auto"/>
              </w:rPr>
            </w:pPr>
          </w:p>
        </w:tc>
        <w:tc>
          <w:tcPr>
            <w:tcW w:w="1120" w:type="dxa"/>
            <w:vAlign w:val="bottom"/>
            <w:tcBorders>
              <w:bottom w:val="single" w:sz="8" w:color="D8E8EF"/>
              <w:right w:val="single" w:sz="8" w:color="auto"/>
            </w:tcBorders>
            <w:shd w:val="clear" w:color="auto" w:fill="D8E8EF"/>
          </w:tcPr>
          <w:p>
            <w:pPr>
              <w:spacing w:after="0"/>
              <w:rPr>
                <w:sz w:val="18"/>
                <w:szCs w:val="18"/>
                <w:color w:val="auto"/>
              </w:rPr>
            </w:pPr>
          </w:p>
        </w:tc>
        <w:tc>
          <w:tcPr>
            <w:tcW w:w="940" w:type="dxa"/>
            <w:vAlign w:val="bottom"/>
            <w:tcBorders>
              <w:bottom w:val="single" w:sz="8" w:color="auto"/>
              <w:right w:val="single" w:sz="8" w:color="auto"/>
            </w:tcBorders>
            <w:shd w:val="clear" w:color="auto" w:fill="D8E8EF"/>
          </w:tcPr>
          <w:p>
            <w:pPr>
              <w:jc w:val="center"/>
              <w:spacing w:after="0"/>
              <w:rPr>
                <w:sz w:val="20"/>
                <w:szCs w:val="20"/>
                <w:color w:val="auto"/>
              </w:rPr>
            </w:pPr>
            <w:r>
              <w:rPr>
                <w:rFonts w:ascii="Arial" w:cs="Arial" w:eastAsia="Arial" w:hAnsi="Arial"/>
                <w:sz w:val="14"/>
                <w:szCs w:val="14"/>
                <w:color w:val="auto"/>
                <w:w w:val="99"/>
              </w:rPr>
              <w:t>02/12/2021</w:t>
            </w:r>
          </w:p>
        </w:tc>
        <w:tc>
          <w:tcPr>
            <w:tcW w:w="960" w:type="dxa"/>
            <w:vAlign w:val="bottom"/>
            <w:tcBorders>
              <w:bottom w:val="single" w:sz="8" w:color="auto"/>
              <w:right w:val="single" w:sz="8" w:color="auto"/>
            </w:tcBorders>
            <w:shd w:val="clear" w:color="auto" w:fill="D8E8EF"/>
          </w:tcPr>
          <w:p>
            <w:pPr>
              <w:jc w:val="center"/>
              <w:spacing w:after="0"/>
              <w:rPr>
                <w:sz w:val="20"/>
                <w:szCs w:val="20"/>
                <w:color w:val="auto"/>
              </w:rPr>
            </w:pPr>
            <w:r>
              <w:rPr>
                <w:rFonts w:ascii="Arial" w:cs="Arial" w:eastAsia="Arial" w:hAnsi="Arial"/>
                <w:sz w:val="14"/>
                <w:szCs w:val="14"/>
                <w:color w:val="auto"/>
              </w:rPr>
              <w:t>02/12/2021</w:t>
            </w:r>
          </w:p>
        </w:tc>
        <w:tc>
          <w:tcPr>
            <w:tcW w:w="920" w:type="dxa"/>
            <w:vAlign w:val="bottom"/>
            <w:tcBorders>
              <w:bottom w:val="single" w:sz="8" w:color="auto"/>
              <w:right w:val="single" w:sz="8" w:color="auto"/>
            </w:tcBorders>
            <w:shd w:val="clear" w:color="auto" w:fill="D8E8EF"/>
          </w:tcPr>
          <w:p>
            <w:pPr>
              <w:spacing w:after="0"/>
              <w:rPr>
                <w:sz w:val="18"/>
                <w:szCs w:val="18"/>
                <w:color w:val="auto"/>
              </w:rPr>
            </w:pPr>
          </w:p>
        </w:tc>
        <w:tc>
          <w:tcPr>
            <w:tcW w:w="80" w:type="dxa"/>
            <w:vAlign w:val="bottom"/>
            <w:tcBorders>
              <w:bottom w:val="single" w:sz="8" w:color="auto"/>
            </w:tcBorders>
            <w:shd w:val="clear" w:color="auto" w:fill="D8E8EF"/>
          </w:tcPr>
          <w:p>
            <w:pPr>
              <w:spacing w:after="0"/>
              <w:rPr>
                <w:sz w:val="18"/>
                <w:szCs w:val="18"/>
                <w:color w:val="auto"/>
              </w:rPr>
            </w:pPr>
          </w:p>
        </w:tc>
        <w:tc>
          <w:tcPr>
            <w:tcW w:w="800" w:type="dxa"/>
            <w:vAlign w:val="bottom"/>
            <w:tcBorders>
              <w:bottom w:val="single" w:sz="8" w:color="auto"/>
              <w:right w:val="single" w:sz="8" w:color="auto"/>
            </w:tcBorders>
            <w:shd w:val="clear" w:color="auto" w:fill="D8E8EF"/>
          </w:tcPr>
          <w:p>
            <w:pPr>
              <w:spacing w:after="0"/>
              <w:rPr>
                <w:sz w:val="18"/>
                <w:szCs w:val="18"/>
                <w:color w:val="auto"/>
              </w:rPr>
            </w:pPr>
          </w:p>
        </w:tc>
        <w:tc>
          <w:tcPr>
            <w:tcW w:w="100" w:type="dxa"/>
            <w:vAlign w:val="bottom"/>
            <w:tcBorders>
              <w:bottom w:val="single" w:sz="8" w:color="auto"/>
            </w:tcBorders>
            <w:shd w:val="clear" w:color="auto" w:fill="D8E8EF"/>
          </w:tcPr>
          <w:p>
            <w:pPr>
              <w:spacing w:after="0"/>
              <w:rPr>
                <w:sz w:val="18"/>
                <w:szCs w:val="18"/>
                <w:color w:val="auto"/>
              </w:rPr>
            </w:pPr>
          </w:p>
        </w:tc>
        <w:tc>
          <w:tcPr>
            <w:tcW w:w="760" w:type="dxa"/>
            <w:vAlign w:val="bottom"/>
            <w:tcBorders>
              <w:bottom w:val="single" w:sz="8" w:color="auto"/>
              <w:right w:val="single" w:sz="8" w:color="auto"/>
            </w:tcBorders>
            <w:shd w:val="clear" w:color="auto" w:fill="D8E8EF"/>
          </w:tcPr>
          <w:p>
            <w:pPr>
              <w:spacing w:after="0"/>
              <w:rPr>
                <w:sz w:val="18"/>
                <w:szCs w:val="18"/>
                <w:color w:val="auto"/>
              </w:rPr>
            </w:pPr>
          </w:p>
        </w:tc>
        <w:tc>
          <w:tcPr>
            <w:tcW w:w="920" w:type="dxa"/>
            <w:vAlign w:val="bottom"/>
            <w:tcBorders>
              <w:bottom w:val="single" w:sz="8" w:color="auto"/>
              <w:right w:val="single" w:sz="8" w:color="auto"/>
            </w:tcBorders>
            <w:shd w:val="clear" w:color="auto" w:fill="D8E8EF"/>
          </w:tcPr>
          <w:p>
            <w:pPr>
              <w:jc w:val="center"/>
              <w:spacing w:after="0"/>
              <w:rPr>
                <w:sz w:val="20"/>
                <w:szCs w:val="20"/>
                <w:color w:val="auto"/>
              </w:rPr>
            </w:pPr>
            <w:r>
              <w:rPr>
                <w:rFonts w:ascii="Arial" w:cs="Arial" w:eastAsia="Arial" w:hAnsi="Arial"/>
                <w:sz w:val="14"/>
                <w:szCs w:val="14"/>
                <w:color w:val="auto"/>
              </w:rPr>
              <w:t>0</w:t>
            </w:r>
          </w:p>
        </w:tc>
        <w:tc>
          <w:tcPr>
            <w:tcW w:w="740" w:type="dxa"/>
            <w:vAlign w:val="bottom"/>
            <w:tcBorders>
              <w:bottom w:val="single" w:sz="8" w:color="auto"/>
              <w:right w:val="single" w:sz="8" w:color="auto"/>
            </w:tcBorders>
            <w:shd w:val="clear" w:color="auto" w:fill="D8E8EF"/>
          </w:tcPr>
          <w:p>
            <w:pPr>
              <w:jc w:val="center"/>
              <w:spacing w:after="0"/>
              <w:rPr>
                <w:sz w:val="20"/>
                <w:szCs w:val="20"/>
                <w:color w:val="auto"/>
              </w:rPr>
            </w:pPr>
            <w:r>
              <w:rPr>
                <w:rFonts w:ascii="Arial" w:cs="Arial" w:eastAsia="Arial" w:hAnsi="Arial"/>
                <w:sz w:val="14"/>
                <w:szCs w:val="14"/>
                <w:color w:val="auto"/>
              </w:rPr>
              <w:t>30,895</w:t>
            </w:r>
          </w:p>
        </w:tc>
        <w:tc>
          <w:tcPr>
            <w:tcW w:w="880" w:type="dxa"/>
            <w:vAlign w:val="bottom"/>
            <w:tcBorders>
              <w:bottom w:val="single" w:sz="8" w:color="auto"/>
              <w:right w:val="single" w:sz="8" w:color="auto"/>
            </w:tcBorders>
            <w:shd w:val="clear" w:color="auto" w:fill="D8E8EF"/>
          </w:tcPr>
          <w:p>
            <w:pPr>
              <w:jc w:val="center"/>
              <w:spacing w:after="0"/>
              <w:rPr>
                <w:sz w:val="20"/>
                <w:szCs w:val="20"/>
                <w:color w:val="auto"/>
              </w:rPr>
            </w:pPr>
            <w:r>
              <w:rPr>
                <w:rFonts w:ascii="Arial" w:cs="Arial" w:eastAsia="Arial" w:hAnsi="Arial"/>
                <w:sz w:val="14"/>
                <w:szCs w:val="14"/>
                <w:color w:val="auto"/>
              </w:rPr>
              <w:t>69,514</w:t>
            </w:r>
          </w:p>
        </w:tc>
        <w:tc>
          <w:tcPr>
            <w:tcW w:w="820" w:type="dxa"/>
            <w:vAlign w:val="bottom"/>
            <w:tcBorders>
              <w:bottom w:val="single" w:sz="8" w:color="auto"/>
              <w:right w:val="single" w:sz="8" w:color="auto"/>
            </w:tcBorders>
            <w:shd w:val="clear" w:color="auto" w:fill="D8E8EF"/>
          </w:tcPr>
          <w:p>
            <w:pPr>
              <w:spacing w:after="0"/>
              <w:rPr>
                <w:sz w:val="18"/>
                <w:szCs w:val="18"/>
                <w:color w:val="auto"/>
              </w:rPr>
            </w:pPr>
          </w:p>
        </w:tc>
        <w:tc>
          <w:tcPr>
            <w:tcW w:w="1000" w:type="dxa"/>
            <w:vAlign w:val="bottom"/>
            <w:tcBorders>
              <w:bottom w:val="single" w:sz="8" w:color="auto"/>
              <w:right w:val="single" w:sz="8" w:color="auto"/>
            </w:tcBorders>
            <w:shd w:val="clear" w:color="auto" w:fill="D8E8EF"/>
          </w:tcPr>
          <w:p>
            <w:pPr>
              <w:jc w:val="center"/>
              <w:spacing w:after="0"/>
              <w:rPr>
                <w:sz w:val="20"/>
                <w:szCs w:val="20"/>
                <w:color w:val="auto"/>
              </w:rPr>
            </w:pPr>
            <w:r>
              <w:rPr>
                <w:rFonts w:ascii="Arial" w:cs="Arial" w:eastAsia="Arial" w:hAnsi="Arial"/>
                <w:sz w:val="14"/>
                <w:szCs w:val="14"/>
                <w:color w:val="auto"/>
              </w:rPr>
              <w:t>1,650,513</w:t>
            </w:r>
          </w:p>
        </w:tc>
        <w:tc>
          <w:tcPr>
            <w:tcW w:w="420" w:type="dxa"/>
            <w:vAlign w:val="bottom"/>
          </w:tcPr>
          <w:p>
            <w:pPr>
              <w:spacing w:after="0"/>
              <w:rPr>
                <w:sz w:val="18"/>
                <w:szCs w:val="18"/>
                <w:color w:val="auto"/>
              </w:rPr>
            </w:pPr>
          </w:p>
        </w:tc>
      </w:tr>
      <w:tr>
        <w:trPr>
          <w:trHeight w:val="207"/>
        </w:trPr>
        <w:tc>
          <w:tcPr>
            <w:tcW w:w="460" w:type="dxa"/>
            <w:vAlign w:val="bottom"/>
            <w:tcBorders>
              <w:right w:val="single" w:sz="8" w:color="auto"/>
            </w:tcBorders>
          </w:tcPr>
          <w:p>
            <w:pPr>
              <w:spacing w:after="0"/>
              <w:rPr>
                <w:sz w:val="18"/>
                <w:szCs w:val="18"/>
                <w:color w:val="auto"/>
              </w:rPr>
            </w:pPr>
          </w:p>
        </w:tc>
        <w:tc>
          <w:tcPr>
            <w:tcW w:w="1120" w:type="dxa"/>
            <w:vAlign w:val="bottom"/>
            <w:tcBorders>
              <w:bottom w:val="single" w:sz="8" w:color="D8E8EF"/>
              <w:right w:val="single" w:sz="8" w:color="auto"/>
            </w:tcBorders>
            <w:shd w:val="clear" w:color="auto" w:fill="D8E8EF"/>
          </w:tcPr>
          <w:p>
            <w:pPr>
              <w:spacing w:after="0"/>
              <w:rPr>
                <w:sz w:val="18"/>
                <w:szCs w:val="18"/>
                <w:color w:val="auto"/>
              </w:rPr>
            </w:pPr>
          </w:p>
        </w:tc>
        <w:tc>
          <w:tcPr>
            <w:tcW w:w="940" w:type="dxa"/>
            <w:vAlign w:val="bottom"/>
            <w:tcBorders>
              <w:bottom w:val="single" w:sz="8" w:color="auto"/>
              <w:right w:val="single" w:sz="8" w:color="auto"/>
            </w:tcBorders>
            <w:shd w:val="clear" w:color="auto" w:fill="D8E8EF"/>
          </w:tcPr>
          <w:p>
            <w:pPr>
              <w:jc w:val="center"/>
              <w:spacing w:after="0"/>
              <w:rPr>
                <w:sz w:val="20"/>
                <w:szCs w:val="20"/>
                <w:color w:val="auto"/>
              </w:rPr>
            </w:pPr>
            <w:r>
              <w:rPr>
                <w:rFonts w:ascii="Arial" w:cs="Arial" w:eastAsia="Arial" w:hAnsi="Arial"/>
                <w:sz w:val="14"/>
                <w:szCs w:val="14"/>
                <w:color w:val="auto"/>
                <w:w w:val="99"/>
              </w:rPr>
              <w:t>07/01/2021</w:t>
            </w:r>
          </w:p>
        </w:tc>
        <w:tc>
          <w:tcPr>
            <w:tcW w:w="960" w:type="dxa"/>
            <w:vAlign w:val="bottom"/>
            <w:tcBorders>
              <w:bottom w:val="single" w:sz="8" w:color="auto"/>
              <w:right w:val="single" w:sz="8" w:color="auto"/>
            </w:tcBorders>
            <w:shd w:val="clear" w:color="auto" w:fill="D8E8EF"/>
          </w:tcPr>
          <w:p>
            <w:pPr>
              <w:jc w:val="center"/>
              <w:spacing w:after="0"/>
              <w:rPr>
                <w:sz w:val="20"/>
                <w:szCs w:val="20"/>
                <w:color w:val="auto"/>
              </w:rPr>
            </w:pPr>
            <w:r>
              <w:rPr>
                <w:rFonts w:ascii="Arial" w:cs="Arial" w:eastAsia="Arial" w:hAnsi="Arial"/>
                <w:sz w:val="14"/>
                <w:szCs w:val="14"/>
                <w:color w:val="auto"/>
              </w:rPr>
              <w:t>06/16/2021</w:t>
            </w:r>
          </w:p>
        </w:tc>
        <w:tc>
          <w:tcPr>
            <w:tcW w:w="920" w:type="dxa"/>
            <w:vAlign w:val="bottom"/>
            <w:tcBorders>
              <w:bottom w:val="single" w:sz="8" w:color="auto"/>
              <w:right w:val="single" w:sz="8" w:color="auto"/>
            </w:tcBorders>
            <w:shd w:val="clear" w:color="auto" w:fill="D8E8EF"/>
          </w:tcPr>
          <w:p>
            <w:pPr>
              <w:spacing w:after="0"/>
              <w:rPr>
                <w:sz w:val="18"/>
                <w:szCs w:val="18"/>
                <w:color w:val="auto"/>
              </w:rPr>
            </w:pPr>
          </w:p>
        </w:tc>
        <w:tc>
          <w:tcPr>
            <w:tcW w:w="80" w:type="dxa"/>
            <w:vAlign w:val="bottom"/>
            <w:tcBorders>
              <w:bottom w:val="single" w:sz="8" w:color="auto"/>
            </w:tcBorders>
            <w:shd w:val="clear" w:color="auto" w:fill="D8E8EF"/>
          </w:tcPr>
          <w:p>
            <w:pPr>
              <w:spacing w:after="0"/>
              <w:rPr>
                <w:sz w:val="18"/>
                <w:szCs w:val="18"/>
                <w:color w:val="auto"/>
              </w:rPr>
            </w:pPr>
          </w:p>
        </w:tc>
        <w:tc>
          <w:tcPr>
            <w:tcW w:w="800" w:type="dxa"/>
            <w:vAlign w:val="bottom"/>
            <w:tcBorders>
              <w:bottom w:val="single" w:sz="8" w:color="auto"/>
              <w:right w:val="single" w:sz="8" w:color="auto"/>
            </w:tcBorders>
            <w:shd w:val="clear" w:color="auto" w:fill="D8E8EF"/>
          </w:tcPr>
          <w:p>
            <w:pPr>
              <w:spacing w:after="0"/>
              <w:rPr>
                <w:sz w:val="18"/>
                <w:szCs w:val="18"/>
                <w:color w:val="auto"/>
              </w:rPr>
            </w:pPr>
          </w:p>
        </w:tc>
        <w:tc>
          <w:tcPr>
            <w:tcW w:w="100" w:type="dxa"/>
            <w:vAlign w:val="bottom"/>
            <w:tcBorders>
              <w:bottom w:val="single" w:sz="8" w:color="auto"/>
            </w:tcBorders>
            <w:shd w:val="clear" w:color="auto" w:fill="D8E8EF"/>
          </w:tcPr>
          <w:p>
            <w:pPr>
              <w:spacing w:after="0"/>
              <w:rPr>
                <w:sz w:val="18"/>
                <w:szCs w:val="18"/>
                <w:color w:val="auto"/>
              </w:rPr>
            </w:pPr>
          </w:p>
        </w:tc>
        <w:tc>
          <w:tcPr>
            <w:tcW w:w="760" w:type="dxa"/>
            <w:vAlign w:val="bottom"/>
            <w:tcBorders>
              <w:bottom w:val="single" w:sz="8" w:color="auto"/>
              <w:right w:val="single" w:sz="8" w:color="auto"/>
            </w:tcBorders>
            <w:shd w:val="clear" w:color="auto" w:fill="D8E8EF"/>
          </w:tcPr>
          <w:p>
            <w:pPr>
              <w:spacing w:after="0"/>
              <w:rPr>
                <w:sz w:val="18"/>
                <w:szCs w:val="18"/>
                <w:color w:val="auto"/>
              </w:rPr>
            </w:pPr>
          </w:p>
        </w:tc>
        <w:tc>
          <w:tcPr>
            <w:tcW w:w="920" w:type="dxa"/>
            <w:vAlign w:val="bottom"/>
            <w:tcBorders>
              <w:bottom w:val="single" w:sz="8" w:color="auto"/>
              <w:right w:val="single" w:sz="8" w:color="auto"/>
            </w:tcBorders>
            <w:shd w:val="clear" w:color="auto" w:fill="D8E8EF"/>
          </w:tcPr>
          <w:p>
            <w:pPr>
              <w:spacing w:after="0"/>
              <w:rPr>
                <w:sz w:val="18"/>
                <w:szCs w:val="18"/>
                <w:color w:val="auto"/>
              </w:rPr>
            </w:pPr>
          </w:p>
        </w:tc>
        <w:tc>
          <w:tcPr>
            <w:tcW w:w="740" w:type="dxa"/>
            <w:vAlign w:val="bottom"/>
            <w:tcBorders>
              <w:bottom w:val="single" w:sz="8" w:color="auto"/>
              <w:right w:val="single" w:sz="8" w:color="auto"/>
            </w:tcBorders>
            <w:shd w:val="clear" w:color="auto" w:fill="D8E8EF"/>
          </w:tcPr>
          <w:p>
            <w:pPr>
              <w:spacing w:after="0"/>
              <w:rPr>
                <w:sz w:val="18"/>
                <w:szCs w:val="18"/>
                <w:color w:val="auto"/>
              </w:rPr>
            </w:pPr>
          </w:p>
        </w:tc>
        <w:tc>
          <w:tcPr>
            <w:tcW w:w="880" w:type="dxa"/>
            <w:vAlign w:val="bottom"/>
            <w:tcBorders>
              <w:bottom w:val="single" w:sz="8" w:color="auto"/>
              <w:right w:val="single" w:sz="8" w:color="auto"/>
            </w:tcBorders>
            <w:shd w:val="clear" w:color="auto" w:fill="D8E8EF"/>
          </w:tcPr>
          <w:p>
            <w:pPr>
              <w:spacing w:after="0"/>
              <w:rPr>
                <w:sz w:val="18"/>
                <w:szCs w:val="18"/>
                <w:color w:val="auto"/>
              </w:rPr>
            </w:pPr>
          </w:p>
        </w:tc>
        <w:tc>
          <w:tcPr>
            <w:tcW w:w="820" w:type="dxa"/>
            <w:vAlign w:val="bottom"/>
            <w:tcBorders>
              <w:bottom w:val="single" w:sz="8" w:color="auto"/>
              <w:right w:val="single" w:sz="8" w:color="auto"/>
            </w:tcBorders>
            <w:shd w:val="clear" w:color="auto" w:fill="D8E8EF"/>
          </w:tcPr>
          <w:p>
            <w:pPr>
              <w:jc w:val="center"/>
              <w:spacing w:after="0"/>
              <w:rPr>
                <w:sz w:val="20"/>
                <w:szCs w:val="20"/>
                <w:color w:val="auto"/>
              </w:rPr>
            </w:pPr>
            <w:r>
              <w:rPr>
                <w:rFonts w:ascii="Arial" w:cs="Arial" w:eastAsia="Arial" w:hAnsi="Arial"/>
                <w:sz w:val="14"/>
                <w:szCs w:val="14"/>
                <w:color w:val="auto"/>
                <w:w w:val="96"/>
              </w:rPr>
              <w:t>1,056</w:t>
            </w:r>
          </w:p>
        </w:tc>
        <w:tc>
          <w:tcPr>
            <w:tcW w:w="1000" w:type="dxa"/>
            <w:vAlign w:val="bottom"/>
            <w:tcBorders>
              <w:bottom w:val="single" w:sz="8" w:color="auto"/>
              <w:right w:val="single" w:sz="8" w:color="auto"/>
            </w:tcBorders>
            <w:shd w:val="clear" w:color="auto" w:fill="D8E8EF"/>
          </w:tcPr>
          <w:p>
            <w:pPr>
              <w:jc w:val="center"/>
              <w:spacing w:after="0"/>
              <w:rPr>
                <w:sz w:val="20"/>
                <w:szCs w:val="20"/>
                <w:color w:val="auto"/>
              </w:rPr>
            </w:pPr>
            <w:r>
              <w:rPr>
                <w:rFonts w:ascii="Arial" w:cs="Arial" w:eastAsia="Arial" w:hAnsi="Arial"/>
                <w:sz w:val="14"/>
                <w:szCs w:val="14"/>
                <w:color w:val="auto"/>
              </w:rPr>
              <w:t>40,033</w:t>
            </w:r>
          </w:p>
        </w:tc>
        <w:tc>
          <w:tcPr>
            <w:tcW w:w="420" w:type="dxa"/>
            <w:vAlign w:val="bottom"/>
          </w:tcPr>
          <w:p>
            <w:pPr>
              <w:spacing w:after="0"/>
              <w:rPr>
                <w:sz w:val="18"/>
                <w:szCs w:val="18"/>
                <w:color w:val="auto"/>
              </w:rPr>
            </w:pPr>
          </w:p>
        </w:tc>
      </w:tr>
      <w:tr>
        <w:trPr>
          <w:trHeight w:val="207"/>
        </w:trPr>
        <w:tc>
          <w:tcPr>
            <w:tcW w:w="460" w:type="dxa"/>
            <w:vAlign w:val="bottom"/>
            <w:tcBorders>
              <w:right w:val="single" w:sz="8" w:color="auto"/>
            </w:tcBorders>
          </w:tcPr>
          <w:p>
            <w:pPr>
              <w:spacing w:after="0"/>
              <w:rPr>
                <w:sz w:val="18"/>
                <w:szCs w:val="18"/>
                <w:color w:val="auto"/>
              </w:rPr>
            </w:pPr>
          </w:p>
        </w:tc>
        <w:tc>
          <w:tcPr>
            <w:tcW w:w="1120" w:type="dxa"/>
            <w:vAlign w:val="bottom"/>
            <w:tcBorders>
              <w:bottom w:val="single" w:sz="8" w:color="auto"/>
              <w:right w:val="single" w:sz="8" w:color="auto"/>
            </w:tcBorders>
            <w:shd w:val="clear" w:color="auto" w:fill="D8E8EF"/>
          </w:tcPr>
          <w:p>
            <w:pPr>
              <w:spacing w:after="0"/>
              <w:rPr>
                <w:sz w:val="18"/>
                <w:szCs w:val="18"/>
                <w:color w:val="auto"/>
              </w:rPr>
            </w:pPr>
          </w:p>
        </w:tc>
        <w:tc>
          <w:tcPr>
            <w:tcW w:w="940" w:type="dxa"/>
            <w:vAlign w:val="bottom"/>
            <w:tcBorders>
              <w:bottom w:val="single" w:sz="8" w:color="auto"/>
              <w:right w:val="single" w:sz="8" w:color="auto"/>
            </w:tcBorders>
            <w:shd w:val="clear" w:color="auto" w:fill="D8E8EF"/>
          </w:tcPr>
          <w:p>
            <w:pPr>
              <w:jc w:val="center"/>
              <w:spacing w:after="0"/>
              <w:rPr>
                <w:sz w:val="20"/>
                <w:szCs w:val="20"/>
                <w:color w:val="auto"/>
              </w:rPr>
            </w:pPr>
            <w:r>
              <w:rPr>
                <w:rFonts w:ascii="Arial" w:cs="Arial" w:eastAsia="Arial" w:hAnsi="Arial"/>
                <w:sz w:val="14"/>
                <w:szCs w:val="14"/>
                <w:color w:val="auto"/>
                <w:w w:val="99"/>
              </w:rPr>
              <w:t>07/01/2021</w:t>
            </w:r>
          </w:p>
        </w:tc>
        <w:tc>
          <w:tcPr>
            <w:tcW w:w="960" w:type="dxa"/>
            <w:vAlign w:val="bottom"/>
            <w:tcBorders>
              <w:bottom w:val="single" w:sz="8" w:color="auto"/>
              <w:right w:val="single" w:sz="8" w:color="auto"/>
            </w:tcBorders>
            <w:shd w:val="clear" w:color="auto" w:fill="D8E8EF"/>
          </w:tcPr>
          <w:p>
            <w:pPr>
              <w:jc w:val="center"/>
              <w:spacing w:after="0"/>
              <w:rPr>
                <w:sz w:val="20"/>
                <w:szCs w:val="20"/>
                <w:color w:val="auto"/>
              </w:rPr>
            </w:pPr>
            <w:r>
              <w:rPr>
                <w:rFonts w:ascii="Arial" w:cs="Arial" w:eastAsia="Arial" w:hAnsi="Arial"/>
                <w:sz w:val="14"/>
                <w:szCs w:val="14"/>
                <w:color w:val="auto"/>
              </w:rPr>
              <w:t>06/16/2021</w:t>
            </w:r>
          </w:p>
        </w:tc>
        <w:tc>
          <w:tcPr>
            <w:tcW w:w="920" w:type="dxa"/>
            <w:vAlign w:val="bottom"/>
            <w:tcBorders>
              <w:bottom w:val="single" w:sz="8" w:color="auto"/>
              <w:right w:val="single" w:sz="8" w:color="auto"/>
            </w:tcBorders>
            <w:shd w:val="clear" w:color="auto" w:fill="D8E8EF"/>
          </w:tcPr>
          <w:p>
            <w:pPr>
              <w:spacing w:after="0"/>
              <w:rPr>
                <w:sz w:val="18"/>
                <w:szCs w:val="18"/>
                <w:color w:val="auto"/>
              </w:rPr>
            </w:pPr>
          </w:p>
        </w:tc>
        <w:tc>
          <w:tcPr>
            <w:tcW w:w="80" w:type="dxa"/>
            <w:vAlign w:val="bottom"/>
            <w:tcBorders>
              <w:bottom w:val="single" w:sz="8" w:color="auto"/>
            </w:tcBorders>
            <w:shd w:val="clear" w:color="auto" w:fill="D8E8EF"/>
          </w:tcPr>
          <w:p>
            <w:pPr>
              <w:spacing w:after="0"/>
              <w:rPr>
                <w:sz w:val="18"/>
                <w:szCs w:val="18"/>
                <w:color w:val="auto"/>
              </w:rPr>
            </w:pPr>
          </w:p>
        </w:tc>
        <w:tc>
          <w:tcPr>
            <w:tcW w:w="800" w:type="dxa"/>
            <w:vAlign w:val="bottom"/>
            <w:tcBorders>
              <w:bottom w:val="single" w:sz="8" w:color="auto"/>
              <w:right w:val="single" w:sz="8" w:color="auto"/>
            </w:tcBorders>
            <w:shd w:val="clear" w:color="auto" w:fill="D8E8EF"/>
          </w:tcPr>
          <w:p>
            <w:pPr>
              <w:spacing w:after="0"/>
              <w:rPr>
                <w:sz w:val="18"/>
                <w:szCs w:val="18"/>
                <w:color w:val="auto"/>
              </w:rPr>
            </w:pPr>
          </w:p>
        </w:tc>
        <w:tc>
          <w:tcPr>
            <w:tcW w:w="100" w:type="dxa"/>
            <w:vAlign w:val="bottom"/>
            <w:tcBorders>
              <w:bottom w:val="single" w:sz="8" w:color="auto"/>
            </w:tcBorders>
            <w:shd w:val="clear" w:color="auto" w:fill="D8E8EF"/>
          </w:tcPr>
          <w:p>
            <w:pPr>
              <w:spacing w:after="0"/>
              <w:rPr>
                <w:sz w:val="18"/>
                <w:szCs w:val="18"/>
                <w:color w:val="auto"/>
              </w:rPr>
            </w:pPr>
          </w:p>
        </w:tc>
        <w:tc>
          <w:tcPr>
            <w:tcW w:w="760" w:type="dxa"/>
            <w:vAlign w:val="bottom"/>
            <w:tcBorders>
              <w:bottom w:val="single" w:sz="8" w:color="auto"/>
              <w:right w:val="single" w:sz="8" w:color="auto"/>
            </w:tcBorders>
            <w:shd w:val="clear" w:color="auto" w:fill="D8E8EF"/>
          </w:tcPr>
          <w:p>
            <w:pPr>
              <w:spacing w:after="0"/>
              <w:rPr>
                <w:sz w:val="18"/>
                <w:szCs w:val="18"/>
                <w:color w:val="auto"/>
              </w:rPr>
            </w:pPr>
          </w:p>
        </w:tc>
        <w:tc>
          <w:tcPr>
            <w:tcW w:w="920" w:type="dxa"/>
            <w:vAlign w:val="bottom"/>
            <w:tcBorders>
              <w:bottom w:val="single" w:sz="8" w:color="auto"/>
              <w:right w:val="single" w:sz="8" w:color="auto"/>
            </w:tcBorders>
            <w:shd w:val="clear" w:color="auto" w:fill="D8E8EF"/>
          </w:tcPr>
          <w:p>
            <w:pPr>
              <w:jc w:val="center"/>
              <w:spacing w:after="0"/>
              <w:rPr>
                <w:sz w:val="20"/>
                <w:szCs w:val="20"/>
                <w:color w:val="auto"/>
              </w:rPr>
            </w:pPr>
            <w:r>
              <w:rPr>
                <w:rFonts w:ascii="Arial" w:cs="Arial" w:eastAsia="Arial" w:hAnsi="Arial"/>
                <w:sz w:val="14"/>
                <w:szCs w:val="14"/>
                <w:color w:val="auto"/>
              </w:rPr>
              <w:t>0</w:t>
            </w:r>
          </w:p>
        </w:tc>
        <w:tc>
          <w:tcPr>
            <w:tcW w:w="740" w:type="dxa"/>
            <w:vAlign w:val="bottom"/>
            <w:tcBorders>
              <w:bottom w:val="single" w:sz="8" w:color="auto"/>
              <w:right w:val="single" w:sz="8" w:color="auto"/>
            </w:tcBorders>
            <w:shd w:val="clear" w:color="auto" w:fill="D8E8EF"/>
          </w:tcPr>
          <w:p>
            <w:pPr>
              <w:jc w:val="center"/>
              <w:spacing w:after="0"/>
              <w:rPr>
                <w:sz w:val="20"/>
                <w:szCs w:val="20"/>
                <w:color w:val="auto"/>
              </w:rPr>
            </w:pPr>
            <w:r>
              <w:rPr>
                <w:rFonts w:ascii="Arial" w:cs="Arial" w:eastAsia="Arial" w:hAnsi="Arial"/>
                <w:sz w:val="14"/>
                <w:szCs w:val="14"/>
                <w:color w:val="auto"/>
              </w:rPr>
              <w:t>1,583</w:t>
            </w:r>
          </w:p>
        </w:tc>
        <w:tc>
          <w:tcPr>
            <w:tcW w:w="880" w:type="dxa"/>
            <w:vAlign w:val="bottom"/>
            <w:tcBorders>
              <w:bottom w:val="single" w:sz="8" w:color="auto"/>
              <w:right w:val="single" w:sz="8" w:color="auto"/>
            </w:tcBorders>
            <w:shd w:val="clear" w:color="auto" w:fill="D8E8EF"/>
          </w:tcPr>
          <w:p>
            <w:pPr>
              <w:jc w:val="center"/>
              <w:spacing w:after="0"/>
              <w:rPr>
                <w:sz w:val="20"/>
                <w:szCs w:val="20"/>
                <w:color w:val="auto"/>
              </w:rPr>
            </w:pPr>
            <w:r>
              <w:rPr>
                <w:rFonts w:ascii="Arial" w:cs="Arial" w:eastAsia="Arial" w:hAnsi="Arial"/>
                <w:sz w:val="14"/>
                <w:szCs w:val="14"/>
                <w:color w:val="auto"/>
              </w:rPr>
              <w:t>2,375</w:t>
            </w:r>
          </w:p>
        </w:tc>
        <w:tc>
          <w:tcPr>
            <w:tcW w:w="820" w:type="dxa"/>
            <w:vAlign w:val="bottom"/>
            <w:tcBorders>
              <w:bottom w:val="single" w:sz="8" w:color="auto"/>
              <w:right w:val="single" w:sz="8" w:color="auto"/>
            </w:tcBorders>
            <w:shd w:val="clear" w:color="auto" w:fill="D8E8EF"/>
          </w:tcPr>
          <w:p>
            <w:pPr>
              <w:spacing w:after="0"/>
              <w:rPr>
                <w:sz w:val="18"/>
                <w:szCs w:val="18"/>
                <w:color w:val="auto"/>
              </w:rPr>
            </w:pPr>
          </w:p>
        </w:tc>
        <w:tc>
          <w:tcPr>
            <w:tcW w:w="1000" w:type="dxa"/>
            <w:vAlign w:val="bottom"/>
            <w:tcBorders>
              <w:bottom w:val="single" w:sz="8" w:color="auto"/>
              <w:right w:val="single" w:sz="8" w:color="auto"/>
            </w:tcBorders>
            <w:shd w:val="clear" w:color="auto" w:fill="D8E8EF"/>
          </w:tcPr>
          <w:p>
            <w:pPr>
              <w:jc w:val="center"/>
              <w:spacing w:after="0"/>
              <w:rPr>
                <w:sz w:val="20"/>
                <w:szCs w:val="20"/>
                <w:color w:val="auto"/>
              </w:rPr>
            </w:pPr>
            <w:r>
              <w:rPr>
                <w:rFonts w:ascii="Arial" w:cs="Arial" w:eastAsia="Arial" w:hAnsi="Arial"/>
                <w:sz w:val="14"/>
                <w:szCs w:val="14"/>
                <w:color w:val="auto"/>
              </w:rPr>
              <w:t>76,602</w:t>
            </w:r>
          </w:p>
        </w:tc>
        <w:tc>
          <w:tcPr>
            <w:tcW w:w="420" w:type="dxa"/>
            <w:vAlign w:val="bottom"/>
          </w:tcPr>
          <w:p>
            <w:pPr>
              <w:spacing w:after="0"/>
              <w:rPr>
                <w:sz w:val="18"/>
                <w:szCs w:val="18"/>
                <w:color w:val="auto"/>
              </w:rPr>
            </w:pPr>
          </w:p>
        </w:tc>
      </w:tr>
      <w:tr>
        <w:trPr>
          <w:trHeight w:val="221"/>
        </w:trPr>
        <w:tc>
          <w:tcPr>
            <w:tcW w:w="460" w:type="dxa"/>
            <w:vAlign w:val="bottom"/>
            <w:tcBorders>
              <w:right w:val="single" w:sz="8" w:color="auto"/>
            </w:tcBorders>
          </w:tcPr>
          <w:p>
            <w:pPr>
              <w:spacing w:after="0"/>
              <w:rPr>
                <w:sz w:val="19"/>
                <w:szCs w:val="19"/>
                <w:color w:val="auto"/>
              </w:rPr>
            </w:pPr>
          </w:p>
        </w:tc>
        <w:tc>
          <w:tcPr>
            <w:tcW w:w="1120" w:type="dxa"/>
            <w:vAlign w:val="bottom"/>
            <w:tcBorders>
              <w:right w:val="single" w:sz="8" w:color="auto"/>
            </w:tcBorders>
          </w:tcPr>
          <w:p>
            <w:pPr>
              <w:ind w:left="140"/>
              <w:spacing w:after="0"/>
              <w:rPr>
                <w:sz w:val="20"/>
                <w:szCs w:val="20"/>
                <w:color w:val="auto"/>
              </w:rPr>
            </w:pPr>
            <w:r>
              <w:rPr>
                <w:rFonts w:ascii="Arial" w:cs="Arial" w:eastAsia="Arial" w:hAnsi="Arial"/>
                <w:sz w:val="14"/>
                <w:szCs w:val="14"/>
                <w:color w:val="auto"/>
              </w:rPr>
              <w:t>Simon Keeton</w:t>
            </w:r>
          </w:p>
        </w:tc>
        <w:tc>
          <w:tcPr>
            <w:tcW w:w="940" w:type="dxa"/>
            <w:vAlign w:val="bottom"/>
            <w:tcBorders>
              <w:bottom w:val="single" w:sz="8" w:color="auto"/>
              <w:right w:val="single" w:sz="8" w:color="auto"/>
            </w:tcBorders>
          </w:tcPr>
          <w:p>
            <w:pPr>
              <w:spacing w:after="0"/>
              <w:rPr>
                <w:sz w:val="19"/>
                <w:szCs w:val="19"/>
                <w:color w:val="auto"/>
              </w:rPr>
            </w:pPr>
          </w:p>
        </w:tc>
        <w:tc>
          <w:tcPr>
            <w:tcW w:w="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02/12/2021</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0</w:t>
            </w: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8"/>
              </w:rPr>
              <w:t>382,500</w:t>
            </w: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right w:val="single" w:sz="8" w:color="auto"/>
            </w:tcBorders>
          </w:tcPr>
          <w:p>
            <w:pPr>
              <w:jc w:val="center"/>
              <w:ind w:right="9"/>
              <w:spacing w:after="0"/>
              <w:rPr>
                <w:sz w:val="20"/>
                <w:szCs w:val="20"/>
                <w:color w:val="auto"/>
              </w:rPr>
            </w:pPr>
            <w:r>
              <w:rPr>
                <w:rFonts w:ascii="Arial" w:cs="Arial" w:eastAsia="Arial" w:hAnsi="Arial"/>
                <w:sz w:val="14"/>
                <w:szCs w:val="14"/>
                <w:color w:val="auto"/>
              </w:rPr>
              <w:t>573,750</w:t>
            </w:r>
          </w:p>
        </w:tc>
        <w:tc>
          <w:tcPr>
            <w:tcW w:w="920" w:type="dxa"/>
            <w:vAlign w:val="bottom"/>
            <w:tcBorders>
              <w:bottom w:val="single" w:sz="8" w:color="auto"/>
              <w:right w:val="single" w:sz="8" w:color="auto"/>
            </w:tcBorders>
          </w:tcPr>
          <w:p>
            <w:pPr>
              <w:spacing w:after="0"/>
              <w:rPr>
                <w:sz w:val="19"/>
                <w:szCs w:val="19"/>
                <w:color w:val="auto"/>
              </w:rPr>
            </w:pPr>
          </w:p>
        </w:tc>
        <w:tc>
          <w:tcPr>
            <w:tcW w:w="740" w:type="dxa"/>
            <w:vAlign w:val="bottom"/>
            <w:tcBorders>
              <w:bottom w:val="single" w:sz="8" w:color="auto"/>
              <w:right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spacing w:after="0"/>
              <w:rPr>
                <w:sz w:val="19"/>
                <w:szCs w:val="19"/>
                <w:color w:val="auto"/>
              </w:rPr>
            </w:pPr>
          </w:p>
        </w:tc>
        <w:tc>
          <w:tcPr>
            <w:tcW w:w="820" w:type="dxa"/>
            <w:vAlign w:val="bottom"/>
            <w:tcBorders>
              <w:bottom w:val="single" w:sz="8" w:color="auto"/>
              <w:right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spacing w:after="0"/>
              <w:rPr>
                <w:sz w:val="19"/>
                <w:szCs w:val="19"/>
                <w:color w:val="auto"/>
              </w:rPr>
            </w:pPr>
          </w:p>
        </w:tc>
        <w:tc>
          <w:tcPr>
            <w:tcW w:w="420" w:type="dxa"/>
            <w:vAlign w:val="bottom"/>
          </w:tcPr>
          <w:p>
            <w:pPr>
              <w:spacing w:after="0"/>
              <w:rPr>
                <w:sz w:val="19"/>
                <w:szCs w:val="19"/>
                <w:color w:val="auto"/>
              </w:rPr>
            </w:pPr>
          </w:p>
        </w:tc>
      </w:tr>
      <w:tr>
        <w:trPr>
          <w:trHeight w:val="207"/>
        </w:trPr>
        <w:tc>
          <w:tcPr>
            <w:tcW w:w="46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02/12/2021</w:t>
            </w:r>
          </w:p>
        </w:tc>
        <w:tc>
          <w:tcPr>
            <w:tcW w:w="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02/12/2021</w:t>
            </w:r>
          </w:p>
        </w:tc>
        <w:tc>
          <w:tcPr>
            <w:tcW w:w="920" w:type="dxa"/>
            <w:vAlign w:val="bottom"/>
            <w:tcBorders>
              <w:bottom w:val="single" w:sz="8" w:color="auto"/>
              <w:right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0" w:type="dxa"/>
            <w:vAlign w:val="bottom"/>
            <w:tcBorders>
              <w:bottom w:val="single" w:sz="8" w:color="auto"/>
              <w:right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740" w:type="dxa"/>
            <w:vAlign w:val="bottom"/>
            <w:tcBorders>
              <w:bottom w:val="single" w:sz="8" w:color="auto"/>
              <w:right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spacing w:after="0"/>
              <w:rPr>
                <w:sz w:val="18"/>
                <w:szCs w:val="18"/>
                <w:color w:val="auto"/>
              </w:rPr>
            </w:pP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7"/>
              </w:rPr>
              <w:t>20,597</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850,038</w:t>
            </w:r>
          </w:p>
        </w:tc>
        <w:tc>
          <w:tcPr>
            <w:tcW w:w="420" w:type="dxa"/>
            <w:vAlign w:val="bottom"/>
          </w:tcPr>
          <w:p>
            <w:pPr>
              <w:spacing w:after="0"/>
              <w:rPr>
                <w:sz w:val="18"/>
                <w:szCs w:val="18"/>
                <w:color w:val="auto"/>
              </w:rPr>
            </w:pPr>
          </w:p>
        </w:tc>
      </w:tr>
      <w:tr>
        <w:trPr>
          <w:trHeight w:val="207"/>
        </w:trPr>
        <w:tc>
          <w:tcPr>
            <w:tcW w:w="46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02/12/2021</w:t>
            </w:r>
          </w:p>
        </w:tc>
        <w:tc>
          <w:tcPr>
            <w:tcW w:w="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02/12/2021</w:t>
            </w:r>
          </w:p>
        </w:tc>
        <w:tc>
          <w:tcPr>
            <w:tcW w:w="920" w:type="dxa"/>
            <w:vAlign w:val="bottom"/>
            <w:tcBorders>
              <w:bottom w:val="single" w:sz="8" w:color="auto"/>
              <w:right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0" w:type="dxa"/>
            <w:vAlign w:val="bottom"/>
            <w:tcBorders>
              <w:bottom w:val="single" w:sz="8" w:color="auto"/>
              <w:right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0</w:t>
            </w:r>
          </w:p>
        </w:tc>
        <w:tc>
          <w:tcPr>
            <w:tcW w:w="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30,895</w:t>
            </w:r>
          </w:p>
        </w:tc>
        <w:tc>
          <w:tcPr>
            <w:tcW w:w="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69,514</w:t>
            </w:r>
          </w:p>
        </w:tc>
        <w:tc>
          <w:tcPr>
            <w:tcW w:w="820" w:type="dxa"/>
            <w:vAlign w:val="bottom"/>
            <w:tcBorders>
              <w:bottom w:val="single" w:sz="8" w:color="auto"/>
              <w:right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1,650,513</w:t>
            </w:r>
          </w:p>
        </w:tc>
        <w:tc>
          <w:tcPr>
            <w:tcW w:w="420" w:type="dxa"/>
            <w:vAlign w:val="bottom"/>
          </w:tcPr>
          <w:p>
            <w:pPr>
              <w:spacing w:after="0"/>
              <w:rPr>
                <w:sz w:val="18"/>
                <w:szCs w:val="18"/>
                <w:color w:val="auto"/>
              </w:rPr>
            </w:pPr>
          </w:p>
        </w:tc>
      </w:tr>
      <w:tr>
        <w:trPr>
          <w:trHeight w:val="207"/>
        </w:trPr>
        <w:tc>
          <w:tcPr>
            <w:tcW w:w="46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07/01/2021</w:t>
            </w:r>
          </w:p>
        </w:tc>
        <w:tc>
          <w:tcPr>
            <w:tcW w:w="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06/16/2021</w:t>
            </w:r>
          </w:p>
        </w:tc>
        <w:tc>
          <w:tcPr>
            <w:tcW w:w="920" w:type="dxa"/>
            <w:vAlign w:val="bottom"/>
            <w:tcBorders>
              <w:bottom w:val="single" w:sz="8" w:color="auto"/>
              <w:right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0" w:type="dxa"/>
            <w:vAlign w:val="bottom"/>
            <w:tcBorders>
              <w:bottom w:val="single" w:sz="8" w:color="auto"/>
              <w:right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740" w:type="dxa"/>
            <w:vAlign w:val="bottom"/>
            <w:tcBorders>
              <w:bottom w:val="single" w:sz="8" w:color="auto"/>
              <w:right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spacing w:after="0"/>
              <w:rPr>
                <w:sz w:val="18"/>
                <w:szCs w:val="18"/>
                <w:color w:val="auto"/>
              </w:rPr>
            </w:pP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6"/>
              </w:rPr>
              <w:t>1,583</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60,012</w:t>
            </w:r>
          </w:p>
        </w:tc>
        <w:tc>
          <w:tcPr>
            <w:tcW w:w="420" w:type="dxa"/>
            <w:vAlign w:val="bottom"/>
          </w:tcPr>
          <w:p>
            <w:pPr>
              <w:spacing w:after="0"/>
              <w:rPr>
                <w:sz w:val="18"/>
                <w:szCs w:val="18"/>
                <w:color w:val="auto"/>
              </w:rPr>
            </w:pPr>
          </w:p>
        </w:tc>
      </w:tr>
      <w:tr>
        <w:trPr>
          <w:trHeight w:val="207"/>
        </w:trPr>
        <w:tc>
          <w:tcPr>
            <w:tcW w:w="460" w:type="dxa"/>
            <w:vAlign w:val="bottom"/>
            <w:tcBorders>
              <w:right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spacing w:after="0"/>
              <w:rPr>
                <w:sz w:val="18"/>
                <w:szCs w:val="18"/>
                <w:color w:val="auto"/>
              </w:rPr>
            </w:pPr>
          </w:p>
        </w:tc>
        <w:tc>
          <w:tcPr>
            <w:tcW w:w="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07/01/2021</w:t>
            </w:r>
          </w:p>
        </w:tc>
        <w:tc>
          <w:tcPr>
            <w:tcW w:w="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06/16/2021</w:t>
            </w:r>
          </w:p>
        </w:tc>
        <w:tc>
          <w:tcPr>
            <w:tcW w:w="920" w:type="dxa"/>
            <w:vAlign w:val="bottom"/>
            <w:tcBorders>
              <w:bottom w:val="single" w:sz="8" w:color="auto"/>
              <w:right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0" w:type="dxa"/>
            <w:vAlign w:val="bottom"/>
            <w:tcBorders>
              <w:bottom w:val="single" w:sz="8" w:color="auto"/>
              <w:right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0</w:t>
            </w:r>
          </w:p>
        </w:tc>
        <w:tc>
          <w:tcPr>
            <w:tcW w:w="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2,375</w:t>
            </w:r>
          </w:p>
        </w:tc>
        <w:tc>
          <w:tcPr>
            <w:tcW w:w="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3,563</w:t>
            </w:r>
          </w:p>
        </w:tc>
        <w:tc>
          <w:tcPr>
            <w:tcW w:w="820" w:type="dxa"/>
            <w:vAlign w:val="bottom"/>
            <w:tcBorders>
              <w:bottom w:val="single" w:sz="8" w:color="auto"/>
              <w:right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114,928</w:t>
            </w:r>
          </w:p>
        </w:tc>
        <w:tc>
          <w:tcPr>
            <w:tcW w:w="420" w:type="dxa"/>
            <w:vAlign w:val="bottom"/>
          </w:tcPr>
          <w:p>
            <w:pPr>
              <w:spacing w:after="0"/>
              <w:rPr>
                <w:sz w:val="18"/>
                <w:szCs w:val="18"/>
                <w:color w:val="auto"/>
              </w:rPr>
            </w:pPr>
          </w:p>
        </w:tc>
      </w:tr>
      <w:tr>
        <w:trPr>
          <w:trHeight w:val="221"/>
        </w:trPr>
        <w:tc>
          <w:tcPr>
            <w:tcW w:w="460" w:type="dxa"/>
            <w:vAlign w:val="bottom"/>
            <w:tcBorders>
              <w:right w:val="single" w:sz="8" w:color="auto"/>
            </w:tcBorders>
          </w:tcPr>
          <w:p>
            <w:pPr>
              <w:spacing w:after="0"/>
              <w:rPr>
                <w:sz w:val="19"/>
                <w:szCs w:val="19"/>
                <w:color w:val="auto"/>
              </w:rPr>
            </w:pPr>
          </w:p>
        </w:tc>
        <w:tc>
          <w:tcPr>
            <w:tcW w:w="1120" w:type="dxa"/>
            <w:vAlign w:val="bottom"/>
            <w:tcBorders>
              <w:bottom w:val="single" w:sz="8" w:color="D8E8EF"/>
              <w:right w:val="single" w:sz="8" w:color="auto"/>
            </w:tcBorders>
            <w:shd w:val="clear" w:color="auto" w:fill="D8E8EF"/>
          </w:tcPr>
          <w:p>
            <w:pPr>
              <w:ind w:left="140"/>
              <w:spacing w:after="0"/>
              <w:rPr>
                <w:sz w:val="20"/>
                <w:szCs w:val="20"/>
                <w:color w:val="auto"/>
              </w:rPr>
            </w:pPr>
            <w:r>
              <w:rPr>
                <w:rFonts w:ascii="Arial" w:cs="Arial" w:eastAsia="Arial" w:hAnsi="Arial"/>
                <w:sz w:val="14"/>
                <w:szCs w:val="14"/>
                <w:color w:val="auto"/>
              </w:rPr>
              <w:t>Ross F. Jatou</w:t>
            </w:r>
          </w:p>
        </w:tc>
        <w:tc>
          <w:tcPr>
            <w:tcW w:w="940" w:type="dxa"/>
            <w:vAlign w:val="bottom"/>
            <w:tcBorders>
              <w:bottom w:val="single" w:sz="8" w:color="auto"/>
              <w:right w:val="single" w:sz="8" w:color="auto"/>
            </w:tcBorders>
            <w:shd w:val="clear" w:color="auto" w:fill="D8E8EF"/>
          </w:tcPr>
          <w:p>
            <w:pPr>
              <w:spacing w:after="0"/>
              <w:rPr>
                <w:sz w:val="19"/>
                <w:szCs w:val="19"/>
                <w:color w:val="auto"/>
              </w:rPr>
            </w:pPr>
          </w:p>
        </w:tc>
        <w:tc>
          <w:tcPr>
            <w:tcW w:w="960" w:type="dxa"/>
            <w:vAlign w:val="bottom"/>
            <w:tcBorders>
              <w:bottom w:val="single" w:sz="8" w:color="auto"/>
              <w:right w:val="single" w:sz="8" w:color="auto"/>
            </w:tcBorders>
            <w:shd w:val="clear" w:color="auto" w:fill="D8E8EF"/>
          </w:tcPr>
          <w:p>
            <w:pPr>
              <w:jc w:val="center"/>
              <w:spacing w:after="0"/>
              <w:rPr>
                <w:sz w:val="20"/>
                <w:szCs w:val="20"/>
                <w:color w:val="auto"/>
              </w:rPr>
            </w:pPr>
            <w:r>
              <w:rPr>
                <w:rFonts w:ascii="Arial" w:cs="Arial" w:eastAsia="Arial" w:hAnsi="Arial"/>
                <w:sz w:val="14"/>
                <w:szCs w:val="14"/>
                <w:color w:val="auto"/>
              </w:rPr>
              <w:t>02/12/2021</w:t>
            </w:r>
          </w:p>
        </w:tc>
        <w:tc>
          <w:tcPr>
            <w:tcW w:w="920" w:type="dxa"/>
            <w:vAlign w:val="bottom"/>
            <w:tcBorders>
              <w:bottom w:val="single" w:sz="8" w:color="auto"/>
              <w:right w:val="single" w:sz="8" w:color="auto"/>
            </w:tcBorders>
            <w:shd w:val="clear" w:color="auto" w:fill="D8E8EF"/>
          </w:tcPr>
          <w:p>
            <w:pPr>
              <w:jc w:val="center"/>
              <w:spacing w:after="0"/>
              <w:rPr>
                <w:sz w:val="20"/>
                <w:szCs w:val="20"/>
                <w:color w:val="auto"/>
              </w:rPr>
            </w:pPr>
            <w:r>
              <w:rPr>
                <w:rFonts w:ascii="Arial" w:cs="Arial" w:eastAsia="Arial" w:hAnsi="Arial"/>
                <w:sz w:val="14"/>
                <w:szCs w:val="14"/>
                <w:color w:val="auto"/>
              </w:rPr>
              <w:t>0</w:t>
            </w:r>
          </w:p>
        </w:tc>
        <w:tc>
          <w:tcPr>
            <w:tcW w:w="80" w:type="dxa"/>
            <w:vAlign w:val="bottom"/>
            <w:tcBorders>
              <w:bottom w:val="single" w:sz="8" w:color="auto"/>
            </w:tcBorders>
            <w:shd w:val="clear" w:color="auto" w:fill="D8E8EF"/>
          </w:tcPr>
          <w:p>
            <w:pPr>
              <w:spacing w:after="0"/>
              <w:rPr>
                <w:sz w:val="19"/>
                <w:szCs w:val="19"/>
                <w:color w:val="auto"/>
              </w:rPr>
            </w:pPr>
          </w:p>
        </w:tc>
        <w:tc>
          <w:tcPr>
            <w:tcW w:w="800" w:type="dxa"/>
            <w:vAlign w:val="bottom"/>
            <w:tcBorders>
              <w:bottom w:val="single" w:sz="8" w:color="auto"/>
              <w:right w:val="single" w:sz="8" w:color="auto"/>
            </w:tcBorders>
            <w:shd w:val="clear" w:color="auto" w:fill="D8E8EF"/>
          </w:tcPr>
          <w:p>
            <w:pPr>
              <w:jc w:val="center"/>
              <w:spacing w:after="0"/>
              <w:rPr>
                <w:sz w:val="20"/>
                <w:szCs w:val="20"/>
                <w:color w:val="auto"/>
              </w:rPr>
            </w:pPr>
            <w:r>
              <w:rPr>
                <w:rFonts w:ascii="Arial" w:cs="Arial" w:eastAsia="Arial" w:hAnsi="Arial"/>
                <w:sz w:val="14"/>
                <w:szCs w:val="14"/>
                <w:color w:val="auto"/>
                <w:w w:val="98"/>
              </w:rPr>
              <w:t>402,443</w:t>
            </w:r>
          </w:p>
        </w:tc>
        <w:tc>
          <w:tcPr>
            <w:tcW w:w="100" w:type="dxa"/>
            <w:vAlign w:val="bottom"/>
            <w:tcBorders>
              <w:bottom w:val="single" w:sz="8" w:color="auto"/>
            </w:tcBorders>
            <w:shd w:val="clear" w:color="auto" w:fill="D8E8EF"/>
          </w:tcPr>
          <w:p>
            <w:pPr>
              <w:spacing w:after="0"/>
              <w:rPr>
                <w:sz w:val="19"/>
                <w:szCs w:val="19"/>
                <w:color w:val="auto"/>
              </w:rPr>
            </w:pPr>
          </w:p>
        </w:tc>
        <w:tc>
          <w:tcPr>
            <w:tcW w:w="760" w:type="dxa"/>
            <w:vAlign w:val="bottom"/>
            <w:tcBorders>
              <w:bottom w:val="single" w:sz="8" w:color="auto"/>
              <w:right w:val="single" w:sz="8" w:color="auto"/>
            </w:tcBorders>
            <w:shd w:val="clear" w:color="auto" w:fill="D8E8EF"/>
          </w:tcPr>
          <w:p>
            <w:pPr>
              <w:jc w:val="center"/>
              <w:ind w:right="9"/>
              <w:spacing w:after="0"/>
              <w:rPr>
                <w:sz w:val="20"/>
                <w:szCs w:val="20"/>
                <w:color w:val="auto"/>
              </w:rPr>
            </w:pPr>
            <w:r>
              <w:rPr>
                <w:rFonts w:ascii="Arial" w:cs="Arial" w:eastAsia="Arial" w:hAnsi="Arial"/>
                <w:sz w:val="14"/>
                <w:szCs w:val="14"/>
                <w:color w:val="auto"/>
              </w:rPr>
              <w:t>603,664</w:t>
            </w:r>
          </w:p>
        </w:tc>
        <w:tc>
          <w:tcPr>
            <w:tcW w:w="920" w:type="dxa"/>
            <w:vAlign w:val="bottom"/>
            <w:tcBorders>
              <w:bottom w:val="single" w:sz="8" w:color="auto"/>
              <w:right w:val="single" w:sz="8" w:color="auto"/>
            </w:tcBorders>
            <w:shd w:val="clear" w:color="auto" w:fill="D8E8EF"/>
          </w:tcPr>
          <w:p>
            <w:pPr>
              <w:spacing w:after="0"/>
              <w:rPr>
                <w:sz w:val="19"/>
                <w:szCs w:val="19"/>
                <w:color w:val="auto"/>
              </w:rPr>
            </w:pPr>
          </w:p>
        </w:tc>
        <w:tc>
          <w:tcPr>
            <w:tcW w:w="740" w:type="dxa"/>
            <w:vAlign w:val="bottom"/>
            <w:tcBorders>
              <w:bottom w:val="single" w:sz="8" w:color="auto"/>
              <w:right w:val="single" w:sz="8" w:color="auto"/>
            </w:tcBorders>
            <w:shd w:val="clear" w:color="auto" w:fill="D8E8EF"/>
          </w:tcPr>
          <w:p>
            <w:pPr>
              <w:spacing w:after="0"/>
              <w:rPr>
                <w:sz w:val="19"/>
                <w:szCs w:val="19"/>
                <w:color w:val="auto"/>
              </w:rPr>
            </w:pPr>
          </w:p>
        </w:tc>
        <w:tc>
          <w:tcPr>
            <w:tcW w:w="880" w:type="dxa"/>
            <w:vAlign w:val="bottom"/>
            <w:tcBorders>
              <w:bottom w:val="single" w:sz="8" w:color="auto"/>
              <w:right w:val="single" w:sz="8" w:color="auto"/>
            </w:tcBorders>
            <w:shd w:val="clear" w:color="auto" w:fill="D8E8EF"/>
          </w:tcPr>
          <w:p>
            <w:pPr>
              <w:spacing w:after="0"/>
              <w:rPr>
                <w:sz w:val="19"/>
                <w:szCs w:val="19"/>
                <w:color w:val="auto"/>
              </w:rPr>
            </w:pPr>
          </w:p>
        </w:tc>
        <w:tc>
          <w:tcPr>
            <w:tcW w:w="820" w:type="dxa"/>
            <w:vAlign w:val="bottom"/>
            <w:tcBorders>
              <w:bottom w:val="single" w:sz="8" w:color="auto"/>
              <w:right w:val="single" w:sz="8" w:color="auto"/>
            </w:tcBorders>
            <w:shd w:val="clear" w:color="auto" w:fill="D8E8EF"/>
          </w:tcPr>
          <w:p>
            <w:pPr>
              <w:spacing w:after="0"/>
              <w:rPr>
                <w:sz w:val="19"/>
                <w:szCs w:val="19"/>
                <w:color w:val="auto"/>
              </w:rPr>
            </w:pPr>
          </w:p>
        </w:tc>
        <w:tc>
          <w:tcPr>
            <w:tcW w:w="1000" w:type="dxa"/>
            <w:vAlign w:val="bottom"/>
            <w:tcBorders>
              <w:bottom w:val="single" w:sz="8" w:color="auto"/>
              <w:right w:val="single" w:sz="8" w:color="auto"/>
            </w:tcBorders>
            <w:shd w:val="clear" w:color="auto" w:fill="D8E8EF"/>
          </w:tcPr>
          <w:p>
            <w:pPr>
              <w:spacing w:after="0"/>
              <w:rPr>
                <w:sz w:val="19"/>
                <w:szCs w:val="19"/>
                <w:color w:val="auto"/>
              </w:rPr>
            </w:pPr>
          </w:p>
        </w:tc>
        <w:tc>
          <w:tcPr>
            <w:tcW w:w="420" w:type="dxa"/>
            <w:vAlign w:val="bottom"/>
          </w:tcPr>
          <w:p>
            <w:pPr>
              <w:spacing w:after="0"/>
              <w:rPr>
                <w:sz w:val="19"/>
                <w:szCs w:val="19"/>
                <w:color w:val="auto"/>
              </w:rPr>
            </w:pPr>
          </w:p>
        </w:tc>
      </w:tr>
      <w:tr>
        <w:trPr>
          <w:trHeight w:val="207"/>
        </w:trPr>
        <w:tc>
          <w:tcPr>
            <w:tcW w:w="460" w:type="dxa"/>
            <w:vAlign w:val="bottom"/>
            <w:tcBorders>
              <w:right w:val="single" w:sz="8" w:color="auto"/>
            </w:tcBorders>
          </w:tcPr>
          <w:p>
            <w:pPr>
              <w:spacing w:after="0"/>
              <w:rPr>
                <w:sz w:val="18"/>
                <w:szCs w:val="18"/>
                <w:color w:val="auto"/>
              </w:rPr>
            </w:pPr>
          </w:p>
        </w:tc>
        <w:tc>
          <w:tcPr>
            <w:tcW w:w="1120" w:type="dxa"/>
            <w:vAlign w:val="bottom"/>
            <w:tcBorders>
              <w:bottom w:val="single" w:sz="8" w:color="D8E8EF"/>
              <w:right w:val="single" w:sz="8" w:color="auto"/>
            </w:tcBorders>
            <w:shd w:val="clear" w:color="auto" w:fill="D8E8EF"/>
          </w:tcPr>
          <w:p>
            <w:pPr>
              <w:spacing w:after="0"/>
              <w:rPr>
                <w:sz w:val="18"/>
                <w:szCs w:val="18"/>
                <w:color w:val="auto"/>
              </w:rPr>
            </w:pPr>
          </w:p>
        </w:tc>
        <w:tc>
          <w:tcPr>
            <w:tcW w:w="940" w:type="dxa"/>
            <w:vAlign w:val="bottom"/>
            <w:tcBorders>
              <w:bottom w:val="single" w:sz="8" w:color="auto"/>
              <w:right w:val="single" w:sz="8" w:color="auto"/>
            </w:tcBorders>
            <w:shd w:val="clear" w:color="auto" w:fill="D8E8EF"/>
          </w:tcPr>
          <w:p>
            <w:pPr>
              <w:jc w:val="center"/>
              <w:spacing w:after="0"/>
              <w:rPr>
                <w:sz w:val="20"/>
                <w:szCs w:val="20"/>
                <w:color w:val="auto"/>
              </w:rPr>
            </w:pPr>
            <w:r>
              <w:rPr>
                <w:rFonts w:ascii="Arial" w:cs="Arial" w:eastAsia="Arial" w:hAnsi="Arial"/>
                <w:sz w:val="14"/>
                <w:szCs w:val="14"/>
                <w:color w:val="auto"/>
                <w:w w:val="99"/>
              </w:rPr>
              <w:t>02/12/2021</w:t>
            </w:r>
          </w:p>
        </w:tc>
        <w:tc>
          <w:tcPr>
            <w:tcW w:w="960" w:type="dxa"/>
            <w:vAlign w:val="bottom"/>
            <w:tcBorders>
              <w:bottom w:val="single" w:sz="8" w:color="auto"/>
              <w:right w:val="single" w:sz="8" w:color="auto"/>
            </w:tcBorders>
            <w:shd w:val="clear" w:color="auto" w:fill="D8E8EF"/>
          </w:tcPr>
          <w:p>
            <w:pPr>
              <w:jc w:val="center"/>
              <w:spacing w:after="0"/>
              <w:rPr>
                <w:sz w:val="20"/>
                <w:szCs w:val="20"/>
                <w:color w:val="auto"/>
              </w:rPr>
            </w:pPr>
            <w:r>
              <w:rPr>
                <w:rFonts w:ascii="Arial" w:cs="Arial" w:eastAsia="Arial" w:hAnsi="Arial"/>
                <w:sz w:val="14"/>
                <w:szCs w:val="14"/>
                <w:color w:val="auto"/>
              </w:rPr>
              <w:t>02/12/2021</w:t>
            </w:r>
          </w:p>
        </w:tc>
        <w:tc>
          <w:tcPr>
            <w:tcW w:w="920" w:type="dxa"/>
            <w:vAlign w:val="bottom"/>
            <w:tcBorders>
              <w:bottom w:val="single" w:sz="8" w:color="auto"/>
              <w:right w:val="single" w:sz="8" w:color="auto"/>
            </w:tcBorders>
            <w:shd w:val="clear" w:color="auto" w:fill="D8E8EF"/>
          </w:tcPr>
          <w:p>
            <w:pPr>
              <w:spacing w:after="0"/>
              <w:rPr>
                <w:sz w:val="18"/>
                <w:szCs w:val="18"/>
                <w:color w:val="auto"/>
              </w:rPr>
            </w:pPr>
          </w:p>
        </w:tc>
        <w:tc>
          <w:tcPr>
            <w:tcW w:w="80" w:type="dxa"/>
            <w:vAlign w:val="bottom"/>
            <w:tcBorders>
              <w:bottom w:val="single" w:sz="8" w:color="auto"/>
            </w:tcBorders>
            <w:shd w:val="clear" w:color="auto" w:fill="D8E8EF"/>
          </w:tcPr>
          <w:p>
            <w:pPr>
              <w:spacing w:after="0"/>
              <w:rPr>
                <w:sz w:val="18"/>
                <w:szCs w:val="18"/>
                <w:color w:val="auto"/>
              </w:rPr>
            </w:pPr>
          </w:p>
        </w:tc>
        <w:tc>
          <w:tcPr>
            <w:tcW w:w="800" w:type="dxa"/>
            <w:vAlign w:val="bottom"/>
            <w:tcBorders>
              <w:bottom w:val="single" w:sz="8" w:color="auto"/>
              <w:right w:val="single" w:sz="8" w:color="auto"/>
            </w:tcBorders>
            <w:shd w:val="clear" w:color="auto" w:fill="D8E8EF"/>
          </w:tcPr>
          <w:p>
            <w:pPr>
              <w:spacing w:after="0"/>
              <w:rPr>
                <w:sz w:val="18"/>
                <w:szCs w:val="18"/>
                <w:color w:val="auto"/>
              </w:rPr>
            </w:pPr>
          </w:p>
        </w:tc>
        <w:tc>
          <w:tcPr>
            <w:tcW w:w="100" w:type="dxa"/>
            <w:vAlign w:val="bottom"/>
            <w:tcBorders>
              <w:bottom w:val="single" w:sz="8" w:color="auto"/>
            </w:tcBorders>
            <w:shd w:val="clear" w:color="auto" w:fill="D8E8EF"/>
          </w:tcPr>
          <w:p>
            <w:pPr>
              <w:spacing w:after="0"/>
              <w:rPr>
                <w:sz w:val="18"/>
                <w:szCs w:val="18"/>
                <w:color w:val="auto"/>
              </w:rPr>
            </w:pPr>
          </w:p>
        </w:tc>
        <w:tc>
          <w:tcPr>
            <w:tcW w:w="760" w:type="dxa"/>
            <w:vAlign w:val="bottom"/>
            <w:tcBorders>
              <w:bottom w:val="single" w:sz="8" w:color="auto"/>
              <w:right w:val="single" w:sz="8" w:color="auto"/>
            </w:tcBorders>
            <w:shd w:val="clear" w:color="auto" w:fill="D8E8EF"/>
          </w:tcPr>
          <w:p>
            <w:pPr>
              <w:spacing w:after="0"/>
              <w:rPr>
                <w:sz w:val="18"/>
                <w:szCs w:val="18"/>
                <w:color w:val="auto"/>
              </w:rPr>
            </w:pPr>
          </w:p>
        </w:tc>
        <w:tc>
          <w:tcPr>
            <w:tcW w:w="920" w:type="dxa"/>
            <w:vAlign w:val="bottom"/>
            <w:tcBorders>
              <w:bottom w:val="single" w:sz="8" w:color="auto"/>
              <w:right w:val="single" w:sz="8" w:color="auto"/>
            </w:tcBorders>
            <w:shd w:val="clear" w:color="auto" w:fill="D8E8EF"/>
          </w:tcPr>
          <w:p>
            <w:pPr>
              <w:spacing w:after="0"/>
              <w:rPr>
                <w:sz w:val="18"/>
                <w:szCs w:val="18"/>
                <w:color w:val="auto"/>
              </w:rPr>
            </w:pPr>
          </w:p>
        </w:tc>
        <w:tc>
          <w:tcPr>
            <w:tcW w:w="740" w:type="dxa"/>
            <w:vAlign w:val="bottom"/>
            <w:tcBorders>
              <w:bottom w:val="single" w:sz="8" w:color="auto"/>
              <w:right w:val="single" w:sz="8" w:color="auto"/>
            </w:tcBorders>
            <w:shd w:val="clear" w:color="auto" w:fill="D8E8EF"/>
          </w:tcPr>
          <w:p>
            <w:pPr>
              <w:spacing w:after="0"/>
              <w:rPr>
                <w:sz w:val="18"/>
                <w:szCs w:val="18"/>
                <w:color w:val="auto"/>
              </w:rPr>
            </w:pPr>
          </w:p>
        </w:tc>
        <w:tc>
          <w:tcPr>
            <w:tcW w:w="880" w:type="dxa"/>
            <w:vAlign w:val="bottom"/>
            <w:tcBorders>
              <w:bottom w:val="single" w:sz="8" w:color="auto"/>
              <w:right w:val="single" w:sz="8" w:color="auto"/>
            </w:tcBorders>
            <w:shd w:val="clear" w:color="auto" w:fill="D8E8EF"/>
          </w:tcPr>
          <w:p>
            <w:pPr>
              <w:spacing w:after="0"/>
              <w:rPr>
                <w:sz w:val="18"/>
                <w:szCs w:val="18"/>
                <w:color w:val="auto"/>
              </w:rPr>
            </w:pPr>
          </w:p>
        </w:tc>
        <w:tc>
          <w:tcPr>
            <w:tcW w:w="820" w:type="dxa"/>
            <w:vAlign w:val="bottom"/>
            <w:tcBorders>
              <w:bottom w:val="single" w:sz="8" w:color="auto"/>
              <w:right w:val="single" w:sz="8" w:color="auto"/>
            </w:tcBorders>
            <w:shd w:val="clear" w:color="auto" w:fill="D8E8EF"/>
          </w:tcPr>
          <w:p>
            <w:pPr>
              <w:jc w:val="center"/>
              <w:spacing w:after="0"/>
              <w:rPr>
                <w:sz w:val="20"/>
                <w:szCs w:val="20"/>
                <w:color w:val="auto"/>
              </w:rPr>
            </w:pPr>
            <w:r>
              <w:rPr>
                <w:rFonts w:ascii="Arial" w:cs="Arial" w:eastAsia="Arial" w:hAnsi="Arial"/>
                <w:sz w:val="14"/>
                <w:szCs w:val="14"/>
                <w:color w:val="auto"/>
                <w:w w:val="97"/>
              </w:rPr>
              <w:t>12,116</w:t>
            </w:r>
          </w:p>
        </w:tc>
        <w:tc>
          <w:tcPr>
            <w:tcW w:w="1000" w:type="dxa"/>
            <w:vAlign w:val="bottom"/>
            <w:tcBorders>
              <w:bottom w:val="single" w:sz="8" w:color="auto"/>
              <w:right w:val="single" w:sz="8" w:color="auto"/>
            </w:tcBorders>
            <w:shd w:val="clear" w:color="auto" w:fill="D8E8EF"/>
          </w:tcPr>
          <w:p>
            <w:pPr>
              <w:jc w:val="center"/>
              <w:spacing w:after="0"/>
              <w:rPr>
                <w:sz w:val="20"/>
                <w:szCs w:val="20"/>
                <w:color w:val="auto"/>
              </w:rPr>
            </w:pPr>
            <w:r>
              <w:rPr>
                <w:rFonts w:ascii="Arial" w:cs="Arial" w:eastAsia="Arial" w:hAnsi="Arial"/>
                <w:sz w:val="14"/>
                <w:szCs w:val="14"/>
                <w:color w:val="auto"/>
              </w:rPr>
              <w:t>500,027</w:t>
            </w:r>
          </w:p>
        </w:tc>
        <w:tc>
          <w:tcPr>
            <w:tcW w:w="420" w:type="dxa"/>
            <w:vAlign w:val="bottom"/>
          </w:tcPr>
          <w:p>
            <w:pPr>
              <w:spacing w:after="0"/>
              <w:rPr>
                <w:sz w:val="18"/>
                <w:szCs w:val="18"/>
                <w:color w:val="auto"/>
              </w:rPr>
            </w:pPr>
          </w:p>
        </w:tc>
      </w:tr>
      <w:tr>
        <w:trPr>
          <w:trHeight w:val="207"/>
        </w:trPr>
        <w:tc>
          <w:tcPr>
            <w:tcW w:w="460" w:type="dxa"/>
            <w:vAlign w:val="bottom"/>
            <w:tcBorders>
              <w:right w:val="single" w:sz="8" w:color="auto"/>
            </w:tcBorders>
          </w:tcPr>
          <w:p>
            <w:pPr>
              <w:spacing w:after="0"/>
              <w:rPr>
                <w:sz w:val="18"/>
                <w:szCs w:val="18"/>
                <w:color w:val="auto"/>
              </w:rPr>
            </w:pPr>
          </w:p>
        </w:tc>
        <w:tc>
          <w:tcPr>
            <w:tcW w:w="1120" w:type="dxa"/>
            <w:vAlign w:val="bottom"/>
            <w:tcBorders>
              <w:bottom w:val="single" w:sz="8" w:color="D8E8EF"/>
              <w:right w:val="single" w:sz="8" w:color="auto"/>
            </w:tcBorders>
            <w:shd w:val="clear" w:color="auto" w:fill="D8E8EF"/>
          </w:tcPr>
          <w:p>
            <w:pPr>
              <w:spacing w:after="0"/>
              <w:rPr>
                <w:sz w:val="18"/>
                <w:szCs w:val="18"/>
                <w:color w:val="auto"/>
              </w:rPr>
            </w:pPr>
          </w:p>
        </w:tc>
        <w:tc>
          <w:tcPr>
            <w:tcW w:w="940" w:type="dxa"/>
            <w:vAlign w:val="bottom"/>
            <w:tcBorders>
              <w:bottom w:val="single" w:sz="8" w:color="auto"/>
              <w:right w:val="single" w:sz="8" w:color="auto"/>
            </w:tcBorders>
            <w:shd w:val="clear" w:color="auto" w:fill="D8E8EF"/>
          </w:tcPr>
          <w:p>
            <w:pPr>
              <w:jc w:val="center"/>
              <w:spacing w:after="0"/>
              <w:rPr>
                <w:sz w:val="20"/>
                <w:szCs w:val="20"/>
                <w:color w:val="auto"/>
              </w:rPr>
            </w:pPr>
            <w:r>
              <w:rPr>
                <w:rFonts w:ascii="Arial" w:cs="Arial" w:eastAsia="Arial" w:hAnsi="Arial"/>
                <w:sz w:val="14"/>
                <w:szCs w:val="14"/>
                <w:color w:val="auto"/>
                <w:w w:val="99"/>
              </w:rPr>
              <w:t>02/12/2021</w:t>
            </w:r>
          </w:p>
        </w:tc>
        <w:tc>
          <w:tcPr>
            <w:tcW w:w="960" w:type="dxa"/>
            <w:vAlign w:val="bottom"/>
            <w:tcBorders>
              <w:bottom w:val="single" w:sz="8" w:color="auto"/>
              <w:right w:val="single" w:sz="8" w:color="auto"/>
            </w:tcBorders>
            <w:shd w:val="clear" w:color="auto" w:fill="D8E8EF"/>
          </w:tcPr>
          <w:p>
            <w:pPr>
              <w:jc w:val="center"/>
              <w:spacing w:after="0"/>
              <w:rPr>
                <w:sz w:val="20"/>
                <w:szCs w:val="20"/>
                <w:color w:val="auto"/>
              </w:rPr>
            </w:pPr>
            <w:r>
              <w:rPr>
                <w:rFonts w:ascii="Arial" w:cs="Arial" w:eastAsia="Arial" w:hAnsi="Arial"/>
                <w:sz w:val="14"/>
                <w:szCs w:val="14"/>
                <w:color w:val="auto"/>
              </w:rPr>
              <w:t>02/12/2021</w:t>
            </w:r>
          </w:p>
        </w:tc>
        <w:tc>
          <w:tcPr>
            <w:tcW w:w="920" w:type="dxa"/>
            <w:vAlign w:val="bottom"/>
            <w:tcBorders>
              <w:bottom w:val="single" w:sz="8" w:color="auto"/>
              <w:right w:val="single" w:sz="8" w:color="auto"/>
            </w:tcBorders>
            <w:shd w:val="clear" w:color="auto" w:fill="D8E8EF"/>
          </w:tcPr>
          <w:p>
            <w:pPr>
              <w:spacing w:after="0"/>
              <w:rPr>
                <w:sz w:val="18"/>
                <w:szCs w:val="18"/>
                <w:color w:val="auto"/>
              </w:rPr>
            </w:pPr>
          </w:p>
        </w:tc>
        <w:tc>
          <w:tcPr>
            <w:tcW w:w="80" w:type="dxa"/>
            <w:vAlign w:val="bottom"/>
            <w:tcBorders>
              <w:bottom w:val="single" w:sz="8" w:color="auto"/>
            </w:tcBorders>
            <w:shd w:val="clear" w:color="auto" w:fill="D8E8EF"/>
          </w:tcPr>
          <w:p>
            <w:pPr>
              <w:spacing w:after="0"/>
              <w:rPr>
                <w:sz w:val="18"/>
                <w:szCs w:val="18"/>
                <w:color w:val="auto"/>
              </w:rPr>
            </w:pPr>
          </w:p>
        </w:tc>
        <w:tc>
          <w:tcPr>
            <w:tcW w:w="800" w:type="dxa"/>
            <w:vAlign w:val="bottom"/>
            <w:tcBorders>
              <w:bottom w:val="single" w:sz="8" w:color="auto"/>
              <w:right w:val="single" w:sz="8" w:color="auto"/>
            </w:tcBorders>
            <w:shd w:val="clear" w:color="auto" w:fill="D8E8EF"/>
          </w:tcPr>
          <w:p>
            <w:pPr>
              <w:spacing w:after="0"/>
              <w:rPr>
                <w:sz w:val="18"/>
                <w:szCs w:val="18"/>
                <w:color w:val="auto"/>
              </w:rPr>
            </w:pPr>
          </w:p>
        </w:tc>
        <w:tc>
          <w:tcPr>
            <w:tcW w:w="100" w:type="dxa"/>
            <w:vAlign w:val="bottom"/>
            <w:tcBorders>
              <w:bottom w:val="single" w:sz="8" w:color="auto"/>
            </w:tcBorders>
            <w:shd w:val="clear" w:color="auto" w:fill="D8E8EF"/>
          </w:tcPr>
          <w:p>
            <w:pPr>
              <w:spacing w:after="0"/>
              <w:rPr>
                <w:sz w:val="18"/>
                <w:szCs w:val="18"/>
                <w:color w:val="auto"/>
              </w:rPr>
            </w:pPr>
          </w:p>
        </w:tc>
        <w:tc>
          <w:tcPr>
            <w:tcW w:w="760" w:type="dxa"/>
            <w:vAlign w:val="bottom"/>
            <w:tcBorders>
              <w:bottom w:val="single" w:sz="8" w:color="auto"/>
              <w:right w:val="single" w:sz="8" w:color="auto"/>
            </w:tcBorders>
            <w:shd w:val="clear" w:color="auto" w:fill="D8E8EF"/>
          </w:tcPr>
          <w:p>
            <w:pPr>
              <w:spacing w:after="0"/>
              <w:rPr>
                <w:sz w:val="18"/>
                <w:szCs w:val="18"/>
                <w:color w:val="auto"/>
              </w:rPr>
            </w:pPr>
          </w:p>
        </w:tc>
        <w:tc>
          <w:tcPr>
            <w:tcW w:w="920" w:type="dxa"/>
            <w:vAlign w:val="bottom"/>
            <w:tcBorders>
              <w:bottom w:val="single" w:sz="8" w:color="auto"/>
              <w:right w:val="single" w:sz="8" w:color="auto"/>
            </w:tcBorders>
            <w:shd w:val="clear" w:color="auto" w:fill="D8E8EF"/>
          </w:tcPr>
          <w:p>
            <w:pPr>
              <w:jc w:val="center"/>
              <w:spacing w:after="0"/>
              <w:rPr>
                <w:sz w:val="20"/>
                <w:szCs w:val="20"/>
                <w:color w:val="auto"/>
              </w:rPr>
            </w:pPr>
            <w:r>
              <w:rPr>
                <w:rFonts w:ascii="Arial" w:cs="Arial" w:eastAsia="Arial" w:hAnsi="Arial"/>
                <w:sz w:val="14"/>
                <w:szCs w:val="14"/>
                <w:color w:val="auto"/>
              </w:rPr>
              <w:t>0</w:t>
            </w:r>
          </w:p>
        </w:tc>
        <w:tc>
          <w:tcPr>
            <w:tcW w:w="740" w:type="dxa"/>
            <w:vAlign w:val="bottom"/>
            <w:tcBorders>
              <w:bottom w:val="single" w:sz="8" w:color="auto"/>
              <w:right w:val="single" w:sz="8" w:color="auto"/>
            </w:tcBorders>
            <w:shd w:val="clear" w:color="auto" w:fill="D8E8EF"/>
          </w:tcPr>
          <w:p>
            <w:pPr>
              <w:jc w:val="center"/>
              <w:spacing w:after="0"/>
              <w:rPr>
                <w:sz w:val="20"/>
                <w:szCs w:val="20"/>
                <w:color w:val="auto"/>
              </w:rPr>
            </w:pPr>
            <w:r>
              <w:rPr>
                <w:rFonts w:ascii="Arial" w:cs="Arial" w:eastAsia="Arial" w:hAnsi="Arial"/>
                <w:sz w:val="14"/>
                <w:szCs w:val="14"/>
                <w:color w:val="auto"/>
              </w:rPr>
              <w:t>18,174</w:t>
            </w:r>
          </w:p>
        </w:tc>
        <w:tc>
          <w:tcPr>
            <w:tcW w:w="880" w:type="dxa"/>
            <w:vAlign w:val="bottom"/>
            <w:tcBorders>
              <w:bottom w:val="single" w:sz="8" w:color="auto"/>
              <w:right w:val="single" w:sz="8" w:color="auto"/>
            </w:tcBorders>
            <w:shd w:val="clear" w:color="auto" w:fill="D8E8EF"/>
          </w:tcPr>
          <w:p>
            <w:pPr>
              <w:jc w:val="center"/>
              <w:spacing w:after="0"/>
              <w:rPr>
                <w:sz w:val="20"/>
                <w:szCs w:val="20"/>
                <w:color w:val="auto"/>
              </w:rPr>
            </w:pPr>
            <w:r>
              <w:rPr>
                <w:rFonts w:ascii="Arial" w:cs="Arial" w:eastAsia="Arial" w:hAnsi="Arial"/>
                <w:sz w:val="14"/>
                <w:szCs w:val="14"/>
                <w:color w:val="auto"/>
              </w:rPr>
              <w:t>40,892</w:t>
            </w:r>
          </w:p>
        </w:tc>
        <w:tc>
          <w:tcPr>
            <w:tcW w:w="820" w:type="dxa"/>
            <w:vAlign w:val="bottom"/>
            <w:tcBorders>
              <w:bottom w:val="single" w:sz="8" w:color="auto"/>
              <w:right w:val="single" w:sz="8" w:color="auto"/>
            </w:tcBorders>
            <w:shd w:val="clear" w:color="auto" w:fill="D8E8EF"/>
          </w:tcPr>
          <w:p>
            <w:pPr>
              <w:spacing w:after="0"/>
              <w:rPr>
                <w:sz w:val="18"/>
                <w:szCs w:val="18"/>
                <w:color w:val="auto"/>
              </w:rPr>
            </w:pPr>
          </w:p>
        </w:tc>
        <w:tc>
          <w:tcPr>
            <w:tcW w:w="1000" w:type="dxa"/>
            <w:vAlign w:val="bottom"/>
            <w:tcBorders>
              <w:bottom w:val="single" w:sz="8" w:color="auto"/>
              <w:right w:val="single" w:sz="8" w:color="auto"/>
            </w:tcBorders>
            <w:shd w:val="clear" w:color="auto" w:fill="D8E8EF"/>
          </w:tcPr>
          <w:p>
            <w:pPr>
              <w:jc w:val="center"/>
              <w:spacing w:after="0"/>
              <w:rPr>
                <w:sz w:val="20"/>
                <w:szCs w:val="20"/>
                <w:color w:val="auto"/>
              </w:rPr>
            </w:pPr>
            <w:r>
              <w:rPr>
                <w:rFonts w:ascii="Arial" w:cs="Arial" w:eastAsia="Arial" w:hAnsi="Arial"/>
                <w:sz w:val="14"/>
                <w:szCs w:val="14"/>
                <w:color w:val="auto"/>
              </w:rPr>
              <w:t>970,915</w:t>
            </w:r>
          </w:p>
        </w:tc>
        <w:tc>
          <w:tcPr>
            <w:tcW w:w="420" w:type="dxa"/>
            <w:vAlign w:val="bottom"/>
          </w:tcPr>
          <w:p>
            <w:pPr>
              <w:spacing w:after="0"/>
              <w:rPr>
                <w:sz w:val="18"/>
                <w:szCs w:val="18"/>
                <w:color w:val="auto"/>
              </w:rPr>
            </w:pPr>
          </w:p>
        </w:tc>
      </w:tr>
      <w:tr>
        <w:trPr>
          <w:trHeight w:val="207"/>
        </w:trPr>
        <w:tc>
          <w:tcPr>
            <w:tcW w:w="460" w:type="dxa"/>
            <w:vAlign w:val="bottom"/>
            <w:tcBorders>
              <w:right w:val="single" w:sz="8" w:color="auto"/>
            </w:tcBorders>
          </w:tcPr>
          <w:p>
            <w:pPr>
              <w:spacing w:after="0"/>
              <w:rPr>
                <w:sz w:val="18"/>
                <w:szCs w:val="18"/>
                <w:color w:val="auto"/>
              </w:rPr>
            </w:pPr>
          </w:p>
        </w:tc>
        <w:tc>
          <w:tcPr>
            <w:tcW w:w="1120" w:type="dxa"/>
            <w:vAlign w:val="bottom"/>
            <w:tcBorders>
              <w:bottom w:val="single" w:sz="8" w:color="D8E8EF"/>
              <w:right w:val="single" w:sz="8" w:color="auto"/>
            </w:tcBorders>
            <w:shd w:val="clear" w:color="auto" w:fill="D8E8EF"/>
          </w:tcPr>
          <w:p>
            <w:pPr>
              <w:spacing w:after="0"/>
              <w:rPr>
                <w:sz w:val="18"/>
                <w:szCs w:val="18"/>
                <w:color w:val="auto"/>
              </w:rPr>
            </w:pPr>
          </w:p>
        </w:tc>
        <w:tc>
          <w:tcPr>
            <w:tcW w:w="940" w:type="dxa"/>
            <w:vAlign w:val="bottom"/>
            <w:tcBorders>
              <w:bottom w:val="single" w:sz="8" w:color="auto"/>
              <w:right w:val="single" w:sz="8" w:color="auto"/>
            </w:tcBorders>
            <w:shd w:val="clear" w:color="auto" w:fill="D8E8EF"/>
          </w:tcPr>
          <w:p>
            <w:pPr>
              <w:jc w:val="center"/>
              <w:spacing w:after="0"/>
              <w:rPr>
                <w:sz w:val="20"/>
                <w:szCs w:val="20"/>
                <w:color w:val="auto"/>
              </w:rPr>
            </w:pPr>
            <w:r>
              <w:rPr>
                <w:rFonts w:ascii="Arial" w:cs="Arial" w:eastAsia="Arial" w:hAnsi="Arial"/>
                <w:sz w:val="14"/>
                <w:szCs w:val="14"/>
                <w:color w:val="auto"/>
                <w:w w:val="99"/>
              </w:rPr>
              <w:t>07/01/2021</w:t>
            </w:r>
          </w:p>
        </w:tc>
        <w:tc>
          <w:tcPr>
            <w:tcW w:w="960" w:type="dxa"/>
            <w:vAlign w:val="bottom"/>
            <w:tcBorders>
              <w:bottom w:val="single" w:sz="8" w:color="auto"/>
              <w:right w:val="single" w:sz="8" w:color="auto"/>
            </w:tcBorders>
            <w:shd w:val="clear" w:color="auto" w:fill="D8E8EF"/>
          </w:tcPr>
          <w:p>
            <w:pPr>
              <w:jc w:val="center"/>
              <w:spacing w:after="0"/>
              <w:rPr>
                <w:sz w:val="20"/>
                <w:szCs w:val="20"/>
                <w:color w:val="auto"/>
              </w:rPr>
            </w:pPr>
            <w:r>
              <w:rPr>
                <w:rFonts w:ascii="Arial" w:cs="Arial" w:eastAsia="Arial" w:hAnsi="Arial"/>
                <w:sz w:val="14"/>
                <w:szCs w:val="14"/>
                <w:color w:val="auto"/>
              </w:rPr>
              <w:t>06/16/2021</w:t>
            </w:r>
          </w:p>
        </w:tc>
        <w:tc>
          <w:tcPr>
            <w:tcW w:w="920" w:type="dxa"/>
            <w:vAlign w:val="bottom"/>
            <w:tcBorders>
              <w:bottom w:val="single" w:sz="8" w:color="auto"/>
              <w:right w:val="single" w:sz="8" w:color="auto"/>
            </w:tcBorders>
            <w:shd w:val="clear" w:color="auto" w:fill="D8E8EF"/>
          </w:tcPr>
          <w:p>
            <w:pPr>
              <w:spacing w:after="0"/>
              <w:rPr>
                <w:sz w:val="18"/>
                <w:szCs w:val="18"/>
                <w:color w:val="auto"/>
              </w:rPr>
            </w:pPr>
          </w:p>
        </w:tc>
        <w:tc>
          <w:tcPr>
            <w:tcW w:w="80" w:type="dxa"/>
            <w:vAlign w:val="bottom"/>
            <w:tcBorders>
              <w:bottom w:val="single" w:sz="8" w:color="auto"/>
            </w:tcBorders>
            <w:shd w:val="clear" w:color="auto" w:fill="D8E8EF"/>
          </w:tcPr>
          <w:p>
            <w:pPr>
              <w:spacing w:after="0"/>
              <w:rPr>
                <w:sz w:val="18"/>
                <w:szCs w:val="18"/>
                <w:color w:val="auto"/>
              </w:rPr>
            </w:pPr>
          </w:p>
        </w:tc>
        <w:tc>
          <w:tcPr>
            <w:tcW w:w="800" w:type="dxa"/>
            <w:vAlign w:val="bottom"/>
            <w:tcBorders>
              <w:bottom w:val="single" w:sz="8" w:color="auto"/>
              <w:right w:val="single" w:sz="8" w:color="auto"/>
            </w:tcBorders>
            <w:shd w:val="clear" w:color="auto" w:fill="D8E8EF"/>
          </w:tcPr>
          <w:p>
            <w:pPr>
              <w:spacing w:after="0"/>
              <w:rPr>
                <w:sz w:val="18"/>
                <w:szCs w:val="18"/>
                <w:color w:val="auto"/>
              </w:rPr>
            </w:pPr>
          </w:p>
        </w:tc>
        <w:tc>
          <w:tcPr>
            <w:tcW w:w="100" w:type="dxa"/>
            <w:vAlign w:val="bottom"/>
            <w:tcBorders>
              <w:bottom w:val="single" w:sz="8" w:color="auto"/>
            </w:tcBorders>
            <w:shd w:val="clear" w:color="auto" w:fill="D8E8EF"/>
          </w:tcPr>
          <w:p>
            <w:pPr>
              <w:spacing w:after="0"/>
              <w:rPr>
                <w:sz w:val="18"/>
                <w:szCs w:val="18"/>
                <w:color w:val="auto"/>
              </w:rPr>
            </w:pPr>
          </w:p>
        </w:tc>
        <w:tc>
          <w:tcPr>
            <w:tcW w:w="760" w:type="dxa"/>
            <w:vAlign w:val="bottom"/>
            <w:tcBorders>
              <w:bottom w:val="single" w:sz="8" w:color="auto"/>
              <w:right w:val="single" w:sz="8" w:color="auto"/>
            </w:tcBorders>
            <w:shd w:val="clear" w:color="auto" w:fill="D8E8EF"/>
          </w:tcPr>
          <w:p>
            <w:pPr>
              <w:spacing w:after="0"/>
              <w:rPr>
                <w:sz w:val="18"/>
                <w:szCs w:val="18"/>
                <w:color w:val="auto"/>
              </w:rPr>
            </w:pPr>
          </w:p>
        </w:tc>
        <w:tc>
          <w:tcPr>
            <w:tcW w:w="920" w:type="dxa"/>
            <w:vAlign w:val="bottom"/>
            <w:tcBorders>
              <w:bottom w:val="single" w:sz="8" w:color="auto"/>
              <w:right w:val="single" w:sz="8" w:color="auto"/>
            </w:tcBorders>
            <w:shd w:val="clear" w:color="auto" w:fill="D8E8EF"/>
          </w:tcPr>
          <w:p>
            <w:pPr>
              <w:spacing w:after="0"/>
              <w:rPr>
                <w:sz w:val="18"/>
                <w:szCs w:val="18"/>
                <w:color w:val="auto"/>
              </w:rPr>
            </w:pPr>
          </w:p>
        </w:tc>
        <w:tc>
          <w:tcPr>
            <w:tcW w:w="740" w:type="dxa"/>
            <w:vAlign w:val="bottom"/>
            <w:tcBorders>
              <w:bottom w:val="single" w:sz="8" w:color="auto"/>
              <w:right w:val="single" w:sz="8" w:color="auto"/>
            </w:tcBorders>
            <w:shd w:val="clear" w:color="auto" w:fill="D8E8EF"/>
          </w:tcPr>
          <w:p>
            <w:pPr>
              <w:spacing w:after="0"/>
              <w:rPr>
                <w:sz w:val="18"/>
                <w:szCs w:val="18"/>
                <w:color w:val="auto"/>
              </w:rPr>
            </w:pPr>
          </w:p>
        </w:tc>
        <w:tc>
          <w:tcPr>
            <w:tcW w:w="880" w:type="dxa"/>
            <w:vAlign w:val="bottom"/>
            <w:tcBorders>
              <w:bottom w:val="single" w:sz="8" w:color="auto"/>
              <w:right w:val="single" w:sz="8" w:color="auto"/>
            </w:tcBorders>
            <w:shd w:val="clear" w:color="auto" w:fill="D8E8EF"/>
          </w:tcPr>
          <w:p>
            <w:pPr>
              <w:spacing w:after="0"/>
              <w:rPr>
                <w:sz w:val="18"/>
                <w:szCs w:val="18"/>
                <w:color w:val="auto"/>
              </w:rPr>
            </w:pPr>
          </w:p>
        </w:tc>
        <w:tc>
          <w:tcPr>
            <w:tcW w:w="820" w:type="dxa"/>
            <w:vAlign w:val="bottom"/>
            <w:tcBorders>
              <w:bottom w:val="single" w:sz="8" w:color="auto"/>
              <w:right w:val="single" w:sz="8" w:color="auto"/>
            </w:tcBorders>
            <w:shd w:val="clear" w:color="auto" w:fill="D8E8EF"/>
          </w:tcPr>
          <w:p>
            <w:pPr>
              <w:jc w:val="center"/>
              <w:spacing w:after="0"/>
              <w:rPr>
                <w:sz w:val="20"/>
                <w:szCs w:val="20"/>
                <w:color w:val="auto"/>
              </w:rPr>
            </w:pPr>
            <w:r>
              <w:rPr>
                <w:rFonts w:ascii="Arial" w:cs="Arial" w:eastAsia="Arial" w:hAnsi="Arial"/>
                <w:sz w:val="14"/>
                <w:szCs w:val="14"/>
                <w:color w:val="auto"/>
                <w:w w:val="96"/>
              </w:rPr>
              <w:t>1,583</w:t>
            </w:r>
          </w:p>
        </w:tc>
        <w:tc>
          <w:tcPr>
            <w:tcW w:w="1000" w:type="dxa"/>
            <w:vAlign w:val="bottom"/>
            <w:tcBorders>
              <w:bottom w:val="single" w:sz="8" w:color="auto"/>
              <w:right w:val="single" w:sz="8" w:color="auto"/>
            </w:tcBorders>
            <w:shd w:val="clear" w:color="auto" w:fill="D8E8EF"/>
          </w:tcPr>
          <w:p>
            <w:pPr>
              <w:jc w:val="center"/>
              <w:spacing w:after="0"/>
              <w:rPr>
                <w:sz w:val="20"/>
                <w:szCs w:val="20"/>
                <w:color w:val="auto"/>
              </w:rPr>
            </w:pPr>
            <w:r>
              <w:rPr>
                <w:rFonts w:ascii="Arial" w:cs="Arial" w:eastAsia="Arial" w:hAnsi="Arial"/>
                <w:sz w:val="14"/>
                <w:szCs w:val="14"/>
                <w:color w:val="auto"/>
              </w:rPr>
              <w:t>60,012</w:t>
            </w:r>
          </w:p>
        </w:tc>
        <w:tc>
          <w:tcPr>
            <w:tcW w:w="420" w:type="dxa"/>
            <w:vAlign w:val="bottom"/>
          </w:tcPr>
          <w:p>
            <w:pPr>
              <w:spacing w:after="0"/>
              <w:rPr>
                <w:sz w:val="18"/>
                <w:szCs w:val="18"/>
                <w:color w:val="auto"/>
              </w:rPr>
            </w:pPr>
          </w:p>
        </w:tc>
      </w:tr>
      <w:tr>
        <w:trPr>
          <w:trHeight w:val="207"/>
        </w:trPr>
        <w:tc>
          <w:tcPr>
            <w:tcW w:w="460" w:type="dxa"/>
            <w:vAlign w:val="bottom"/>
            <w:tcBorders>
              <w:right w:val="single" w:sz="8" w:color="auto"/>
            </w:tcBorders>
          </w:tcPr>
          <w:p>
            <w:pPr>
              <w:spacing w:after="0"/>
              <w:rPr>
                <w:sz w:val="18"/>
                <w:szCs w:val="18"/>
                <w:color w:val="auto"/>
              </w:rPr>
            </w:pPr>
          </w:p>
        </w:tc>
        <w:tc>
          <w:tcPr>
            <w:tcW w:w="1120" w:type="dxa"/>
            <w:vAlign w:val="bottom"/>
            <w:tcBorders>
              <w:bottom w:val="single" w:sz="8" w:color="auto"/>
              <w:right w:val="single" w:sz="8" w:color="auto"/>
            </w:tcBorders>
            <w:shd w:val="clear" w:color="auto" w:fill="D8E8EF"/>
          </w:tcPr>
          <w:p>
            <w:pPr>
              <w:spacing w:after="0"/>
              <w:rPr>
                <w:sz w:val="18"/>
                <w:szCs w:val="18"/>
                <w:color w:val="auto"/>
              </w:rPr>
            </w:pPr>
          </w:p>
        </w:tc>
        <w:tc>
          <w:tcPr>
            <w:tcW w:w="940" w:type="dxa"/>
            <w:vAlign w:val="bottom"/>
            <w:tcBorders>
              <w:bottom w:val="single" w:sz="8" w:color="auto"/>
              <w:right w:val="single" w:sz="8" w:color="auto"/>
            </w:tcBorders>
            <w:shd w:val="clear" w:color="auto" w:fill="D8E8EF"/>
          </w:tcPr>
          <w:p>
            <w:pPr>
              <w:jc w:val="center"/>
              <w:spacing w:after="0"/>
              <w:rPr>
                <w:sz w:val="20"/>
                <w:szCs w:val="20"/>
                <w:color w:val="auto"/>
              </w:rPr>
            </w:pPr>
            <w:r>
              <w:rPr>
                <w:rFonts w:ascii="Arial" w:cs="Arial" w:eastAsia="Arial" w:hAnsi="Arial"/>
                <w:sz w:val="14"/>
                <w:szCs w:val="14"/>
                <w:color w:val="auto"/>
                <w:w w:val="99"/>
              </w:rPr>
              <w:t>07/01/2021</w:t>
            </w:r>
          </w:p>
        </w:tc>
        <w:tc>
          <w:tcPr>
            <w:tcW w:w="960" w:type="dxa"/>
            <w:vAlign w:val="bottom"/>
            <w:tcBorders>
              <w:bottom w:val="single" w:sz="8" w:color="auto"/>
              <w:right w:val="single" w:sz="8" w:color="auto"/>
            </w:tcBorders>
            <w:shd w:val="clear" w:color="auto" w:fill="D8E8EF"/>
          </w:tcPr>
          <w:p>
            <w:pPr>
              <w:jc w:val="center"/>
              <w:spacing w:after="0"/>
              <w:rPr>
                <w:sz w:val="20"/>
                <w:szCs w:val="20"/>
                <w:color w:val="auto"/>
              </w:rPr>
            </w:pPr>
            <w:r>
              <w:rPr>
                <w:rFonts w:ascii="Arial" w:cs="Arial" w:eastAsia="Arial" w:hAnsi="Arial"/>
                <w:sz w:val="14"/>
                <w:szCs w:val="14"/>
                <w:color w:val="auto"/>
              </w:rPr>
              <w:t>06/16/2021</w:t>
            </w:r>
          </w:p>
        </w:tc>
        <w:tc>
          <w:tcPr>
            <w:tcW w:w="920" w:type="dxa"/>
            <w:vAlign w:val="bottom"/>
            <w:tcBorders>
              <w:bottom w:val="single" w:sz="8" w:color="auto"/>
              <w:right w:val="single" w:sz="8" w:color="auto"/>
            </w:tcBorders>
            <w:shd w:val="clear" w:color="auto" w:fill="D8E8EF"/>
          </w:tcPr>
          <w:p>
            <w:pPr>
              <w:spacing w:after="0"/>
              <w:rPr>
                <w:sz w:val="18"/>
                <w:szCs w:val="18"/>
                <w:color w:val="auto"/>
              </w:rPr>
            </w:pPr>
          </w:p>
        </w:tc>
        <w:tc>
          <w:tcPr>
            <w:tcW w:w="80" w:type="dxa"/>
            <w:vAlign w:val="bottom"/>
            <w:tcBorders>
              <w:bottom w:val="single" w:sz="8" w:color="auto"/>
            </w:tcBorders>
            <w:shd w:val="clear" w:color="auto" w:fill="D8E8EF"/>
          </w:tcPr>
          <w:p>
            <w:pPr>
              <w:spacing w:after="0"/>
              <w:rPr>
                <w:sz w:val="18"/>
                <w:szCs w:val="18"/>
                <w:color w:val="auto"/>
              </w:rPr>
            </w:pPr>
          </w:p>
        </w:tc>
        <w:tc>
          <w:tcPr>
            <w:tcW w:w="800" w:type="dxa"/>
            <w:vAlign w:val="bottom"/>
            <w:tcBorders>
              <w:bottom w:val="single" w:sz="8" w:color="auto"/>
              <w:right w:val="single" w:sz="8" w:color="auto"/>
            </w:tcBorders>
            <w:shd w:val="clear" w:color="auto" w:fill="D8E8EF"/>
          </w:tcPr>
          <w:p>
            <w:pPr>
              <w:spacing w:after="0"/>
              <w:rPr>
                <w:sz w:val="18"/>
                <w:szCs w:val="18"/>
                <w:color w:val="auto"/>
              </w:rPr>
            </w:pPr>
          </w:p>
        </w:tc>
        <w:tc>
          <w:tcPr>
            <w:tcW w:w="100" w:type="dxa"/>
            <w:vAlign w:val="bottom"/>
            <w:tcBorders>
              <w:bottom w:val="single" w:sz="8" w:color="auto"/>
            </w:tcBorders>
            <w:shd w:val="clear" w:color="auto" w:fill="D8E8EF"/>
          </w:tcPr>
          <w:p>
            <w:pPr>
              <w:spacing w:after="0"/>
              <w:rPr>
                <w:sz w:val="18"/>
                <w:szCs w:val="18"/>
                <w:color w:val="auto"/>
              </w:rPr>
            </w:pPr>
          </w:p>
        </w:tc>
        <w:tc>
          <w:tcPr>
            <w:tcW w:w="760" w:type="dxa"/>
            <w:vAlign w:val="bottom"/>
            <w:tcBorders>
              <w:bottom w:val="single" w:sz="8" w:color="auto"/>
              <w:right w:val="single" w:sz="8" w:color="auto"/>
            </w:tcBorders>
            <w:shd w:val="clear" w:color="auto" w:fill="D8E8EF"/>
          </w:tcPr>
          <w:p>
            <w:pPr>
              <w:spacing w:after="0"/>
              <w:rPr>
                <w:sz w:val="18"/>
                <w:szCs w:val="18"/>
                <w:color w:val="auto"/>
              </w:rPr>
            </w:pPr>
          </w:p>
        </w:tc>
        <w:tc>
          <w:tcPr>
            <w:tcW w:w="920" w:type="dxa"/>
            <w:vAlign w:val="bottom"/>
            <w:tcBorders>
              <w:bottom w:val="single" w:sz="8" w:color="auto"/>
              <w:right w:val="single" w:sz="8" w:color="auto"/>
            </w:tcBorders>
            <w:shd w:val="clear" w:color="auto" w:fill="D8E8EF"/>
          </w:tcPr>
          <w:p>
            <w:pPr>
              <w:jc w:val="center"/>
              <w:spacing w:after="0"/>
              <w:rPr>
                <w:sz w:val="20"/>
                <w:szCs w:val="20"/>
                <w:color w:val="auto"/>
              </w:rPr>
            </w:pPr>
            <w:r>
              <w:rPr>
                <w:rFonts w:ascii="Arial" w:cs="Arial" w:eastAsia="Arial" w:hAnsi="Arial"/>
                <w:sz w:val="14"/>
                <w:szCs w:val="14"/>
                <w:color w:val="auto"/>
              </w:rPr>
              <w:t>0</w:t>
            </w:r>
          </w:p>
        </w:tc>
        <w:tc>
          <w:tcPr>
            <w:tcW w:w="740" w:type="dxa"/>
            <w:vAlign w:val="bottom"/>
            <w:tcBorders>
              <w:bottom w:val="single" w:sz="8" w:color="auto"/>
              <w:right w:val="single" w:sz="8" w:color="auto"/>
            </w:tcBorders>
            <w:shd w:val="clear" w:color="auto" w:fill="D8E8EF"/>
          </w:tcPr>
          <w:p>
            <w:pPr>
              <w:jc w:val="center"/>
              <w:spacing w:after="0"/>
              <w:rPr>
                <w:sz w:val="20"/>
                <w:szCs w:val="20"/>
                <w:color w:val="auto"/>
              </w:rPr>
            </w:pPr>
            <w:r>
              <w:rPr>
                <w:rFonts w:ascii="Arial" w:cs="Arial" w:eastAsia="Arial" w:hAnsi="Arial"/>
                <w:sz w:val="14"/>
                <w:szCs w:val="14"/>
                <w:color w:val="auto"/>
              </w:rPr>
              <w:t>2,375</w:t>
            </w:r>
          </w:p>
        </w:tc>
        <w:tc>
          <w:tcPr>
            <w:tcW w:w="880" w:type="dxa"/>
            <w:vAlign w:val="bottom"/>
            <w:tcBorders>
              <w:bottom w:val="single" w:sz="8" w:color="auto"/>
              <w:right w:val="single" w:sz="8" w:color="auto"/>
            </w:tcBorders>
            <w:shd w:val="clear" w:color="auto" w:fill="D8E8EF"/>
          </w:tcPr>
          <w:p>
            <w:pPr>
              <w:jc w:val="center"/>
              <w:spacing w:after="0"/>
              <w:rPr>
                <w:sz w:val="20"/>
                <w:szCs w:val="20"/>
                <w:color w:val="auto"/>
              </w:rPr>
            </w:pPr>
            <w:r>
              <w:rPr>
                <w:rFonts w:ascii="Arial" w:cs="Arial" w:eastAsia="Arial" w:hAnsi="Arial"/>
                <w:sz w:val="14"/>
                <w:szCs w:val="14"/>
                <w:color w:val="auto"/>
              </w:rPr>
              <w:t>3,563</w:t>
            </w:r>
          </w:p>
        </w:tc>
        <w:tc>
          <w:tcPr>
            <w:tcW w:w="820" w:type="dxa"/>
            <w:vAlign w:val="bottom"/>
            <w:tcBorders>
              <w:bottom w:val="single" w:sz="8" w:color="auto"/>
              <w:right w:val="single" w:sz="8" w:color="auto"/>
            </w:tcBorders>
            <w:shd w:val="clear" w:color="auto" w:fill="D8E8EF"/>
          </w:tcPr>
          <w:p>
            <w:pPr>
              <w:spacing w:after="0"/>
              <w:rPr>
                <w:sz w:val="18"/>
                <w:szCs w:val="18"/>
                <w:color w:val="auto"/>
              </w:rPr>
            </w:pPr>
          </w:p>
        </w:tc>
        <w:tc>
          <w:tcPr>
            <w:tcW w:w="1000" w:type="dxa"/>
            <w:vAlign w:val="bottom"/>
            <w:tcBorders>
              <w:bottom w:val="single" w:sz="8" w:color="auto"/>
              <w:right w:val="single" w:sz="8" w:color="auto"/>
            </w:tcBorders>
            <w:shd w:val="clear" w:color="auto" w:fill="D8E8EF"/>
          </w:tcPr>
          <w:p>
            <w:pPr>
              <w:jc w:val="center"/>
              <w:spacing w:after="0"/>
              <w:rPr>
                <w:sz w:val="20"/>
                <w:szCs w:val="20"/>
                <w:color w:val="auto"/>
              </w:rPr>
            </w:pPr>
            <w:r>
              <w:rPr>
                <w:rFonts w:ascii="Arial" w:cs="Arial" w:eastAsia="Arial" w:hAnsi="Arial"/>
                <w:sz w:val="14"/>
                <w:szCs w:val="14"/>
                <w:color w:val="auto"/>
              </w:rPr>
              <w:t>114,928</w:t>
            </w:r>
          </w:p>
        </w:tc>
        <w:tc>
          <w:tcPr>
            <w:tcW w:w="420" w:type="dxa"/>
            <w:vAlign w:val="bottom"/>
          </w:tcPr>
          <w:p>
            <w:pPr>
              <w:spacing w:after="0"/>
              <w:rPr>
                <w:sz w:val="18"/>
                <w:szCs w:val="18"/>
                <w:color w:val="auto"/>
              </w:rPr>
            </w:pPr>
          </w:p>
        </w:tc>
      </w:tr>
      <w:tr>
        <w:trPr>
          <w:trHeight w:val="218"/>
        </w:trPr>
        <w:tc>
          <w:tcPr>
            <w:tcW w:w="46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ind w:left="140"/>
              <w:spacing w:after="0"/>
              <w:rPr>
                <w:sz w:val="20"/>
                <w:szCs w:val="20"/>
                <w:color w:val="auto"/>
              </w:rPr>
            </w:pPr>
            <w:r>
              <w:rPr>
                <w:rFonts w:ascii="Arial" w:cs="Arial" w:eastAsia="Arial" w:hAnsi="Arial"/>
                <w:sz w:val="14"/>
                <w:szCs w:val="14"/>
                <w:color w:val="auto"/>
              </w:rPr>
              <w:t>George H.</w:t>
            </w:r>
          </w:p>
        </w:tc>
        <w:tc>
          <w:tcPr>
            <w:tcW w:w="940" w:type="dxa"/>
            <w:vAlign w:val="bottom"/>
            <w:tcBorders>
              <w:bottom w:val="single" w:sz="8" w:color="auto"/>
              <w:right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02/12/2021</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0</w:t>
            </w:r>
          </w:p>
        </w:tc>
        <w:tc>
          <w:tcPr>
            <w:tcW w:w="80" w:type="dxa"/>
            <w:vAlign w:val="bottom"/>
            <w:tcBorders>
              <w:bottom w:val="single" w:sz="8" w:color="auto"/>
            </w:tcBorders>
          </w:tcPr>
          <w:p>
            <w:pPr>
              <w:spacing w:after="0"/>
              <w:rPr>
                <w:sz w:val="18"/>
                <w:szCs w:val="18"/>
                <w:color w:val="auto"/>
              </w:rPr>
            </w:pP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8"/>
              </w:rPr>
              <w:t>375,000</w:t>
            </w: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right w:val="single" w:sz="8" w:color="auto"/>
            </w:tcBorders>
          </w:tcPr>
          <w:p>
            <w:pPr>
              <w:jc w:val="center"/>
              <w:ind w:right="9"/>
              <w:spacing w:after="0"/>
              <w:rPr>
                <w:sz w:val="20"/>
                <w:szCs w:val="20"/>
                <w:color w:val="auto"/>
              </w:rPr>
            </w:pPr>
            <w:r>
              <w:rPr>
                <w:rFonts w:ascii="Arial" w:cs="Arial" w:eastAsia="Arial" w:hAnsi="Arial"/>
                <w:sz w:val="14"/>
                <w:szCs w:val="14"/>
                <w:color w:val="auto"/>
              </w:rPr>
              <w:t>562,500</w:t>
            </w:r>
          </w:p>
        </w:tc>
        <w:tc>
          <w:tcPr>
            <w:tcW w:w="920" w:type="dxa"/>
            <w:vAlign w:val="bottom"/>
            <w:tcBorders>
              <w:bottom w:val="single" w:sz="8" w:color="auto"/>
              <w:right w:val="single" w:sz="8" w:color="auto"/>
            </w:tcBorders>
          </w:tcPr>
          <w:p>
            <w:pPr>
              <w:spacing w:after="0"/>
              <w:rPr>
                <w:sz w:val="18"/>
                <w:szCs w:val="18"/>
                <w:color w:val="auto"/>
              </w:rPr>
            </w:pPr>
          </w:p>
        </w:tc>
        <w:tc>
          <w:tcPr>
            <w:tcW w:w="740" w:type="dxa"/>
            <w:vAlign w:val="bottom"/>
            <w:tcBorders>
              <w:bottom w:val="single" w:sz="8" w:color="auto"/>
              <w:right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spacing w:after="0"/>
              <w:rPr>
                <w:sz w:val="18"/>
                <w:szCs w:val="18"/>
                <w:color w:val="auto"/>
              </w:rPr>
            </w:pPr>
          </w:p>
        </w:tc>
        <w:tc>
          <w:tcPr>
            <w:tcW w:w="820" w:type="dxa"/>
            <w:vAlign w:val="bottom"/>
            <w:tcBorders>
              <w:bottom w:val="single" w:sz="8" w:color="auto"/>
              <w:right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r>
      <w:tr>
        <w:trPr>
          <w:trHeight w:val="210"/>
        </w:trPr>
        <w:tc>
          <w:tcPr>
            <w:tcW w:w="46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ind w:left="140"/>
              <w:spacing w:after="0"/>
              <w:rPr>
                <w:sz w:val="20"/>
                <w:szCs w:val="20"/>
                <w:color w:val="auto"/>
              </w:rPr>
            </w:pPr>
            <w:r>
              <w:rPr>
                <w:rFonts w:ascii="Arial" w:cs="Arial" w:eastAsia="Arial" w:hAnsi="Arial"/>
                <w:sz w:val="14"/>
                <w:szCs w:val="14"/>
                <w:color w:val="auto"/>
              </w:rPr>
              <w:t>Cave</w:t>
            </w:r>
          </w:p>
        </w:tc>
        <w:tc>
          <w:tcPr>
            <w:tcW w:w="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02/12/2021</w:t>
            </w:r>
          </w:p>
        </w:tc>
        <w:tc>
          <w:tcPr>
            <w:tcW w:w="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02/12/2021</w:t>
            </w:r>
          </w:p>
        </w:tc>
        <w:tc>
          <w:tcPr>
            <w:tcW w:w="920" w:type="dxa"/>
            <w:vAlign w:val="bottom"/>
            <w:tcBorders>
              <w:bottom w:val="single" w:sz="8" w:color="auto"/>
              <w:right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0" w:type="dxa"/>
            <w:vAlign w:val="bottom"/>
            <w:tcBorders>
              <w:bottom w:val="single" w:sz="8" w:color="auto"/>
              <w:right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740" w:type="dxa"/>
            <w:vAlign w:val="bottom"/>
            <w:tcBorders>
              <w:bottom w:val="single" w:sz="8" w:color="auto"/>
              <w:right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spacing w:after="0"/>
              <w:rPr>
                <w:sz w:val="18"/>
                <w:szCs w:val="18"/>
                <w:color w:val="auto"/>
              </w:rPr>
            </w:pP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7"/>
              </w:rPr>
              <w:t>14,539</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600,025</w:t>
            </w:r>
          </w:p>
        </w:tc>
        <w:tc>
          <w:tcPr>
            <w:tcW w:w="420" w:type="dxa"/>
            <w:vAlign w:val="bottom"/>
          </w:tcPr>
          <w:p>
            <w:pPr>
              <w:spacing w:after="0"/>
              <w:rPr>
                <w:sz w:val="18"/>
                <w:szCs w:val="18"/>
                <w:color w:val="auto"/>
              </w:rPr>
            </w:pPr>
          </w:p>
        </w:tc>
      </w:tr>
      <w:tr>
        <w:trPr>
          <w:trHeight w:val="207"/>
        </w:trPr>
        <w:tc>
          <w:tcPr>
            <w:tcW w:w="460" w:type="dxa"/>
            <w:vAlign w:val="bottom"/>
            <w:tcBorders>
              <w:right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spacing w:after="0"/>
              <w:rPr>
                <w:sz w:val="18"/>
                <w:szCs w:val="18"/>
                <w:color w:val="auto"/>
              </w:rPr>
            </w:pPr>
          </w:p>
        </w:tc>
        <w:tc>
          <w:tcPr>
            <w:tcW w:w="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02/12/2021</w:t>
            </w:r>
          </w:p>
        </w:tc>
        <w:tc>
          <w:tcPr>
            <w:tcW w:w="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02/12/2021</w:t>
            </w:r>
          </w:p>
        </w:tc>
        <w:tc>
          <w:tcPr>
            <w:tcW w:w="920" w:type="dxa"/>
            <w:vAlign w:val="bottom"/>
            <w:tcBorders>
              <w:bottom w:val="single" w:sz="8" w:color="auto"/>
              <w:right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0" w:type="dxa"/>
            <w:vAlign w:val="bottom"/>
            <w:tcBorders>
              <w:bottom w:val="single" w:sz="8" w:color="auto"/>
              <w:right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0</w:t>
            </w:r>
          </w:p>
        </w:tc>
        <w:tc>
          <w:tcPr>
            <w:tcW w:w="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21,808</w:t>
            </w:r>
          </w:p>
        </w:tc>
        <w:tc>
          <w:tcPr>
            <w:tcW w:w="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49,068</w:t>
            </w:r>
          </w:p>
        </w:tc>
        <w:tc>
          <w:tcPr>
            <w:tcW w:w="820" w:type="dxa"/>
            <w:vAlign w:val="bottom"/>
            <w:tcBorders>
              <w:bottom w:val="single" w:sz="8" w:color="auto"/>
              <w:right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1,165,055</w:t>
            </w:r>
          </w:p>
        </w:tc>
        <w:tc>
          <w:tcPr>
            <w:tcW w:w="420" w:type="dxa"/>
            <w:vAlign w:val="bottom"/>
          </w:tcPr>
          <w:p>
            <w:pPr>
              <w:spacing w:after="0"/>
              <w:rPr>
                <w:sz w:val="18"/>
                <w:szCs w:val="18"/>
                <w:color w:val="auto"/>
              </w:rPr>
            </w:pPr>
          </w:p>
        </w:tc>
      </w:tr>
    </w:tbl>
    <w:p>
      <w:pPr>
        <w:spacing w:after="0" w:line="231" w:lineRule="exact"/>
        <w:rPr>
          <w:sz w:val="20"/>
          <w:szCs w:val="20"/>
          <w:color w:val="auto"/>
        </w:rPr>
      </w:pPr>
    </w:p>
    <w:p>
      <w:pPr>
        <w:ind w:left="1140" w:right="440" w:hanging="545"/>
        <w:spacing w:after="0" w:line="281" w:lineRule="auto"/>
        <w:tabs>
          <w:tab w:leader="none" w:pos="1140" w:val="left"/>
        </w:tabs>
        <w:numPr>
          <w:ilvl w:val="0"/>
          <w:numId w:val="81"/>
        </w:numPr>
        <w:rPr>
          <w:rFonts w:ascii="Arial" w:cs="Arial" w:eastAsia="Arial" w:hAnsi="Arial"/>
          <w:sz w:val="14"/>
          <w:szCs w:val="14"/>
          <w:color w:val="auto"/>
        </w:rPr>
      </w:pPr>
      <w:r>
        <w:rPr>
          <w:rFonts w:ascii="Arial" w:cs="Arial" w:eastAsia="Arial" w:hAnsi="Arial"/>
          <w:sz w:val="14"/>
          <w:szCs w:val="14"/>
          <w:color w:val="auto"/>
        </w:rPr>
        <w:t>Mr. Gutmann was not granted any awards of equity in 2021 as, at the time of the February 2021 HCC Committee mentioned above, Mr. Gutmann had previously announced his retirement in February 2021.</w:t>
      </w:r>
    </w:p>
    <w:p>
      <w:pPr>
        <w:spacing w:after="0" w:line="10" w:lineRule="exact"/>
        <w:rPr>
          <w:rFonts w:ascii="Arial" w:cs="Arial" w:eastAsia="Arial" w:hAnsi="Arial"/>
          <w:sz w:val="14"/>
          <w:szCs w:val="14"/>
          <w:color w:val="auto"/>
        </w:rPr>
      </w:pPr>
    </w:p>
    <w:p>
      <w:pPr>
        <w:jc w:val="both"/>
        <w:ind w:left="1140" w:right="440" w:hanging="545"/>
        <w:spacing w:after="0" w:line="260" w:lineRule="auto"/>
        <w:tabs>
          <w:tab w:leader="none" w:pos="1140" w:val="left"/>
        </w:tabs>
        <w:numPr>
          <w:ilvl w:val="0"/>
          <w:numId w:val="81"/>
        </w:numPr>
        <w:rPr>
          <w:rFonts w:ascii="Arial" w:cs="Arial" w:eastAsia="Arial" w:hAnsi="Arial"/>
          <w:sz w:val="14"/>
          <w:szCs w:val="14"/>
          <w:color w:val="auto"/>
        </w:rPr>
      </w:pPr>
      <w:r>
        <w:rPr>
          <w:rFonts w:ascii="Arial" w:cs="Arial" w:eastAsia="Arial" w:hAnsi="Arial"/>
          <w:sz w:val="14"/>
          <w:szCs w:val="14"/>
          <w:color w:val="auto"/>
        </w:rPr>
        <w:t>The short-term cash incentive program for 2021 was established by the HCC Committee on February 12, 2021. Equity awards under the long-term incentive program for 2021 were approved by the HCC Committee on February 12, 2021. Off-cycle equity awards to certain of our NEOs were approved by the HCC Committee on June 16, 2021.</w:t>
      </w:r>
    </w:p>
    <w:p>
      <w:pPr>
        <w:spacing w:after="0" w:line="25" w:lineRule="exact"/>
        <w:rPr>
          <w:rFonts w:ascii="Arial" w:cs="Arial" w:eastAsia="Arial" w:hAnsi="Arial"/>
          <w:sz w:val="14"/>
          <w:szCs w:val="14"/>
          <w:color w:val="auto"/>
        </w:rPr>
      </w:pPr>
    </w:p>
    <w:p>
      <w:pPr>
        <w:jc w:val="both"/>
        <w:ind w:left="1140" w:right="440" w:hanging="545"/>
        <w:spacing w:after="0" w:line="260" w:lineRule="auto"/>
        <w:tabs>
          <w:tab w:leader="none" w:pos="1140" w:val="left"/>
        </w:tabs>
        <w:numPr>
          <w:ilvl w:val="0"/>
          <w:numId w:val="81"/>
        </w:numPr>
        <w:rPr>
          <w:rFonts w:ascii="Arial" w:cs="Arial" w:eastAsia="Arial" w:hAnsi="Arial"/>
          <w:sz w:val="14"/>
          <w:szCs w:val="14"/>
          <w:color w:val="auto"/>
        </w:rPr>
      </w:pPr>
      <w:r>
        <w:rPr>
          <w:rFonts w:ascii="Arial" w:cs="Arial" w:eastAsia="Arial" w:hAnsi="Arial"/>
          <w:sz w:val="14"/>
          <w:szCs w:val="14"/>
          <w:color w:val="auto"/>
        </w:rPr>
        <w:t>Amounts in these columns represent the possible payouts under the Company’s short-term cash incentive program for 2021. Possible payouts were calculated as follows: the applicable bonus attainment multiplied by the target bonus percentage set for each officer multiplied by the officer’s eligible earnings in effect for the performance period.</w:t>
      </w:r>
    </w:p>
    <w:p>
      <w:pPr>
        <w:spacing w:after="0" w:line="25" w:lineRule="exact"/>
        <w:rPr>
          <w:rFonts w:ascii="Arial" w:cs="Arial" w:eastAsia="Arial" w:hAnsi="Arial"/>
          <w:sz w:val="14"/>
          <w:szCs w:val="14"/>
          <w:color w:val="auto"/>
        </w:rPr>
      </w:pPr>
    </w:p>
    <w:p>
      <w:pPr>
        <w:jc w:val="both"/>
        <w:ind w:left="1140" w:right="420" w:hanging="545"/>
        <w:spacing w:after="0" w:line="253" w:lineRule="auto"/>
        <w:tabs>
          <w:tab w:leader="none" w:pos="1140" w:val="left"/>
        </w:tabs>
        <w:numPr>
          <w:ilvl w:val="0"/>
          <w:numId w:val="81"/>
        </w:numPr>
        <w:rPr>
          <w:rFonts w:ascii="Arial" w:cs="Arial" w:eastAsia="Arial" w:hAnsi="Arial"/>
          <w:sz w:val="14"/>
          <w:szCs w:val="14"/>
          <w:color w:val="auto"/>
        </w:rPr>
      </w:pPr>
      <w:r>
        <w:rPr>
          <w:rFonts w:ascii="Arial" w:cs="Arial" w:eastAsia="Arial" w:hAnsi="Arial"/>
          <w:sz w:val="14"/>
          <w:szCs w:val="14"/>
          <w:color w:val="auto"/>
        </w:rPr>
        <w:t>The amounts shown in these columns represent the number of shares underlying the 2021 PBRSUs made to our NEOs under the SIP in 2021. The amounts in the “Threshold” column (f) represent the minimum number of units that would vest, if any, under the award agreements for the 2021 PBRSUs, assuming that certain threshold performance measures are not exceeded. The amounts in the “Target” column (g) represent the total number of 2021 PBRSUs, assuming that all performance goals are achieved and therefore all</w:t>
      </w:r>
    </w:p>
    <w:p>
      <w:pPr>
        <w:spacing w:after="0" w:line="110" w:lineRule="exact"/>
        <w:rPr>
          <w:sz w:val="20"/>
          <w:szCs w:val="20"/>
          <w:color w:val="auto"/>
        </w:rPr>
      </w:pPr>
    </w:p>
    <w:p>
      <w:pPr>
        <w:ind w:left="8820"/>
        <w:spacing w:after="0"/>
        <w:tabs>
          <w:tab w:leader="none" w:pos="10900" w:val="left"/>
        </w:tabs>
        <w:rPr>
          <w:sz w:val="20"/>
          <w:szCs w:val="20"/>
          <w:color w:val="auto"/>
        </w:rPr>
      </w:pPr>
      <w:r>
        <w:rPr>
          <w:rFonts w:ascii="Arial" w:cs="Arial" w:eastAsia="Arial" w:hAnsi="Arial"/>
          <w:sz w:val="14"/>
          <w:szCs w:val="14"/>
          <w:color w:val="F75E14"/>
        </w:rPr>
        <w:t>onsemi 2022 Proxy Statement</w:t>
        <w:tab/>
        <w:t>51</w:t>
      </w:r>
    </w:p>
    <w:p>
      <w:pPr>
        <w:sectPr>
          <w:pgSz w:w="11900" w:h="16838" w:orient="portrait"/>
          <w:cols w:equalWidth="0" w:num="1">
            <w:col w:w="11080"/>
          </w:cols>
          <w:pgMar w:left="320" w:top="454" w:right="499" w:bottom="1440" w:gutter="0" w:footer="0" w:header="0"/>
        </w:sectPr>
      </w:pPr>
    </w:p>
    <w:bookmarkStart w:id="55" w:name="page56"/>
    <w:bookmarkEnd w:id="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2" w:lineRule="exact"/>
        <w:rPr>
          <w:sz w:val="20"/>
          <w:szCs w:val="20"/>
          <w:color w:val="auto"/>
        </w:rPr>
      </w:pPr>
    </w:p>
    <w:p>
      <w:pPr>
        <w:ind w:left="160"/>
        <w:spacing w:after="0"/>
        <w:rPr>
          <w:sz w:val="20"/>
          <w:szCs w:val="20"/>
          <w:color w:val="auto"/>
        </w:rPr>
      </w:pPr>
      <w:r>
        <w:rPr>
          <w:rFonts w:ascii="Arial" w:cs="Arial" w:eastAsia="Arial" w:hAnsi="Arial"/>
          <w:sz w:val="18"/>
          <w:szCs w:val="18"/>
          <w:color w:val="F75E14"/>
        </w:rPr>
        <w:t>Compensation of Executive Officers</w:t>
      </w:r>
    </w:p>
    <w:p>
      <w:pPr>
        <w:spacing w:after="0" w:line="150" w:lineRule="exact"/>
        <w:rPr>
          <w:sz w:val="20"/>
          <w:szCs w:val="20"/>
          <w:color w:val="auto"/>
        </w:rPr>
      </w:pPr>
    </w:p>
    <w:p>
      <w:pPr>
        <w:jc w:val="both"/>
        <w:ind w:left="1140" w:right="440"/>
        <w:spacing w:after="0" w:line="253" w:lineRule="auto"/>
        <w:rPr>
          <w:sz w:val="20"/>
          <w:szCs w:val="20"/>
          <w:color w:val="auto"/>
        </w:rPr>
      </w:pPr>
      <w:r>
        <w:rPr>
          <w:rFonts w:ascii="Arial" w:cs="Arial" w:eastAsia="Arial" w:hAnsi="Arial"/>
          <w:sz w:val="14"/>
          <w:szCs w:val="14"/>
          <w:color w:val="auto"/>
        </w:rPr>
        <w:t>units would vest, but without inclusion of any additional 2021 PBRSUs that could be earned by virtue of the TSR Adjustment. The amounts in the “Maximum” column (h) represent the total number of units granted, assuming that all performance goals are achieved for all 2021 PBRSUs and, therefore, that all shares underlying the 2021 PBRSU awards would vest. If the performance result for the 2021 Performance Period equals or is less than the threshold performance level of the 2021 PBRSUs, all of the 2021 PBRSUs will be canceled.</w:t>
      </w:r>
    </w:p>
    <w:p>
      <w:pPr>
        <w:spacing w:after="0" w:line="30" w:lineRule="exact"/>
        <w:rPr>
          <w:sz w:val="20"/>
          <w:szCs w:val="20"/>
          <w:color w:val="auto"/>
        </w:rPr>
      </w:pPr>
    </w:p>
    <w:p>
      <w:pPr>
        <w:jc w:val="both"/>
        <w:ind w:left="1140" w:right="420" w:hanging="545"/>
        <w:spacing w:after="0" w:line="247" w:lineRule="auto"/>
        <w:tabs>
          <w:tab w:leader="none" w:pos="1140" w:val="left"/>
        </w:tabs>
        <w:numPr>
          <w:ilvl w:val="0"/>
          <w:numId w:val="82"/>
        </w:numPr>
        <w:rPr>
          <w:rFonts w:ascii="Arial" w:cs="Arial" w:eastAsia="Arial" w:hAnsi="Arial"/>
          <w:sz w:val="14"/>
          <w:szCs w:val="14"/>
          <w:color w:val="auto"/>
        </w:rPr>
      </w:pPr>
      <w:r>
        <w:rPr>
          <w:rFonts w:ascii="Arial" w:cs="Arial" w:eastAsia="Arial" w:hAnsi="Arial"/>
          <w:sz w:val="14"/>
          <w:szCs w:val="14"/>
          <w:color w:val="auto"/>
        </w:rPr>
        <w:t>Because the HCC Committee exercised its discretion to allocate the 20% Additional Individual Goal Achievement Percentage payable in July 2022 to the Total Individual Goal Achievement Percentage for each employee who participated in the 2021 Bonus Program as a result of the Company’s record financial results for fiscal year 2021, the amounts reported in column (e) are less than the total amounts earned by each NEO under the 2021 Bonus Program when the Additional Individual Goal Achievement Percentage payable in July 2022 is also considered. To see the total breakdown of each NEO’s bonus earned pursuant to the 2021 Bonus Program, please see the “Compensation Discussion and Analysis - Bonus Payout under the 2021 Bonus Program” section of this proxy statement.</w:t>
      </w:r>
    </w:p>
    <w:p>
      <w:pPr>
        <w:spacing w:after="0" w:line="35" w:lineRule="exact"/>
        <w:rPr>
          <w:rFonts w:ascii="Arial" w:cs="Arial" w:eastAsia="Arial" w:hAnsi="Arial"/>
          <w:sz w:val="14"/>
          <w:szCs w:val="14"/>
          <w:color w:val="auto"/>
        </w:rPr>
      </w:pPr>
    </w:p>
    <w:p>
      <w:pPr>
        <w:ind w:left="1140" w:hanging="545"/>
        <w:spacing w:after="0"/>
        <w:tabs>
          <w:tab w:leader="none" w:pos="1140" w:val="left"/>
        </w:tabs>
        <w:numPr>
          <w:ilvl w:val="0"/>
          <w:numId w:val="82"/>
        </w:numPr>
        <w:rPr>
          <w:rFonts w:ascii="Arial" w:cs="Arial" w:eastAsia="Arial" w:hAnsi="Arial"/>
          <w:sz w:val="14"/>
          <w:szCs w:val="14"/>
          <w:color w:val="auto"/>
        </w:rPr>
      </w:pPr>
      <w:r>
        <w:rPr>
          <w:rFonts w:ascii="Arial" w:cs="Arial" w:eastAsia="Arial" w:hAnsi="Arial"/>
          <w:sz w:val="14"/>
          <w:szCs w:val="14"/>
          <w:color w:val="auto"/>
        </w:rPr>
        <w:t>This column represents RSU awards made to our NEOs in 2021.</w:t>
      </w:r>
    </w:p>
    <w:p>
      <w:pPr>
        <w:spacing w:after="0" w:line="66" w:lineRule="exact"/>
        <w:rPr>
          <w:rFonts w:ascii="Arial" w:cs="Arial" w:eastAsia="Arial" w:hAnsi="Arial"/>
          <w:sz w:val="14"/>
          <w:szCs w:val="14"/>
          <w:color w:val="auto"/>
        </w:rPr>
      </w:pPr>
    </w:p>
    <w:p>
      <w:pPr>
        <w:jc w:val="both"/>
        <w:ind w:left="1140" w:right="420" w:hanging="545"/>
        <w:spacing w:after="0" w:line="246" w:lineRule="auto"/>
        <w:tabs>
          <w:tab w:leader="none" w:pos="1140" w:val="left"/>
        </w:tabs>
        <w:numPr>
          <w:ilvl w:val="0"/>
          <w:numId w:val="82"/>
        </w:numPr>
        <w:rPr>
          <w:rFonts w:ascii="Arial" w:cs="Arial" w:eastAsia="Arial" w:hAnsi="Arial"/>
          <w:sz w:val="14"/>
          <w:szCs w:val="14"/>
          <w:color w:val="auto"/>
        </w:rPr>
      </w:pPr>
      <w:r>
        <w:rPr>
          <w:rFonts w:ascii="Arial" w:cs="Arial" w:eastAsia="Arial" w:hAnsi="Arial"/>
          <w:sz w:val="14"/>
          <w:szCs w:val="14"/>
          <w:color w:val="auto"/>
        </w:rPr>
        <w:t>The amounts in this column represent the grant date fair value of each award calculated in accordance with FASB ASC Topic 718. The grant date fair value for RSUs and PBRSUs is derived using the closing price on the date of grant except for the Relative TSR component of the 2021 PBRSUs, which are valued based on a valuation provided by an outside company. The valuation for the PBRSUs is based upon a 100% attainment for the 2021 PBRSUs, which represents the probable outcome of the performance conditions for those awards, consistent with the estimate of aggregate compensation cost to be recognized over the service period determined as of the grant date under FASB ASC Topic 718, excluding the effect of estimated forfeitures. The amounts in this column do not necessarily represent the fair value for expensing purposes or the fair value of awards that were expected to vest as of December 31, 2021.</w:t>
      </w:r>
    </w:p>
    <w:p>
      <w:pPr>
        <w:spacing w:after="0" w:line="35" w:lineRule="exact"/>
        <w:rPr>
          <w:rFonts w:ascii="Arial" w:cs="Arial" w:eastAsia="Arial" w:hAnsi="Arial"/>
          <w:sz w:val="14"/>
          <w:szCs w:val="14"/>
          <w:color w:val="auto"/>
        </w:rPr>
      </w:pPr>
    </w:p>
    <w:p>
      <w:pPr>
        <w:jc w:val="both"/>
        <w:ind w:left="1140" w:right="440" w:hanging="545"/>
        <w:spacing w:after="0" w:line="260" w:lineRule="auto"/>
        <w:tabs>
          <w:tab w:leader="none" w:pos="1140" w:val="left"/>
        </w:tabs>
        <w:numPr>
          <w:ilvl w:val="0"/>
          <w:numId w:val="82"/>
        </w:numPr>
        <w:rPr>
          <w:rFonts w:ascii="Arial" w:cs="Arial" w:eastAsia="Arial" w:hAnsi="Arial"/>
          <w:sz w:val="14"/>
          <w:szCs w:val="14"/>
          <w:color w:val="auto"/>
        </w:rPr>
      </w:pPr>
      <w:r>
        <w:rPr>
          <w:rFonts w:ascii="Arial" w:cs="Arial" w:eastAsia="Arial" w:hAnsi="Arial"/>
          <w:sz w:val="14"/>
          <w:szCs w:val="14"/>
          <w:color w:val="auto"/>
        </w:rPr>
        <w:t>In connection with Mr. Trent’s appointment as Executive Vice President, Chief Financial Officer and Treasurer, effective immediately after the filing of the 2020 Form 10-K on February 16, 2021, Mr. Trent was granted an award of 39,427 RSUs and 91,996 PBRSUs. Such shares are included in the amounts reported in columns (g), (h) and (i) for Mr. Trent.</w:t>
      </w:r>
    </w:p>
    <w:p>
      <w:pPr>
        <w:spacing w:after="0" w:line="157"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2B4772"/>
        </w:rPr>
        <w:t>2021, 2020 and 2019 Awards of Equity</w:t>
      </w:r>
    </w:p>
    <w:p>
      <w:pPr>
        <w:spacing w:after="0" w:line="119" w:lineRule="exact"/>
        <w:rPr>
          <w:sz w:val="20"/>
          <w:szCs w:val="20"/>
          <w:color w:val="auto"/>
        </w:rPr>
      </w:pPr>
    </w:p>
    <w:p>
      <w:pPr>
        <w:jc w:val="both"/>
        <w:ind w:left="160"/>
        <w:spacing w:after="0" w:line="249" w:lineRule="auto"/>
        <w:rPr>
          <w:sz w:val="20"/>
          <w:szCs w:val="20"/>
          <w:color w:val="auto"/>
        </w:rPr>
      </w:pPr>
      <w:r>
        <w:rPr>
          <w:rFonts w:ascii="Arial" w:cs="Arial" w:eastAsia="Arial" w:hAnsi="Arial"/>
          <w:sz w:val="18"/>
          <w:szCs w:val="18"/>
          <w:color w:val="auto"/>
        </w:rPr>
        <w:t>Below is a summary of the 2021, 2020 and 2019 awards of PBRSUs and RSUs disclosed in the Summary Compensation Table. For additional information regarding equity awards, see the CD&amp;A under “Elements of Our Compensation Program — Long-Term Incentive Program” in this proxy statement.</w:t>
      </w:r>
    </w:p>
    <w:p>
      <w:pPr>
        <w:spacing w:after="0" w:line="172"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2021 Awards of Equity</w:t>
      </w:r>
    </w:p>
    <w:p>
      <w:pPr>
        <w:spacing w:after="0" w:line="208" w:lineRule="exact"/>
        <w:rPr>
          <w:sz w:val="20"/>
          <w:szCs w:val="20"/>
          <w:color w:val="auto"/>
        </w:rPr>
      </w:pPr>
    </w:p>
    <w:p>
      <w:pPr>
        <w:jc w:val="both"/>
        <w:ind w:left="160"/>
        <w:spacing w:after="0" w:line="265" w:lineRule="auto"/>
        <w:rPr>
          <w:sz w:val="20"/>
          <w:szCs w:val="20"/>
          <w:color w:val="auto"/>
        </w:rPr>
      </w:pPr>
      <w:r>
        <w:rPr>
          <w:rFonts w:ascii="Arial" w:cs="Arial" w:eastAsia="Arial" w:hAnsi="Arial"/>
          <w:sz w:val="18"/>
          <w:szCs w:val="18"/>
          <w:color w:val="auto"/>
        </w:rPr>
        <w:t>For a discussion of the 2021 equity awards, please see “Elements of Our Compensation Program — Long-Term Incentive Program” above in the CD&amp;A.</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2020 Awards of Equity</w:t>
      </w:r>
    </w:p>
    <w:p>
      <w:pPr>
        <w:spacing w:after="0" w:line="208" w:lineRule="exact"/>
        <w:rPr>
          <w:sz w:val="20"/>
          <w:szCs w:val="20"/>
          <w:color w:val="auto"/>
        </w:rPr>
      </w:pPr>
    </w:p>
    <w:p>
      <w:pPr>
        <w:jc w:val="both"/>
        <w:ind w:left="160"/>
        <w:spacing w:after="0" w:line="239" w:lineRule="auto"/>
        <w:rPr>
          <w:sz w:val="20"/>
          <w:szCs w:val="20"/>
          <w:color w:val="auto"/>
        </w:rPr>
      </w:pPr>
      <w:r>
        <w:rPr>
          <w:rFonts w:ascii="Arial" w:cs="Arial" w:eastAsia="Arial" w:hAnsi="Arial"/>
          <w:sz w:val="18"/>
          <w:szCs w:val="18"/>
          <w:color w:val="auto"/>
        </w:rPr>
        <w:t>In February 2020, the HCC Committee granted base PBRSUs (the “2020 Base PBRSUs”) and RSUs to each NEO, with the value of such awards allocated as follows: 60% of the equity awards in the form of 2020 Base PBRSUs and 40% of the equity awards in the form of RSUs. Additionally, in 2020, the revenue component under the 2019 Upside PBRSUs was replaced with a non-GAAP gross margin performance measure. As Mr. El-Khoury was appointed President and CEO of the Company and a member of the Board effective as of December 7, 2020, the HCC Committee did not grant him any equity awards at the February 2020 meeting. The 2020 equity awards to the applicable NEOs were:</w:t>
      </w:r>
    </w:p>
    <w:p>
      <w:pPr>
        <w:spacing w:after="0" w:line="226" w:lineRule="exact"/>
        <w:rPr>
          <w:sz w:val="20"/>
          <w:szCs w:val="20"/>
          <w:color w:val="auto"/>
        </w:rPr>
      </w:pPr>
    </w:p>
    <w:tbl>
      <w:tblPr>
        <w:tblLayout w:type="fixed"/>
        <w:tblInd w:w="280" w:type="dxa"/>
        <w:tblCellMar>
          <w:top w:w="0" w:type="dxa"/>
          <w:left w:w="0" w:type="dxa"/>
          <w:bottom w:w="0" w:type="dxa"/>
          <w:right w:w="0" w:type="dxa"/>
        </w:tblCellMar>
      </w:tblPr>
      <w:tr>
        <w:trPr>
          <w:trHeight w:val="213"/>
        </w:trPr>
        <w:tc>
          <w:tcPr>
            <w:tcW w:w="3160" w:type="dxa"/>
            <w:vAlign w:val="bottom"/>
            <w:shd w:val="clear" w:color="auto" w:fill="F75E14"/>
          </w:tcPr>
          <w:p>
            <w:pPr>
              <w:spacing w:after="0"/>
              <w:rPr>
                <w:sz w:val="18"/>
                <w:szCs w:val="18"/>
                <w:color w:val="auto"/>
              </w:rPr>
            </w:pPr>
          </w:p>
        </w:tc>
        <w:tc>
          <w:tcPr>
            <w:tcW w:w="2460" w:type="dxa"/>
            <w:vAlign w:val="bottom"/>
            <w:shd w:val="clear" w:color="auto" w:fill="F75E14"/>
          </w:tcPr>
          <w:p>
            <w:pPr>
              <w:spacing w:after="0"/>
              <w:rPr>
                <w:sz w:val="18"/>
                <w:szCs w:val="18"/>
                <w:color w:val="auto"/>
              </w:rPr>
            </w:pPr>
          </w:p>
        </w:tc>
        <w:tc>
          <w:tcPr>
            <w:tcW w:w="2660" w:type="dxa"/>
            <w:vAlign w:val="bottom"/>
            <w:shd w:val="clear" w:color="auto" w:fill="F75E14"/>
          </w:tcPr>
          <w:p>
            <w:pPr>
              <w:jc w:val="right"/>
              <w:ind w:right="520"/>
              <w:spacing w:after="0"/>
              <w:rPr>
                <w:sz w:val="20"/>
                <w:szCs w:val="20"/>
                <w:color w:val="auto"/>
              </w:rPr>
            </w:pPr>
            <w:r>
              <w:rPr>
                <w:rFonts w:ascii="Arial" w:cs="Arial" w:eastAsia="Arial" w:hAnsi="Arial"/>
                <w:sz w:val="16"/>
                <w:szCs w:val="16"/>
                <w:b w:val="1"/>
                <w:bCs w:val="1"/>
                <w:color w:val="FFFFFF"/>
              </w:rPr>
              <w:t>2020 Base PBRSUs</w:t>
            </w:r>
          </w:p>
        </w:tc>
        <w:tc>
          <w:tcPr>
            <w:tcW w:w="2420" w:type="dxa"/>
            <w:vAlign w:val="bottom"/>
            <w:shd w:val="clear" w:color="auto" w:fill="F75E14"/>
          </w:tcPr>
          <w:p>
            <w:pPr>
              <w:jc w:val="right"/>
              <w:ind w:right="520"/>
              <w:spacing w:after="0"/>
              <w:rPr>
                <w:sz w:val="20"/>
                <w:szCs w:val="20"/>
                <w:color w:val="auto"/>
              </w:rPr>
            </w:pPr>
            <w:r>
              <w:rPr>
                <w:rFonts w:ascii="Arial" w:cs="Arial" w:eastAsia="Arial" w:hAnsi="Arial"/>
                <w:sz w:val="16"/>
                <w:szCs w:val="16"/>
                <w:b w:val="1"/>
                <w:bCs w:val="1"/>
                <w:color w:val="FFFFFF"/>
              </w:rPr>
              <w:t>Upside PBRSUs</w:t>
            </w:r>
          </w:p>
        </w:tc>
      </w:tr>
      <w:tr>
        <w:trPr>
          <w:trHeight w:val="235"/>
        </w:trPr>
        <w:tc>
          <w:tcPr>
            <w:tcW w:w="3160" w:type="dxa"/>
            <w:vAlign w:val="bottom"/>
            <w:tcBorders>
              <w:bottom w:val="single" w:sz="8" w:color="F75E14"/>
            </w:tcBorders>
            <w:shd w:val="clear" w:color="auto" w:fill="F75E14"/>
          </w:tcPr>
          <w:p>
            <w:pPr>
              <w:ind w:left="100"/>
              <w:spacing w:after="0"/>
              <w:rPr>
                <w:sz w:val="20"/>
                <w:szCs w:val="20"/>
                <w:color w:val="auto"/>
              </w:rPr>
            </w:pPr>
            <w:r>
              <w:rPr>
                <w:rFonts w:ascii="Arial" w:cs="Arial" w:eastAsia="Arial" w:hAnsi="Arial"/>
                <w:sz w:val="16"/>
                <w:szCs w:val="16"/>
                <w:b w:val="1"/>
                <w:bCs w:val="1"/>
                <w:color w:val="FFFFFF"/>
              </w:rPr>
              <w:t>NEO (1)</w:t>
            </w:r>
          </w:p>
        </w:tc>
        <w:tc>
          <w:tcPr>
            <w:tcW w:w="2460" w:type="dxa"/>
            <w:vAlign w:val="bottom"/>
            <w:tcBorders>
              <w:bottom w:val="single" w:sz="8" w:color="F75E14"/>
            </w:tcBorders>
            <w:shd w:val="clear" w:color="auto" w:fill="F75E14"/>
          </w:tcPr>
          <w:p>
            <w:pPr>
              <w:jc w:val="right"/>
              <w:ind w:right="500"/>
              <w:spacing w:after="0"/>
              <w:rPr>
                <w:sz w:val="20"/>
                <w:szCs w:val="20"/>
                <w:color w:val="auto"/>
              </w:rPr>
            </w:pPr>
            <w:r>
              <w:rPr>
                <w:rFonts w:ascii="Arial" w:cs="Arial" w:eastAsia="Arial" w:hAnsi="Arial"/>
                <w:sz w:val="16"/>
                <w:szCs w:val="16"/>
                <w:b w:val="1"/>
                <w:bCs w:val="1"/>
                <w:color w:val="FFFFFF"/>
              </w:rPr>
              <w:t>RSUs Granted</w:t>
            </w:r>
          </w:p>
        </w:tc>
        <w:tc>
          <w:tcPr>
            <w:tcW w:w="2660" w:type="dxa"/>
            <w:vAlign w:val="bottom"/>
            <w:tcBorders>
              <w:bottom w:val="single" w:sz="8" w:color="F75E14"/>
            </w:tcBorders>
            <w:shd w:val="clear" w:color="auto" w:fill="F75E14"/>
          </w:tcPr>
          <w:p>
            <w:pPr>
              <w:jc w:val="right"/>
              <w:ind w:right="960"/>
              <w:spacing w:after="0"/>
              <w:rPr>
                <w:sz w:val="20"/>
                <w:szCs w:val="20"/>
                <w:color w:val="auto"/>
              </w:rPr>
            </w:pPr>
            <w:r>
              <w:rPr>
                <w:rFonts w:ascii="Arial" w:cs="Arial" w:eastAsia="Arial" w:hAnsi="Arial"/>
                <w:sz w:val="16"/>
                <w:szCs w:val="16"/>
                <w:b w:val="1"/>
                <w:bCs w:val="1"/>
                <w:color w:val="FFFFFF"/>
              </w:rPr>
              <w:t>Granted</w:t>
            </w:r>
          </w:p>
        </w:tc>
        <w:tc>
          <w:tcPr>
            <w:tcW w:w="2420" w:type="dxa"/>
            <w:vAlign w:val="bottom"/>
            <w:tcBorders>
              <w:bottom w:val="single" w:sz="8" w:color="F75E14"/>
            </w:tcBorders>
            <w:shd w:val="clear" w:color="auto" w:fill="F75E14"/>
          </w:tcPr>
          <w:p>
            <w:pPr>
              <w:jc w:val="right"/>
              <w:ind w:right="820"/>
              <w:spacing w:after="0"/>
              <w:rPr>
                <w:sz w:val="20"/>
                <w:szCs w:val="20"/>
                <w:color w:val="auto"/>
              </w:rPr>
            </w:pPr>
            <w:r>
              <w:rPr>
                <w:rFonts w:ascii="Arial" w:cs="Arial" w:eastAsia="Arial" w:hAnsi="Arial"/>
                <w:sz w:val="16"/>
                <w:szCs w:val="16"/>
                <w:b w:val="1"/>
                <w:bCs w:val="1"/>
                <w:color w:val="FFFFFF"/>
              </w:rPr>
              <w:t>Granted</w:t>
            </w:r>
          </w:p>
        </w:tc>
      </w:tr>
      <w:tr>
        <w:trPr>
          <w:trHeight w:val="267"/>
        </w:trPr>
        <w:tc>
          <w:tcPr>
            <w:tcW w:w="3160" w:type="dxa"/>
            <w:vAlign w:val="bottom"/>
            <w:shd w:val="clear" w:color="auto" w:fill="D8E8EF"/>
          </w:tcPr>
          <w:p>
            <w:pPr>
              <w:ind w:left="100"/>
              <w:spacing w:after="0"/>
              <w:rPr>
                <w:sz w:val="20"/>
                <w:szCs w:val="20"/>
                <w:color w:val="auto"/>
              </w:rPr>
            </w:pPr>
            <w:r>
              <w:rPr>
                <w:rFonts w:ascii="Arial" w:cs="Arial" w:eastAsia="Arial" w:hAnsi="Arial"/>
                <w:sz w:val="16"/>
                <w:szCs w:val="16"/>
                <w:color w:val="auto"/>
              </w:rPr>
              <w:t>Bernard Gutmann</w:t>
            </w:r>
          </w:p>
        </w:tc>
        <w:tc>
          <w:tcPr>
            <w:tcW w:w="2460" w:type="dxa"/>
            <w:vAlign w:val="bottom"/>
            <w:shd w:val="clear" w:color="auto" w:fill="D8E8EF"/>
          </w:tcPr>
          <w:p>
            <w:pPr>
              <w:jc w:val="right"/>
              <w:ind w:right="660"/>
              <w:spacing w:after="0"/>
              <w:rPr>
                <w:sz w:val="20"/>
                <w:szCs w:val="20"/>
                <w:color w:val="auto"/>
              </w:rPr>
            </w:pPr>
            <w:r>
              <w:rPr>
                <w:rFonts w:ascii="Arial" w:cs="Arial" w:eastAsia="Arial" w:hAnsi="Arial"/>
                <w:sz w:val="16"/>
                <w:szCs w:val="16"/>
                <w:color w:val="auto"/>
              </w:rPr>
              <w:t>42,261</w:t>
            </w:r>
          </w:p>
        </w:tc>
        <w:tc>
          <w:tcPr>
            <w:tcW w:w="2660" w:type="dxa"/>
            <w:vAlign w:val="bottom"/>
            <w:shd w:val="clear" w:color="auto" w:fill="D8E8EF"/>
          </w:tcPr>
          <w:p>
            <w:pPr>
              <w:jc w:val="right"/>
              <w:ind w:right="920"/>
              <w:spacing w:after="0"/>
              <w:rPr>
                <w:sz w:val="20"/>
                <w:szCs w:val="20"/>
                <w:color w:val="auto"/>
              </w:rPr>
            </w:pPr>
            <w:r>
              <w:rPr>
                <w:rFonts w:ascii="Arial" w:cs="Arial" w:eastAsia="Arial" w:hAnsi="Arial"/>
                <w:sz w:val="16"/>
                <w:szCs w:val="16"/>
                <w:color w:val="auto"/>
              </w:rPr>
              <w:t>63,392</w:t>
            </w:r>
          </w:p>
        </w:tc>
        <w:tc>
          <w:tcPr>
            <w:tcW w:w="2420" w:type="dxa"/>
            <w:vAlign w:val="bottom"/>
            <w:shd w:val="clear" w:color="auto" w:fill="D8E8EF"/>
          </w:tcPr>
          <w:p>
            <w:pPr>
              <w:jc w:val="right"/>
              <w:ind w:right="860"/>
              <w:spacing w:after="0"/>
              <w:rPr>
                <w:sz w:val="20"/>
                <w:szCs w:val="20"/>
                <w:color w:val="auto"/>
              </w:rPr>
            </w:pPr>
            <w:r>
              <w:rPr>
                <w:rFonts w:ascii="Arial" w:cs="Arial" w:eastAsia="Arial" w:hAnsi="Arial"/>
                <w:sz w:val="16"/>
                <w:szCs w:val="16"/>
                <w:color w:val="auto"/>
              </w:rPr>
              <w:t>63,392</w:t>
            </w:r>
          </w:p>
        </w:tc>
      </w:tr>
      <w:tr>
        <w:trPr>
          <w:trHeight w:val="259"/>
        </w:trPr>
        <w:tc>
          <w:tcPr>
            <w:tcW w:w="3160" w:type="dxa"/>
            <w:vAlign w:val="bottom"/>
          </w:tcPr>
          <w:p>
            <w:pPr>
              <w:ind w:left="100"/>
              <w:spacing w:after="0"/>
              <w:rPr>
                <w:sz w:val="20"/>
                <w:szCs w:val="20"/>
                <w:color w:val="auto"/>
              </w:rPr>
            </w:pPr>
            <w:r>
              <w:rPr>
                <w:rFonts w:ascii="Arial" w:cs="Arial" w:eastAsia="Arial" w:hAnsi="Arial"/>
                <w:sz w:val="16"/>
                <w:szCs w:val="16"/>
                <w:color w:val="auto"/>
              </w:rPr>
              <w:t>Vincent C. Hopkin (2)</w:t>
            </w:r>
          </w:p>
        </w:tc>
        <w:tc>
          <w:tcPr>
            <w:tcW w:w="2460" w:type="dxa"/>
            <w:vAlign w:val="bottom"/>
          </w:tcPr>
          <w:p>
            <w:pPr>
              <w:jc w:val="right"/>
              <w:ind w:right="660"/>
              <w:spacing w:after="0"/>
              <w:rPr>
                <w:sz w:val="20"/>
                <w:szCs w:val="20"/>
                <w:color w:val="auto"/>
              </w:rPr>
            </w:pPr>
            <w:r>
              <w:rPr>
                <w:rFonts w:ascii="Arial" w:cs="Arial" w:eastAsia="Arial" w:hAnsi="Arial"/>
                <w:sz w:val="16"/>
                <w:szCs w:val="16"/>
                <w:color w:val="auto"/>
              </w:rPr>
              <w:t>40,336 (2)</w:t>
            </w:r>
          </w:p>
        </w:tc>
        <w:tc>
          <w:tcPr>
            <w:tcW w:w="2660" w:type="dxa"/>
            <w:vAlign w:val="bottom"/>
          </w:tcPr>
          <w:p>
            <w:pPr>
              <w:jc w:val="right"/>
              <w:ind w:right="920"/>
              <w:spacing w:after="0"/>
              <w:rPr>
                <w:sz w:val="20"/>
                <w:szCs w:val="20"/>
                <w:color w:val="auto"/>
              </w:rPr>
            </w:pPr>
            <w:r>
              <w:rPr>
                <w:rFonts w:ascii="Arial" w:cs="Arial" w:eastAsia="Arial" w:hAnsi="Arial"/>
                <w:sz w:val="16"/>
                <w:szCs w:val="16"/>
                <w:color w:val="auto"/>
              </w:rPr>
              <w:t>47,544</w:t>
            </w:r>
          </w:p>
        </w:tc>
        <w:tc>
          <w:tcPr>
            <w:tcW w:w="2420" w:type="dxa"/>
            <w:vAlign w:val="bottom"/>
          </w:tcPr>
          <w:p>
            <w:pPr>
              <w:jc w:val="right"/>
              <w:ind w:right="860"/>
              <w:spacing w:after="0"/>
              <w:rPr>
                <w:sz w:val="20"/>
                <w:szCs w:val="20"/>
                <w:color w:val="auto"/>
              </w:rPr>
            </w:pPr>
            <w:r>
              <w:rPr>
                <w:rFonts w:ascii="Arial" w:cs="Arial" w:eastAsia="Arial" w:hAnsi="Arial"/>
                <w:sz w:val="16"/>
                <w:szCs w:val="16"/>
                <w:color w:val="auto"/>
              </w:rPr>
              <w:t>47,544</w:t>
            </w:r>
          </w:p>
        </w:tc>
      </w:tr>
      <w:tr>
        <w:trPr>
          <w:trHeight w:val="276"/>
        </w:trPr>
        <w:tc>
          <w:tcPr>
            <w:tcW w:w="3160" w:type="dxa"/>
            <w:vAlign w:val="bottom"/>
            <w:shd w:val="clear" w:color="auto" w:fill="D8E8EF"/>
          </w:tcPr>
          <w:p>
            <w:pPr>
              <w:ind w:left="100"/>
              <w:spacing w:after="0"/>
              <w:rPr>
                <w:sz w:val="20"/>
                <w:szCs w:val="20"/>
                <w:color w:val="auto"/>
              </w:rPr>
            </w:pPr>
            <w:r>
              <w:rPr>
                <w:rFonts w:ascii="Arial" w:cs="Arial" w:eastAsia="Arial" w:hAnsi="Arial"/>
                <w:sz w:val="16"/>
                <w:szCs w:val="16"/>
                <w:color w:val="auto"/>
              </w:rPr>
              <w:t>Simon Keeton (2)</w:t>
            </w:r>
          </w:p>
        </w:tc>
        <w:tc>
          <w:tcPr>
            <w:tcW w:w="2460" w:type="dxa"/>
            <w:vAlign w:val="bottom"/>
            <w:shd w:val="clear" w:color="auto" w:fill="D8E8EF"/>
          </w:tcPr>
          <w:p>
            <w:pPr>
              <w:jc w:val="right"/>
              <w:ind w:right="660"/>
              <w:spacing w:after="0"/>
              <w:rPr>
                <w:sz w:val="20"/>
                <w:szCs w:val="20"/>
                <w:color w:val="auto"/>
              </w:rPr>
            </w:pPr>
            <w:r>
              <w:rPr>
                <w:rFonts w:ascii="Arial" w:cs="Arial" w:eastAsia="Arial" w:hAnsi="Arial"/>
                <w:sz w:val="16"/>
                <w:szCs w:val="16"/>
                <w:color w:val="auto"/>
              </w:rPr>
              <w:t>40,336 (2)</w:t>
            </w:r>
          </w:p>
        </w:tc>
        <w:tc>
          <w:tcPr>
            <w:tcW w:w="2660" w:type="dxa"/>
            <w:vAlign w:val="bottom"/>
            <w:shd w:val="clear" w:color="auto" w:fill="D8E8EF"/>
          </w:tcPr>
          <w:p>
            <w:pPr>
              <w:jc w:val="right"/>
              <w:ind w:right="920"/>
              <w:spacing w:after="0"/>
              <w:rPr>
                <w:sz w:val="20"/>
                <w:szCs w:val="20"/>
                <w:color w:val="auto"/>
              </w:rPr>
            </w:pPr>
            <w:r>
              <w:rPr>
                <w:rFonts w:ascii="Arial" w:cs="Arial" w:eastAsia="Arial" w:hAnsi="Arial"/>
                <w:sz w:val="16"/>
                <w:szCs w:val="16"/>
                <w:color w:val="auto"/>
              </w:rPr>
              <w:t>47,544</w:t>
            </w:r>
          </w:p>
        </w:tc>
        <w:tc>
          <w:tcPr>
            <w:tcW w:w="2420" w:type="dxa"/>
            <w:vAlign w:val="bottom"/>
            <w:shd w:val="clear" w:color="auto" w:fill="D8E8EF"/>
          </w:tcPr>
          <w:p>
            <w:pPr>
              <w:jc w:val="right"/>
              <w:ind w:right="860"/>
              <w:spacing w:after="0"/>
              <w:rPr>
                <w:sz w:val="20"/>
                <w:szCs w:val="20"/>
                <w:color w:val="auto"/>
              </w:rPr>
            </w:pPr>
            <w:r>
              <w:rPr>
                <w:rFonts w:ascii="Arial" w:cs="Arial" w:eastAsia="Arial" w:hAnsi="Arial"/>
                <w:sz w:val="16"/>
                <w:szCs w:val="16"/>
                <w:color w:val="auto"/>
              </w:rPr>
              <w:t>47,544</w:t>
            </w:r>
          </w:p>
        </w:tc>
      </w:tr>
    </w:tbl>
    <w:p>
      <w:pPr>
        <w:ind w:left="1020" w:right="20" w:hanging="425"/>
        <w:spacing w:after="0" w:line="242" w:lineRule="auto"/>
        <w:tabs>
          <w:tab w:leader="none" w:pos="1020" w:val="left"/>
        </w:tabs>
        <w:numPr>
          <w:ilvl w:val="0"/>
          <w:numId w:val="83"/>
        </w:numPr>
        <w:rPr>
          <w:rFonts w:ascii="Arial" w:cs="Arial" w:eastAsia="Arial" w:hAnsi="Arial"/>
          <w:sz w:val="14"/>
          <w:szCs w:val="14"/>
          <w:color w:val="auto"/>
        </w:rPr>
      </w:pPr>
      <w:r>
        <w:rPr>
          <w:rFonts w:ascii="Arial" w:cs="Arial" w:eastAsia="Arial" w:hAnsi="Arial"/>
          <w:sz w:val="14"/>
          <w:szCs w:val="14"/>
          <w:color w:val="auto"/>
        </w:rPr>
        <w:t>Messrs. Trent, Jatou and Cave were not NEOs in 2020. The equity awards received by Mr. El-Khoury in 2020 were made in connection with his appointment as President and CEO and were not part of the annual equity awards granted by the HCC Committee in February 2020.</w:t>
      </w:r>
    </w:p>
    <w:p>
      <w:pPr>
        <w:spacing w:after="0" w:line="1" w:lineRule="exact"/>
        <w:rPr>
          <w:rFonts w:ascii="Arial" w:cs="Arial" w:eastAsia="Arial" w:hAnsi="Arial"/>
          <w:sz w:val="14"/>
          <w:szCs w:val="14"/>
          <w:color w:val="auto"/>
        </w:rPr>
      </w:pPr>
    </w:p>
    <w:p>
      <w:pPr>
        <w:ind w:left="1020" w:hanging="425"/>
        <w:spacing w:after="0"/>
        <w:tabs>
          <w:tab w:leader="none" w:pos="1020" w:val="left"/>
        </w:tabs>
        <w:numPr>
          <w:ilvl w:val="0"/>
          <w:numId w:val="83"/>
        </w:numPr>
        <w:rPr>
          <w:rFonts w:ascii="Arial" w:cs="Arial" w:eastAsia="Arial" w:hAnsi="Arial"/>
          <w:sz w:val="14"/>
          <w:szCs w:val="14"/>
          <w:color w:val="auto"/>
        </w:rPr>
      </w:pPr>
      <w:r>
        <w:rPr>
          <w:rFonts w:ascii="Arial" w:cs="Arial" w:eastAsia="Arial" w:hAnsi="Arial"/>
          <w:sz w:val="14"/>
          <w:szCs w:val="14"/>
          <w:color w:val="auto"/>
        </w:rPr>
        <w:t>Includes an off-cycle retention grant of 8,640 RSUs.</w:t>
      </w:r>
    </w:p>
    <w:p>
      <w:pPr>
        <w:spacing w:after="0" w:line="133" w:lineRule="exact"/>
        <w:rPr>
          <w:sz w:val="20"/>
          <w:szCs w:val="20"/>
          <w:color w:val="auto"/>
        </w:rPr>
      </w:pPr>
    </w:p>
    <w:p>
      <w:pPr>
        <w:ind w:left="160"/>
        <w:spacing w:after="0"/>
        <w:tabs>
          <w:tab w:leader="none" w:pos="500" w:val="left"/>
        </w:tabs>
        <w:rPr>
          <w:sz w:val="20"/>
          <w:szCs w:val="20"/>
          <w:color w:val="auto"/>
        </w:rPr>
      </w:pPr>
      <w:r>
        <w:rPr>
          <w:rFonts w:ascii="Arial" w:cs="Arial" w:eastAsia="Arial" w:hAnsi="Arial"/>
          <w:sz w:val="14"/>
          <w:szCs w:val="14"/>
          <w:color w:val="F75E14"/>
        </w:rPr>
        <w:t>52</w:t>
        <w:tab/>
        <w:t>onsemi 2022 Proxy Statement</w:t>
      </w:r>
    </w:p>
    <w:p>
      <w:pPr>
        <w:sectPr>
          <w:pgSz w:w="11900" w:h="16838" w:orient="portrait"/>
          <w:cols w:equalWidth="0" w:num="1">
            <w:col w:w="11080"/>
          </w:cols>
          <w:pgMar w:left="320" w:top="454" w:right="499" w:bottom="1440" w:gutter="0" w:footer="0" w:header="0"/>
        </w:sectPr>
      </w:pPr>
    </w:p>
    <w:bookmarkStart w:id="56" w:name="page57"/>
    <w:bookmarkEnd w:id="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2" w:lineRule="exact"/>
        <w:rPr>
          <w:sz w:val="20"/>
          <w:szCs w:val="20"/>
          <w:color w:val="auto"/>
        </w:rPr>
      </w:pPr>
    </w:p>
    <w:p>
      <w:pPr>
        <w:ind w:left="8260"/>
        <w:spacing w:after="0"/>
        <w:rPr>
          <w:sz w:val="20"/>
          <w:szCs w:val="20"/>
          <w:color w:val="auto"/>
        </w:rPr>
      </w:pPr>
      <w:r>
        <w:rPr>
          <w:rFonts w:ascii="Arial" w:cs="Arial" w:eastAsia="Arial" w:hAnsi="Arial"/>
          <w:sz w:val="17"/>
          <w:szCs w:val="17"/>
          <w:color w:val="F75E14"/>
        </w:rPr>
        <w:t>Compensation of Executive Officers</w:t>
      </w:r>
    </w:p>
    <w:p>
      <w:pPr>
        <w:spacing w:after="0" w:line="152" w:lineRule="exact"/>
        <w:rPr>
          <w:sz w:val="20"/>
          <w:szCs w:val="20"/>
          <w:color w:val="auto"/>
        </w:rPr>
      </w:pPr>
    </w:p>
    <w:p>
      <w:pPr>
        <w:jc w:val="both"/>
        <w:ind w:left="160"/>
        <w:spacing w:after="0" w:line="238" w:lineRule="auto"/>
        <w:rPr>
          <w:sz w:val="20"/>
          <w:szCs w:val="20"/>
          <w:color w:val="auto"/>
        </w:rPr>
      </w:pPr>
      <w:r>
        <w:rPr>
          <w:rFonts w:ascii="Arial" w:cs="Arial" w:eastAsia="Arial" w:hAnsi="Arial"/>
          <w:sz w:val="18"/>
          <w:szCs w:val="18"/>
          <w:b w:val="1"/>
          <w:bCs w:val="1"/>
          <w:i w:val="1"/>
          <w:iCs w:val="1"/>
          <w:color w:val="auto"/>
        </w:rPr>
        <w:t>2020 Awards of PBRSUs</w:t>
      </w:r>
      <w:r>
        <w:rPr>
          <w:rFonts w:ascii="Arial" w:cs="Arial" w:eastAsia="Arial" w:hAnsi="Arial"/>
          <w:sz w:val="18"/>
          <w:szCs w:val="18"/>
          <w:color w:val="auto"/>
        </w:rPr>
        <w:t>. The PBRSUs had a performance measurement period that started on January 1, 2020 and ended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December 31, 2021 (the “2020 PBRSU Performance Period”) and were designed so that 2020 Base PBRSUs would vest subject to the level of achievement of adjusted earnings before interest, taxes, depreciation and amortization (“Adjusted EBITDA”). The threshold performance goals for the metrics associated with the 2020 PBRSU Performance Period were achieved for the 2020 Base PBRSUs and Upside PBRSUs, respectively, and as of January 28, 2022, 100% of each of the 2020 Base PBRSU award and Upside PBRSU award, respectively, had vested. The applicable performance measures for the 2020 Base PBRSUs were as follows and included straight-line interpolation between threshold and target Adjusted EBITDA:</w:t>
      </w:r>
    </w:p>
    <w:p>
      <w:pPr>
        <w:spacing w:after="0" w:line="227" w:lineRule="exact"/>
        <w:rPr>
          <w:sz w:val="20"/>
          <w:szCs w:val="20"/>
          <w:color w:val="auto"/>
        </w:rPr>
      </w:pPr>
    </w:p>
    <w:tbl>
      <w:tblPr>
        <w:tblLayout w:type="fixed"/>
        <w:tblInd w:w="160" w:type="dxa"/>
        <w:tblCellMar>
          <w:top w:w="0" w:type="dxa"/>
          <w:left w:w="0" w:type="dxa"/>
          <w:bottom w:w="0" w:type="dxa"/>
          <w:right w:w="0" w:type="dxa"/>
        </w:tblCellMar>
      </w:tblPr>
      <w:tr>
        <w:trPr>
          <w:trHeight w:val="213"/>
        </w:trPr>
        <w:tc>
          <w:tcPr>
            <w:tcW w:w="8640" w:type="dxa"/>
            <w:vAlign w:val="bottom"/>
            <w:shd w:val="clear" w:color="auto" w:fill="F75E14"/>
          </w:tcPr>
          <w:p>
            <w:pPr>
              <w:spacing w:after="0"/>
              <w:rPr>
                <w:sz w:val="18"/>
                <w:szCs w:val="18"/>
                <w:color w:val="auto"/>
              </w:rPr>
            </w:pPr>
          </w:p>
        </w:tc>
        <w:tc>
          <w:tcPr>
            <w:tcW w:w="2280" w:type="dxa"/>
            <w:vAlign w:val="bottom"/>
            <w:shd w:val="clear" w:color="auto" w:fill="F75E14"/>
          </w:tcPr>
          <w:p>
            <w:pPr>
              <w:jc w:val="right"/>
              <w:ind w:right="560"/>
              <w:spacing w:after="0"/>
              <w:rPr>
                <w:sz w:val="20"/>
                <w:szCs w:val="20"/>
                <w:color w:val="auto"/>
              </w:rPr>
            </w:pPr>
            <w:r>
              <w:rPr>
                <w:rFonts w:ascii="Arial" w:cs="Arial" w:eastAsia="Arial" w:hAnsi="Arial"/>
                <w:sz w:val="16"/>
                <w:szCs w:val="16"/>
                <w:b w:val="1"/>
                <w:bCs w:val="1"/>
                <w:color w:val="FFFFFF"/>
              </w:rPr>
              <w:t>Performance Goal:</w:t>
            </w:r>
          </w:p>
        </w:tc>
      </w:tr>
      <w:tr>
        <w:trPr>
          <w:trHeight w:val="235"/>
        </w:trPr>
        <w:tc>
          <w:tcPr>
            <w:tcW w:w="8640" w:type="dxa"/>
            <w:vAlign w:val="bottom"/>
            <w:tcBorders>
              <w:bottom w:val="single" w:sz="8" w:color="F75E14"/>
            </w:tcBorders>
            <w:shd w:val="clear" w:color="auto" w:fill="F75E14"/>
          </w:tcPr>
          <w:p>
            <w:pPr>
              <w:ind w:left="100"/>
              <w:spacing w:after="0"/>
              <w:rPr>
                <w:sz w:val="20"/>
                <w:szCs w:val="20"/>
                <w:color w:val="auto"/>
              </w:rPr>
            </w:pPr>
            <w:r>
              <w:rPr>
                <w:rFonts w:ascii="Arial" w:cs="Arial" w:eastAsia="Arial" w:hAnsi="Arial"/>
                <w:sz w:val="16"/>
                <w:szCs w:val="16"/>
                <w:b w:val="1"/>
                <w:bCs w:val="1"/>
                <w:color w:val="FFFFFF"/>
              </w:rPr>
              <w:t>Measurement Period</w:t>
            </w:r>
          </w:p>
        </w:tc>
        <w:tc>
          <w:tcPr>
            <w:tcW w:w="2280" w:type="dxa"/>
            <w:vAlign w:val="bottom"/>
            <w:tcBorders>
              <w:bottom w:val="single" w:sz="8" w:color="F75E14"/>
            </w:tcBorders>
            <w:shd w:val="clear" w:color="auto" w:fill="F75E14"/>
          </w:tcPr>
          <w:p>
            <w:pPr>
              <w:jc w:val="right"/>
              <w:ind w:right="600"/>
              <w:spacing w:after="0"/>
              <w:rPr>
                <w:sz w:val="20"/>
                <w:szCs w:val="20"/>
                <w:color w:val="auto"/>
              </w:rPr>
            </w:pPr>
            <w:r>
              <w:rPr>
                <w:rFonts w:ascii="Arial" w:cs="Arial" w:eastAsia="Arial" w:hAnsi="Arial"/>
                <w:sz w:val="16"/>
                <w:szCs w:val="16"/>
                <w:b w:val="1"/>
                <w:bCs w:val="1"/>
                <w:color w:val="FFFFFF"/>
              </w:rPr>
              <w:t>Adjusted EBITDA</w:t>
            </w:r>
          </w:p>
        </w:tc>
      </w:tr>
      <w:tr>
        <w:trPr>
          <w:trHeight w:val="267"/>
        </w:trPr>
        <w:tc>
          <w:tcPr>
            <w:tcW w:w="8640" w:type="dxa"/>
            <w:vAlign w:val="bottom"/>
            <w:shd w:val="clear" w:color="auto" w:fill="D8E8EF"/>
          </w:tcPr>
          <w:p>
            <w:pPr>
              <w:ind w:left="100"/>
              <w:spacing w:after="0"/>
              <w:rPr>
                <w:sz w:val="20"/>
                <w:szCs w:val="20"/>
                <w:color w:val="auto"/>
              </w:rPr>
            </w:pPr>
            <w:r>
              <w:rPr>
                <w:rFonts w:ascii="Arial" w:cs="Arial" w:eastAsia="Arial" w:hAnsi="Arial"/>
                <w:sz w:val="16"/>
                <w:szCs w:val="16"/>
                <w:color w:val="auto"/>
              </w:rPr>
              <w:t>2020 PBRSU Performance Period</w:t>
            </w:r>
          </w:p>
        </w:tc>
        <w:tc>
          <w:tcPr>
            <w:tcW w:w="2280" w:type="dxa"/>
            <w:vAlign w:val="bottom"/>
            <w:shd w:val="clear" w:color="auto" w:fill="D8E8EF"/>
          </w:tcPr>
          <w:p>
            <w:pPr>
              <w:jc w:val="right"/>
              <w:spacing w:after="0"/>
              <w:rPr>
                <w:sz w:val="20"/>
                <w:szCs w:val="20"/>
                <w:color w:val="auto"/>
              </w:rPr>
            </w:pPr>
            <w:r>
              <w:rPr>
                <w:rFonts w:ascii="Arial" w:cs="Arial" w:eastAsia="Arial" w:hAnsi="Arial"/>
                <w:sz w:val="16"/>
                <w:szCs w:val="16"/>
                <w:color w:val="auto"/>
              </w:rPr>
              <w:t>Threshold – $2.5 billion</w:t>
            </w:r>
          </w:p>
        </w:tc>
      </w:tr>
      <w:tr>
        <w:trPr>
          <w:trHeight w:val="251"/>
        </w:trPr>
        <w:tc>
          <w:tcPr>
            <w:tcW w:w="8640" w:type="dxa"/>
            <w:vAlign w:val="bottom"/>
          </w:tcPr>
          <w:p>
            <w:pPr>
              <w:spacing w:after="0"/>
              <w:rPr>
                <w:sz w:val="21"/>
                <w:szCs w:val="21"/>
                <w:color w:val="auto"/>
              </w:rPr>
            </w:pPr>
          </w:p>
        </w:tc>
        <w:tc>
          <w:tcPr>
            <w:tcW w:w="2280" w:type="dxa"/>
            <w:vAlign w:val="bottom"/>
          </w:tcPr>
          <w:p>
            <w:pPr>
              <w:jc w:val="right"/>
              <w:spacing w:after="0"/>
              <w:rPr>
                <w:sz w:val="20"/>
                <w:szCs w:val="20"/>
                <w:color w:val="auto"/>
              </w:rPr>
            </w:pPr>
            <w:r>
              <w:rPr>
                <w:rFonts w:ascii="Arial" w:cs="Arial" w:eastAsia="Arial" w:hAnsi="Arial"/>
                <w:sz w:val="16"/>
                <w:szCs w:val="16"/>
                <w:color w:val="auto"/>
              </w:rPr>
              <w:t>Target – $3.0 billion</w:t>
            </w:r>
          </w:p>
        </w:tc>
      </w:tr>
      <w:tr>
        <w:trPr>
          <w:trHeight w:val="30"/>
        </w:trPr>
        <w:tc>
          <w:tcPr>
            <w:tcW w:w="864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r>
    </w:tbl>
    <w:p>
      <w:pPr>
        <w:spacing w:after="0" w:line="195" w:lineRule="exact"/>
        <w:rPr>
          <w:sz w:val="20"/>
          <w:szCs w:val="20"/>
          <w:color w:val="auto"/>
        </w:rPr>
      </w:pPr>
    </w:p>
    <w:p>
      <w:pPr>
        <w:jc w:val="both"/>
        <w:ind w:left="160"/>
        <w:spacing w:after="0" w:line="249" w:lineRule="auto"/>
        <w:rPr>
          <w:sz w:val="20"/>
          <w:szCs w:val="20"/>
          <w:color w:val="auto"/>
        </w:rPr>
      </w:pPr>
      <w:r>
        <w:rPr>
          <w:rFonts w:ascii="Arial" w:cs="Arial" w:eastAsia="Arial" w:hAnsi="Arial"/>
          <w:sz w:val="18"/>
          <w:szCs w:val="18"/>
          <w:color w:val="auto"/>
        </w:rPr>
        <w:t>Under the 2020 PBRSUs, in the event that the Adjusted EBITDA target was reached, a “gate” would open such that the grantee would become eligible to receive additional PBRSUs pursuant to the Upside PBRSU award. The achievement of the following Upside PBRSU goals determined the payout:</w:t>
      </w:r>
    </w:p>
    <w:p>
      <w:pPr>
        <w:spacing w:after="0" w:line="217" w:lineRule="exact"/>
        <w:rPr>
          <w:sz w:val="20"/>
          <w:szCs w:val="20"/>
          <w:color w:val="auto"/>
        </w:rPr>
      </w:pPr>
    </w:p>
    <w:tbl>
      <w:tblPr>
        <w:tblLayout w:type="fixed"/>
        <w:tblInd w:w="160" w:type="dxa"/>
        <w:tblCellMar>
          <w:top w:w="0" w:type="dxa"/>
          <w:left w:w="0" w:type="dxa"/>
          <w:bottom w:w="0" w:type="dxa"/>
          <w:right w:w="0" w:type="dxa"/>
        </w:tblCellMar>
      </w:tblPr>
      <w:tr>
        <w:trPr>
          <w:trHeight w:val="213"/>
        </w:trPr>
        <w:tc>
          <w:tcPr>
            <w:tcW w:w="8020" w:type="dxa"/>
            <w:vAlign w:val="bottom"/>
            <w:shd w:val="clear" w:color="auto" w:fill="F75E14"/>
          </w:tcPr>
          <w:p>
            <w:pPr>
              <w:spacing w:after="0"/>
              <w:rPr>
                <w:sz w:val="18"/>
                <w:szCs w:val="18"/>
                <w:color w:val="auto"/>
              </w:rPr>
            </w:pPr>
          </w:p>
        </w:tc>
        <w:tc>
          <w:tcPr>
            <w:tcW w:w="1500" w:type="dxa"/>
            <w:vAlign w:val="bottom"/>
            <w:shd w:val="clear" w:color="auto" w:fill="F75E14"/>
          </w:tcPr>
          <w:p>
            <w:pPr>
              <w:jc w:val="right"/>
              <w:ind w:right="420"/>
              <w:spacing w:after="0"/>
              <w:rPr>
                <w:sz w:val="20"/>
                <w:szCs w:val="20"/>
                <w:color w:val="auto"/>
              </w:rPr>
            </w:pPr>
            <w:r>
              <w:rPr>
                <w:rFonts w:ascii="Arial" w:cs="Arial" w:eastAsia="Arial" w:hAnsi="Arial"/>
                <w:sz w:val="16"/>
                <w:szCs w:val="16"/>
                <w:b w:val="1"/>
                <w:bCs w:val="1"/>
                <w:color w:val="FFFFFF"/>
              </w:rPr>
              <w:t>0% Payout</w:t>
            </w:r>
          </w:p>
        </w:tc>
        <w:tc>
          <w:tcPr>
            <w:tcW w:w="1400" w:type="dxa"/>
            <w:vAlign w:val="bottom"/>
            <w:shd w:val="clear" w:color="auto" w:fill="F75E14"/>
          </w:tcPr>
          <w:p>
            <w:pPr>
              <w:jc w:val="right"/>
              <w:ind w:right="100"/>
              <w:spacing w:after="0"/>
              <w:rPr>
                <w:sz w:val="20"/>
                <w:szCs w:val="20"/>
                <w:color w:val="auto"/>
              </w:rPr>
            </w:pPr>
            <w:r>
              <w:rPr>
                <w:rFonts w:ascii="Arial" w:cs="Arial" w:eastAsia="Arial" w:hAnsi="Arial"/>
                <w:sz w:val="16"/>
                <w:szCs w:val="16"/>
                <w:b w:val="1"/>
                <w:bCs w:val="1"/>
                <w:color w:val="FFFFFF"/>
              </w:rPr>
              <w:t>100% Payout</w:t>
            </w:r>
          </w:p>
        </w:tc>
      </w:tr>
      <w:tr>
        <w:trPr>
          <w:trHeight w:val="235"/>
        </w:trPr>
        <w:tc>
          <w:tcPr>
            <w:tcW w:w="8020" w:type="dxa"/>
            <w:vAlign w:val="bottom"/>
            <w:tcBorders>
              <w:bottom w:val="single" w:sz="8" w:color="F75E14"/>
            </w:tcBorders>
            <w:shd w:val="clear" w:color="auto" w:fill="F75E14"/>
          </w:tcPr>
          <w:p>
            <w:pPr>
              <w:ind w:left="100"/>
              <w:spacing w:after="0"/>
              <w:rPr>
                <w:sz w:val="20"/>
                <w:szCs w:val="20"/>
                <w:color w:val="auto"/>
              </w:rPr>
            </w:pPr>
            <w:r>
              <w:rPr>
                <w:rFonts w:ascii="Arial" w:cs="Arial" w:eastAsia="Arial" w:hAnsi="Arial"/>
                <w:sz w:val="16"/>
                <w:szCs w:val="16"/>
                <w:b w:val="1"/>
                <w:bCs w:val="1"/>
                <w:color w:val="FFFFFF"/>
              </w:rPr>
              <w:t>Performance Goals</w:t>
            </w:r>
          </w:p>
        </w:tc>
        <w:tc>
          <w:tcPr>
            <w:tcW w:w="1500" w:type="dxa"/>
            <w:vAlign w:val="bottom"/>
            <w:tcBorders>
              <w:bottom w:val="single" w:sz="8" w:color="F75E14"/>
            </w:tcBorders>
            <w:shd w:val="clear" w:color="auto" w:fill="F75E14"/>
          </w:tcPr>
          <w:p>
            <w:pPr>
              <w:jc w:val="right"/>
              <w:ind w:right="380"/>
              <w:spacing w:after="0"/>
              <w:rPr>
                <w:sz w:val="20"/>
                <w:szCs w:val="20"/>
                <w:color w:val="auto"/>
              </w:rPr>
            </w:pPr>
            <w:r>
              <w:rPr>
                <w:rFonts w:ascii="Arial" w:cs="Arial" w:eastAsia="Arial" w:hAnsi="Arial"/>
                <w:sz w:val="16"/>
                <w:szCs w:val="16"/>
                <w:b w:val="1"/>
                <w:bCs w:val="1"/>
                <w:color w:val="FFFFFF"/>
              </w:rPr>
              <w:t>(Threshold)</w:t>
            </w:r>
          </w:p>
        </w:tc>
        <w:tc>
          <w:tcPr>
            <w:tcW w:w="1400" w:type="dxa"/>
            <w:vAlign w:val="bottom"/>
            <w:tcBorders>
              <w:bottom w:val="single" w:sz="8" w:color="F75E14"/>
            </w:tcBorders>
            <w:shd w:val="clear" w:color="auto" w:fill="F75E14"/>
          </w:tcPr>
          <w:p>
            <w:pPr>
              <w:jc w:val="right"/>
              <w:ind w:right="320"/>
              <w:spacing w:after="0"/>
              <w:rPr>
                <w:sz w:val="20"/>
                <w:szCs w:val="20"/>
                <w:color w:val="auto"/>
              </w:rPr>
            </w:pPr>
            <w:r>
              <w:rPr>
                <w:rFonts w:ascii="Arial" w:cs="Arial" w:eastAsia="Arial" w:hAnsi="Arial"/>
                <w:sz w:val="16"/>
                <w:szCs w:val="16"/>
                <w:b w:val="1"/>
                <w:bCs w:val="1"/>
                <w:color w:val="FFFFFF"/>
              </w:rPr>
              <w:t>(Target)</w:t>
            </w:r>
          </w:p>
        </w:tc>
      </w:tr>
      <w:tr>
        <w:trPr>
          <w:trHeight w:val="267"/>
        </w:trPr>
        <w:tc>
          <w:tcPr>
            <w:tcW w:w="8020" w:type="dxa"/>
            <w:vAlign w:val="bottom"/>
            <w:shd w:val="clear" w:color="auto" w:fill="D8E8EF"/>
          </w:tcPr>
          <w:p>
            <w:pPr>
              <w:ind w:left="100"/>
              <w:spacing w:after="0"/>
              <w:rPr>
                <w:sz w:val="20"/>
                <w:szCs w:val="20"/>
                <w:color w:val="auto"/>
              </w:rPr>
            </w:pPr>
            <w:r>
              <w:rPr>
                <w:rFonts w:ascii="Arial" w:cs="Arial" w:eastAsia="Arial" w:hAnsi="Arial"/>
                <w:sz w:val="16"/>
                <w:szCs w:val="16"/>
                <w:color w:val="auto"/>
              </w:rPr>
              <w:t>Non-GAAP Gross Margin (weighted 60%)</w:t>
            </w:r>
          </w:p>
        </w:tc>
        <w:tc>
          <w:tcPr>
            <w:tcW w:w="1500" w:type="dxa"/>
            <w:vAlign w:val="bottom"/>
            <w:shd w:val="clear" w:color="auto" w:fill="D8E8EF"/>
          </w:tcPr>
          <w:p>
            <w:pPr>
              <w:jc w:val="right"/>
              <w:ind w:right="140"/>
              <w:spacing w:after="0"/>
              <w:rPr>
                <w:sz w:val="20"/>
                <w:szCs w:val="20"/>
                <w:color w:val="auto"/>
              </w:rPr>
            </w:pPr>
            <w:r>
              <w:rPr>
                <w:rFonts w:ascii="Arial" w:cs="Arial" w:eastAsia="Arial" w:hAnsi="Arial"/>
                <w:sz w:val="16"/>
                <w:szCs w:val="16"/>
                <w:color w:val="auto"/>
              </w:rPr>
              <w:t>39.0%</w:t>
            </w:r>
          </w:p>
        </w:tc>
        <w:tc>
          <w:tcPr>
            <w:tcW w:w="1400" w:type="dxa"/>
            <w:vAlign w:val="bottom"/>
            <w:shd w:val="clear" w:color="auto" w:fill="D8E8EF"/>
          </w:tcPr>
          <w:p>
            <w:pPr>
              <w:jc w:val="right"/>
              <w:spacing w:after="0"/>
              <w:rPr>
                <w:sz w:val="20"/>
                <w:szCs w:val="20"/>
                <w:color w:val="auto"/>
              </w:rPr>
            </w:pPr>
            <w:r>
              <w:rPr>
                <w:rFonts w:ascii="Arial" w:cs="Arial" w:eastAsia="Arial" w:hAnsi="Arial"/>
                <w:sz w:val="16"/>
                <w:szCs w:val="16"/>
                <w:color w:val="auto"/>
              </w:rPr>
              <w:t>40.0%</w:t>
            </w:r>
          </w:p>
        </w:tc>
      </w:tr>
      <w:tr>
        <w:trPr>
          <w:trHeight w:val="281"/>
        </w:trPr>
        <w:tc>
          <w:tcPr>
            <w:tcW w:w="802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Relative TSR (weighted 40%)</w:t>
            </w:r>
          </w:p>
        </w:tc>
        <w:tc>
          <w:tcPr>
            <w:tcW w:w="1500" w:type="dxa"/>
            <w:vAlign w:val="bottom"/>
            <w:tcBorders>
              <w:bottom w:val="single" w:sz="8" w:color="auto"/>
            </w:tcBorders>
          </w:tcPr>
          <w:p>
            <w:pPr>
              <w:jc w:val="right"/>
              <w:ind w:right="140"/>
              <w:spacing w:after="0" w:line="281" w:lineRule="exact"/>
              <w:rPr>
                <w:sz w:val="20"/>
                <w:szCs w:val="20"/>
                <w:color w:val="auto"/>
              </w:rPr>
            </w:pPr>
            <w:r>
              <w:rPr>
                <w:rFonts w:ascii="Arial" w:cs="Arial" w:eastAsia="Arial" w:hAnsi="Arial"/>
                <w:sz w:val="16"/>
                <w:szCs w:val="16"/>
                <w:color w:val="auto"/>
              </w:rPr>
              <w:t>50</w:t>
            </w:r>
            <w:r>
              <w:rPr>
                <w:rFonts w:ascii="Arial" w:cs="Arial" w:eastAsia="Arial" w:hAnsi="Arial"/>
                <w:sz w:val="27"/>
                <w:szCs w:val="27"/>
                <w:color w:val="auto"/>
                <w:vertAlign w:val="superscript"/>
              </w:rPr>
              <w:t>th</w:t>
            </w:r>
            <w:r>
              <w:rPr>
                <w:rFonts w:ascii="Arial" w:cs="Arial" w:eastAsia="Arial" w:hAnsi="Arial"/>
                <w:sz w:val="16"/>
                <w:szCs w:val="16"/>
                <w:color w:val="auto"/>
              </w:rPr>
              <w:t xml:space="preserve"> Percentile</w:t>
            </w:r>
          </w:p>
        </w:tc>
        <w:tc>
          <w:tcPr>
            <w:tcW w:w="1400" w:type="dxa"/>
            <w:vAlign w:val="bottom"/>
            <w:tcBorders>
              <w:bottom w:val="single" w:sz="8" w:color="auto"/>
            </w:tcBorders>
          </w:tcPr>
          <w:p>
            <w:pPr>
              <w:jc w:val="right"/>
              <w:spacing w:after="0" w:line="281" w:lineRule="exact"/>
              <w:rPr>
                <w:sz w:val="20"/>
                <w:szCs w:val="20"/>
                <w:color w:val="auto"/>
              </w:rPr>
            </w:pPr>
            <w:r>
              <w:rPr>
                <w:rFonts w:ascii="Arial" w:cs="Arial" w:eastAsia="Arial" w:hAnsi="Arial"/>
                <w:sz w:val="16"/>
                <w:szCs w:val="16"/>
                <w:color w:val="auto"/>
              </w:rPr>
              <w:t>75</w:t>
            </w:r>
            <w:r>
              <w:rPr>
                <w:rFonts w:ascii="Arial" w:cs="Arial" w:eastAsia="Arial" w:hAnsi="Arial"/>
                <w:sz w:val="27"/>
                <w:szCs w:val="27"/>
                <w:color w:val="auto"/>
                <w:vertAlign w:val="superscript"/>
              </w:rPr>
              <w:t>th</w:t>
            </w:r>
            <w:r>
              <w:rPr>
                <w:rFonts w:ascii="Arial" w:cs="Arial" w:eastAsia="Arial" w:hAnsi="Arial"/>
                <w:sz w:val="16"/>
                <w:szCs w:val="16"/>
                <w:color w:val="auto"/>
              </w:rPr>
              <w:t xml:space="preserve"> Percentile</w:t>
            </w:r>
          </w:p>
        </w:tc>
      </w:tr>
    </w:tbl>
    <w:p>
      <w:pPr>
        <w:spacing w:after="0" w:line="195" w:lineRule="exact"/>
        <w:rPr>
          <w:sz w:val="20"/>
          <w:szCs w:val="20"/>
          <w:color w:val="auto"/>
        </w:rPr>
      </w:pPr>
    </w:p>
    <w:p>
      <w:pPr>
        <w:jc w:val="both"/>
        <w:ind w:left="160"/>
        <w:spacing w:after="0" w:line="235" w:lineRule="auto"/>
        <w:rPr>
          <w:sz w:val="20"/>
          <w:szCs w:val="20"/>
          <w:color w:val="auto"/>
        </w:rPr>
      </w:pPr>
      <w:r>
        <w:rPr>
          <w:rFonts w:ascii="Arial" w:cs="Arial" w:eastAsia="Arial" w:hAnsi="Arial"/>
          <w:sz w:val="18"/>
          <w:szCs w:val="18"/>
          <w:color w:val="auto"/>
        </w:rPr>
        <w:t>The Upside PBRSUs allowed the grantee to earn an additional 100% of the 2020 Base PBRSU grant at 100% achievement of the Upside PBRSU metrics. Thus, the participant’s total award opportunity was two times the number of PBRSUs underlying the 2020 Base PBRSU award. Except as described below, if the applicable NEO terminated employment with us for any reason, any unvested 2020 PBRSUs would be canceled and forfeited. Pursuant to the 2020 Base PBRSU award agreements, if a Change in Control occurred prior to the end of the 2020 PBRSU Performance Period, the PBRSUs that could vest would be based on the Company’s progress toward attainment of the performance goals as of the closing of the transaction or event resulting in the Change in Control. If the Company thereafter terminated the applicable NEO without “Cause” or the NEO resigned for “Good Reason” (as those terms are defined in the applicable NEO’s employment agreement), a number of PBRSUs would vest as of the date of the individual’s termination of employment in an amount determined by multiplying the number of PBRSUs that could vest (as described above) by a fraction, the numerator of which was the number of days the individual was employed during the 2020 PBRSU Performance Period and the denominator of which was the total number of days in the 2020 PBRSU Performance Period. If a Change in Control had occurred after the end of the 2020 PBRSU Performance Period, but before the vesting date, and, thereafter, the Company terminated the applicable NEO without Cause or the individual resigned for Good Reason, the units earned but not vested at that time would have immediately vested.</w:t>
      </w:r>
    </w:p>
    <w:p>
      <w:pPr>
        <w:spacing w:after="0" w:line="187" w:lineRule="exact"/>
        <w:rPr>
          <w:sz w:val="20"/>
          <w:szCs w:val="20"/>
          <w:color w:val="auto"/>
        </w:rPr>
      </w:pPr>
    </w:p>
    <w:p>
      <w:pPr>
        <w:jc w:val="both"/>
        <w:ind w:left="160"/>
        <w:spacing w:after="0" w:line="238" w:lineRule="auto"/>
        <w:rPr>
          <w:sz w:val="20"/>
          <w:szCs w:val="20"/>
          <w:color w:val="auto"/>
        </w:rPr>
      </w:pPr>
      <w:r>
        <w:rPr>
          <w:rFonts w:ascii="Arial" w:cs="Arial" w:eastAsia="Arial" w:hAnsi="Arial"/>
          <w:sz w:val="18"/>
          <w:szCs w:val="18"/>
          <w:b w:val="1"/>
          <w:bCs w:val="1"/>
          <w:i w:val="1"/>
          <w:iCs w:val="1"/>
          <w:color w:val="auto"/>
        </w:rPr>
        <w:t>2020 Awards of RSUs</w:t>
      </w:r>
      <w:r>
        <w:rPr>
          <w:rFonts w:ascii="Arial" w:cs="Arial" w:eastAsia="Arial" w:hAnsi="Arial"/>
          <w:sz w:val="18"/>
          <w:szCs w:val="18"/>
          <w:color w:val="auto"/>
        </w:rPr>
        <w:t>. The 2020 awards of RSUs vest annually in equal amounts over a three-year period on each anniversary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grant date through March 2, 2023. HCC Committee approval is not required for vesting. However, subject to certain exceptions as provided in the applicable NEO’s employment agreement described below, if a NEO terminates his or her employment or otherwise ceases to perform services for us for any reason, including upon a termination for Cause, as such term is defined in the NEO’s employment agreement, any units that are not vested will be canceled and forfeited as of the date of termination of employment or service. If a NEO’s employment is terminated without Cause or the NEO resigns for Good Reason within two years following a Change in Control, any previously unvested RSUs will vest.</w:t>
      </w:r>
    </w:p>
    <w:p>
      <w:pPr>
        <w:spacing w:after="0" w:line="124" w:lineRule="exact"/>
        <w:rPr>
          <w:sz w:val="20"/>
          <w:szCs w:val="20"/>
          <w:color w:val="auto"/>
        </w:rPr>
      </w:pPr>
    </w:p>
    <w:p>
      <w:pPr>
        <w:ind w:left="8820"/>
        <w:spacing w:after="0"/>
        <w:tabs>
          <w:tab w:leader="none" w:pos="10900" w:val="left"/>
        </w:tabs>
        <w:rPr>
          <w:sz w:val="20"/>
          <w:szCs w:val="20"/>
          <w:color w:val="auto"/>
        </w:rPr>
      </w:pPr>
      <w:r>
        <w:rPr>
          <w:rFonts w:ascii="Arial" w:cs="Arial" w:eastAsia="Arial" w:hAnsi="Arial"/>
          <w:sz w:val="14"/>
          <w:szCs w:val="14"/>
          <w:color w:val="F75E14"/>
        </w:rPr>
        <w:t>onsemi 2022 Proxy Statement</w:t>
        <w:tab/>
        <w:t>53</w:t>
      </w:r>
    </w:p>
    <w:p>
      <w:pPr>
        <w:sectPr>
          <w:pgSz w:w="11900" w:h="16838" w:orient="portrait"/>
          <w:cols w:equalWidth="0" w:num="1">
            <w:col w:w="11080"/>
          </w:cols>
          <w:pgMar w:left="320" w:top="454" w:right="499" w:bottom="1440" w:gutter="0" w:footer="0" w:header="0"/>
        </w:sectPr>
      </w:pPr>
    </w:p>
    <w:bookmarkStart w:id="57" w:name="page58"/>
    <w:bookmarkEnd w:id="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2" w:lineRule="exact"/>
        <w:rPr>
          <w:sz w:val="20"/>
          <w:szCs w:val="20"/>
          <w:color w:val="auto"/>
        </w:rPr>
      </w:pPr>
    </w:p>
    <w:p>
      <w:pPr>
        <w:ind w:left="160"/>
        <w:spacing w:after="0"/>
        <w:rPr>
          <w:sz w:val="20"/>
          <w:szCs w:val="20"/>
          <w:color w:val="auto"/>
        </w:rPr>
      </w:pPr>
      <w:r>
        <w:rPr>
          <w:rFonts w:ascii="Arial" w:cs="Arial" w:eastAsia="Arial" w:hAnsi="Arial"/>
          <w:sz w:val="18"/>
          <w:szCs w:val="18"/>
          <w:color w:val="F75E14"/>
        </w:rPr>
        <w:t>Compensation of Executive Officers</w:t>
      </w:r>
    </w:p>
    <w:p>
      <w:pPr>
        <w:spacing w:after="0" w:line="141" w:lineRule="exact"/>
        <w:rPr>
          <w:sz w:val="20"/>
          <w:szCs w:val="20"/>
          <w:color w:val="auto"/>
        </w:rPr>
      </w:pPr>
    </w:p>
    <w:p>
      <w:pPr>
        <w:jc w:val="both"/>
        <w:ind w:left="160"/>
        <w:spacing w:after="0"/>
        <w:rPr>
          <w:sz w:val="20"/>
          <w:szCs w:val="20"/>
          <w:color w:val="auto"/>
        </w:rPr>
      </w:pPr>
      <w:r>
        <w:rPr>
          <w:rFonts w:ascii="Arial" w:cs="Arial" w:eastAsia="Arial" w:hAnsi="Arial"/>
          <w:sz w:val="18"/>
          <w:szCs w:val="18"/>
          <w:b w:val="1"/>
          <w:bCs w:val="1"/>
          <w:i w:val="1"/>
          <w:iCs w:val="1"/>
          <w:color w:val="auto"/>
        </w:rPr>
        <w:t xml:space="preserve">2020 New Hire Award for Our Chief Executive Officer. </w:t>
      </w:r>
      <w:r>
        <w:rPr>
          <w:rFonts w:ascii="Arial" w:cs="Arial" w:eastAsia="Arial" w:hAnsi="Arial"/>
          <w:sz w:val="18"/>
          <w:szCs w:val="18"/>
          <w:color w:val="auto"/>
        </w:rPr>
        <w:t>On December 3, 2020, the Board of Directors approved the appointment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Mr. El-Khoury as our President and Chief Executive Officer and as a member of the Board, in each case, effective as of December 7, 2020. In connection with Mr. El-Khoury’s appointment, the HCC Committee approved an equity-based grant to Mr. El-Khoury under the SIP, effective as of December 7, 2020, consisting of 98,120 RSUs and 228,946 PBRSUs with grant date values of $3 million and $7 million, respectively, based on the closing price of our common stock on Nasdaq on December 7, 2020.</w:t>
      </w:r>
    </w:p>
    <w:p>
      <w:pPr>
        <w:spacing w:after="0" w:line="182" w:lineRule="exact"/>
        <w:rPr>
          <w:sz w:val="20"/>
          <w:szCs w:val="20"/>
          <w:color w:val="auto"/>
        </w:rPr>
      </w:pPr>
    </w:p>
    <w:p>
      <w:pPr>
        <w:jc w:val="both"/>
        <w:ind w:left="160"/>
        <w:spacing w:after="0" w:line="243" w:lineRule="auto"/>
        <w:rPr>
          <w:sz w:val="20"/>
          <w:szCs w:val="20"/>
          <w:color w:val="auto"/>
        </w:rPr>
      </w:pPr>
      <w:r>
        <w:rPr>
          <w:rFonts w:ascii="Arial" w:cs="Arial" w:eastAsia="Arial" w:hAnsi="Arial"/>
          <w:sz w:val="18"/>
          <w:szCs w:val="18"/>
          <w:color w:val="auto"/>
        </w:rPr>
        <w:t>The RSUs awarded to Mr. El-Khoury will continue to vest annually on a pro rata basis over the three-year period beginning on the first anniversary of the grant date. Additionally, the RSUs will vest in full if we terminate Mr. El-Khoury’s employment without “Cause,” which would include a resignation by Mr. El-Khoury for “Good Reason,” as such terms are defined in his employment agreement. The RSUs are subject to additional terms and conditions under the SIP, as well as a separate award agreement governing the RSUs.</w:t>
      </w:r>
    </w:p>
    <w:p>
      <w:pPr>
        <w:spacing w:after="0" w:line="178" w:lineRule="exact"/>
        <w:rPr>
          <w:sz w:val="20"/>
          <w:szCs w:val="20"/>
          <w:color w:val="auto"/>
        </w:rPr>
      </w:pPr>
    </w:p>
    <w:p>
      <w:pPr>
        <w:jc w:val="both"/>
        <w:ind w:left="160"/>
        <w:spacing w:after="0" w:line="237" w:lineRule="auto"/>
        <w:rPr>
          <w:sz w:val="20"/>
          <w:szCs w:val="20"/>
          <w:color w:val="auto"/>
        </w:rPr>
      </w:pPr>
      <w:r>
        <w:rPr>
          <w:rFonts w:ascii="Arial" w:cs="Arial" w:eastAsia="Arial" w:hAnsi="Arial"/>
          <w:sz w:val="18"/>
          <w:szCs w:val="18"/>
          <w:color w:val="auto"/>
        </w:rPr>
        <w:t>The PBRSUs awarded to Mr. El-Khoury in connection with his appointment will vest at the end of a two-year performance period based on the achievement of a Relative TSR metric. If we terminate Mr. El-Khoury’s employment without Cause, which would include a resignation by Mr. El-Khoury for Good Reason, the PBRSUs will vest pro rata using a truncated performance period based on the three-month period immediately preceding Mr. El-Khoury’s termination of employment. Additionally, the PBRSUs will vest in full at target upon a termination of Mr. El-Khoury’s employment without Cause (including a resignation by Mr. El-Khoury for Good Reason) following a Change in Control. In the event of a Change in Control where Mr. El-Khoury is not terminated by us without Cause (including a resignation by Mr. El-Khoury for Good Reason), following which the Corporation’s stock is no longer publicly traded and fair market value is determinable, Relative TSR will be measured at the time of the Change in Control based on the Change in Control transaction price. The PBRSUs are subject to additional terms and conditions under the SIP, as well as a separate agreement governing the PBRSUs.</w:t>
      </w:r>
    </w:p>
    <w:p>
      <w:pPr>
        <w:spacing w:after="0" w:line="123" w:lineRule="exact"/>
        <w:rPr>
          <w:sz w:val="20"/>
          <w:szCs w:val="20"/>
          <w:color w:val="auto"/>
        </w:rPr>
      </w:pPr>
    </w:p>
    <w:p>
      <w:pPr>
        <w:ind w:left="160"/>
        <w:spacing w:after="0"/>
        <w:tabs>
          <w:tab w:leader="none" w:pos="500" w:val="left"/>
        </w:tabs>
        <w:rPr>
          <w:sz w:val="20"/>
          <w:szCs w:val="20"/>
          <w:color w:val="auto"/>
        </w:rPr>
      </w:pPr>
      <w:r>
        <w:rPr>
          <w:rFonts w:ascii="Arial" w:cs="Arial" w:eastAsia="Arial" w:hAnsi="Arial"/>
          <w:sz w:val="14"/>
          <w:szCs w:val="14"/>
          <w:color w:val="F75E14"/>
        </w:rPr>
        <w:t>54</w:t>
        <w:tab/>
        <w:t>onsemi 2022 Proxy Statement</w:t>
      </w:r>
    </w:p>
    <w:p>
      <w:pPr>
        <w:sectPr>
          <w:pgSz w:w="11900" w:h="16838" w:orient="portrait"/>
          <w:cols w:equalWidth="0" w:num="1">
            <w:col w:w="11080"/>
          </w:cols>
          <w:pgMar w:left="320" w:top="454" w:right="499" w:bottom="1440" w:gutter="0" w:footer="0" w:header="0"/>
        </w:sectPr>
      </w:pPr>
    </w:p>
    <w:bookmarkStart w:id="58" w:name="page59"/>
    <w:bookmarkEnd w:id="5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2" w:lineRule="exact"/>
        <w:rPr>
          <w:sz w:val="20"/>
          <w:szCs w:val="20"/>
          <w:color w:val="auto"/>
        </w:rPr>
      </w:pPr>
    </w:p>
    <w:p>
      <w:pPr>
        <w:jc w:val="right"/>
        <w:spacing w:after="0"/>
        <w:rPr>
          <w:sz w:val="20"/>
          <w:szCs w:val="20"/>
          <w:color w:val="auto"/>
        </w:rPr>
      </w:pPr>
      <w:r>
        <w:rPr>
          <w:rFonts w:ascii="Arial" w:cs="Arial" w:eastAsia="Arial" w:hAnsi="Arial"/>
          <w:sz w:val="18"/>
          <w:szCs w:val="18"/>
          <w:color w:val="F75E14"/>
        </w:rPr>
        <w:t>Compensation of Executive Officers</w:t>
      </w:r>
    </w:p>
    <w:p>
      <w:pPr>
        <w:spacing w:after="0" w:line="14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2019 Awards of Equity</w:t>
      </w:r>
    </w:p>
    <w:p>
      <w:pPr>
        <w:spacing w:after="0" w:line="20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In February 2019, the HCC Committee granted 2019 base PBRSU (“2019 Base PBRSUs”), Upside PBRSU and RSU awards to each</w:t>
      </w:r>
    </w:p>
    <w:p>
      <w:pPr>
        <w:spacing w:after="0" w:line="12" w:lineRule="exact"/>
        <w:rPr>
          <w:sz w:val="20"/>
          <w:szCs w:val="20"/>
          <w:color w:val="auto"/>
        </w:rPr>
      </w:pPr>
    </w:p>
    <w:p>
      <w:pPr>
        <w:ind w:left="160"/>
        <w:spacing w:after="0"/>
        <w:rPr>
          <w:sz w:val="20"/>
          <w:szCs w:val="20"/>
          <w:color w:val="auto"/>
        </w:rPr>
      </w:pPr>
      <w:r>
        <w:rPr>
          <w:rFonts w:ascii="Arial" w:cs="Arial" w:eastAsia="Arial" w:hAnsi="Arial"/>
          <w:sz w:val="18"/>
          <w:szCs w:val="18"/>
          <w:color w:val="auto"/>
        </w:rPr>
        <w:t>NEO as follows:</w:t>
      </w:r>
    </w:p>
    <w:p>
      <w:pPr>
        <w:spacing w:after="0" w:line="235" w:lineRule="exact"/>
        <w:rPr>
          <w:sz w:val="20"/>
          <w:szCs w:val="20"/>
          <w:color w:val="auto"/>
        </w:rPr>
      </w:pPr>
    </w:p>
    <w:tbl>
      <w:tblPr>
        <w:tblLayout w:type="fixed"/>
        <w:tblInd w:w="160" w:type="dxa"/>
        <w:tblCellMar>
          <w:top w:w="0" w:type="dxa"/>
          <w:left w:w="0" w:type="dxa"/>
          <w:bottom w:w="0" w:type="dxa"/>
          <w:right w:w="0" w:type="dxa"/>
        </w:tblCellMar>
      </w:tblPr>
      <w:tr>
        <w:trPr>
          <w:trHeight w:val="213"/>
        </w:trPr>
        <w:tc>
          <w:tcPr>
            <w:tcW w:w="2820" w:type="dxa"/>
            <w:vAlign w:val="bottom"/>
            <w:shd w:val="clear" w:color="auto" w:fill="F75E14"/>
          </w:tcPr>
          <w:p>
            <w:pPr>
              <w:spacing w:after="0"/>
              <w:rPr>
                <w:sz w:val="18"/>
                <w:szCs w:val="18"/>
                <w:color w:val="auto"/>
              </w:rPr>
            </w:pPr>
          </w:p>
        </w:tc>
        <w:tc>
          <w:tcPr>
            <w:tcW w:w="2880" w:type="dxa"/>
            <w:vAlign w:val="bottom"/>
            <w:shd w:val="clear" w:color="auto" w:fill="F75E14"/>
          </w:tcPr>
          <w:p>
            <w:pPr>
              <w:spacing w:after="0"/>
              <w:rPr>
                <w:sz w:val="18"/>
                <w:szCs w:val="18"/>
                <w:color w:val="auto"/>
              </w:rPr>
            </w:pPr>
          </w:p>
        </w:tc>
        <w:tc>
          <w:tcPr>
            <w:tcW w:w="2480" w:type="dxa"/>
            <w:vAlign w:val="bottom"/>
            <w:shd w:val="clear" w:color="auto" w:fill="F75E14"/>
          </w:tcPr>
          <w:p>
            <w:pPr>
              <w:jc w:val="right"/>
              <w:ind w:right="435"/>
              <w:spacing w:after="0"/>
              <w:rPr>
                <w:sz w:val="20"/>
                <w:szCs w:val="20"/>
                <w:color w:val="auto"/>
              </w:rPr>
            </w:pPr>
            <w:r>
              <w:rPr>
                <w:rFonts w:ascii="Arial" w:cs="Arial" w:eastAsia="Arial" w:hAnsi="Arial"/>
                <w:sz w:val="16"/>
                <w:szCs w:val="16"/>
                <w:b w:val="1"/>
                <w:bCs w:val="1"/>
                <w:color w:val="FFFFFF"/>
              </w:rPr>
              <w:t>2019 Base PBRSUs</w:t>
            </w:r>
          </w:p>
        </w:tc>
        <w:tc>
          <w:tcPr>
            <w:tcW w:w="2740" w:type="dxa"/>
            <w:vAlign w:val="bottom"/>
            <w:shd w:val="clear" w:color="auto" w:fill="F75E14"/>
          </w:tcPr>
          <w:p>
            <w:pPr>
              <w:spacing w:after="0"/>
              <w:rPr>
                <w:sz w:val="18"/>
                <w:szCs w:val="18"/>
                <w:color w:val="auto"/>
              </w:rPr>
            </w:pPr>
          </w:p>
        </w:tc>
      </w:tr>
      <w:tr>
        <w:trPr>
          <w:trHeight w:val="235"/>
        </w:trPr>
        <w:tc>
          <w:tcPr>
            <w:tcW w:w="2820" w:type="dxa"/>
            <w:vAlign w:val="bottom"/>
            <w:tcBorders>
              <w:bottom w:val="single" w:sz="8" w:color="F75E14"/>
            </w:tcBorders>
            <w:shd w:val="clear" w:color="auto" w:fill="F75E14"/>
          </w:tcPr>
          <w:p>
            <w:pPr>
              <w:ind w:left="100"/>
              <w:spacing w:after="0"/>
              <w:rPr>
                <w:sz w:val="20"/>
                <w:szCs w:val="20"/>
                <w:color w:val="auto"/>
              </w:rPr>
            </w:pPr>
            <w:r>
              <w:rPr>
                <w:rFonts w:ascii="Arial" w:cs="Arial" w:eastAsia="Arial" w:hAnsi="Arial"/>
                <w:sz w:val="16"/>
                <w:szCs w:val="16"/>
                <w:b w:val="1"/>
                <w:bCs w:val="1"/>
                <w:color w:val="FFFFFF"/>
              </w:rPr>
              <w:t>NEO (1)</w:t>
            </w:r>
          </w:p>
        </w:tc>
        <w:tc>
          <w:tcPr>
            <w:tcW w:w="2880" w:type="dxa"/>
            <w:vAlign w:val="bottom"/>
            <w:tcBorders>
              <w:bottom w:val="single" w:sz="8" w:color="F75E14"/>
            </w:tcBorders>
            <w:shd w:val="clear" w:color="auto" w:fill="F75E14"/>
          </w:tcPr>
          <w:p>
            <w:pPr>
              <w:jc w:val="right"/>
              <w:ind w:right="394"/>
              <w:spacing w:after="0"/>
              <w:rPr>
                <w:sz w:val="20"/>
                <w:szCs w:val="20"/>
                <w:color w:val="auto"/>
              </w:rPr>
            </w:pPr>
            <w:r>
              <w:rPr>
                <w:rFonts w:ascii="Arial" w:cs="Arial" w:eastAsia="Arial" w:hAnsi="Arial"/>
                <w:sz w:val="16"/>
                <w:szCs w:val="16"/>
                <w:b w:val="1"/>
                <w:bCs w:val="1"/>
                <w:color w:val="FFFFFF"/>
              </w:rPr>
              <w:t>RSUs Granted</w:t>
            </w:r>
          </w:p>
        </w:tc>
        <w:tc>
          <w:tcPr>
            <w:tcW w:w="2480" w:type="dxa"/>
            <w:vAlign w:val="bottom"/>
            <w:tcBorders>
              <w:bottom w:val="single" w:sz="8" w:color="F75E14"/>
            </w:tcBorders>
            <w:shd w:val="clear" w:color="auto" w:fill="F75E14"/>
          </w:tcPr>
          <w:p>
            <w:pPr>
              <w:jc w:val="right"/>
              <w:ind w:right="855"/>
              <w:spacing w:after="0"/>
              <w:rPr>
                <w:sz w:val="20"/>
                <w:szCs w:val="20"/>
                <w:color w:val="auto"/>
              </w:rPr>
            </w:pPr>
            <w:r>
              <w:rPr>
                <w:rFonts w:ascii="Arial" w:cs="Arial" w:eastAsia="Arial" w:hAnsi="Arial"/>
                <w:sz w:val="16"/>
                <w:szCs w:val="16"/>
                <w:b w:val="1"/>
                <w:bCs w:val="1"/>
                <w:color w:val="FFFFFF"/>
              </w:rPr>
              <w:t>Granted</w:t>
            </w:r>
          </w:p>
        </w:tc>
        <w:tc>
          <w:tcPr>
            <w:tcW w:w="2740" w:type="dxa"/>
            <w:vAlign w:val="bottom"/>
            <w:tcBorders>
              <w:bottom w:val="single" w:sz="8" w:color="F75E14"/>
            </w:tcBorders>
            <w:shd w:val="clear" w:color="auto" w:fill="F75E14"/>
          </w:tcPr>
          <w:p>
            <w:pPr>
              <w:jc w:val="right"/>
              <w:ind w:right="254"/>
              <w:spacing w:after="0"/>
              <w:rPr>
                <w:sz w:val="20"/>
                <w:szCs w:val="20"/>
                <w:color w:val="auto"/>
              </w:rPr>
            </w:pPr>
            <w:r>
              <w:rPr>
                <w:rFonts w:ascii="Arial" w:cs="Arial" w:eastAsia="Arial" w:hAnsi="Arial"/>
                <w:sz w:val="16"/>
                <w:szCs w:val="16"/>
                <w:b w:val="1"/>
                <w:bCs w:val="1"/>
                <w:color w:val="FFFFFF"/>
              </w:rPr>
              <w:t>Upside PBRSUs Granted</w:t>
            </w:r>
          </w:p>
        </w:tc>
      </w:tr>
      <w:tr>
        <w:trPr>
          <w:trHeight w:val="241"/>
        </w:trPr>
        <w:tc>
          <w:tcPr>
            <w:tcW w:w="2820" w:type="dxa"/>
            <w:vAlign w:val="bottom"/>
            <w:shd w:val="clear" w:color="auto" w:fill="D8E8EF"/>
          </w:tcPr>
          <w:p>
            <w:pPr>
              <w:ind w:left="100"/>
              <w:spacing w:after="0"/>
              <w:rPr>
                <w:sz w:val="20"/>
                <w:szCs w:val="20"/>
                <w:color w:val="auto"/>
              </w:rPr>
            </w:pPr>
            <w:r>
              <w:rPr>
                <w:rFonts w:ascii="Arial" w:cs="Arial" w:eastAsia="Arial" w:hAnsi="Arial"/>
                <w:sz w:val="18"/>
                <w:szCs w:val="18"/>
                <w:color w:val="auto"/>
              </w:rPr>
              <w:t>Bernard Gutmann</w:t>
            </w:r>
          </w:p>
        </w:tc>
        <w:tc>
          <w:tcPr>
            <w:tcW w:w="2880" w:type="dxa"/>
            <w:vAlign w:val="bottom"/>
            <w:shd w:val="clear" w:color="auto" w:fill="D8E8EF"/>
          </w:tcPr>
          <w:p>
            <w:pPr>
              <w:jc w:val="right"/>
              <w:ind w:right="614"/>
              <w:spacing w:after="0"/>
              <w:rPr>
                <w:sz w:val="20"/>
                <w:szCs w:val="20"/>
                <w:color w:val="auto"/>
              </w:rPr>
            </w:pPr>
            <w:r>
              <w:rPr>
                <w:rFonts w:ascii="Arial" w:cs="Arial" w:eastAsia="Arial" w:hAnsi="Arial"/>
                <w:sz w:val="18"/>
                <w:szCs w:val="18"/>
                <w:color w:val="auto"/>
              </w:rPr>
              <w:t>34,672</w:t>
            </w:r>
          </w:p>
        </w:tc>
        <w:tc>
          <w:tcPr>
            <w:tcW w:w="2480" w:type="dxa"/>
            <w:vAlign w:val="bottom"/>
            <w:shd w:val="clear" w:color="auto" w:fill="D8E8EF"/>
          </w:tcPr>
          <w:p>
            <w:pPr>
              <w:jc w:val="right"/>
              <w:ind w:right="735"/>
              <w:spacing w:after="0"/>
              <w:rPr>
                <w:sz w:val="20"/>
                <w:szCs w:val="20"/>
                <w:color w:val="auto"/>
              </w:rPr>
            </w:pPr>
            <w:r>
              <w:rPr>
                <w:rFonts w:ascii="Arial" w:cs="Arial" w:eastAsia="Arial" w:hAnsi="Arial"/>
                <w:sz w:val="18"/>
                <w:szCs w:val="18"/>
                <w:color w:val="auto"/>
              </w:rPr>
              <w:t>52,008</w:t>
            </w:r>
          </w:p>
        </w:tc>
        <w:tc>
          <w:tcPr>
            <w:tcW w:w="2740" w:type="dxa"/>
            <w:vAlign w:val="bottom"/>
            <w:shd w:val="clear" w:color="auto" w:fill="D8E8EF"/>
          </w:tcPr>
          <w:p>
            <w:pPr>
              <w:jc w:val="right"/>
              <w:ind w:right="874"/>
              <w:spacing w:after="0"/>
              <w:rPr>
                <w:sz w:val="20"/>
                <w:szCs w:val="20"/>
                <w:color w:val="auto"/>
              </w:rPr>
            </w:pPr>
            <w:r>
              <w:rPr>
                <w:rFonts w:ascii="Arial" w:cs="Arial" w:eastAsia="Arial" w:hAnsi="Arial"/>
                <w:sz w:val="18"/>
                <w:szCs w:val="18"/>
                <w:color w:val="auto"/>
              </w:rPr>
              <w:t>86,679</w:t>
            </w:r>
          </w:p>
        </w:tc>
      </w:tr>
      <w:tr>
        <w:trPr>
          <w:trHeight w:val="235"/>
        </w:trPr>
        <w:tc>
          <w:tcPr>
            <w:tcW w:w="2820" w:type="dxa"/>
            <w:vAlign w:val="bottom"/>
          </w:tcPr>
          <w:p>
            <w:pPr>
              <w:ind w:left="100"/>
              <w:spacing w:after="0"/>
              <w:rPr>
                <w:sz w:val="20"/>
                <w:szCs w:val="20"/>
                <w:color w:val="auto"/>
              </w:rPr>
            </w:pPr>
            <w:r>
              <w:rPr>
                <w:rFonts w:ascii="Arial" w:cs="Arial" w:eastAsia="Arial" w:hAnsi="Arial"/>
                <w:sz w:val="18"/>
                <w:szCs w:val="18"/>
                <w:color w:val="auto"/>
              </w:rPr>
              <w:t>Simon Keeton</w:t>
            </w:r>
          </w:p>
        </w:tc>
        <w:tc>
          <w:tcPr>
            <w:tcW w:w="2880" w:type="dxa"/>
            <w:vAlign w:val="bottom"/>
          </w:tcPr>
          <w:p>
            <w:pPr>
              <w:jc w:val="right"/>
              <w:ind w:right="394"/>
              <w:spacing w:after="0"/>
              <w:rPr>
                <w:sz w:val="20"/>
                <w:szCs w:val="20"/>
                <w:color w:val="auto"/>
              </w:rPr>
            </w:pPr>
            <w:r>
              <w:rPr>
                <w:rFonts w:ascii="Arial" w:cs="Arial" w:eastAsia="Arial" w:hAnsi="Arial"/>
                <w:sz w:val="18"/>
                <w:szCs w:val="18"/>
                <w:color w:val="auto"/>
              </w:rPr>
              <w:t>39,546 (2)</w:t>
            </w:r>
          </w:p>
        </w:tc>
        <w:tc>
          <w:tcPr>
            <w:tcW w:w="2480" w:type="dxa"/>
            <w:vAlign w:val="bottom"/>
          </w:tcPr>
          <w:p>
            <w:pPr>
              <w:jc w:val="right"/>
              <w:ind w:right="735"/>
              <w:spacing w:after="0"/>
              <w:rPr>
                <w:sz w:val="20"/>
                <w:szCs w:val="20"/>
                <w:color w:val="auto"/>
              </w:rPr>
            </w:pPr>
            <w:r>
              <w:rPr>
                <w:rFonts w:ascii="Arial" w:cs="Arial" w:eastAsia="Arial" w:hAnsi="Arial"/>
                <w:sz w:val="18"/>
                <w:szCs w:val="18"/>
                <w:color w:val="auto"/>
              </w:rPr>
              <w:t>32,847</w:t>
            </w:r>
          </w:p>
        </w:tc>
        <w:tc>
          <w:tcPr>
            <w:tcW w:w="2740" w:type="dxa"/>
            <w:vAlign w:val="bottom"/>
          </w:tcPr>
          <w:p>
            <w:pPr>
              <w:jc w:val="right"/>
              <w:ind w:right="874"/>
              <w:spacing w:after="0"/>
              <w:rPr>
                <w:sz w:val="20"/>
                <w:szCs w:val="20"/>
                <w:color w:val="auto"/>
              </w:rPr>
            </w:pPr>
            <w:r>
              <w:rPr>
                <w:rFonts w:ascii="Arial" w:cs="Arial" w:eastAsia="Arial" w:hAnsi="Arial"/>
                <w:sz w:val="18"/>
                <w:szCs w:val="18"/>
                <w:color w:val="auto"/>
              </w:rPr>
              <w:t>54,745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12065</wp:posOffset>
            </wp:positionV>
            <wp:extent cx="692975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3" w:lineRule="exact"/>
        <w:rPr>
          <w:sz w:val="20"/>
          <w:szCs w:val="20"/>
          <w:color w:val="auto"/>
        </w:rPr>
      </w:pPr>
    </w:p>
    <w:p>
      <w:pPr>
        <w:ind w:left="600" w:hanging="433"/>
        <w:spacing w:after="0"/>
        <w:tabs>
          <w:tab w:leader="none" w:pos="600" w:val="left"/>
        </w:tabs>
        <w:numPr>
          <w:ilvl w:val="0"/>
          <w:numId w:val="84"/>
        </w:numPr>
        <w:rPr>
          <w:rFonts w:ascii="Arial" w:cs="Arial" w:eastAsia="Arial" w:hAnsi="Arial"/>
          <w:sz w:val="14"/>
          <w:szCs w:val="14"/>
          <w:color w:val="auto"/>
        </w:rPr>
      </w:pPr>
      <w:r>
        <w:rPr>
          <w:rFonts w:ascii="Arial" w:cs="Arial" w:eastAsia="Arial" w:hAnsi="Arial"/>
          <w:sz w:val="14"/>
          <w:szCs w:val="14"/>
          <w:color w:val="auto"/>
        </w:rPr>
        <w:t>Messrs. El-Khoury, Trent, Hopkin, Jatou and Cave were not NEOs in 2019.</w:t>
      </w:r>
    </w:p>
    <w:p>
      <w:pPr>
        <w:spacing w:after="0" w:line="13" w:lineRule="exact"/>
        <w:rPr>
          <w:rFonts w:ascii="Arial" w:cs="Arial" w:eastAsia="Arial" w:hAnsi="Arial"/>
          <w:sz w:val="14"/>
          <w:szCs w:val="14"/>
          <w:color w:val="auto"/>
        </w:rPr>
      </w:pPr>
    </w:p>
    <w:p>
      <w:pPr>
        <w:ind w:left="600" w:hanging="433"/>
        <w:spacing w:after="0"/>
        <w:tabs>
          <w:tab w:leader="none" w:pos="600" w:val="left"/>
        </w:tabs>
        <w:numPr>
          <w:ilvl w:val="0"/>
          <w:numId w:val="84"/>
        </w:numPr>
        <w:rPr>
          <w:rFonts w:ascii="Arial" w:cs="Arial" w:eastAsia="Arial" w:hAnsi="Arial"/>
          <w:sz w:val="14"/>
          <w:szCs w:val="14"/>
          <w:color w:val="auto"/>
        </w:rPr>
      </w:pPr>
      <w:r>
        <w:rPr>
          <w:rFonts w:ascii="Arial" w:cs="Arial" w:eastAsia="Arial" w:hAnsi="Arial"/>
          <w:sz w:val="14"/>
          <w:szCs w:val="14"/>
          <w:color w:val="auto"/>
        </w:rPr>
        <w:t>Includes an off-cycle promotional grant of 17,648 RSUs.</w:t>
      </w:r>
    </w:p>
    <w:p>
      <w:pPr>
        <w:spacing w:after="0" w:line="190" w:lineRule="exact"/>
        <w:rPr>
          <w:sz w:val="20"/>
          <w:szCs w:val="20"/>
          <w:color w:val="auto"/>
        </w:rPr>
      </w:pPr>
    </w:p>
    <w:p>
      <w:pPr>
        <w:jc w:val="both"/>
        <w:ind w:left="160"/>
        <w:spacing w:after="0" w:line="265" w:lineRule="auto"/>
        <w:rPr>
          <w:sz w:val="20"/>
          <w:szCs w:val="20"/>
          <w:color w:val="auto"/>
        </w:rPr>
      </w:pPr>
      <w:r>
        <w:rPr>
          <w:rFonts w:ascii="Arial" w:cs="Arial" w:eastAsia="Arial" w:hAnsi="Arial"/>
          <w:sz w:val="18"/>
          <w:szCs w:val="18"/>
          <w:color w:val="auto"/>
        </w:rPr>
        <w:t>The design for the 2019 equity awards generally aligned with the design for 2020 equity awards described above, except that the performance measures for the Upside PBRSU awards were revenue and Relative TSR.</w:t>
      </w:r>
    </w:p>
    <w:p>
      <w:pPr>
        <w:spacing w:after="0" w:line="158" w:lineRule="exact"/>
        <w:rPr>
          <w:sz w:val="20"/>
          <w:szCs w:val="20"/>
          <w:color w:val="auto"/>
        </w:rPr>
      </w:pPr>
    </w:p>
    <w:p>
      <w:pPr>
        <w:jc w:val="both"/>
        <w:ind w:left="160"/>
        <w:spacing w:after="0" w:line="238" w:lineRule="auto"/>
        <w:rPr>
          <w:sz w:val="20"/>
          <w:szCs w:val="20"/>
          <w:color w:val="auto"/>
        </w:rPr>
      </w:pPr>
      <w:r>
        <w:rPr>
          <w:rFonts w:ascii="Arial" w:cs="Arial" w:eastAsia="Arial" w:hAnsi="Arial"/>
          <w:sz w:val="18"/>
          <w:szCs w:val="18"/>
          <w:b w:val="1"/>
          <w:bCs w:val="1"/>
          <w:i w:val="1"/>
          <w:iCs w:val="1"/>
          <w:color w:val="auto"/>
        </w:rPr>
        <w:t>2019 Awards of Base PBRSUs</w:t>
      </w:r>
      <w:r>
        <w:rPr>
          <w:rFonts w:ascii="Arial" w:cs="Arial" w:eastAsia="Arial" w:hAnsi="Arial"/>
          <w:sz w:val="18"/>
          <w:szCs w:val="18"/>
          <w:color w:val="auto"/>
        </w:rPr>
        <w:t>. The 2019 Base PBRSUs had a performance measurement period that started on January 1, 2019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ended on December 31, 2020 (the “2019 PBRSU Performance Period”). If the threshold level for the performance goal for the 2019 PBRSU Performance Period had been exceeded, then the 2019 Base PBRSUs would have vested on or about the filing date for the Company’s Form 10-K relating to fiscal year 2020, provided that the NEO had met certain conditions described below and in the CD&amp;A. Since the threshold performance goal for the 2019 PBRSU Performance Period was not exceeded, the entire 2019 Base PBRSU award was canceled. The applicable performance measures for the 2019 Base PBRSUs were as follows and included straight-line interpolation between threshold and target Adjusted EBITDA:</w:t>
      </w:r>
    </w:p>
    <w:p>
      <w:pPr>
        <w:spacing w:after="0" w:line="227" w:lineRule="exact"/>
        <w:rPr>
          <w:sz w:val="20"/>
          <w:szCs w:val="20"/>
          <w:color w:val="auto"/>
        </w:rPr>
      </w:pPr>
    </w:p>
    <w:tbl>
      <w:tblPr>
        <w:tblLayout w:type="fixed"/>
        <w:tblInd w:w="160" w:type="dxa"/>
        <w:tblCellMar>
          <w:top w:w="0" w:type="dxa"/>
          <w:left w:w="0" w:type="dxa"/>
          <w:bottom w:w="0" w:type="dxa"/>
          <w:right w:w="0" w:type="dxa"/>
        </w:tblCellMar>
      </w:tblPr>
      <w:tr>
        <w:trPr>
          <w:trHeight w:val="213"/>
        </w:trPr>
        <w:tc>
          <w:tcPr>
            <w:tcW w:w="8640" w:type="dxa"/>
            <w:vAlign w:val="bottom"/>
            <w:shd w:val="clear" w:color="auto" w:fill="F75E14"/>
          </w:tcPr>
          <w:p>
            <w:pPr>
              <w:spacing w:after="0"/>
              <w:rPr>
                <w:sz w:val="18"/>
                <w:szCs w:val="18"/>
                <w:color w:val="auto"/>
              </w:rPr>
            </w:pPr>
          </w:p>
        </w:tc>
        <w:tc>
          <w:tcPr>
            <w:tcW w:w="2280" w:type="dxa"/>
            <w:vAlign w:val="bottom"/>
            <w:shd w:val="clear" w:color="auto" w:fill="F75E14"/>
          </w:tcPr>
          <w:p>
            <w:pPr>
              <w:jc w:val="right"/>
              <w:ind w:right="560"/>
              <w:spacing w:after="0"/>
              <w:rPr>
                <w:sz w:val="20"/>
                <w:szCs w:val="20"/>
                <w:color w:val="auto"/>
              </w:rPr>
            </w:pPr>
            <w:r>
              <w:rPr>
                <w:rFonts w:ascii="Arial" w:cs="Arial" w:eastAsia="Arial" w:hAnsi="Arial"/>
                <w:sz w:val="16"/>
                <w:szCs w:val="16"/>
                <w:b w:val="1"/>
                <w:bCs w:val="1"/>
                <w:color w:val="FFFFFF"/>
              </w:rPr>
              <w:t>Performance Goal:</w:t>
            </w:r>
          </w:p>
        </w:tc>
      </w:tr>
      <w:tr>
        <w:trPr>
          <w:trHeight w:val="235"/>
        </w:trPr>
        <w:tc>
          <w:tcPr>
            <w:tcW w:w="8640" w:type="dxa"/>
            <w:vAlign w:val="bottom"/>
            <w:tcBorders>
              <w:bottom w:val="single" w:sz="8" w:color="F75E14"/>
            </w:tcBorders>
            <w:shd w:val="clear" w:color="auto" w:fill="F75E14"/>
          </w:tcPr>
          <w:p>
            <w:pPr>
              <w:ind w:left="100"/>
              <w:spacing w:after="0"/>
              <w:rPr>
                <w:sz w:val="20"/>
                <w:szCs w:val="20"/>
                <w:color w:val="auto"/>
              </w:rPr>
            </w:pPr>
            <w:r>
              <w:rPr>
                <w:rFonts w:ascii="Arial" w:cs="Arial" w:eastAsia="Arial" w:hAnsi="Arial"/>
                <w:sz w:val="16"/>
                <w:szCs w:val="16"/>
                <w:b w:val="1"/>
                <w:bCs w:val="1"/>
                <w:color w:val="FFFFFF"/>
              </w:rPr>
              <w:t>Measurement Period</w:t>
            </w:r>
          </w:p>
        </w:tc>
        <w:tc>
          <w:tcPr>
            <w:tcW w:w="2280" w:type="dxa"/>
            <w:vAlign w:val="bottom"/>
            <w:tcBorders>
              <w:bottom w:val="single" w:sz="8" w:color="F75E14"/>
            </w:tcBorders>
            <w:shd w:val="clear" w:color="auto" w:fill="F75E14"/>
          </w:tcPr>
          <w:p>
            <w:pPr>
              <w:jc w:val="right"/>
              <w:ind w:right="600"/>
              <w:spacing w:after="0"/>
              <w:rPr>
                <w:sz w:val="20"/>
                <w:szCs w:val="20"/>
                <w:color w:val="auto"/>
              </w:rPr>
            </w:pPr>
            <w:r>
              <w:rPr>
                <w:rFonts w:ascii="Arial" w:cs="Arial" w:eastAsia="Arial" w:hAnsi="Arial"/>
                <w:sz w:val="16"/>
                <w:szCs w:val="16"/>
                <w:b w:val="1"/>
                <w:bCs w:val="1"/>
                <w:color w:val="FFFFFF"/>
              </w:rPr>
              <w:t>Adjusted EBITDA</w:t>
            </w:r>
          </w:p>
        </w:tc>
      </w:tr>
      <w:tr>
        <w:trPr>
          <w:trHeight w:val="267"/>
        </w:trPr>
        <w:tc>
          <w:tcPr>
            <w:tcW w:w="8640" w:type="dxa"/>
            <w:vAlign w:val="bottom"/>
            <w:shd w:val="clear" w:color="auto" w:fill="D8E8EF"/>
          </w:tcPr>
          <w:p>
            <w:pPr>
              <w:ind w:left="100"/>
              <w:spacing w:after="0"/>
              <w:rPr>
                <w:sz w:val="20"/>
                <w:szCs w:val="20"/>
                <w:color w:val="auto"/>
              </w:rPr>
            </w:pPr>
            <w:r>
              <w:rPr>
                <w:rFonts w:ascii="Arial" w:cs="Arial" w:eastAsia="Arial" w:hAnsi="Arial"/>
                <w:sz w:val="16"/>
                <w:szCs w:val="16"/>
                <w:color w:val="auto"/>
              </w:rPr>
              <w:t>2019 PBRSU Performance Period</w:t>
            </w:r>
          </w:p>
        </w:tc>
        <w:tc>
          <w:tcPr>
            <w:tcW w:w="2280" w:type="dxa"/>
            <w:vAlign w:val="bottom"/>
            <w:shd w:val="clear" w:color="auto" w:fill="D8E8EF"/>
          </w:tcPr>
          <w:p>
            <w:pPr>
              <w:jc w:val="right"/>
              <w:spacing w:after="0"/>
              <w:rPr>
                <w:sz w:val="20"/>
                <w:szCs w:val="20"/>
                <w:color w:val="auto"/>
              </w:rPr>
            </w:pPr>
            <w:r>
              <w:rPr>
                <w:rFonts w:ascii="Arial" w:cs="Arial" w:eastAsia="Arial" w:hAnsi="Arial"/>
                <w:sz w:val="16"/>
                <w:szCs w:val="16"/>
                <w:color w:val="auto"/>
              </w:rPr>
              <w:t>Threshold – $2.5 billion</w:t>
            </w:r>
          </w:p>
        </w:tc>
      </w:tr>
      <w:tr>
        <w:trPr>
          <w:trHeight w:val="251"/>
        </w:trPr>
        <w:tc>
          <w:tcPr>
            <w:tcW w:w="8640" w:type="dxa"/>
            <w:vAlign w:val="bottom"/>
          </w:tcPr>
          <w:p>
            <w:pPr>
              <w:spacing w:after="0"/>
              <w:rPr>
                <w:sz w:val="21"/>
                <w:szCs w:val="21"/>
                <w:color w:val="auto"/>
              </w:rPr>
            </w:pPr>
          </w:p>
        </w:tc>
        <w:tc>
          <w:tcPr>
            <w:tcW w:w="2280" w:type="dxa"/>
            <w:vAlign w:val="bottom"/>
          </w:tcPr>
          <w:p>
            <w:pPr>
              <w:jc w:val="right"/>
              <w:spacing w:after="0"/>
              <w:rPr>
                <w:sz w:val="20"/>
                <w:szCs w:val="20"/>
                <w:color w:val="auto"/>
              </w:rPr>
            </w:pPr>
            <w:r>
              <w:rPr>
                <w:rFonts w:ascii="Arial" w:cs="Arial" w:eastAsia="Arial" w:hAnsi="Arial"/>
                <w:sz w:val="16"/>
                <w:szCs w:val="16"/>
                <w:color w:val="auto"/>
              </w:rPr>
              <w:t>Target – $3.1 billion</w:t>
            </w:r>
          </w:p>
        </w:tc>
      </w:tr>
      <w:tr>
        <w:trPr>
          <w:trHeight w:val="30"/>
        </w:trPr>
        <w:tc>
          <w:tcPr>
            <w:tcW w:w="864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r>
    </w:tbl>
    <w:p>
      <w:pPr>
        <w:spacing w:after="0" w:line="19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Adjusted EBITDA for the 2019 PBRSU Performance Period was $2.3 billion, resulting in an attainment level of 0%.</w:t>
      </w:r>
    </w:p>
    <w:p>
      <w:pPr>
        <w:spacing w:after="0" w:line="208" w:lineRule="exact"/>
        <w:rPr>
          <w:sz w:val="20"/>
          <w:szCs w:val="20"/>
          <w:color w:val="auto"/>
        </w:rPr>
      </w:pPr>
    </w:p>
    <w:p>
      <w:pPr>
        <w:jc w:val="both"/>
        <w:ind w:left="160"/>
        <w:spacing w:after="0" w:line="237" w:lineRule="auto"/>
        <w:rPr>
          <w:sz w:val="20"/>
          <w:szCs w:val="20"/>
          <w:color w:val="auto"/>
        </w:rPr>
      </w:pPr>
      <w:r>
        <w:rPr>
          <w:rFonts w:ascii="Arial" w:cs="Arial" w:eastAsia="Arial" w:hAnsi="Arial"/>
          <w:sz w:val="18"/>
          <w:szCs w:val="18"/>
          <w:b w:val="1"/>
          <w:bCs w:val="1"/>
          <w:i w:val="1"/>
          <w:iCs w:val="1"/>
          <w:color w:val="auto"/>
        </w:rPr>
        <w:t>2019 Awards of Upside PBRSUs</w:t>
      </w:r>
      <w:r>
        <w:rPr>
          <w:rFonts w:ascii="Arial" w:cs="Arial" w:eastAsia="Arial" w:hAnsi="Arial"/>
          <w:sz w:val="18"/>
          <w:szCs w:val="18"/>
          <w:color w:val="auto"/>
        </w:rPr>
        <w:t>. As with the 2019 Base PBRSUs, the Upside PBRSUs awarded to the NEOs in 2019 were to vest, if 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all, based on the achievement of certain performance goals for the 2019 PBRSU Performance Period. If the threshold level for the performance goal for the 2019 PBRSU Performance Period had been exceeded, then the 2019 Upside PBRSUs would have vested on or about the filing date for the Company’s Form 10-K relating to fiscal year 2020, provided that the NEO had met certain conditions described below and in the CD&amp;A. Since the threshold performance goal for the 2019 PBRSU Performance Period was not exceeded, the entire 2019 Upside PBRSU award was canceled. The 2019 Upside PBRSUs provided for a payout depending on the achievement of two separate performance metrics, revenue and Relative TSR, and included straight-line interpolation between threshold and target for each metric:</w:t>
      </w:r>
    </w:p>
    <w:p>
      <w:pPr>
        <w:spacing w:after="0" w:line="229" w:lineRule="exact"/>
        <w:rPr>
          <w:sz w:val="20"/>
          <w:szCs w:val="20"/>
          <w:color w:val="auto"/>
        </w:rPr>
      </w:pPr>
    </w:p>
    <w:tbl>
      <w:tblPr>
        <w:tblLayout w:type="fixed"/>
        <w:tblInd w:w="160" w:type="dxa"/>
        <w:tblCellMar>
          <w:top w:w="0" w:type="dxa"/>
          <w:left w:w="0" w:type="dxa"/>
          <w:bottom w:w="0" w:type="dxa"/>
          <w:right w:w="0" w:type="dxa"/>
        </w:tblCellMar>
      </w:tblPr>
      <w:tr>
        <w:trPr>
          <w:trHeight w:val="213"/>
        </w:trPr>
        <w:tc>
          <w:tcPr>
            <w:tcW w:w="8020" w:type="dxa"/>
            <w:vAlign w:val="bottom"/>
            <w:shd w:val="clear" w:color="auto" w:fill="F75E14"/>
          </w:tcPr>
          <w:p>
            <w:pPr>
              <w:spacing w:after="0"/>
              <w:rPr>
                <w:sz w:val="18"/>
                <w:szCs w:val="18"/>
                <w:color w:val="auto"/>
              </w:rPr>
            </w:pPr>
          </w:p>
        </w:tc>
        <w:tc>
          <w:tcPr>
            <w:tcW w:w="1520" w:type="dxa"/>
            <w:vAlign w:val="bottom"/>
            <w:shd w:val="clear" w:color="auto" w:fill="F75E14"/>
          </w:tcPr>
          <w:p>
            <w:pPr>
              <w:jc w:val="right"/>
              <w:ind w:right="440"/>
              <w:spacing w:after="0"/>
              <w:rPr>
                <w:sz w:val="20"/>
                <w:szCs w:val="20"/>
                <w:color w:val="auto"/>
              </w:rPr>
            </w:pPr>
            <w:r>
              <w:rPr>
                <w:rFonts w:ascii="Arial" w:cs="Arial" w:eastAsia="Arial" w:hAnsi="Arial"/>
                <w:sz w:val="16"/>
                <w:szCs w:val="16"/>
                <w:b w:val="1"/>
                <w:bCs w:val="1"/>
                <w:color w:val="FFFFFF"/>
              </w:rPr>
              <w:t>0% Payout</w:t>
            </w:r>
          </w:p>
        </w:tc>
        <w:tc>
          <w:tcPr>
            <w:tcW w:w="1380" w:type="dxa"/>
            <w:vAlign w:val="bottom"/>
            <w:shd w:val="clear" w:color="auto" w:fill="F75E14"/>
          </w:tcPr>
          <w:p>
            <w:pPr>
              <w:jc w:val="right"/>
              <w:ind w:right="60"/>
              <w:spacing w:after="0"/>
              <w:rPr>
                <w:sz w:val="20"/>
                <w:szCs w:val="20"/>
                <w:color w:val="auto"/>
              </w:rPr>
            </w:pPr>
            <w:r>
              <w:rPr>
                <w:rFonts w:ascii="Arial" w:cs="Arial" w:eastAsia="Arial" w:hAnsi="Arial"/>
                <w:sz w:val="16"/>
                <w:szCs w:val="16"/>
                <w:b w:val="1"/>
                <w:bCs w:val="1"/>
                <w:color w:val="FFFFFF"/>
              </w:rPr>
              <w:t>100% Payout</w:t>
            </w:r>
          </w:p>
        </w:tc>
      </w:tr>
      <w:tr>
        <w:trPr>
          <w:trHeight w:val="235"/>
        </w:trPr>
        <w:tc>
          <w:tcPr>
            <w:tcW w:w="8020" w:type="dxa"/>
            <w:vAlign w:val="bottom"/>
            <w:tcBorders>
              <w:bottom w:val="single" w:sz="8" w:color="F75E14"/>
            </w:tcBorders>
            <w:shd w:val="clear" w:color="auto" w:fill="F75E14"/>
          </w:tcPr>
          <w:p>
            <w:pPr>
              <w:ind w:left="100"/>
              <w:spacing w:after="0"/>
              <w:rPr>
                <w:sz w:val="20"/>
                <w:szCs w:val="20"/>
                <w:color w:val="auto"/>
              </w:rPr>
            </w:pPr>
            <w:r>
              <w:rPr>
                <w:rFonts w:ascii="Arial" w:cs="Arial" w:eastAsia="Arial" w:hAnsi="Arial"/>
                <w:sz w:val="16"/>
                <w:szCs w:val="16"/>
                <w:b w:val="1"/>
                <w:bCs w:val="1"/>
                <w:color w:val="FFFFFF"/>
              </w:rPr>
              <w:t>Performance Goals</w:t>
            </w:r>
          </w:p>
        </w:tc>
        <w:tc>
          <w:tcPr>
            <w:tcW w:w="1520" w:type="dxa"/>
            <w:vAlign w:val="bottom"/>
            <w:tcBorders>
              <w:bottom w:val="single" w:sz="8" w:color="F75E14"/>
            </w:tcBorders>
            <w:shd w:val="clear" w:color="auto" w:fill="F75E14"/>
          </w:tcPr>
          <w:p>
            <w:pPr>
              <w:jc w:val="right"/>
              <w:ind w:right="400"/>
              <w:spacing w:after="0"/>
              <w:rPr>
                <w:sz w:val="20"/>
                <w:szCs w:val="20"/>
                <w:color w:val="auto"/>
              </w:rPr>
            </w:pPr>
            <w:r>
              <w:rPr>
                <w:rFonts w:ascii="Arial" w:cs="Arial" w:eastAsia="Arial" w:hAnsi="Arial"/>
                <w:sz w:val="16"/>
                <w:szCs w:val="16"/>
                <w:b w:val="1"/>
                <w:bCs w:val="1"/>
                <w:color w:val="FFFFFF"/>
              </w:rPr>
              <w:t>(Threshold)</w:t>
            </w:r>
          </w:p>
        </w:tc>
        <w:tc>
          <w:tcPr>
            <w:tcW w:w="1380" w:type="dxa"/>
            <w:vAlign w:val="bottom"/>
            <w:tcBorders>
              <w:bottom w:val="single" w:sz="8" w:color="F75E14"/>
            </w:tcBorders>
            <w:shd w:val="clear" w:color="auto" w:fill="F75E14"/>
          </w:tcPr>
          <w:p>
            <w:pPr>
              <w:jc w:val="right"/>
              <w:ind w:right="260"/>
              <w:spacing w:after="0"/>
              <w:rPr>
                <w:sz w:val="20"/>
                <w:szCs w:val="20"/>
                <w:color w:val="auto"/>
              </w:rPr>
            </w:pPr>
            <w:r>
              <w:rPr>
                <w:rFonts w:ascii="Arial" w:cs="Arial" w:eastAsia="Arial" w:hAnsi="Arial"/>
                <w:sz w:val="16"/>
                <w:szCs w:val="16"/>
                <w:b w:val="1"/>
                <w:bCs w:val="1"/>
                <w:color w:val="FFFFFF"/>
              </w:rPr>
              <w:t>(Target)</w:t>
            </w:r>
          </w:p>
        </w:tc>
      </w:tr>
      <w:tr>
        <w:trPr>
          <w:trHeight w:val="267"/>
        </w:trPr>
        <w:tc>
          <w:tcPr>
            <w:tcW w:w="8020" w:type="dxa"/>
            <w:vAlign w:val="bottom"/>
            <w:shd w:val="clear" w:color="auto" w:fill="D8E8EF"/>
          </w:tcPr>
          <w:p>
            <w:pPr>
              <w:ind w:left="100"/>
              <w:spacing w:after="0"/>
              <w:rPr>
                <w:sz w:val="20"/>
                <w:szCs w:val="20"/>
                <w:color w:val="auto"/>
              </w:rPr>
            </w:pPr>
            <w:r>
              <w:rPr>
                <w:rFonts w:ascii="Arial" w:cs="Arial" w:eastAsia="Arial" w:hAnsi="Arial"/>
                <w:sz w:val="16"/>
                <w:szCs w:val="16"/>
                <w:color w:val="auto"/>
              </w:rPr>
              <w:t>Revenue (weighted 50%)</w:t>
            </w:r>
          </w:p>
        </w:tc>
        <w:tc>
          <w:tcPr>
            <w:tcW w:w="1520" w:type="dxa"/>
            <w:vAlign w:val="bottom"/>
            <w:shd w:val="clear" w:color="auto" w:fill="D8E8EF"/>
          </w:tcPr>
          <w:p>
            <w:pPr>
              <w:jc w:val="right"/>
              <w:ind w:right="160"/>
              <w:spacing w:after="0"/>
              <w:rPr>
                <w:sz w:val="20"/>
                <w:szCs w:val="20"/>
                <w:color w:val="auto"/>
              </w:rPr>
            </w:pPr>
            <w:r>
              <w:rPr>
                <w:rFonts w:ascii="Arial" w:cs="Arial" w:eastAsia="Arial" w:hAnsi="Arial"/>
                <w:sz w:val="16"/>
                <w:szCs w:val="16"/>
                <w:color w:val="auto"/>
              </w:rPr>
              <w:t>$12.3 billion</w:t>
            </w:r>
          </w:p>
        </w:tc>
        <w:tc>
          <w:tcPr>
            <w:tcW w:w="1380" w:type="dxa"/>
            <w:vAlign w:val="bottom"/>
            <w:shd w:val="clear" w:color="auto" w:fill="D8E8EF"/>
          </w:tcPr>
          <w:p>
            <w:pPr>
              <w:jc w:val="right"/>
              <w:spacing w:after="0"/>
              <w:rPr>
                <w:sz w:val="20"/>
                <w:szCs w:val="20"/>
                <w:color w:val="auto"/>
              </w:rPr>
            </w:pPr>
            <w:r>
              <w:rPr>
                <w:rFonts w:ascii="Arial" w:cs="Arial" w:eastAsia="Arial" w:hAnsi="Arial"/>
                <w:sz w:val="16"/>
                <w:szCs w:val="16"/>
                <w:color w:val="auto"/>
              </w:rPr>
              <w:t>$13.2 billion</w:t>
            </w:r>
          </w:p>
        </w:tc>
      </w:tr>
      <w:tr>
        <w:trPr>
          <w:trHeight w:val="281"/>
        </w:trPr>
        <w:tc>
          <w:tcPr>
            <w:tcW w:w="802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Relative TSR (weighted 50%)</w:t>
            </w:r>
          </w:p>
        </w:tc>
        <w:tc>
          <w:tcPr>
            <w:tcW w:w="1520" w:type="dxa"/>
            <w:vAlign w:val="bottom"/>
            <w:tcBorders>
              <w:bottom w:val="single" w:sz="8" w:color="auto"/>
            </w:tcBorders>
          </w:tcPr>
          <w:p>
            <w:pPr>
              <w:jc w:val="right"/>
              <w:ind w:right="160"/>
              <w:spacing w:after="0" w:line="281" w:lineRule="exact"/>
              <w:rPr>
                <w:sz w:val="20"/>
                <w:szCs w:val="20"/>
                <w:color w:val="auto"/>
              </w:rPr>
            </w:pPr>
            <w:r>
              <w:rPr>
                <w:rFonts w:ascii="Arial" w:cs="Arial" w:eastAsia="Arial" w:hAnsi="Arial"/>
                <w:sz w:val="16"/>
                <w:szCs w:val="16"/>
                <w:color w:val="auto"/>
              </w:rPr>
              <w:t>50</w:t>
            </w:r>
            <w:r>
              <w:rPr>
                <w:rFonts w:ascii="Arial" w:cs="Arial" w:eastAsia="Arial" w:hAnsi="Arial"/>
                <w:sz w:val="27"/>
                <w:szCs w:val="27"/>
                <w:color w:val="auto"/>
                <w:vertAlign w:val="superscript"/>
              </w:rPr>
              <w:t>th</w:t>
            </w:r>
            <w:r>
              <w:rPr>
                <w:rFonts w:ascii="Arial" w:cs="Arial" w:eastAsia="Arial" w:hAnsi="Arial"/>
                <w:sz w:val="16"/>
                <w:szCs w:val="16"/>
                <w:color w:val="auto"/>
              </w:rPr>
              <w:t xml:space="preserve"> Percentile</w:t>
            </w:r>
          </w:p>
        </w:tc>
        <w:tc>
          <w:tcPr>
            <w:tcW w:w="1380" w:type="dxa"/>
            <w:vAlign w:val="bottom"/>
            <w:tcBorders>
              <w:bottom w:val="single" w:sz="8" w:color="auto"/>
            </w:tcBorders>
          </w:tcPr>
          <w:p>
            <w:pPr>
              <w:jc w:val="right"/>
              <w:spacing w:after="0" w:line="281" w:lineRule="exact"/>
              <w:rPr>
                <w:sz w:val="20"/>
                <w:szCs w:val="20"/>
                <w:color w:val="auto"/>
              </w:rPr>
            </w:pPr>
            <w:r>
              <w:rPr>
                <w:rFonts w:ascii="Arial" w:cs="Arial" w:eastAsia="Arial" w:hAnsi="Arial"/>
                <w:sz w:val="16"/>
                <w:szCs w:val="16"/>
                <w:color w:val="auto"/>
              </w:rPr>
              <w:t>75</w:t>
            </w:r>
            <w:r>
              <w:rPr>
                <w:rFonts w:ascii="Arial" w:cs="Arial" w:eastAsia="Arial" w:hAnsi="Arial"/>
                <w:sz w:val="27"/>
                <w:szCs w:val="27"/>
                <w:color w:val="auto"/>
                <w:vertAlign w:val="superscript"/>
              </w:rPr>
              <w:t>th</w:t>
            </w:r>
            <w:r>
              <w:rPr>
                <w:rFonts w:ascii="Arial" w:cs="Arial" w:eastAsia="Arial" w:hAnsi="Arial"/>
                <w:sz w:val="16"/>
                <w:szCs w:val="16"/>
                <w:color w:val="auto"/>
              </w:rPr>
              <w:t xml:space="preserve"> Percentile</w:t>
            </w:r>
          </w:p>
        </w:tc>
      </w:tr>
    </w:tbl>
    <w:p>
      <w:pPr>
        <w:spacing w:after="0" w:line="195" w:lineRule="exact"/>
        <w:rPr>
          <w:sz w:val="20"/>
          <w:szCs w:val="20"/>
          <w:color w:val="auto"/>
        </w:rPr>
      </w:pPr>
    </w:p>
    <w:p>
      <w:pPr>
        <w:jc w:val="both"/>
        <w:ind w:left="160"/>
        <w:spacing w:after="0" w:line="265" w:lineRule="auto"/>
        <w:rPr>
          <w:sz w:val="20"/>
          <w:szCs w:val="20"/>
          <w:color w:val="auto"/>
        </w:rPr>
      </w:pPr>
      <w:r>
        <w:rPr>
          <w:rFonts w:ascii="Arial" w:cs="Arial" w:eastAsia="Arial" w:hAnsi="Arial"/>
          <w:sz w:val="18"/>
          <w:szCs w:val="18"/>
          <w:color w:val="auto"/>
        </w:rPr>
        <w:t>For the 2019 PBRSU Performance Period, the Company’s revenue and Relative TSR were $10.8 billion and the 42.5</w:t>
      </w:r>
      <w:r>
        <w:rPr>
          <w:rFonts w:ascii="Arial" w:cs="Arial" w:eastAsia="Arial" w:hAnsi="Arial"/>
          <w:sz w:val="15"/>
          <w:szCs w:val="15"/>
          <w:color w:val="auto"/>
        </w:rPr>
        <w:t>th</w:t>
      </w:r>
      <w:r>
        <w:rPr>
          <w:rFonts w:ascii="Arial" w:cs="Arial" w:eastAsia="Arial" w:hAnsi="Arial"/>
          <w:sz w:val="18"/>
          <w:szCs w:val="18"/>
          <w:color w:val="auto"/>
        </w:rPr>
        <w:t xml:space="preserve"> percentile, respectively, resulting in an attainment level of 0%.</w:t>
      </w:r>
    </w:p>
    <w:p>
      <w:pPr>
        <w:spacing w:after="0" w:line="158" w:lineRule="exact"/>
        <w:rPr>
          <w:sz w:val="20"/>
          <w:szCs w:val="20"/>
          <w:color w:val="auto"/>
        </w:rPr>
      </w:pPr>
    </w:p>
    <w:p>
      <w:pPr>
        <w:jc w:val="both"/>
        <w:ind w:left="160"/>
        <w:spacing w:after="0" w:line="249" w:lineRule="auto"/>
        <w:rPr>
          <w:sz w:val="20"/>
          <w:szCs w:val="20"/>
          <w:color w:val="auto"/>
        </w:rPr>
      </w:pPr>
      <w:r>
        <w:rPr>
          <w:rFonts w:ascii="Arial" w:cs="Arial" w:eastAsia="Arial" w:hAnsi="Arial"/>
          <w:sz w:val="18"/>
          <w:szCs w:val="18"/>
          <w:b w:val="1"/>
          <w:bCs w:val="1"/>
          <w:i w:val="1"/>
          <w:iCs w:val="1"/>
          <w:color w:val="auto"/>
        </w:rPr>
        <w:t>2019 Awards of RSUs</w:t>
      </w:r>
      <w:r>
        <w:rPr>
          <w:rFonts w:ascii="Arial" w:cs="Arial" w:eastAsia="Arial" w:hAnsi="Arial"/>
          <w:sz w:val="18"/>
          <w:szCs w:val="18"/>
          <w:color w:val="auto"/>
        </w:rPr>
        <w:t>. The 2019 awards of RSUs vested annually in equal amounts over a three-year period on each anniversary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grant date through March 4, 2022. The design and terms of the 2019 RSU awards to our NEOs were generally consistent with those under the 2020 RSU awards described above.</w:t>
      </w:r>
    </w:p>
    <w:p>
      <w:pPr>
        <w:spacing w:after="0" w:line="114" w:lineRule="exact"/>
        <w:rPr>
          <w:sz w:val="20"/>
          <w:szCs w:val="20"/>
          <w:color w:val="auto"/>
        </w:rPr>
      </w:pPr>
    </w:p>
    <w:p>
      <w:pPr>
        <w:ind w:left="8820"/>
        <w:spacing w:after="0"/>
        <w:tabs>
          <w:tab w:leader="none" w:pos="10900" w:val="left"/>
        </w:tabs>
        <w:rPr>
          <w:sz w:val="20"/>
          <w:szCs w:val="20"/>
          <w:color w:val="auto"/>
        </w:rPr>
      </w:pPr>
      <w:r>
        <w:rPr>
          <w:rFonts w:ascii="Arial" w:cs="Arial" w:eastAsia="Arial" w:hAnsi="Arial"/>
          <w:sz w:val="14"/>
          <w:szCs w:val="14"/>
          <w:color w:val="F75E14"/>
        </w:rPr>
        <w:t>onsemi 2022 Proxy Statement</w:t>
        <w:tab/>
        <w:t>55</w:t>
      </w:r>
    </w:p>
    <w:p>
      <w:pPr>
        <w:sectPr>
          <w:pgSz w:w="11900" w:h="16838" w:orient="portrait"/>
          <w:cols w:equalWidth="0" w:num="1">
            <w:col w:w="11080"/>
          </w:cols>
          <w:pgMar w:left="320" w:top="454" w:right="499" w:bottom="1440" w:gutter="0" w:footer="0" w:header="0"/>
        </w:sectPr>
      </w:pPr>
    </w:p>
    <w:bookmarkStart w:id="59" w:name="page60"/>
    <w:bookmarkEnd w:id="5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2" w:lineRule="exact"/>
        <w:rPr>
          <w:sz w:val="20"/>
          <w:szCs w:val="20"/>
          <w:color w:val="auto"/>
        </w:rPr>
      </w:pPr>
    </w:p>
    <w:p>
      <w:pPr>
        <w:ind w:left="160"/>
        <w:spacing w:after="0"/>
        <w:rPr>
          <w:sz w:val="20"/>
          <w:szCs w:val="20"/>
          <w:color w:val="auto"/>
        </w:rPr>
      </w:pPr>
      <w:r>
        <w:rPr>
          <w:rFonts w:ascii="Arial" w:cs="Arial" w:eastAsia="Arial" w:hAnsi="Arial"/>
          <w:sz w:val="18"/>
          <w:szCs w:val="18"/>
          <w:color w:val="F75E14"/>
        </w:rPr>
        <w:t>Compensation of Executive Officers</w:t>
      </w:r>
    </w:p>
    <w:p>
      <w:pPr>
        <w:spacing w:after="0" w:line="135" w:lineRule="exact"/>
        <w:rPr>
          <w:sz w:val="20"/>
          <w:szCs w:val="20"/>
          <w:color w:val="auto"/>
        </w:rPr>
      </w:pPr>
    </w:p>
    <w:p>
      <w:pPr>
        <w:jc w:val="both"/>
        <w:ind w:left="160"/>
        <w:spacing w:after="0" w:line="292" w:lineRule="auto"/>
        <w:rPr>
          <w:sz w:val="20"/>
          <w:szCs w:val="20"/>
          <w:color w:val="auto"/>
        </w:rPr>
      </w:pPr>
      <w:r>
        <w:rPr>
          <w:rFonts w:ascii="Arial" w:cs="Arial" w:eastAsia="Arial" w:hAnsi="Arial"/>
          <w:sz w:val="25"/>
          <w:szCs w:val="25"/>
          <w:b w:val="1"/>
          <w:bCs w:val="1"/>
          <w:color w:val="2B4772"/>
        </w:rPr>
        <w:t>Other Material Factors — Summary Compensation Table and Grants of Plan-Based Awards in 2021 Table</w:t>
      </w:r>
    </w:p>
    <w:p>
      <w:pPr>
        <w:spacing w:after="0" w:line="2" w:lineRule="exact"/>
        <w:rPr>
          <w:sz w:val="20"/>
          <w:szCs w:val="20"/>
          <w:color w:val="auto"/>
        </w:rPr>
      </w:pPr>
    </w:p>
    <w:p>
      <w:pPr>
        <w:jc w:val="both"/>
        <w:ind w:left="160"/>
        <w:spacing w:after="0"/>
        <w:rPr>
          <w:sz w:val="20"/>
          <w:szCs w:val="20"/>
          <w:color w:val="auto"/>
        </w:rPr>
      </w:pPr>
      <w:r>
        <w:rPr>
          <w:rFonts w:ascii="Arial" w:cs="Arial" w:eastAsia="Arial" w:hAnsi="Arial"/>
          <w:sz w:val="18"/>
          <w:szCs w:val="18"/>
          <w:color w:val="auto"/>
        </w:rPr>
        <w:t>For additional information regarding the material terms of each NEO’s employment agreement, see “Employment, Severance and Change in Control Arrangements” in this proxy statement. For additional information regarding other material factors related to the Summary Compensation Table and Grants of Plan-Based Awards in 2021 Table, including, but not limited to, an explanation of the amount of salary and bonus in proportion to total compensation, please refer to the “Elements of Our Compensation Program — Base Salary” and “Elements of Our Compensation Program — Short-Term Cash Incentive Program” sections of the CD&amp;A.</w:t>
      </w:r>
    </w:p>
    <w:p>
      <w:pPr>
        <w:spacing w:after="0" w:line="176"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2B4772"/>
        </w:rPr>
        <w:t>Outstanding Equity Awards at Fiscal Year-End 2021</w:t>
      </w:r>
    </w:p>
    <w:p>
      <w:pPr>
        <w:spacing w:after="0" w:line="272" w:lineRule="exact"/>
        <w:rPr>
          <w:sz w:val="20"/>
          <w:szCs w:val="20"/>
          <w:color w:val="auto"/>
        </w:rPr>
      </w:pPr>
    </w:p>
    <w:tbl>
      <w:tblPr>
        <w:tblLayout w:type="fixed"/>
        <w:tblInd w:w="280" w:type="dxa"/>
        <w:tblCellMar>
          <w:top w:w="0" w:type="dxa"/>
          <w:left w:w="0" w:type="dxa"/>
          <w:bottom w:w="0" w:type="dxa"/>
          <w:right w:w="0" w:type="dxa"/>
        </w:tblCellMar>
      </w:tblPr>
      <w:tr>
        <w:trPr>
          <w:trHeight w:val="215"/>
        </w:trPr>
        <w:tc>
          <w:tcPr>
            <w:tcW w:w="3580" w:type="dxa"/>
            <w:vAlign w:val="bottom"/>
            <w:shd w:val="clear" w:color="auto" w:fill="F75E14"/>
          </w:tcPr>
          <w:p>
            <w:pPr>
              <w:spacing w:after="0"/>
              <w:rPr>
                <w:sz w:val="18"/>
                <w:szCs w:val="18"/>
                <w:color w:val="auto"/>
              </w:rPr>
            </w:pPr>
          </w:p>
        </w:tc>
        <w:tc>
          <w:tcPr>
            <w:tcW w:w="800" w:type="dxa"/>
            <w:vAlign w:val="bottom"/>
            <w:shd w:val="clear" w:color="auto" w:fill="F75E14"/>
          </w:tcPr>
          <w:p>
            <w:pPr>
              <w:spacing w:after="0"/>
              <w:rPr>
                <w:sz w:val="18"/>
                <w:szCs w:val="18"/>
                <w:color w:val="auto"/>
              </w:rPr>
            </w:pPr>
          </w:p>
        </w:tc>
        <w:tc>
          <w:tcPr>
            <w:tcW w:w="1500" w:type="dxa"/>
            <w:vAlign w:val="bottom"/>
            <w:shd w:val="clear" w:color="auto" w:fill="F75E14"/>
          </w:tcPr>
          <w:p>
            <w:pPr>
              <w:ind w:left="420"/>
              <w:spacing w:after="0"/>
              <w:rPr>
                <w:sz w:val="20"/>
                <w:szCs w:val="20"/>
                <w:color w:val="auto"/>
              </w:rPr>
            </w:pPr>
            <w:r>
              <w:rPr>
                <w:rFonts w:ascii="Arial" w:cs="Arial" w:eastAsia="Arial" w:hAnsi="Arial"/>
                <w:sz w:val="14"/>
                <w:szCs w:val="14"/>
                <w:b w:val="1"/>
                <w:bCs w:val="1"/>
                <w:color w:val="FFFFFF"/>
              </w:rPr>
              <w:t>Stock Awards</w:t>
            </w:r>
          </w:p>
        </w:tc>
        <w:tc>
          <w:tcPr>
            <w:tcW w:w="1640" w:type="dxa"/>
            <w:vAlign w:val="bottom"/>
            <w:shd w:val="clear" w:color="auto" w:fill="F75E14"/>
          </w:tcPr>
          <w:p>
            <w:pPr>
              <w:spacing w:after="0"/>
              <w:rPr>
                <w:sz w:val="18"/>
                <w:szCs w:val="18"/>
                <w:color w:val="auto"/>
              </w:rPr>
            </w:pPr>
          </w:p>
        </w:tc>
        <w:tc>
          <w:tcPr>
            <w:tcW w:w="1520" w:type="dxa"/>
            <w:vAlign w:val="bottom"/>
            <w:shd w:val="clear" w:color="auto" w:fill="F75E14"/>
          </w:tcPr>
          <w:p>
            <w:pPr>
              <w:spacing w:after="0"/>
              <w:rPr>
                <w:sz w:val="18"/>
                <w:szCs w:val="18"/>
                <w:color w:val="auto"/>
              </w:rPr>
            </w:pPr>
          </w:p>
        </w:tc>
        <w:tc>
          <w:tcPr>
            <w:tcW w:w="1660" w:type="dxa"/>
            <w:vAlign w:val="bottom"/>
            <w:vMerge w:val="restart"/>
            <w:shd w:val="clear" w:color="auto" w:fill="F75E14"/>
          </w:tcPr>
          <w:p>
            <w:pPr>
              <w:jc w:val="center"/>
              <w:ind w:right="49"/>
              <w:spacing w:after="0"/>
              <w:rPr>
                <w:sz w:val="20"/>
                <w:szCs w:val="20"/>
                <w:color w:val="auto"/>
              </w:rPr>
            </w:pPr>
            <w:r>
              <w:rPr>
                <w:rFonts w:ascii="Arial" w:cs="Arial" w:eastAsia="Arial" w:hAnsi="Arial"/>
                <w:sz w:val="14"/>
                <w:szCs w:val="14"/>
                <w:b w:val="1"/>
                <w:bCs w:val="1"/>
                <w:color w:val="FFFFFF"/>
              </w:rPr>
              <w:t>Equity Incentive Plan</w:t>
            </w:r>
          </w:p>
        </w:tc>
        <w:tc>
          <w:tcPr>
            <w:tcW w:w="0" w:type="dxa"/>
            <w:vAlign w:val="bottom"/>
          </w:tcPr>
          <w:p>
            <w:pPr>
              <w:spacing w:after="0"/>
              <w:rPr>
                <w:sz w:val="1"/>
                <w:szCs w:val="1"/>
                <w:color w:val="auto"/>
              </w:rPr>
            </w:pPr>
          </w:p>
        </w:tc>
      </w:tr>
      <w:tr>
        <w:trPr>
          <w:trHeight w:val="97"/>
        </w:trPr>
        <w:tc>
          <w:tcPr>
            <w:tcW w:w="3580" w:type="dxa"/>
            <w:vAlign w:val="bottom"/>
            <w:shd w:val="clear" w:color="auto" w:fill="F75E14"/>
          </w:tcPr>
          <w:p>
            <w:pPr>
              <w:spacing w:after="0"/>
              <w:rPr>
                <w:sz w:val="8"/>
                <w:szCs w:val="8"/>
                <w:color w:val="auto"/>
              </w:rPr>
            </w:pPr>
          </w:p>
        </w:tc>
        <w:tc>
          <w:tcPr>
            <w:tcW w:w="800" w:type="dxa"/>
            <w:vAlign w:val="bottom"/>
            <w:shd w:val="clear" w:color="auto" w:fill="F75E14"/>
          </w:tcPr>
          <w:p>
            <w:pPr>
              <w:spacing w:after="0"/>
              <w:rPr>
                <w:sz w:val="8"/>
                <w:szCs w:val="8"/>
                <w:color w:val="auto"/>
              </w:rPr>
            </w:pPr>
          </w:p>
        </w:tc>
        <w:tc>
          <w:tcPr>
            <w:tcW w:w="1500" w:type="dxa"/>
            <w:vAlign w:val="bottom"/>
            <w:shd w:val="clear" w:color="auto" w:fill="F75E14"/>
          </w:tcPr>
          <w:p>
            <w:pPr>
              <w:spacing w:after="0"/>
              <w:rPr>
                <w:sz w:val="8"/>
                <w:szCs w:val="8"/>
                <w:color w:val="auto"/>
              </w:rPr>
            </w:pPr>
          </w:p>
        </w:tc>
        <w:tc>
          <w:tcPr>
            <w:tcW w:w="1640" w:type="dxa"/>
            <w:vAlign w:val="bottom"/>
            <w:shd w:val="clear" w:color="auto" w:fill="F75E14"/>
          </w:tcPr>
          <w:p>
            <w:pPr>
              <w:spacing w:after="0"/>
              <w:rPr>
                <w:sz w:val="8"/>
                <w:szCs w:val="8"/>
                <w:color w:val="auto"/>
              </w:rPr>
            </w:pPr>
          </w:p>
        </w:tc>
        <w:tc>
          <w:tcPr>
            <w:tcW w:w="1520" w:type="dxa"/>
            <w:vAlign w:val="bottom"/>
            <w:shd w:val="clear" w:color="auto" w:fill="F75E14"/>
          </w:tcPr>
          <w:p>
            <w:pPr>
              <w:spacing w:after="0"/>
              <w:rPr>
                <w:sz w:val="8"/>
                <w:szCs w:val="8"/>
                <w:color w:val="auto"/>
              </w:rPr>
            </w:pPr>
          </w:p>
        </w:tc>
        <w:tc>
          <w:tcPr>
            <w:tcW w:w="1660" w:type="dxa"/>
            <w:vAlign w:val="bottom"/>
            <w:vMerge w:val="continue"/>
            <w:shd w:val="clear" w:color="auto" w:fill="F75E14"/>
          </w:tcPr>
          <w:p>
            <w:pPr>
              <w:spacing w:after="0"/>
              <w:rPr>
                <w:sz w:val="8"/>
                <w:szCs w:val="8"/>
                <w:color w:val="auto"/>
              </w:rPr>
            </w:pPr>
          </w:p>
        </w:tc>
        <w:tc>
          <w:tcPr>
            <w:tcW w:w="0" w:type="dxa"/>
            <w:vAlign w:val="bottom"/>
          </w:tcPr>
          <w:p>
            <w:pPr>
              <w:spacing w:after="0"/>
              <w:rPr>
                <w:sz w:val="1"/>
                <w:szCs w:val="1"/>
                <w:color w:val="auto"/>
              </w:rPr>
            </w:pPr>
          </w:p>
        </w:tc>
      </w:tr>
      <w:tr>
        <w:trPr>
          <w:trHeight w:val="160"/>
        </w:trPr>
        <w:tc>
          <w:tcPr>
            <w:tcW w:w="3580" w:type="dxa"/>
            <w:vAlign w:val="bottom"/>
            <w:shd w:val="clear" w:color="auto" w:fill="F75E14"/>
          </w:tcPr>
          <w:p>
            <w:pPr>
              <w:spacing w:after="0"/>
              <w:rPr>
                <w:sz w:val="13"/>
                <w:szCs w:val="13"/>
                <w:color w:val="auto"/>
              </w:rPr>
            </w:pPr>
          </w:p>
        </w:tc>
        <w:tc>
          <w:tcPr>
            <w:tcW w:w="800" w:type="dxa"/>
            <w:vAlign w:val="bottom"/>
            <w:shd w:val="clear" w:color="auto" w:fill="F75E14"/>
          </w:tcPr>
          <w:p>
            <w:pPr>
              <w:spacing w:after="0"/>
              <w:rPr>
                <w:sz w:val="13"/>
                <w:szCs w:val="13"/>
                <w:color w:val="auto"/>
              </w:rPr>
            </w:pPr>
          </w:p>
        </w:tc>
        <w:tc>
          <w:tcPr>
            <w:tcW w:w="1500" w:type="dxa"/>
            <w:vAlign w:val="bottom"/>
            <w:shd w:val="clear" w:color="auto" w:fill="F75E14"/>
          </w:tcPr>
          <w:p>
            <w:pPr>
              <w:spacing w:after="0"/>
              <w:rPr>
                <w:sz w:val="13"/>
                <w:szCs w:val="13"/>
                <w:color w:val="auto"/>
              </w:rPr>
            </w:pPr>
          </w:p>
        </w:tc>
        <w:tc>
          <w:tcPr>
            <w:tcW w:w="1640" w:type="dxa"/>
            <w:vAlign w:val="bottom"/>
            <w:shd w:val="clear" w:color="auto" w:fill="F75E14"/>
          </w:tcPr>
          <w:p>
            <w:pPr>
              <w:spacing w:after="0"/>
              <w:rPr>
                <w:sz w:val="13"/>
                <w:szCs w:val="13"/>
                <w:color w:val="auto"/>
              </w:rPr>
            </w:pPr>
          </w:p>
        </w:tc>
        <w:tc>
          <w:tcPr>
            <w:tcW w:w="1520" w:type="dxa"/>
            <w:vAlign w:val="bottom"/>
            <w:shd w:val="clear" w:color="auto" w:fill="F75E14"/>
          </w:tcPr>
          <w:p>
            <w:pPr>
              <w:jc w:val="center"/>
              <w:spacing w:after="0"/>
              <w:rPr>
                <w:sz w:val="20"/>
                <w:szCs w:val="20"/>
                <w:color w:val="auto"/>
              </w:rPr>
            </w:pPr>
            <w:r>
              <w:rPr>
                <w:rFonts w:ascii="Arial" w:cs="Arial" w:eastAsia="Arial" w:hAnsi="Arial"/>
                <w:sz w:val="14"/>
                <w:szCs w:val="14"/>
                <w:b w:val="1"/>
                <w:bCs w:val="1"/>
                <w:color w:val="FFFFFF"/>
              </w:rPr>
              <w:t>Equity Incentive Plan</w:t>
            </w:r>
          </w:p>
        </w:tc>
        <w:tc>
          <w:tcPr>
            <w:tcW w:w="1660" w:type="dxa"/>
            <w:vAlign w:val="bottom"/>
            <w:shd w:val="clear" w:color="auto" w:fill="F75E14"/>
          </w:tcPr>
          <w:p>
            <w:pPr>
              <w:jc w:val="center"/>
              <w:ind w:right="29"/>
              <w:spacing w:after="0"/>
              <w:rPr>
                <w:sz w:val="20"/>
                <w:szCs w:val="20"/>
                <w:color w:val="auto"/>
              </w:rPr>
            </w:pPr>
            <w:r>
              <w:rPr>
                <w:rFonts w:ascii="Arial" w:cs="Arial" w:eastAsia="Arial" w:hAnsi="Arial"/>
                <w:sz w:val="14"/>
                <w:szCs w:val="14"/>
                <w:b w:val="1"/>
                <w:bCs w:val="1"/>
                <w:color w:val="FFFFFF"/>
              </w:rPr>
              <w:t>Awards: Market or</w:t>
            </w:r>
          </w:p>
        </w:tc>
        <w:tc>
          <w:tcPr>
            <w:tcW w:w="0" w:type="dxa"/>
            <w:vAlign w:val="bottom"/>
          </w:tcPr>
          <w:p>
            <w:pPr>
              <w:spacing w:after="0"/>
              <w:rPr>
                <w:sz w:val="1"/>
                <w:szCs w:val="1"/>
                <w:color w:val="auto"/>
              </w:rPr>
            </w:pPr>
          </w:p>
        </w:tc>
      </w:tr>
      <w:tr>
        <w:trPr>
          <w:trHeight w:val="160"/>
        </w:trPr>
        <w:tc>
          <w:tcPr>
            <w:tcW w:w="3580" w:type="dxa"/>
            <w:vAlign w:val="bottom"/>
            <w:shd w:val="clear" w:color="auto" w:fill="F75E14"/>
          </w:tcPr>
          <w:p>
            <w:pPr>
              <w:spacing w:after="0"/>
              <w:rPr>
                <w:sz w:val="13"/>
                <w:szCs w:val="13"/>
                <w:color w:val="auto"/>
              </w:rPr>
            </w:pPr>
          </w:p>
        </w:tc>
        <w:tc>
          <w:tcPr>
            <w:tcW w:w="800" w:type="dxa"/>
            <w:vAlign w:val="bottom"/>
            <w:shd w:val="clear" w:color="auto" w:fill="F75E14"/>
          </w:tcPr>
          <w:p>
            <w:pPr>
              <w:spacing w:after="0"/>
              <w:rPr>
                <w:sz w:val="13"/>
                <w:szCs w:val="13"/>
                <w:color w:val="auto"/>
              </w:rPr>
            </w:pPr>
          </w:p>
        </w:tc>
        <w:tc>
          <w:tcPr>
            <w:tcW w:w="1500" w:type="dxa"/>
            <w:vAlign w:val="bottom"/>
            <w:shd w:val="clear" w:color="auto" w:fill="F75E14"/>
          </w:tcPr>
          <w:p>
            <w:pPr>
              <w:spacing w:after="0"/>
              <w:rPr>
                <w:sz w:val="13"/>
                <w:szCs w:val="13"/>
                <w:color w:val="auto"/>
              </w:rPr>
            </w:pPr>
          </w:p>
        </w:tc>
        <w:tc>
          <w:tcPr>
            <w:tcW w:w="1640" w:type="dxa"/>
            <w:vAlign w:val="bottom"/>
            <w:shd w:val="clear" w:color="auto" w:fill="F75E14"/>
          </w:tcPr>
          <w:p>
            <w:pPr>
              <w:spacing w:after="0"/>
              <w:rPr>
                <w:sz w:val="13"/>
                <w:szCs w:val="13"/>
                <w:color w:val="auto"/>
              </w:rPr>
            </w:pPr>
          </w:p>
        </w:tc>
        <w:tc>
          <w:tcPr>
            <w:tcW w:w="1520" w:type="dxa"/>
            <w:vAlign w:val="bottom"/>
            <w:shd w:val="clear" w:color="auto" w:fill="F75E14"/>
          </w:tcPr>
          <w:p>
            <w:pPr>
              <w:jc w:val="center"/>
              <w:spacing w:after="0"/>
              <w:rPr>
                <w:sz w:val="20"/>
                <w:szCs w:val="20"/>
                <w:color w:val="auto"/>
              </w:rPr>
            </w:pPr>
            <w:r>
              <w:rPr>
                <w:rFonts w:ascii="Arial" w:cs="Arial" w:eastAsia="Arial" w:hAnsi="Arial"/>
                <w:sz w:val="14"/>
                <w:szCs w:val="14"/>
                <w:b w:val="1"/>
                <w:bCs w:val="1"/>
                <w:color w:val="FFFFFF"/>
              </w:rPr>
              <w:t>Awards: Number of</w:t>
            </w:r>
          </w:p>
        </w:tc>
        <w:tc>
          <w:tcPr>
            <w:tcW w:w="1660" w:type="dxa"/>
            <w:vAlign w:val="bottom"/>
            <w:shd w:val="clear" w:color="auto" w:fill="F75E14"/>
          </w:tcPr>
          <w:p>
            <w:pPr>
              <w:jc w:val="center"/>
              <w:ind w:right="49"/>
              <w:spacing w:after="0"/>
              <w:rPr>
                <w:sz w:val="20"/>
                <w:szCs w:val="20"/>
                <w:color w:val="auto"/>
              </w:rPr>
            </w:pPr>
            <w:r>
              <w:rPr>
                <w:rFonts w:ascii="Arial" w:cs="Arial" w:eastAsia="Arial" w:hAnsi="Arial"/>
                <w:sz w:val="14"/>
                <w:szCs w:val="14"/>
                <w:b w:val="1"/>
                <w:bCs w:val="1"/>
                <w:color w:val="FFFFFF"/>
              </w:rPr>
              <w:t>Payout Value of</w:t>
            </w:r>
          </w:p>
        </w:tc>
        <w:tc>
          <w:tcPr>
            <w:tcW w:w="0" w:type="dxa"/>
            <w:vAlign w:val="bottom"/>
          </w:tcPr>
          <w:p>
            <w:pPr>
              <w:spacing w:after="0"/>
              <w:rPr>
                <w:sz w:val="1"/>
                <w:szCs w:val="1"/>
                <w:color w:val="auto"/>
              </w:rPr>
            </w:pPr>
          </w:p>
        </w:tc>
      </w:tr>
      <w:tr>
        <w:trPr>
          <w:trHeight w:val="160"/>
        </w:trPr>
        <w:tc>
          <w:tcPr>
            <w:tcW w:w="3580" w:type="dxa"/>
            <w:vAlign w:val="bottom"/>
            <w:shd w:val="clear" w:color="auto" w:fill="F75E14"/>
          </w:tcPr>
          <w:p>
            <w:pPr>
              <w:spacing w:after="0"/>
              <w:rPr>
                <w:sz w:val="13"/>
                <w:szCs w:val="13"/>
                <w:color w:val="auto"/>
              </w:rPr>
            </w:pPr>
          </w:p>
        </w:tc>
        <w:tc>
          <w:tcPr>
            <w:tcW w:w="800" w:type="dxa"/>
            <w:vAlign w:val="bottom"/>
            <w:shd w:val="clear" w:color="auto" w:fill="F75E14"/>
          </w:tcPr>
          <w:p>
            <w:pPr>
              <w:spacing w:after="0"/>
              <w:rPr>
                <w:sz w:val="13"/>
                <w:szCs w:val="13"/>
                <w:color w:val="auto"/>
              </w:rPr>
            </w:pPr>
          </w:p>
        </w:tc>
        <w:tc>
          <w:tcPr>
            <w:tcW w:w="3140" w:type="dxa"/>
            <w:vAlign w:val="bottom"/>
            <w:gridSpan w:val="2"/>
            <w:shd w:val="clear" w:color="auto" w:fill="F75E14"/>
          </w:tcPr>
          <w:p>
            <w:pPr>
              <w:ind w:left="60"/>
              <w:spacing w:after="0"/>
              <w:rPr>
                <w:sz w:val="20"/>
                <w:szCs w:val="20"/>
                <w:color w:val="auto"/>
              </w:rPr>
            </w:pPr>
            <w:r>
              <w:rPr>
                <w:rFonts w:ascii="Arial" w:cs="Arial" w:eastAsia="Arial" w:hAnsi="Arial"/>
                <w:sz w:val="14"/>
                <w:szCs w:val="14"/>
                <w:b w:val="1"/>
                <w:bCs w:val="1"/>
                <w:color w:val="FFFFFF"/>
              </w:rPr>
              <w:t>Number of Shares or Market Value of Shares</w:t>
            </w:r>
          </w:p>
        </w:tc>
        <w:tc>
          <w:tcPr>
            <w:tcW w:w="1520" w:type="dxa"/>
            <w:vAlign w:val="bottom"/>
            <w:shd w:val="clear" w:color="auto" w:fill="F75E14"/>
          </w:tcPr>
          <w:p>
            <w:pPr>
              <w:jc w:val="center"/>
              <w:spacing w:after="0"/>
              <w:rPr>
                <w:sz w:val="20"/>
                <w:szCs w:val="20"/>
                <w:color w:val="auto"/>
              </w:rPr>
            </w:pPr>
            <w:r>
              <w:rPr>
                <w:rFonts w:ascii="Arial" w:cs="Arial" w:eastAsia="Arial" w:hAnsi="Arial"/>
                <w:sz w:val="14"/>
                <w:szCs w:val="14"/>
                <w:b w:val="1"/>
                <w:bCs w:val="1"/>
                <w:color w:val="FFFFFF"/>
              </w:rPr>
              <w:t>Unearned Shares,</w:t>
            </w:r>
          </w:p>
        </w:tc>
        <w:tc>
          <w:tcPr>
            <w:tcW w:w="1660" w:type="dxa"/>
            <w:vAlign w:val="bottom"/>
            <w:shd w:val="clear" w:color="auto" w:fill="F75E14"/>
          </w:tcPr>
          <w:p>
            <w:pPr>
              <w:jc w:val="center"/>
              <w:ind w:right="49"/>
              <w:spacing w:after="0"/>
              <w:rPr>
                <w:sz w:val="20"/>
                <w:szCs w:val="20"/>
                <w:color w:val="auto"/>
              </w:rPr>
            </w:pPr>
            <w:r>
              <w:rPr>
                <w:rFonts w:ascii="Arial" w:cs="Arial" w:eastAsia="Arial" w:hAnsi="Arial"/>
                <w:sz w:val="14"/>
                <w:szCs w:val="14"/>
                <w:b w:val="1"/>
                <w:bCs w:val="1"/>
                <w:color w:val="FFFFFF"/>
              </w:rPr>
              <w:t>Unearned Shares,</w:t>
            </w:r>
          </w:p>
        </w:tc>
        <w:tc>
          <w:tcPr>
            <w:tcW w:w="0" w:type="dxa"/>
            <w:vAlign w:val="bottom"/>
          </w:tcPr>
          <w:p>
            <w:pPr>
              <w:spacing w:after="0"/>
              <w:rPr>
                <w:sz w:val="1"/>
                <w:szCs w:val="1"/>
                <w:color w:val="auto"/>
              </w:rPr>
            </w:pPr>
          </w:p>
        </w:tc>
      </w:tr>
      <w:tr>
        <w:trPr>
          <w:trHeight w:val="160"/>
        </w:trPr>
        <w:tc>
          <w:tcPr>
            <w:tcW w:w="3580" w:type="dxa"/>
            <w:vAlign w:val="bottom"/>
            <w:shd w:val="clear" w:color="auto" w:fill="F75E14"/>
          </w:tcPr>
          <w:p>
            <w:pPr>
              <w:spacing w:after="0"/>
              <w:rPr>
                <w:sz w:val="13"/>
                <w:szCs w:val="13"/>
                <w:color w:val="auto"/>
              </w:rPr>
            </w:pPr>
          </w:p>
        </w:tc>
        <w:tc>
          <w:tcPr>
            <w:tcW w:w="800" w:type="dxa"/>
            <w:vAlign w:val="bottom"/>
            <w:shd w:val="clear" w:color="auto" w:fill="F75E14"/>
          </w:tcPr>
          <w:p>
            <w:pPr>
              <w:spacing w:after="0"/>
              <w:rPr>
                <w:sz w:val="13"/>
                <w:szCs w:val="13"/>
                <w:color w:val="auto"/>
              </w:rPr>
            </w:pPr>
          </w:p>
        </w:tc>
        <w:tc>
          <w:tcPr>
            <w:tcW w:w="1500" w:type="dxa"/>
            <w:vAlign w:val="bottom"/>
            <w:shd w:val="clear" w:color="auto" w:fill="F75E14"/>
          </w:tcPr>
          <w:p>
            <w:pPr>
              <w:jc w:val="center"/>
              <w:spacing w:after="0"/>
              <w:rPr>
                <w:sz w:val="20"/>
                <w:szCs w:val="20"/>
                <w:color w:val="auto"/>
              </w:rPr>
            </w:pPr>
            <w:r>
              <w:rPr>
                <w:rFonts w:ascii="Arial" w:cs="Arial" w:eastAsia="Arial" w:hAnsi="Arial"/>
                <w:sz w:val="14"/>
                <w:szCs w:val="14"/>
                <w:b w:val="1"/>
                <w:bCs w:val="1"/>
                <w:color w:val="FFFFFF"/>
              </w:rPr>
              <w:t>Units of Stock That</w:t>
            </w:r>
          </w:p>
        </w:tc>
        <w:tc>
          <w:tcPr>
            <w:tcW w:w="1640" w:type="dxa"/>
            <w:vAlign w:val="bottom"/>
            <w:shd w:val="clear" w:color="auto" w:fill="F75E14"/>
          </w:tcPr>
          <w:p>
            <w:pPr>
              <w:jc w:val="center"/>
              <w:spacing w:after="0"/>
              <w:rPr>
                <w:sz w:val="20"/>
                <w:szCs w:val="20"/>
                <w:color w:val="auto"/>
              </w:rPr>
            </w:pPr>
            <w:r>
              <w:rPr>
                <w:rFonts w:ascii="Arial" w:cs="Arial" w:eastAsia="Arial" w:hAnsi="Arial"/>
                <w:sz w:val="14"/>
                <w:szCs w:val="14"/>
                <w:b w:val="1"/>
                <w:bCs w:val="1"/>
                <w:color w:val="FFFFFF"/>
              </w:rPr>
              <w:t>or Units of Stock That</w:t>
            </w:r>
          </w:p>
        </w:tc>
        <w:tc>
          <w:tcPr>
            <w:tcW w:w="1520" w:type="dxa"/>
            <w:vAlign w:val="bottom"/>
            <w:shd w:val="clear" w:color="auto" w:fill="F75E14"/>
          </w:tcPr>
          <w:p>
            <w:pPr>
              <w:jc w:val="center"/>
              <w:spacing w:after="0"/>
              <w:rPr>
                <w:sz w:val="20"/>
                <w:szCs w:val="20"/>
                <w:color w:val="auto"/>
              </w:rPr>
            </w:pPr>
            <w:r>
              <w:rPr>
                <w:rFonts w:ascii="Arial" w:cs="Arial" w:eastAsia="Arial" w:hAnsi="Arial"/>
                <w:sz w:val="14"/>
                <w:szCs w:val="14"/>
                <w:b w:val="1"/>
                <w:bCs w:val="1"/>
                <w:color w:val="FFFFFF"/>
              </w:rPr>
              <w:t>Units or Other Rights</w:t>
            </w:r>
          </w:p>
        </w:tc>
        <w:tc>
          <w:tcPr>
            <w:tcW w:w="1660" w:type="dxa"/>
            <w:vAlign w:val="bottom"/>
            <w:shd w:val="clear" w:color="auto" w:fill="F75E14"/>
          </w:tcPr>
          <w:p>
            <w:pPr>
              <w:jc w:val="center"/>
              <w:ind w:right="29"/>
              <w:spacing w:after="0"/>
              <w:rPr>
                <w:sz w:val="20"/>
                <w:szCs w:val="20"/>
                <w:color w:val="auto"/>
              </w:rPr>
            </w:pPr>
            <w:r>
              <w:rPr>
                <w:rFonts w:ascii="Arial" w:cs="Arial" w:eastAsia="Arial" w:hAnsi="Arial"/>
                <w:sz w:val="14"/>
                <w:szCs w:val="14"/>
                <w:b w:val="1"/>
                <w:bCs w:val="1"/>
                <w:color w:val="FFFFFF"/>
              </w:rPr>
              <w:t>Units or Other Rights</w:t>
            </w:r>
          </w:p>
        </w:tc>
        <w:tc>
          <w:tcPr>
            <w:tcW w:w="0" w:type="dxa"/>
            <w:vAlign w:val="bottom"/>
          </w:tcPr>
          <w:p>
            <w:pPr>
              <w:spacing w:after="0"/>
              <w:rPr>
                <w:sz w:val="1"/>
                <w:szCs w:val="1"/>
                <w:color w:val="auto"/>
              </w:rPr>
            </w:pPr>
          </w:p>
        </w:tc>
      </w:tr>
      <w:tr>
        <w:trPr>
          <w:trHeight w:val="160"/>
        </w:trPr>
        <w:tc>
          <w:tcPr>
            <w:tcW w:w="3580" w:type="dxa"/>
            <w:vAlign w:val="bottom"/>
            <w:shd w:val="clear" w:color="auto" w:fill="F75E14"/>
          </w:tcPr>
          <w:p>
            <w:pPr>
              <w:spacing w:after="0"/>
              <w:rPr>
                <w:sz w:val="13"/>
                <w:szCs w:val="13"/>
                <w:color w:val="auto"/>
              </w:rPr>
            </w:pPr>
          </w:p>
        </w:tc>
        <w:tc>
          <w:tcPr>
            <w:tcW w:w="800" w:type="dxa"/>
            <w:vAlign w:val="bottom"/>
            <w:shd w:val="clear" w:color="auto" w:fill="F75E14"/>
          </w:tcPr>
          <w:p>
            <w:pPr>
              <w:spacing w:after="0"/>
              <w:rPr>
                <w:sz w:val="13"/>
                <w:szCs w:val="13"/>
                <w:color w:val="auto"/>
              </w:rPr>
            </w:pPr>
          </w:p>
        </w:tc>
        <w:tc>
          <w:tcPr>
            <w:tcW w:w="1500" w:type="dxa"/>
            <w:vAlign w:val="bottom"/>
            <w:shd w:val="clear" w:color="auto" w:fill="F75E14"/>
          </w:tcPr>
          <w:p>
            <w:pPr>
              <w:jc w:val="center"/>
              <w:spacing w:after="0"/>
              <w:rPr>
                <w:sz w:val="20"/>
                <w:szCs w:val="20"/>
                <w:color w:val="auto"/>
              </w:rPr>
            </w:pPr>
            <w:r>
              <w:rPr>
                <w:rFonts w:ascii="Arial" w:cs="Arial" w:eastAsia="Arial" w:hAnsi="Arial"/>
                <w:sz w:val="14"/>
                <w:szCs w:val="14"/>
                <w:b w:val="1"/>
                <w:bCs w:val="1"/>
                <w:color w:val="FFFFFF"/>
                <w:w w:val="99"/>
              </w:rPr>
              <w:t>Have Not Vested</w:t>
            </w:r>
          </w:p>
        </w:tc>
        <w:tc>
          <w:tcPr>
            <w:tcW w:w="1640" w:type="dxa"/>
            <w:vAlign w:val="bottom"/>
            <w:shd w:val="clear" w:color="auto" w:fill="F75E14"/>
          </w:tcPr>
          <w:p>
            <w:pPr>
              <w:jc w:val="center"/>
              <w:spacing w:after="0"/>
              <w:rPr>
                <w:sz w:val="20"/>
                <w:szCs w:val="20"/>
                <w:color w:val="auto"/>
              </w:rPr>
            </w:pPr>
            <w:r>
              <w:rPr>
                <w:rFonts w:ascii="Arial" w:cs="Arial" w:eastAsia="Arial" w:hAnsi="Arial"/>
                <w:sz w:val="14"/>
                <w:szCs w:val="14"/>
                <w:b w:val="1"/>
                <w:bCs w:val="1"/>
                <w:color w:val="FFFFFF"/>
              </w:rPr>
              <w:t>Have Not Vested</w:t>
            </w:r>
          </w:p>
        </w:tc>
        <w:tc>
          <w:tcPr>
            <w:tcW w:w="3180" w:type="dxa"/>
            <w:vAlign w:val="bottom"/>
            <w:gridSpan w:val="2"/>
            <w:shd w:val="clear" w:color="auto" w:fill="F75E14"/>
          </w:tcPr>
          <w:p>
            <w:pPr>
              <w:ind w:left="40"/>
              <w:spacing w:after="0"/>
              <w:rPr>
                <w:sz w:val="20"/>
                <w:szCs w:val="20"/>
                <w:color w:val="auto"/>
              </w:rPr>
            </w:pPr>
            <w:r>
              <w:rPr>
                <w:rFonts w:ascii="Arial" w:cs="Arial" w:eastAsia="Arial" w:hAnsi="Arial"/>
                <w:sz w:val="14"/>
                <w:szCs w:val="14"/>
                <w:b w:val="1"/>
                <w:bCs w:val="1"/>
                <w:color w:val="FFFFFF"/>
              </w:rPr>
              <w:t>That Have Not Vested That Have Not Vested</w:t>
            </w:r>
          </w:p>
        </w:tc>
        <w:tc>
          <w:tcPr>
            <w:tcW w:w="0" w:type="dxa"/>
            <w:vAlign w:val="bottom"/>
          </w:tcPr>
          <w:p>
            <w:pPr>
              <w:spacing w:after="0"/>
              <w:rPr>
                <w:sz w:val="1"/>
                <w:szCs w:val="1"/>
                <w:color w:val="auto"/>
              </w:rPr>
            </w:pPr>
          </w:p>
        </w:tc>
      </w:tr>
      <w:tr>
        <w:trPr>
          <w:trHeight w:val="183"/>
        </w:trPr>
        <w:tc>
          <w:tcPr>
            <w:tcW w:w="3580" w:type="dxa"/>
            <w:vAlign w:val="bottom"/>
            <w:shd w:val="clear" w:color="auto" w:fill="F75E14"/>
          </w:tcPr>
          <w:p>
            <w:pPr>
              <w:ind w:left="1520"/>
              <w:spacing w:after="0"/>
              <w:rPr>
                <w:sz w:val="20"/>
                <w:szCs w:val="20"/>
                <w:color w:val="auto"/>
              </w:rPr>
            </w:pPr>
            <w:r>
              <w:rPr>
                <w:rFonts w:ascii="Arial" w:cs="Arial" w:eastAsia="Arial" w:hAnsi="Arial"/>
                <w:sz w:val="14"/>
                <w:szCs w:val="14"/>
                <w:b w:val="1"/>
                <w:bCs w:val="1"/>
                <w:color w:val="FFFFFF"/>
              </w:rPr>
              <w:t>Name (a)</w:t>
            </w:r>
          </w:p>
        </w:tc>
        <w:tc>
          <w:tcPr>
            <w:tcW w:w="800" w:type="dxa"/>
            <w:vAlign w:val="bottom"/>
            <w:shd w:val="clear" w:color="auto" w:fill="F75E14"/>
          </w:tcPr>
          <w:p>
            <w:pPr>
              <w:ind w:left="60"/>
              <w:spacing w:after="0"/>
              <w:rPr>
                <w:sz w:val="20"/>
                <w:szCs w:val="20"/>
                <w:color w:val="auto"/>
              </w:rPr>
            </w:pPr>
            <w:r>
              <w:rPr>
                <w:rFonts w:ascii="Arial" w:cs="Arial" w:eastAsia="Arial" w:hAnsi="Arial"/>
                <w:sz w:val="14"/>
                <w:szCs w:val="14"/>
                <w:b w:val="1"/>
                <w:bCs w:val="1"/>
                <w:color w:val="FFFFFF"/>
              </w:rPr>
              <w:t>Grant Date</w:t>
            </w:r>
          </w:p>
        </w:tc>
        <w:tc>
          <w:tcPr>
            <w:tcW w:w="1500" w:type="dxa"/>
            <w:vAlign w:val="bottom"/>
            <w:shd w:val="clear" w:color="auto" w:fill="F75E14"/>
          </w:tcPr>
          <w:p>
            <w:pPr>
              <w:jc w:val="center"/>
              <w:spacing w:after="0"/>
              <w:rPr>
                <w:sz w:val="20"/>
                <w:szCs w:val="20"/>
                <w:color w:val="auto"/>
              </w:rPr>
            </w:pPr>
            <w:r>
              <w:rPr>
                <w:rFonts w:ascii="Arial" w:cs="Arial" w:eastAsia="Arial" w:hAnsi="Arial"/>
                <w:sz w:val="14"/>
                <w:szCs w:val="14"/>
                <w:b w:val="1"/>
                <w:bCs w:val="1"/>
                <w:color w:val="FFFFFF"/>
              </w:rPr>
              <w:t>(#) (1) (g)</w:t>
            </w:r>
          </w:p>
        </w:tc>
        <w:tc>
          <w:tcPr>
            <w:tcW w:w="1640" w:type="dxa"/>
            <w:vAlign w:val="bottom"/>
            <w:shd w:val="clear" w:color="auto" w:fill="F75E14"/>
          </w:tcPr>
          <w:p>
            <w:pPr>
              <w:jc w:val="center"/>
              <w:spacing w:after="0"/>
              <w:rPr>
                <w:sz w:val="20"/>
                <w:szCs w:val="20"/>
                <w:color w:val="auto"/>
              </w:rPr>
            </w:pPr>
            <w:r>
              <w:rPr>
                <w:rFonts w:ascii="Arial" w:cs="Arial" w:eastAsia="Arial" w:hAnsi="Arial"/>
                <w:sz w:val="14"/>
                <w:szCs w:val="14"/>
                <w:b w:val="1"/>
                <w:bCs w:val="1"/>
                <w:color w:val="FFFFFF"/>
              </w:rPr>
              <w:t>($) (2) (h)</w:t>
            </w:r>
          </w:p>
        </w:tc>
        <w:tc>
          <w:tcPr>
            <w:tcW w:w="1520" w:type="dxa"/>
            <w:vAlign w:val="bottom"/>
            <w:shd w:val="clear" w:color="auto" w:fill="F75E14"/>
          </w:tcPr>
          <w:p>
            <w:pPr>
              <w:jc w:val="center"/>
              <w:spacing w:after="0"/>
              <w:rPr>
                <w:sz w:val="20"/>
                <w:szCs w:val="20"/>
                <w:color w:val="auto"/>
              </w:rPr>
            </w:pPr>
            <w:r>
              <w:rPr>
                <w:rFonts w:ascii="Arial" w:cs="Arial" w:eastAsia="Arial" w:hAnsi="Arial"/>
                <w:sz w:val="14"/>
                <w:szCs w:val="14"/>
                <w:b w:val="1"/>
                <w:bCs w:val="1"/>
                <w:color w:val="FFFFFF"/>
              </w:rPr>
              <w:t>(#) (3) (i)</w:t>
            </w:r>
          </w:p>
        </w:tc>
        <w:tc>
          <w:tcPr>
            <w:tcW w:w="1660" w:type="dxa"/>
            <w:vAlign w:val="bottom"/>
            <w:shd w:val="clear" w:color="auto" w:fill="F75E14"/>
          </w:tcPr>
          <w:p>
            <w:pPr>
              <w:jc w:val="center"/>
              <w:ind w:right="49"/>
              <w:spacing w:after="0"/>
              <w:rPr>
                <w:sz w:val="20"/>
                <w:szCs w:val="20"/>
                <w:color w:val="auto"/>
              </w:rPr>
            </w:pPr>
            <w:r>
              <w:rPr>
                <w:rFonts w:ascii="Arial" w:cs="Arial" w:eastAsia="Arial" w:hAnsi="Arial"/>
                <w:sz w:val="14"/>
                <w:szCs w:val="14"/>
                <w:b w:val="1"/>
                <w:bCs w:val="1"/>
                <w:color w:val="FFFFFF"/>
              </w:rPr>
              <w:t>($) (2) (j)</w:t>
            </w:r>
          </w:p>
        </w:tc>
        <w:tc>
          <w:tcPr>
            <w:tcW w:w="0" w:type="dxa"/>
            <w:vAlign w:val="bottom"/>
          </w:tcPr>
          <w:p>
            <w:pPr>
              <w:spacing w:after="0"/>
              <w:rPr>
                <w:sz w:val="1"/>
                <w:szCs w:val="1"/>
                <w:color w:val="auto"/>
              </w:rPr>
            </w:pPr>
          </w:p>
        </w:tc>
      </w:tr>
      <w:tr>
        <w:trPr>
          <w:trHeight w:val="206"/>
        </w:trPr>
        <w:tc>
          <w:tcPr>
            <w:tcW w:w="3580" w:type="dxa"/>
            <w:vAlign w:val="bottom"/>
            <w:shd w:val="clear" w:color="auto" w:fill="D8E8EF"/>
          </w:tcPr>
          <w:p>
            <w:pPr>
              <w:ind w:left="60"/>
              <w:spacing w:after="0"/>
              <w:rPr>
                <w:sz w:val="20"/>
                <w:szCs w:val="20"/>
                <w:color w:val="auto"/>
              </w:rPr>
            </w:pPr>
            <w:r>
              <w:rPr>
                <w:rFonts w:ascii="Arial" w:cs="Arial" w:eastAsia="Arial" w:hAnsi="Arial"/>
                <w:sz w:val="14"/>
                <w:szCs w:val="14"/>
                <w:color w:val="auto"/>
              </w:rPr>
              <w:t>Hassane El-Khoury</w:t>
            </w:r>
          </w:p>
        </w:tc>
        <w:tc>
          <w:tcPr>
            <w:tcW w:w="800" w:type="dxa"/>
            <w:vAlign w:val="bottom"/>
            <w:shd w:val="clear" w:color="auto" w:fill="D8E8EF"/>
          </w:tcPr>
          <w:p>
            <w:pPr>
              <w:ind w:left="80"/>
              <w:spacing w:after="0"/>
              <w:rPr>
                <w:sz w:val="20"/>
                <w:szCs w:val="20"/>
                <w:color w:val="auto"/>
              </w:rPr>
            </w:pPr>
            <w:r>
              <w:rPr>
                <w:rFonts w:ascii="Arial" w:cs="Arial" w:eastAsia="Arial" w:hAnsi="Arial"/>
                <w:sz w:val="14"/>
                <w:szCs w:val="14"/>
                <w:color w:val="auto"/>
                <w:w w:val="99"/>
              </w:rPr>
              <w:t>12/07/2020</w:t>
            </w:r>
          </w:p>
        </w:tc>
        <w:tc>
          <w:tcPr>
            <w:tcW w:w="1500" w:type="dxa"/>
            <w:vAlign w:val="bottom"/>
            <w:shd w:val="clear" w:color="auto" w:fill="D8E8EF"/>
          </w:tcPr>
          <w:p>
            <w:pPr>
              <w:jc w:val="center"/>
              <w:spacing w:after="0"/>
              <w:rPr>
                <w:sz w:val="20"/>
                <w:szCs w:val="20"/>
                <w:color w:val="auto"/>
              </w:rPr>
            </w:pPr>
            <w:r>
              <w:rPr>
                <w:rFonts w:ascii="Arial" w:cs="Arial" w:eastAsia="Arial" w:hAnsi="Arial"/>
                <w:sz w:val="14"/>
                <w:szCs w:val="14"/>
                <w:color w:val="auto"/>
                <w:w w:val="97"/>
              </w:rPr>
              <w:t>65,413</w:t>
            </w:r>
          </w:p>
        </w:tc>
        <w:tc>
          <w:tcPr>
            <w:tcW w:w="1640" w:type="dxa"/>
            <w:vAlign w:val="bottom"/>
            <w:shd w:val="clear" w:color="auto" w:fill="D8E8EF"/>
          </w:tcPr>
          <w:p>
            <w:pPr>
              <w:jc w:val="center"/>
              <w:spacing w:after="0"/>
              <w:rPr>
                <w:sz w:val="20"/>
                <w:szCs w:val="20"/>
                <w:color w:val="auto"/>
              </w:rPr>
            </w:pPr>
            <w:r>
              <w:rPr>
                <w:rFonts w:ascii="Arial" w:cs="Arial" w:eastAsia="Arial" w:hAnsi="Arial"/>
                <w:sz w:val="14"/>
                <w:szCs w:val="14"/>
                <w:color w:val="auto"/>
                <w:w w:val="99"/>
              </w:rPr>
              <w:t>4,442,851</w:t>
            </w:r>
          </w:p>
        </w:tc>
        <w:tc>
          <w:tcPr>
            <w:tcW w:w="1520" w:type="dxa"/>
            <w:vAlign w:val="bottom"/>
            <w:shd w:val="clear" w:color="auto" w:fill="D8E8EF"/>
          </w:tcPr>
          <w:p>
            <w:pPr>
              <w:jc w:val="center"/>
              <w:spacing w:after="0"/>
              <w:rPr>
                <w:sz w:val="20"/>
                <w:szCs w:val="20"/>
                <w:color w:val="auto"/>
              </w:rPr>
            </w:pPr>
            <w:r>
              <w:rPr>
                <w:rFonts w:ascii="Arial" w:cs="Arial" w:eastAsia="Arial" w:hAnsi="Arial"/>
                <w:sz w:val="14"/>
                <w:szCs w:val="14"/>
                <w:color w:val="auto"/>
              </w:rPr>
              <w:t>228,946</w:t>
            </w:r>
          </w:p>
        </w:tc>
        <w:tc>
          <w:tcPr>
            <w:tcW w:w="1660" w:type="dxa"/>
            <w:vAlign w:val="bottom"/>
            <w:shd w:val="clear" w:color="auto" w:fill="D8E8EF"/>
          </w:tcPr>
          <w:p>
            <w:pPr>
              <w:jc w:val="center"/>
              <w:ind w:right="49"/>
              <w:spacing w:after="0"/>
              <w:rPr>
                <w:sz w:val="20"/>
                <w:szCs w:val="20"/>
                <w:color w:val="auto"/>
              </w:rPr>
            </w:pPr>
            <w:r>
              <w:rPr>
                <w:rFonts w:ascii="Arial" w:cs="Arial" w:eastAsia="Arial" w:hAnsi="Arial"/>
                <w:sz w:val="14"/>
                <w:szCs w:val="14"/>
                <w:color w:val="auto"/>
                <w:w w:val="99"/>
              </w:rPr>
              <w:t>15,550,012</w:t>
            </w:r>
          </w:p>
        </w:tc>
        <w:tc>
          <w:tcPr>
            <w:tcW w:w="0" w:type="dxa"/>
            <w:vAlign w:val="bottom"/>
          </w:tcPr>
          <w:p>
            <w:pPr>
              <w:spacing w:after="0"/>
              <w:rPr>
                <w:sz w:val="1"/>
                <w:szCs w:val="1"/>
                <w:color w:val="auto"/>
              </w:rPr>
            </w:pPr>
          </w:p>
        </w:tc>
      </w:tr>
      <w:tr>
        <w:trPr>
          <w:trHeight w:val="201"/>
        </w:trPr>
        <w:tc>
          <w:tcPr>
            <w:tcW w:w="3580" w:type="dxa"/>
            <w:vAlign w:val="bottom"/>
            <w:shd w:val="clear" w:color="auto" w:fill="D8E8EF"/>
          </w:tcPr>
          <w:p>
            <w:pPr>
              <w:spacing w:after="0"/>
              <w:rPr>
                <w:sz w:val="17"/>
                <w:szCs w:val="17"/>
                <w:color w:val="auto"/>
              </w:rPr>
            </w:pPr>
          </w:p>
        </w:tc>
        <w:tc>
          <w:tcPr>
            <w:tcW w:w="800" w:type="dxa"/>
            <w:vAlign w:val="bottom"/>
            <w:shd w:val="clear" w:color="auto" w:fill="D8E8EF"/>
          </w:tcPr>
          <w:p>
            <w:pPr>
              <w:ind w:left="80"/>
              <w:spacing w:after="0"/>
              <w:rPr>
                <w:sz w:val="20"/>
                <w:szCs w:val="20"/>
                <w:color w:val="auto"/>
              </w:rPr>
            </w:pPr>
            <w:r>
              <w:rPr>
                <w:rFonts w:ascii="Arial" w:cs="Arial" w:eastAsia="Arial" w:hAnsi="Arial"/>
                <w:sz w:val="14"/>
                <w:szCs w:val="14"/>
                <w:color w:val="auto"/>
                <w:w w:val="99"/>
              </w:rPr>
              <w:t>02/12/2021</w:t>
            </w:r>
          </w:p>
        </w:tc>
        <w:tc>
          <w:tcPr>
            <w:tcW w:w="1500" w:type="dxa"/>
            <w:vAlign w:val="bottom"/>
            <w:shd w:val="clear" w:color="auto" w:fill="D8E8EF"/>
          </w:tcPr>
          <w:p>
            <w:pPr>
              <w:jc w:val="center"/>
              <w:spacing w:after="0"/>
              <w:rPr>
                <w:sz w:val="20"/>
                <w:szCs w:val="20"/>
                <w:color w:val="auto"/>
              </w:rPr>
            </w:pPr>
            <w:r>
              <w:rPr>
                <w:rFonts w:ascii="Arial" w:cs="Arial" w:eastAsia="Arial" w:hAnsi="Arial"/>
                <w:sz w:val="14"/>
                <w:szCs w:val="14"/>
                <w:color w:val="auto"/>
                <w:w w:val="97"/>
              </w:rPr>
              <w:t>87,231</w:t>
            </w:r>
          </w:p>
        </w:tc>
        <w:tc>
          <w:tcPr>
            <w:tcW w:w="1640" w:type="dxa"/>
            <w:vAlign w:val="bottom"/>
            <w:shd w:val="clear" w:color="auto" w:fill="D8E8EF"/>
          </w:tcPr>
          <w:p>
            <w:pPr>
              <w:jc w:val="center"/>
              <w:spacing w:after="0"/>
              <w:rPr>
                <w:sz w:val="20"/>
                <w:szCs w:val="20"/>
                <w:color w:val="auto"/>
              </w:rPr>
            </w:pPr>
            <w:r>
              <w:rPr>
                <w:rFonts w:ascii="Arial" w:cs="Arial" w:eastAsia="Arial" w:hAnsi="Arial"/>
                <w:sz w:val="14"/>
                <w:szCs w:val="14"/>
                <w:color w:val="auto"/>
                <w:w w:val="99"/>
              </w:rPr>
              <w:t>5,924,730</w:t>
            </w:r>
          </w:p>
        </w:tc>
        <w:tc>
          <w:tcPr>
            <w:tcW w:w="1520" w:type="dxa"/>
            <w:vAlign w:val="bottom"/>
            <w:shd w:val="clear" w:color="auto" w:fill="D8E8EF"/>
          </w:tcPr>
          <w:p>
            <w:pPr>
              <w:jc w:val="center"/>
              <w:spacing w:after="0"/>
              <w:rPr>
                <w:sz w:val="20"/>
                <w:szCs w:val="20"/>
                <w:color w:val="auto"/>
              </w:rPr>
            </w:pPr>
            <w:r>
              <w:rPr>
                <w:rFonts w:ascii="Arial" w:cs="Arial" w:eastAsia="Arial" w:hAnsi="Arial"/>
                <w:sz w:val="14"/>
                <w:szCs w:val="14"/>
                <w:color w:val="auto"/>
              </w:rPr>
              <w:t>174,462</w:t>
            </w:r>
          </w:p>
        </w:tc>
        <w:tc>
          <w:tcPr>
            <w:tcW w:w="1660" w:type="dxa"/>
            <w:vAlign w:val="bottom"/>
            <w:shd w:val="clear" w:color="auto" w:fill="D8E8EF"/>
          </w:tcPr>
          <w:p>
            <w:pPr>
              <w:jc w:val="center"/>
              <w:ind w:right="49"/>
              <w:spacing w:after="0"/>
              <w:rPr>
                <w:sz w:val="20"/>
                <w:szCs w:val="20"/>
                <w:color w:val="auto"/>
              </w:rPr>
            </w:pPr>
            <w:r>
              <w:rPr>
                <w:rFonts w:ascii="Arial" w:cs="Arial" w:eastAsia="Arial" w:hAnsi="Arial"/>
                <w:sz w:val="14"/>
                <w:szCs w:val="14"/>
                <w:color w:val="auto"/>
                <w:w w:val="99"/>
              </w:rPr>
              <w:t>11,849,459</w:t>
            </w:r>
          </w:p>
        </w:tc>
        <w:tc>
          <w:tcPr>
            <w:tcW w:w="0" w:type="dxa"/>
            <w:vAlign w:val="bottom"/>
          </w:tcPr>
          <w:p>
            <w:pPr>
              <w:spacing w:after="0"/>
              <w:rPr>
                <w:sz w:val="1"/>
                <w:szCs w:val="1"/>
                <w:color w:val="auto"/>
              </w:rPr>
            </w:pPr>
          </w:p>
        </w:tc>
      </w:tr>
      <w:tr>
        <w:trPr>
          <w:trHeight w:val="208"/>
        </w:trPr>
        <w:tc>
          <w:tcPr>
            <w:tcW w:w="3580" w:type="dxa"/>
            <w:vAlign w:val="bottom"/>
            <w:shd w:val="clear" w:color="auto" w:fill="D8E8EF"/>
          </w:tcPr>
          <w:p>
            <w:pPr>
              <w:spacing w:after="0"/>
              <w:rPr>
                <w:sz w:val="18"/>
                <w:szCs w:val="18"/>
                <w:color w:val="auto"/>
              </w:rPr>
            </w:pPr>
          </w:p>
        </w:tc>
        <w:tc>
          <w:tcPr>
            <w:tcW w:w="800" w:type="dxa"/>
            <w:vAlign w:val="bottom"/>
            <w:shd w:val="clear" w:color="auto" w:fill="D8E8EF"/>
          </w:tcPr>
          <w:p>
            <w:pPr>
              <w:ind w:left="80"/>
              <w:spacing w:after="0"/>
              <w:rPr>
                <w:sz w:val="20"/>
                <w:szCs w:val="20"/>
                <w:color w:val="auto"/>
              </w:rPr>
            </w:pPr>
            <w:r>
              <w:rPr>
                <w:rFonts w:ascii="Arial" w:cs="Arial" w:eastAsia="Arial" w:hAnsi="Arial"/>
                <w:sz w:val="14"/>
                <w:szCs w:val="14"/>
                <w:color w:val="auto"/>
                <w:w w:val="99"/>
              </w:rPr>
              <w:t>02/12/2021</w:t>
            </w:r>
          </w:p>
        </w:tc>
        <w:tc>
          <w:tcPr>
            <w:tcW w:w="1500" w:type="dxa"/>
            <w:vAlign w:val="bottom"/>
            <w:shd w:val="clear" w:color="auto" w:fill="D8E8EF"/>
          </w:tcPr>
          <w:p>
            <w:pPr>
              <w:jc w:val="center"/>
              <w:spacing w:after="0"/>
              <w:rPr>
                <w:sz w:val="20"/>
                <w:szCs w:val="20"/>
                <w:color w:val="auto"/>
              </w:rPr>
            </w:pPr>
            <w:r>
              <w:rPr>
                <w:rFonts w:ascii="Arial" w:cs="Arial" w:eastAsia="Arial" w:hAnsi="Arial"/>
                <w:sz w:val="14"/>
                <w:szCs w:val="14"/>
                <w:color w:val="auto"/>
                <w:w w:val="97"/>
              </w:rPr>
              <w:t>77,539</w:t>
            </w:r>
          </w:p>
        </w:tc>
        <w:tc>
          <w:tcPr>
            <w:tcW w:w="1640" w:type="dxa"/>
            <w:vAlign w:val="bottom"/>
            <w:shd w:val="clear" w:color="auto" w:fill="D8E8EF"/>
          </w:tcPr>
          <w:p>
            <w:pPr>
              <w:jc w:val="center"/>
              <w:spacing w:after="0"/>
              <w:rPr>
                <w:sz w:val="20"/>
                <w:szCs w:val="20"/>
                <w:color w:val="auto"/>
              </w:rPr>
            </w:pPr>
            <w:r>
              <w:rPr>
                <w:rFonts w:ascii="Arial" w:cs="Arial" w:eastAsia="Arial" w:hAnsi="Arial"/>
                <w:sz w:val="14"/>
                <w:szCs w:val="14"/>
                <w:color w:val="auto"/>
                <w:w w:val="99"/>
              </w:rPr>
              <w:t>5,266,449</w:t>
            </w:r>
          </w:p>
        </w:tc>
        <w:tc>
          <w:tcPr>
            <w:tcW w:w="1520" w:type="dxa"/>
            <w:vAlign w:val="bottom"/>
            <w:shd w:val="clear" w:color="auto" w:fill="D8E8EF"/>
          </w:tcPr>
          <w:p>
            <w:pPr>
              <w:spacing w:after="0"/>
              <w:rPr>
                <w:sz w:val="18"/>
                <w:szCs w:val="18"/>
                <w:color w:val="auto"/>
              </w:rPr>
            </w:pPr>
          </w:p>
        </w:tc>
        <w:tc>
          <w:tcPr>
            <w:tcW w:w="1660" w:type="dxa"/>
            <w:vAlign w:val="bottom"/>
            <w:shd w:val="clear" w:color="auto" w:fill="D8E8E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580" w:type="dxa"/>
            <w:vAlign w:val="bottom"/>
          </w:tcPr>
          <w:p>
            <w:pPr>
              <w:ind w:left="60"/>
              <w:spacing w:after="0"/>
              <w:rPr>
                <w:sz w:val="20"/>
                <w:szCs w:val="20"/>
                <w:color w:val="auto"/>
              </w:rPr>
            </w:pPr>
            <w:r>
              <w:rPr>
                <w:rFonts w:ascii="Arial" w:cs="Arial" w:eastAsia="Arial" w:hAnsi="Arial"/>
                <w:sz w:val="14"/>
                <w:szCs w:val="14"/>
                <w:color w:val="auto"/>
              </w:rPr>
              <w:t>Thad Trent</w:t>
            </w:r>
          </w:p>
        </w:tc>
        <w:tc>
          <w:tcPr>
            <w:tcW w:w="800" w:type="dxa"/>
            <w:vAlign w:val="bottom"/>
          </w:tcPr>
          <w:p>
            <w:pPr>
              <w:ind w:left="80"/>
              <w:spacing w:after="0"/>
              <w:rPr>
                <w:sz w:val="20"/>
                <w:szCs w:val="20"/>
                <w:color w:val="auto"/>
              </w:rPr>
            </w:pPr>
            <w:r>
              <w:rPr>
                <w:rFonts w:ascii="Arial" w:cs="Arial" w:eastAsia="Arial" w:hAnsi="Arial"/>
                <w:sz w:val="14"/>
                <w:szCs w:val="14"/>
                <w:color w:val="auto"/>
                <w:w w:val="99"/>
              </w:rPr>
              <w:t>02/16/2021</w:t>
            </w:r>
          </w:p>
        </w:tc>
        <w:tc>
          <w:tcPr>
            <w:tcW w:w="1500" w:type="dxa"/>
            <w:vAlign w:val="bottom"/>
          </w:tcPr>
          <w:p>
            <w:pPr>
              <w:jc w:val="center"/>
              <w:spacing w:after="0"/>
              <w:rPr>
                <w:sz w:val="20"/>
                <w:szCs w:val="20"/>
                <w:color w:val="auto"/>
              </w:rPr>
            </w:pPr>
            <w:r>
              <w:rPr>
                <w:rFonts w:ascii="Arial" w:cs="Arial" w:eastAsia="Arial" w:hAnsi="Arial"/>
                <w:sz w:val="14"/>
                <w:szCs w:val="14"/>
                <w:color w:val="auto"/>
                <w:w w:val="97"/>
              </w:rPr>
              <w:t>77,659</w:t>
            </w:r>
          </w:p>
        </w:tc>
        <w:tc>
          <w:tcPr>
            <w:tcW w:w="1640" w:type="dxa"/>
            <w:vAlign w:val="bottom"/>
          </w:tcPr>
          <w:p>
            <w:pPr>
              <w:jc w:val="center"/>
              <w:spacing w:after="0"/>
              <w:rPr>
                <w:sz w:val="20"/>
                <w:szCs w:val="20"/>
                <w:color w:val="auto"/>
              </w:rPr>
            </w:pPr>
            <w:r>
              <w:rPr>
                <w:rFonts w:ascii="Arial" w:cs="Arial" w:eastAsia="Arial" w:hAnsi="Arial"/>
                <w:sz w:val="14"/>
                <w:szCs w:val="14"/>
                <w:color w:val="auto"/>
                <w:w w:val="99"/>
              </w:rPr>
              <w:t>5,274,599</w:t>
            </w:r>
          </w:p>
        </w:tc>
        <w:tc>
          <w:tcPr>
            <w:tcW w:w="15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580" w:type="dxa"/>
            <w:vAlign w:val="bottom"/>
          </w:tcPr>
          <w:p>
            <w:pPr>
              <w:spacing w:after="0"/>
              <w:rPr>
                <w:sz w:val="17"/>
                <w:szCs w:val="17"/>
                <w:color w:val="auto"/>
              </w:rPr>
            </w:pPr>
          </w:p>
        </w:tc>
        <w:tc>
          <w:tcPr>
            <w:tcW w:w="800" w:type="dxa"/>
            <w:vAlign w:val="bottom"/>
          </w:tcPr>
          <w:p>
            <w:pPr>
              <w:ind w:left="80"/>
              <w:spacing w:after="0"/>
              <w:rPr>
                <w:sz w:val="20"/>
                <w:szCs w:val="20"/>
                <w:color w:val="auto"/>
              </w:rPr>
            </w:pPr>
            <w:r>
              <w:rPr>
                <w:rFonts w:ascii="Arial" w:cs="Arial" w:eastAsia="Arial" w:hAnsi="Arial"/>
                <w:sz w:val="14"/>
                <w:szCs w:val="14"/>
                <w:color w:val="auto"/>
                <w:w w:val="99"/>
              </w:rPr>
              <w:t>02/16/2021</w:t>
            </w:r>
          </w:p>
        </w:tc>
        <w:tc>
          <w:tcPr>
            <w:tcW w:w="1500" w:type="dxa"/>
            <w:vAlign w:val="bottom"/>
          </w:tcPr>
          <w:p>
            <w:pPr>
              <w:jc w:val="center"/>
              <w:spacing w:after="0"/>
              <w:rPr>
                <w:sz w:val="20"/>
                <w:szCs w:val="20"/>
                <w:color w:val="auto"/>
              </w:rPr>
            </w:pPr>
            <w:r>
              <w:rPr>
                <w:rFonts w:ascii="Arial" w:cs="Arial" w:eastAsia="Arial" w:hAnsi="Arial"/>
                <w:sz w:val="14"/>
                <w:szCs w:val="14"/>
                <w:color w:val="auto"/>
                <w:w w:val="97"/>
              </w:rPr>
              <w:t>43,011</w:t>
            </w:r>
          </w:p>
        </w:tc>
        <w:tc>
          <w:tcPr>
            <w:tcW w:w="1640" w:type="dxa"/>
            <w:vAlign w:val="bottom"/>
          </w:tcPr>
          <w:p>
            <w:pPr>
              <w:jc w:val="center"/>
              <w:spacing w:after="0"/>
              <w:rPr>
                <w:sz w:val="20"/>
                <w:szCs w:val="20"/>
                <w:color w:val="auto"/>
              </w:rPr>
            </w:pPr>
            <w:r>
              <w:rPr>
                <w:rFonts w:ascii="Arial" w:cs="Arial" w:eastAsia="Arial" w:hAnsi="Arial"/>
                <w:sz w:val="14"/>
                <w:szCs w:val="14"/>
                <w:color w:val="auto"/>
                <w:w w:val="99"/>
              </w:rPr>
              <w:t>2,921,307</w:t>
            </w:r>
          </w:p>
        </w:tc>
        <w:tc>
          <w:tcPr>
            <w:tcW w:w="1520" w:type="dxa"/>
            <w:vAlign w:val="bottom"/>
          </w:tcPr>
          <w:p>
            <w:pPr>
              <w:jc w:val="center"/>
              <w:spacing w:after="0"/>
              <w:rPr>
                <w:sz w:val="20"/>
                <w:szCs w:val="20"/>
                <w:color w:val="auto"/>
              </w:rPr>
            </w:pPr>
            <w:r>
              <w:rPr>
                <w:rFonts w:ascii="Arial" w:cs="Arial" w:eastAsia="Arial" w:hAnsi="Arial"/>
                <w:sz w:val="14"/>
                <w:szCs w:val="14"/>
                <w:color w:val="auto"/>
              </w:rPr>
              <w:t>86,022</w:t>
            </w:r>
          </w:p>
        </w:tc>
        <w:tc>
          <w:tcPr>
            <w:tcW w:w="1660" w:type="dxa"/>
            <w:vAlign w:val="bottom"/>
          </w:tcPr>
          <w:p>
            <w:pPr>
              <w:jc w:val="center"/>
              <w:ind w:right="49"/>
              <w:spacing w:after="0"/>
              <w:rPr>
                <w:sz w:val="20"/>
                <w:szCs w:val="20"/>
                <w:color w:val="auto"/>
              </w:rPr>
            </w:pPr>
            <w:r>
              <w:rPr>
                <w:rFonts w:ascii="Arial" w:cs="Arial" w:eastAsia="Arial" w:hAnsi="Arial"/>
                <w:sz w:val="14"/>
                <w:szCs w:val="14"/>
                <w:color w:val="auto"/>
                <w:w w:val="99"/>
              </w:rPr>
              <w:t>5,842,614</w:t>
            </w:r>
          </w:p>
        </w:tc>
        <w:tc>
          <w:tcPr>
            <w:tcW w:w="0" w:type="dxa"/>
            <w:vAlign w:val="bottom"/>
          </w:tcPr>
          <w:p>
            <w:pPr>
              <w:spacing w:after="0"/>
              <w:rPr>
                <w:sz w:val="1"/>
                <w:szCs w:val="1"/>
                <w:color w:val="auto"/>
              </w:rPr>
            </w:pPr>
          </w:p>
        </w:tc>
      </w:tr>
      <w:tr>
        <w:trPr>
          <w:trHeight w:val="218"/>
        </w:trPr>
        <w:tc>
          <w:tcPr>
            <w:tcW w:w="3580" w:type="dxa"/>
            <w:vAlign w:val="bottom"/>
          </w:tcPr>
          <w:p>
            <w:pPr>
              <w:spacing w:after="0"/>
              <w:rPr>
                <w:sz w:val="18"/>
                <w:szCs w:val="18"/>
                <w:color w:val="auto"/>
              </w:rPr>
            </w:pPr>
          </w:p>
        </w:tc>
        <w:tc>
          <w:tcPr>
            <w:tcW w:w="800" w:type="dxa"/>
            <w:vAlign w:val="bottom"/>
          </w:tcPr>
          <w:p>
            <w:pPr>
              <w:ind w:left="80"/>
              <w:spacing w:after="0"/>
              <w:rPr>
                <w:sz w:val="20"/>
                <w:szCs w:val="20"/>
                <w:color w:val="auto"/>
              </w:rPr>
            </w:pPr>
            <w:r>
              <w:rPr>
                <w:rFonts w:ascii="Arial" w:cs="Arial" w:eastAsia="Arial" w:hAnsi="Arial"/>
                <w:sz w:val="14"/>
                <w:szCs w:val="14"/>
                <w:color w:val="auto"/>
                <w:w w:val="99"/>
              </w:rPr>
              <w:t>02/16/2021</w:t>
            </w:r>
          </w:p>
        </w:tc>
        <w:tc>
          <w:tcPr>
            <w:tcW w:w="15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4"/>
                <w:szCs w:val="14"/>
                <w:color w:val="auto"/>
              </w:rPr>
              <w:t>91,996</w:t>
            </w:r>
          </w:p>
        </w:tc>
        <w:tc>
          <w:tcPr>
            <w:tcW w:w="1660" w:type="dxa"/>
            <w:vAlign w:val="bottom"/>
          </w:tcPr>
          <w:p>
            <w:pPr>
              <w:jc w:val="center"/>
              <w:ind w:right="49"/>
              <w:spacing w:after="0"/>
              <w:rPr>
                <w:sz w:val="20"/>
                <w:szCs w:val="20"/>
                <w:color w:val="auto"/>
              </w:rPr>
            </w:pPr>
            <w:r>
              <w:rPr>
                <w:rFonts w:ascii="Arial" w:cs="Arial" w:eastAsia="Arial" w:hAnsi="Arial"/>
                <w:sz w:val="14"/>
                <w:szCs w:val="14"/>
                <w:color w:val="auto"/>
                <w:w w:val="99"/>
              </w:rPr>
              <w:t>6,248,368</w:t>
            </w:r>
          </w:p>
        </w:tc>
        <w:tc>
          <w:tcPr>
            <w:tcW w:w="0" w:type="dxa"/>
            <w:vAlign w:val="bottom"/>
          </w:tcPr>
          <w:p>
            <w:pPr>
              <w:spacing w:after="0"/>
              <w:rPr>
                <w:sz w:val="1"/>
                <w:szCs w:val="1"/>
                <w:color w:val="auto"/>
              </w:rPr>
            </w:pPr>
          </w:p>
        </w:tc>
      </w:tr>
      <w:tr>
        <w:trPr>
          <w:trHeight w:val="210"/>
        </w:trPr>
        <w:tc>
          <w:tcPr>
            <w:tcW w:w="3580" w:type="dxa"/>
            <w:vAlign w:val="bottom"/>
            <w:shd w:val="clear" w:color="auto" w:fill="D8E8EF"/>
          </w:tcPr>
          <w:p>
            <w:pPr>
              <w:ind w:left="60"/>
              <w:spacing w:after="0"/>
              <w:rPr>
                <w:sz w:val="20"/>
                <w:szCs w:val="20"/>
                <w:color w:val="auto"/>
              </w:rPr>
            </w:pPr>
            <w:r>
              <w:rPr>
                <w:rFonts w:ascii="Arial" w:cs="Arial" w:eastAsia="Arial" w:hAnsi="Arial"/>
                <w:sz w:val="14"/>
                <w:szCs w:val="14"/>
                <w:color w:val="auto"/>
              </w:rPr>
              <w:t>Vincent C. Hopkin</w:t>
            </w:r>
          </w:p>
        </w:tc>
        <w:tc>
          <w:tcPr>
            <w:tcW w:w="800" w:type="dxa"/>
            <w:vAlign w:val="bottom"/>
            <w:shd w:val="clear" w:color="auto" w:fill="D8E8EF"/>
          </w:tcPr>
          <w:p>
            <w:pPr>
              <w:ind w:left="80"/>
              <w:spacing w:after="0"/>
              <w:rPr>
                <w:sz w:val="20"/>
                <w:szCs w:val="20"/>
                <w:color w:val="auto"/>
              </w:rPr>
            </w:pPr>
            <w:r>
              <w:rPr>
                <w:rFonts w:ascii="Arial" w:cs="Arial" w:eastAsia="Arial" w:hAnsi="Arial"/>
                <w:sz w:val="14"/>
                <w:szCs w:val="14"/>
                <w:color w:val="auto"/>
                <w:w w:val="99"/>
              </w:rPr>
              <w:t>03/04/2019</w:t>
            </w:r>
          </w:p>
        </w:tc>
        <w:tc>
          <w:tcPr>
            <w:tcW w:w="1500" w:type="dxa"/>
            <w:vAlign w:val="bottom"/>
            <w:shd w:val="clear" w:color="auto" w:fill="D8E8EF"/>
          </w:tcPr>
          <w:p>
            <w:pPr>
              <w:jc w:val="center"/>
              <w:spacing w:after="0"/>
              <w:rPr>
                <w:sz w:val="20"/>
                <w:szCs w:val="20"/>
                <w:color w:val="auto"/>
              </w:rPr>
            </w:pPr>
            <w:r>
              <w:rPr>
                <w:rFonts w:ascii="Arial" w:cs="Arial" w:eastAsia="Arial" w:hAnsi="Arial"/>
                <w:sz w:val="14"/>
                <w:szCs w:val="14"/>
                <w:color w:val="auto"/>
                <w:w w:val="96"/>
              </w:rPr>
              <w:t>7,299</w:t>
            </w:r>
          </w:p>
        </w:tc>
        <w:tc>
          <w:tcPr>
            <w:tcW w:w="1640" w:type="dxa"/>
            <w:vAlign w:val="bottom"/>
            <w:shd w:val="clear" w:color="auto" w:fill="D8E8EF"/>
          </w:tcPr>
          <w:p>
            <w:pPr>
              <w:jc w:val="center"/>
              <w:spacing w:after="0"/>
              <w:rPr>
                <w:sz w:val="20"/>
                <w:szCs w:val="20"/>
                <w:color w:val="auto"/>
              </w:rPr>
            </w:pPr>
            <w:r>
              <w:rPr>
                <w:rFonts w:ascii="Arial" w:cs="Arial" w:eastAsia="Arial" w:hAnsi="Arial"/>
                <w:sz w:val="14"/>
                <w:szCs w:val="14"/>
                <w:color w:val="auto"/>
                <w:w w:val="98"/>
              </w:rPr>
              <w:t>495,748</w:t>
            </w:r>
          </w:p>
        </w:tc>
        <w:tc>
          <w:tcPr>
            <w:tcW w:w="1520" w:type="dxa"/>
            <w:vAlign w:val="bottom"/>
            <w:shd w:val="clear" w:color="auto" w:fill="D8E8EF"/>
          </w:tcPr>
          <w:p>
            <w:pPr>
              <w:spacing w:after="0"/>
              <w:rPr>
                <w:sz w:val="18"/>
                <w:szCs w:val="18"/>
                <w:color w:val="auto"/>
              </w:rPr>
            </w:pPr>
          </w:p>
        </w:tc>
        <w:tc>
          <w:tcPr>
            <w:tcW w:w="1660" w:type="dxa"/>
            <w:vAlign w:val="bottom"/>
            <w:shd w:val="clear" w:color="auto" w:fill="D8E8EF"/>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3580" w:type="dxa"/>
            <w:vAlign w:val="bottom"/>
            <w:shd w:val="clear" w:color="auto" w:fill="D8E8EF"/>
          </w:tcPr>
          <w:p>
            <w:pPr>
              <w:spacing w:after="0"/>
              <w:rPr>
                <w:sz w:val="17"/>
                <w:szCs w:val="17"/>
                <w:color w:val="auto"/>
              </w:rPr>
            </w:pPr>
          </w:p>
        </w:tc>
        <w:tc>
          <w:tcPr>
            <w:tcW w:w="800" w:type="dxa"/>
            <w:vAlign w:val="bottom"/>
            <w:shd w:val="clear" w:color="auto" w:fill="D8E8EF"/>
          </w:tcPr>
          <w:p>
            <w:pPr>
              <w:ind w:left="80"/>
              <w:spacing w:after="0"/>
              <w:rPr>
                <w:sz w:val="20"/>
                <w:szCs w:val="20"/>
                <w:color w:val="auto"/>
              </w:rPr>
            </w:pPr>
            <w:r>
              <w:rPr>
                <w:rFonts w:ascii="Arial" w:cs="Arial" w:eastAsia="Arial" w:hAnsi="Arial"/>
                <w:sz w:val="14"/>
                <w:szCs w:val="14"/>
                <w:color w:val="auto"/>
                <w:w w:val="99"/>
              </w:rPr>
              <w:t>03/02/2020</w:t>
            </w:r>
          </w:p>
        </w:tc>
        <w:tc>
          <w:tcPr>
            <w:tcW w:w="1500" w:type="dxa"/>
            <w:vAlign w:val="bottom"/>
            <w:shd w:val="clear" w:color="auto" w:fill="D8E8EF"/>
          </w:tcPr>
          <w:p>
            <w:pPr>
              <w:jc w:val="center"/>
              <w:spacing w:after="0"/>
              <w:rPr>
                <w:sz w:val="20"/>
                <w:szCs w:val="20"/>
                <w:color w:val="auto"/>
              </w:rPr>
            </w:pPr>
            <w:r>
              <w:rPr>
                <w:rFonts w:ascii="Arial" w:cs="Arial" w:eastAsia="Arial" w:hAnsi="Arial"/>
                <w:sz w:val="14"/>
                <w:szCs w:val="14"/>
                <w:color w:val="auto"/>
                <w:w w:val="97"/>
              </w:rPr>
              <w:t>21,130</w:t>
            </w:r>
          </w:p>
        </w:tc>
        <w:tc>
          <w:tcPr>
            <w:tcW w:w="1640" w:type="dxa"/>
            <w:vAlign w:val="bottom"/>
            <w:shd w:val="clear" w:color="auto" w:fill="D8E8EF"/>
          </w:tcPr>
          <w:p>
            <w:pPr>
              <w:jc w:val="center"/>
              <w:spacing w:after="0"/>
              <w:rPr>
                <w:sz w:val="20"/>
                <w:szCs w:val="20"/>
                <w:color w:val="auto"/>
              </w:rPr>
            </w:pPr>
            <w:r>
              <w:rPr>
                <w:rFonts w:ascii="Arial" w:cs="Arial" w:eastAsia="Arial" w:hAnsi="Arial"/>
                <w:sz w:val="14"/>
                <w:szCs w:val="14"/>
                <w:color w:val="auto"/>
                <w:w w:val="99"/>
              </w:rPr>
              <w:t>1,435,150</w:t>
            </w:r>
          </w:p>
        </w:tc>
        <w:tc>
          <w:tcPr>
            <w:tcW w:w="1520" w:type="dxa"/>
            <w:vAlign w:val="bottom"/>
            <w:shd w:val="clear" w:color="auto" w:fill="D8E8EF"/>
          </w:tcPr>
          <w:p>
            <w:pPr>
              <w:spacing w:after="0"/>
              <w:rPr>
                <w:sz w:val="17"/>
                <w:szCs w:val="17"/>
                <w:color w:val="auto"/>
              </w:rPr>
            </w:pPr>
          </w:p>
        </w:tc>
        <w:tc>
          <w:tcPr>
            <w:tcW w:w="1660" w:type="dxa"/>
            <w:vAlign w:val="bottom"/>
            <w:shd w:val="clear" w:color="auto" w:fill="D8E8E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580" w:type="dxa"/>
            <w:vAlign w:val="bottom"/>
            <w:shd w:val="clear" w:color="auto" w:fill="D8E8EF"/>
          </w:tcPr>
          <w:p>
            <w:pPr>
              <w:spacing w:after="0"/>
              <w:rPr>
                <w:sz w:val="17"/>
                <w:szCs w:val="17"/>
                <w:color w:val="auto"/>
              </w:rPr>
            </w:pPr>
          </w:p>
        </w:tc>
        <w:tc>
          <w:tcPr>
            <w:tcW w:w="800" w:type="dxa"/>
            <w:vAlign w:val="bottom"/>
            <w:shd w:val="clear" w:color="auto" w:fill="D8E8EF"/>
          </w:tcPr>
          <w:p>
            <w:pPr>
              <w:ind w:left="80"/>
              <w:spacing w:after="0"/>
              <w:rPr>
                <w:sz w:val="20"/>
                <w:szCs w:val="20"/>
                <w:color w:val="auto"/>
              </w:rPr>
            </w:pPr>
            <w:r>
              <w:rPr>
                <w:rFonts w:ascii="Arial" w:cs="Arial" w:eastAsia="Arial" w:hAnsi="Arial"/>
                <w:sz w:val="14"/>
                <w:szCs w:val="14"/>
                <w:color w:val="auto"/>
                <w:w w:val="99"/>
              </w:rPr>
              <w:t>03/02/2020</w:t>
            </w:r>
          </w:p>
        </w:tc>
        <w:tc>
          <w:tcPr>
            <w:tcW w:w="1500" w:type="dxa"/>
            <w:vAlign w:val="bottom"/>
            <w:shd w:val="clear" w:color="auto" w:fill="D8E8EF"/>
          </w:tcPr>
          <w:p>
            <w:pPr>
              <w:jc w:val="center"/>
              <w:spacing w:after="0"/>
              <w:rPr>
                <w:sz w:val="20"/>
                <w:szCs w:val="20"/>
                <w:color w:val="auto"/>
              </w:rPr>
            </w:pPr>
            <w:r>
              <w:rPr>
                <w:rFonts w:ascii="Arial" w:cs="Arial" w:eastAsia="Arial" w:hAnsi="Arial"/>
                <w:sz w:val="14"/>
                <w:szCs w:val="14"/>
                <w:color w:val="auto"/>
                <w:w w:val="97"/>
              </w:rPr>
              <w:t>95,088</w:t>
            </w:r>
          </w:p>
        </w:tc>
        <w:tc>
          <w:tcPr>
            <w:tcW w:w="1640" w:type="dxa"/>
            <w:vAlign w:val="bottom"/>
            <w:shd w:val="clear" w:color="auto" w:fill="D8E8EF"/>
          </w:tcPr>
          <w:p>
            <w:pPr>
              <w:jc w:val="center"/>
              <w:spacing w:after="0"/>
              <w:rPr>
                <w:sz w:val="20"/>
                <w:szCs w:val="20"/>
                <w:color w:val="auto"/>
              </w:rPr>
            </w:pPr>
            <w:r>
              <w:rPr>
                <w:rFonts w:ascii="Arial" w:cs="Arial" w:eastAsia="Arial" w:hAnsi="Arial"/>
                <w:sz w:val="14"/>
                <w:szCs w:val="14"/>
                <w:color w:val="auto"/>
                <w:w w:val="99"/>
              </w:rPr>
              <w:t>6,458,377</w:t>
            </w:r>
          </w:p>
        </w:tc>
        <w:tc>
          <w:tcPr>
            <w:tcW w:w="1520" w:type="dxa"/>
            <w:vAlign w:val="bottom"/>
            <w:shd w:val="clear" w:color="auto" w:fill="D8E8EF"/>
          </w:tcPr>
          <w:p>
            <w:pPr>
              <w:spacing w:after="0"/>
              <w:rPr>
                <w:sz w:val="17"/>
                <w:szCs w:val="17"/>
                <w:color w:val="auto"/>
              </w:rPr>
            </w:pPr>
          </w:p>
        </w:tc>
        <w:tc>
          <w:tcPr>
            <w:tcW w:w="1660" w:type="dxa"/>
            <w:vAlign w:val="bottom"/>
            <w:shd w:val="clear" w:color="auto" w:fill="D8E8E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580" w:type="dxa"/>
            <w:vAlign w:val="bottom"/>
            <w:shd w:val="clear" w:color="auto" w:fill="D8E8EF"/>
          </w:tcPr>
          <w:p>
            <w:pPr>
              <w:spacing w:after="0"/>
              <w:rPr>
                <w:sz w:val="17"/>
                <w:szCs w:val="17"/>
                <w:color w:val="auto"/>
              </w:rPr>
            </w:pPr>
          </w:p>
        </w:tc>
        <w:tc>
          <w:tcPr>
            <w:tcW w:w="800" w:type="dxa"/>
            <w:vAlign w:val="bottom"/>
            <w:shd w:val="clear" w:color="auto" w:fill="D8E8EF"/>
          </w:tcPr>
          <w:p>
            <w:pPr>
              <w:ind w:left="80"/>
              <w:spacing w:after="0"/>
              <w:rPr>
                <w:sz w:val="20"/>
                <w:szCs w:val="20"/>
                <w:color w:val="auto"/>
              </w:rPr>
            </w:pPr>
            <w:r>
              <w:rPr>
                <w:rFonts w:ascii="Arial" w:cs="Arial" w:eastAsia="Arial" w:hAnsi="Arial"/>
                <w:sz w:val="14"/>
                <w:szCs w:val="14"/>
                <w:color w:val="auto"/>
                <w:w w:val="99"/>
              </w:rPr>
              <w:t>10/05/2020</w:t>
            </w:r>
          </w:p>
        </w:tc>
        <w:tc>
          <w:tcPr>
            <w:tcW w:w="1500" w:type="dxa"/>
            <w:vAlign w:val="bottom"/>
            <w:shd w:val="clear" w:color="auto" w:fill="D8E8EF"/>
          </w:tcPr>
          <w:p>
            <w:pPr>
              <w:jc w:val="center"/>
              <w:spacing w:after="0"/>
              <w:rPr>
                <w:sz w:val="20"/>
                <w:szCs w:val="20"/>
                <w:color w:val="auto"/>
              </w:rPr>
            </w:pPr>
            <w:r>
              <w:rPr>
                <w:rFonts w:ascii="Arial" w:cs="Arial" w:eastAsia="Arial" w:hAnsi="Arial"/>
                <w:sz w:val="14"/>
                <w:szCs w:val="14"/>
                <w:color w:val="auto"/>
                <w:w w:val="96"/>
              </w:rPr>
              <w:t>5,760</w:t>
            </w:r>
          </w:p>
        </w:tc>
        <w:tc>
          <w:tcPr>
            <w:tcW w:w="1640" w:type="dxa"/>
            <w:vAlign w:val="bottom"/>
            <w:shd w:val="clear" w:color="auto" w:fill="D8E8EF"/>
          </w:tcPr>
          <w:p>
            <w:pPr>
              <w:jc w:val="center"/>
              <w:spacing w:after="0"/>
              <w:rPr>
                <w:sz w:val="20"/>
                <w:szCs w:val="20"/>
                <w:color w:val="auto"/>
              </w:rPr>
            </w:pPr>
            <w:r>
              <w:rPr>
                <w:rFonts w:ascii="Arial" w:cs="Arial" w:eastAsia="Arial" w:hAnsi="Arial"/>
                <w:sz w:val="14"/>
                <w:szCs w:val="14"/>
                <w:color w:val="auto"/>
                <w:w w:val="98"/>
              </w:rPr>
              <w:t>391,219</w:t>
            </w:r>
          </w:p>
        </w:tc>
        <w:tc>
          <w:tcPr>
            <w:tcW w:w="1520" w:type="dxa"/>
            <w:vAlign w:val="bottom"/>
            <w:shd w:val="clear" w:color="auto" w:fill="D8E8EF"/>
          </w:tcPr>
          <w:p>
            <w:pPr>
              <w:spacing w:after="0"/>
              <w:rPr>
                <w:sz w:val="17"/>
                <w:szCs w:val="17"/>
                <w:color w:val="auto"/>
              </w:rPr>
            </w:pPr>
          </w:p>
        </w:tc>
        <w:tc>
          <w:tcPr>
            <w:tcW w:w="1660" w:type="dxa"/>
            <w:vAlign w:val="bottom"/>
            <w:shd w:val="clear" w:color="auto" w:fill="D8E8E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580" w:type="dxa"/>
            <w:vAlign w:val="bottom"/>
            <w:shd w:val="clear" w:color="auto" w:fill="D8E8EF"/>
          </w:tcPr>
          <w:p>
            <w:pPr>
              <w:spacing w:after="0"/>
              <w:rPr>
                <w:sz w:val="17"/>
                <w:szCs w:val="17"/>
                <w:color w:val="auto"/>
              </w:rPr>
            </w:pPr>
          </w:p>
        </w:tc>
        <w:tc>
          <w:tcPr>
            <w:tcW w:w="800" w:type="dxa"/>
            <w:vAlign w:val="bottom"/>
            <w:shd w:val="clear" w:color="auto" w:fill="D8E8EF"/>
          </w:tcPr>
          <w:p>
            <w:pPr>
              <w:ind w:left="80"/>
              <w:spacing w:after="0"/>
              <w:rPr>
                <w:sz w:val="20"/>
                <w:szCs w:val="20"/>
                <w:color w:val="auto"/>
              </w:rPr>
            </w:pPr>
            <w:r>
              <w:rPr>
                <w:rFonts w:ascii="Arial" w:cs="Arial" w:eastAsia="Arial" w:hAnsi="Arial"/>
                <w:sz w:val="14"/>
                <w:szCs w:val="14"/>
                <w:color w:val="auto"/>
                <w:w w:val="99"/>
              </w:rPr>
              <w:t>02/12/2021</w:t>
            </w:r>
          </w:p>
        </w:tc>
        <w:tc>
          <w:tcPr>
            <w:tcW w:w="1500" w:type="dxa"/>
            <w:vAlign w:val="bottom"/>
            <w:shd w:val="clear" w:color="auto" w:fill="D8E8EF"/>
          </w:tcPr>
          <w:p>
            <w:pPr>
              <w:jc w:val="center"/>
              <w:spacing w:after="0"/>
              <w:rPr>
                <w:sz w:val="20"/>
                <w:szCs w:val="20"/>
                <w:color w:val="auto"/>
              </w:rPr>
            </w:pPr>
            <w:r>
              <w:rPr>
                <w:rFonts w:ascii="Arial" w:cs="Arial" w:eastAsia="Arial" w:hAnsi="Arial"/>
                <w:sz w:val="14"/>
                <w:szCs w:val="14"/>
                <w:color w:val="auto"/>
                <w:w w:val="97"/>
              </w:rPr>
              <w:t>20,597</w:t>
            </w:r>
          </w:p>
        </w:tc>
        <w:tc>
          <w:tcPr>
            <w:tcW w:w="1640" w:type="dxa"/>
            <w:vAlign w:val="bottom"/>
            <w:shd w:val="clear" w:color="auto" w:fill="D8E8EF"/>
          </w:tcPr>
          <w:p>
            <w:pPr>
              <w:jc w:val="center"/>
              <w:spacing w:after="0"/>
              <w:rPr>
                <w:sz w:val="20"/>
                <w:szCs w:val="20"/>
                <w:color w:val="auto"/>
              </w:rPr>
            </w:pPr>
            <w:r>
              <w:rPr>
                <w:rFonts w:ascii="Arial" w:cs="Arial" w:eastAsia="Arial" w:hAnsi="Arial"/>
                <w:sz w:val="14"/>
                <w:szCs w:val="14"/>
                <w:color w:val="auto"/>
                <w:w w:val="99"/>
              </w:rPr>
              <w:t>1,398,948</w:t>
            </w:r>
          </w:p>
        </w:tc>
        <w:tc>
          <w:tcPr>
            <w:tcW w:w="1520" w:type="dxa"/>
            <w:vAlign w:val="bottom"/>
            <w:shd w:val="clear" w:color="auto" w:fill="D8E8EF"/>
          </w:tcPr>
          <w:p>
            <w:pPr>
              <w:spacing w:after="0"/>
              <w:rPr>
                <w:sz w:val="17"/>
                <w:szCs w:val="17"/>
                <w:color w:val="auto"/>
              </w:rPr>
            </w:pPr>
          </w:p>
        </w:tc>
        <w:tc>
          <w:tcPr>
            <w:tcW w:w="1660" w:type="dxa"/>
            <w:vAlign w:val="bottom"/>
            <w:shd w:val="clear" w:color="auto" w:fill="D8E8E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580" w:type="dxa"/>
            <w:vAlign w:val="bottom"/>
            <w:shd w:val="clear" w:color="auto" w:fill="D8E8EF"/>
          </w:tcPr>
          <w:p>
            <w:pPr>
              <w:spacing w:after="0"/>
              <w:rPr>
                <w:sz w:val="17"/>
                <w:szCs w:val="17"/>
                <w:color w:val="auto"/>
              </w:rPr>
            </w:pPr>
          </w:p>
        </w:tc>
        <w:tc>
          <w:tcPr>
            <w:tcW w:w="800" w:type="dxa"/>
            <w:vAlign w:val="bottom"/>
            <w:shd w:val="clear" w:color="auto" w:fill="D8E8EF"/>
          </w:tcPr>
          <w:p>
            <w:pPr>
              <w:ind w:left="80"/>
              <w:spacing w:after="0"/>
              <w:rPr>
                <w:sz w:val="20"/>
                <w:szCs w:val="20"/>
                <w:color w:val="auto"/>
              </w:rPr>
            </w:pPr>
            <w:r>
              <w:rPr>
                <w:rFonts w:ascii="Arial" w:cs="Arial" w:eastAsia="Arial" w:hAnsi="Arial"/>
                <w:sz w:val="14"/>
                <w:szCs w:val="14"/>
                <w:color w:val="auto"/>
                <w:w w:val="99"/>
              </w:rPr>
              <w:t>02/12/2021</w:t>
            </w:r>
          </w:p>
        </w:tc>
        <w:tc>
          <w:tcPr>
            <w:tcW w:w="1500" w:type="dxa"/>
            <w:vAlign w:val="bottom"/>
            <w:shd w:val="clear" w:color="auto" w:fill="D8E8EF"/>
          </w:tcPr>
          <w:p>
            <w:pPr>
              <w:jc w:val="center"/>
              <w:spacing w:after="0"/>
              <w:rPr>
                <w:sz w:val="20"/>
                <w:szCs w:val="20"/>
                <w:color w:val="auto"/>
              </w:rPr>
            </w:pPr>
            <w:r>
              <w:rPr>
                <w:rFonts w:ascii="Arial" w:cs="Arial" w:eastAsia="Arial" w:hAnsi="Arial"/>
                <w:sz w:val="14"/>
                <w:szCs w:val="14"/>
                <w:color w:val="auto"/>
                <w:w w:val="97"/>
              </w:rPr>
              <w:t>23,171</w:t>
            </w:r>
          </w:p>
        </w:tc>
        <w:tc>
          <w:tcPr>
            <w:tcW w:w="1640" w:type="dxa"/>
            <w:vAlign w:val="bottom"/>
            <w:shd w:val="clear" w:color="auto" w:fill="D8E8EF"/>
          </w:tcPr>
          <w:p>
            <w:pPr>
              <w:jc w:val="center"/>
              <w:spacing w:after="0"/>
              <w:rPr>
                <w:sz w:val="20"/>
                <w:szCs w:val="20"/>
                <w:color w:val="auto"/>
              </w:rPr>
            </w:pPr>
            <w:r>
              <w:rPr>
                <w:rFonts w:ascii="Arial" w:cs="Arial" w:eastAsia="Arial" w:hAnsi="Arial"/>
                <w:sz w:val="14"/>
                <w:szCs w:val="14"/>
                <w:color w:val="auto"/>
                <w:w w:val="99"/>
              </w:rPr>
              <w:t>1,573,791</w:t>
            </w:r>
          </w:p>
        </w:tc>
        <w:tc>
          <w:tcPr>
            <w:tcW w:w="1520" w:type="dxa"/>
            <w:vAlign w:val="bottom"/>
            <w:shd w:val="clear" w:color="auto" w:fill="D8E8EF"/>
          </w:tcPr>
          <w:p>
            <w:pPr>
              <w:jc w:val="center"/>
              <w:spacing w:after="0"/>
              <w:rPr>
                <w:sz w:val="20"/>
                <w:szCs w:val="20"/>
                <w:color w:val="auto"/>
              </w:rPr>
            </w:pPr>
            <w:r>
              <w:rPr>
                <w:rFonts w:ascii="Arial" w:cs="Arial" w:eastAsia="Arial" w:hAnsi="Arial"/>
                <w:sz w:val="14"/>
                <w:szCs w:val="14"/>
                <w:color w:val="auto"/>
              </w:rPr>
              <w:t>46,343</w:t>
            </w:r>
          </w:p>
        </w:tc>
        <w:tc>
          <w:tcPr>
            <w:tcW w:w="1660" w:type="dxa"/>
            <w:vAlign w:val="bottom"/>
            <w:shd w:val="clear" w:color="auto" w:fill="D8E8EF"/>
          </w:tcPr>
          <w:p>
            <w:pPr>
              <w:jc w:val="center"/>
              <w:ind w:right="49"/>
              <w:spacing w:after="0"/>
              <w:rPr>
                <w:sz w:val="20"/>
                <w:szCs w:val="20"/>
                <w:color w:val="auto"/>
              </w:rPr>
            </w:pPr>
            <w:r>
              <w:rPr>
                <w:rFonts w:ascii="Arial" w:cs="Arial" w:eastAsia="Arial" w:hAnsi="Arial"/>
                <w:sz w:val="14"/>
                <w:szCs w:val="14"/>
                <w:color w:val="auto"/>
                <w:w w:val="99"/>
              </w:rPr>
              <w:t>3,147,583</w:t>
            </w:r>
          </w:p>
        </w:tc>
        <w:tc>
          <w:tcPr>
            <w:tcW w:w="0" w:type="dxa"/>
            <w:vAlign w:val="bottom"/>
          </w:tcPr>
          <w:p>
            <w:pPr>
              <w:spacing w:after="0"/>
              <w:rPr>
                <w:sz w:val="1"/>
                <w:szCs w:val="1"/>
                <w:color w:val="auto"/>
              </w:rPr>
            </w:pPr>
          </w:p>
        </w:tc>
      </w:tr>
      <w:tr>
        <w:trPr>
          <w:trHeight w:val="201"/>
        </w:trPr>
        <w:tc>
          <w:tcPr>
            <w:tcW w:w="3580" w:type="dxa"/>
            <w:vAlign w:val="bottom"/>
            <w:shd w:val="clear" w:color="auto" w:fill="D8E8EF"/>
          </w:tcPr>
          <w:p>
            <w:pPr>
              <w:spacing w:after="0"/>
              <w:rPr>
                <w:sz w:val="17"/>
                <w:szCs w:val="17"/>
                <w:color w:val="auto"/>
              </w:rPr>
            </w:pPr>
          </w:p>
        </w:tc>
        <w:tc>
          <w:tcPr>
            <w:tcW w:w="800" w:type="dxa"/>
            <w:vAlign w:val="bottom"/>
            <w:shd w:val="clear" w:color="auto" w:fill="D8E8EF"/>
          </w:tcPr>
          <w:p>
            <w:pPr>
              <w:ind w:left="80"/>
              <w:spacing w:after="0"/>
              <w:rPr>
                <w:sz w:val="20"/>
                <w:szCs w:val="20"/>
                <w:color w:val="auto"/>
              </w:rPr>
            </w:pPr>
            <w:r>
              <w:rPr>
                <w:rFonts w:ascii="Arial" w:cs="Arial" w:eastAsia="Arial" w:hAnsi="Arial"/>
                <w:sz w:val="14"/>
                <w:szCs w:val="14"/>
                <w:color w:val="auto"/>
                <w:w w:val="99"/>
              </w:rPr>
              <w:t>07/01/2021</w:t>
            </w:r>
          </w:p>
        </w:tc>
        <w:tc>
          <w:tcPr>
            <w:tcW w:w="1500" w:type="dxa"/>
            <w:vAlign w:val="bottom"/>
            <w:shd w:val="clear" w:color="auto" w:fill="D8E8EF"/>
          </w:tcPr>
          <w:p>
            <w:pPr>
              <w:jc w:val="center"/>
              <w:spacing w:after="0"/>
              <w:rPr>
                <w:sz w:val="20"/>
                <w:szCs w:val="20"/>
                <w:color w:val="auto"/>
              </w:rPr>
            </w:pPr>
            <w:r>
              <w:rPr>
                <w:rFonts w:ascii="Arial" w:cs="Arial" w:eastAsia="Arial" w:hAnsi="Arial"/>
                <w:sz w:val="14"/>
                <w:szCs w:val="14"/>
                <w:color w:val="auto"/>
                <w:w w:val="96"/>
              </w:rPr>
              <w:t>1,056</w:t>
            </w:r>
          </w:p>
        </w:tc>
        <w:tc>
          <w:tcPr>
            <w:tcW w:w="1640" w:type="dxa"/>
            <w:vAlign w:val="bottom"/>
            <w:shd w:val="clear" w:color="auto" w:fill="D8E8EF"/>
          </w:tcPr>
          <w:p>
            <w:pPr>
              <w:jc w:val="center"/>
              <w:spacing w:after="0"/>
              <w:rPr>
                <w:sz w:val="20"/>
                <w:szCs w:val="20"/>
                <w:color w:val="auto"/>
              </w:rPr>
            </w:pPr>
            <w:r>
              <w:rPr>
                <w:rFonts w:ascii="Arial" w:cs="Arial" w:eastAsia="Arial" w:hAnsi="Arial"/>
                <w:sz w:val="14"/>
                <w:szCs w:val="14"/>
                <w:color w:val="auto"/>
                <w:w w:val="97"/>
              </w:rPr>
              <w:t>71,724</w:t>
            </w:r>
          </w:p>
        </w:tc>
        <w:tc>
          <w:tcPr>
            <w:tcW w:w="1520" w:type="dxa"/>
            <w:vAlign w:val="bottom"/>
            <w:shd w:val="clear" w:color="auto" w:fill="D8E8EF"/>
          </w:tcPr>
          <w:p>
            <w:pPr>
              <w:spacing w:after="0"/>
              <w:rPr>
                <w:sz w:val="17"/>
                <w:szCs w:val="17"/>
                <w:color w:val="auto"/>
              </w:rPr>
            </w:pPr>
          </w:p>
        </w:tc>
        <w:tc>
          <w:tcPr>
            <w:tcW w:w="1660" w:type="dxa"/>
            <w:vAlign w:val="bottom"/>
            <w:shd w:val="clear" w:color="auto" w:fill="D8E8EF"/>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3580" w:type="dxa"/>
            <w:vAlign w:val="bottom"/>
            <w:shd w:val="clear" w:color="auto" w:fill="D8E8EF"/>
          </w:tcPr>
          <w:p>
            <w:pPr>
              <w:spacing w:after="0"/>
              <w:rPr>
                <w:sz w:val="19"/>
                <w:szCs w:val="19"/>
                <w:color w:val="auto"/>
              </w:rPr>
            </w:pPr>
          </w:p>
        </w:tc>
        <w:tc>
          <w:tcPr>
            <w:tcW w:w="800" w:type="dxa"/>
            <w:vAlign w:val="bottom"/>
            <w:shd w:val="clear" w:color="auto" w:fill="D8E8EF"/>
          </w:tcPr>
          <w:p>
            <w:pPr>
              <w:ind w:left="80"/>
              <w:spacing w:after="0"/>
              <w:rPr>
                <w:sz w:val="20"/>
                <w:szCs w:val="20"/>
                <w:color w:val="auto"/>
              </w:rPr>
            </w:pPr>
            <w:r>
              <w:rPr>
                <w:rFonts w:ascii="Arial" w:cs="Arial" w:eastAsia="Arial" w:hAnsi="Arial"/>
                <w:sz w:val="14"/>
                <w:szCs w:val="14"/>
                <w:color w:val="auto"/>
                <w:w w:val="99"/>
              </w:rPr>
              <w:t>07/01/2021</w:t>
            </w:r>
          </w:p>
        </w:tc>
        <w:tc>
          <w:tcPr>
            <w:tcW w:w="1500" w:type="dxa"/>
            <w:vAlign w:val="bottom"/>
            <w:shd w:val="clear" w:color="auto" w:fill="D8E8EF"/>
          </w:tcPr>
          <w:p>
            <w:pPr>
              <w:jc w:val="center"/>
              <w:spacing w:after="0"/>
              <w:rPr>
                <w:sz w:val="20"/>
                <w:szCs w:val="20"/>
                <w:color w:val="auto"/>
              </w:rPr>
            </w:pPr>
            <w:r>
              <w:rPr>
                <w:rFonts w:ascii="Arial" w:cs="Arial" w:eastAsia="Arial" w:hAnsi="Arial"/>
                <w:sz w:val="14"/>
                <w:szCs w:val="14"/>
                <w:color w:val="auto"/>
                <w:w w:val="94"/>
              </w:rPr>
              <w:t>792</w:t>
            </w:r>
          </w:p>
        </w:tc>
        <w:tc>
          <w:tcPr>
            <w:tcW w:w="1640" w:type="dxa"/>
            <w:vAlign w:val="bottom"/>
            <w:shd w:val="clear" w:color="auto" w:fill="D8E8EF"/>
          </w:tcPr>
          <w:p>
            <w:pPr>
              <w:jc w:val="center"/>
              <w:spacing w:after="0"/>
              <w:rPr>
                <w:sz w:val="20"/>
                <w:szCs w:val="20"/>
                <w:color w:val="auto"/>
              </w:rPr>
            </w:pPr>
            <w:r>
              <w:rPr>
                <w:rFonts w:ascii="Arial" w:cs="Arial" w:eastAsia="Arial" w:hAnsi="Arial"/>
                <w:sz w:val="14"/>
                <w:szCs w:val="14"/>
                <w:color w:val="auto"/>
                <w:w w:val="97"/>
              </w:rPr>
              <w:t>53,759</w:t>
            </w:r>
          </w:p>
        </w:tc>
        <w:tc>
          <w:tcPr>
            <w:tcW w:w="1520" w:type="dxa"/>
            <w:vAlign w:val="bottom"/>
            <w:shd w:val="clear" w:color="auto" w:fill="D8E8EF"/>
          </w:tcPr>
          <w:p>
            <w:pPr>
              <w:jc w:val="center"/>
              <w:spacing w:after="0"/>
              <w:rPr>
                <w:sz w:val="20"/>
                <w:szCs w:val="20"/>
                <w:color w:val="auto"/>
              </w:rPr>
            </w:pPr>
            <w:r>
              <w:rPr>
                <w:rFonts w:ascii="Arial" w:cs="Arial" w:eastAsia="Arial" w:hAnsi="Arial"/>
                <w:sz w:val="14"/>
                <w:szCs w:val="14"/>
                <w:color w:val="auto"/>
              </w:rPr>
              <w:t>1,583</w:t>
            </w:r>
          </w:p>
        </w:tc>
        <w:tc>
          <w:tcPr>
            <w:tcW w:w="1660" w:type="dxa"/>
            <w:vAlign w:val="bottom"/>
            <w:shd w:val="clear" w:color="auto" w:fill="D8E8EF"/>
          </w:tcPr>
          <w:p>
            <w:pPr>
              <w:jc w:val="center"/>
              <w:ind w:right="49"/>
              <w:spacing w:after="0"/>
              <w:rPr>
                <w:sz w:val="20"/>
                <w:szCs w:val="20"/>
                <w:color w:val="auto"/>
              </w:rPr>
            </w:pPr>
            <w:r>
              <w:rPr>
                <w:rFonts w:ascii="Arial" w:cs="Arial" w:eastAsia="Arial" w:hAnsi="Arial"/>
                <w:sz w:val="14"/>
                <w:szCs w:val="14"/>
                <w:color w:val="auto"/>
                <w:w w:val="98"/>
              </w:rPr>
              <w:t>107,517</w:t>
            </w:r>
          </w:p>
        </w:tc>
        <w:tc>
          <w:tcPr>
            <w:tcW w:w="0" w:type="dxa"/>
            <w:vAlign w:val="bottom"/>
          </w:tcPr>
          <w:p>
            <w:pPr>
              <w:spacing w:after="0"/>
              <w:rPr>
                <w:sz w:val="1"/>
                <w:szCs w:val="1"/>
                <w:color w:val="auto"/>
              </w:rPr>
            </w:pPr>
          </w:p>
        </w:tc>
      </w:tr>
      <w:tr>
        <w:trPr>
          <w:trHeight w:val="206"/>
        </w:trPr>
        <w:tc>
          <w:tcPr>
            <w:tcW w:w="3580" w:type="dxa"/>
            <w:vAlign w:val="bottom"/>
          </w:tcPr>
          <w:p>
            <w:pPr>
              <w:ind w:left="60"/>
              <w:spacing w:after="0"/>
              <w:rPr>
                <w:sz w:val="20"/>
                <w:szCs w:val="20"/>
                <w:color w:val="auto"/>
              </w:rPr>
            </w:pPr>
            <w:r>
              <w:rPr>
                <w:rFonts w:ascii="Arial" w:cs="Arial" w:eastAsia="Arial" w:hAnsi="Arial"/>
                <w:sz w:val="14"/>
                <w:szCs w:val="14"/>
                <w:color w:val="auto"/>
              </w:rPr>
              <w:t>Simon Keeton</w:t>
            </w:r>
          </w:p>
        </w:tc>
        <w:tc>
          <w:tcPr>
            <w:tcW w:w="800" w:type="dxa"/>
            <w:vAlign w:val="bottom"/>
          </w:tcPr>
          <w:p>
            <w:pPr>
              <w:ind w:left="80"/>
              <w:spacing w:after="0"/>
              <w:rPr>
                <w:sz w:val="20"/>
                <w:szCs w:val="20"/>
                <w:color w:val="auto"/>
              </w:rPr>
            </w:pPr>
            <w:r>
              <w:rPr>
                <w:rFonts w:ascii="Arial" w:cs="Arial" w:eastAsia="Arial" w:hAnsi="Arial"/>
                <w:sz w:val="14"/>
                <w:szCs w:val="14"/>
                <w:color w:val="auto"/>
                <w:w w:val="99"/>
              </w:rPr>
              <w:t>01/07/2019</w:t>
            </w:r>
          </w:p>
        </w:tc>
        <w:tc>
          <w:tcPr>
            <w:tcW w:w="1500" w:type="dxa"/>
            <w:vAlign w:val="bottom"/>
          </w:tcPr>
          <w:p>
            <w:pPr>
              <w:jc w:val="center"/>
              <w:spacing w:after="0"/>
              <w:rPr>
                <w:sz w:val="20"/>
                <w:szCs w:val="20"/>
                <w:color w:val="auto"/>
              </w:rPr>
            </w:pPr>
            <w:r>
              <w:rPr>
                <w:rFonts w:ascii="Arial" w:cs="Arial" w:eastAsia="Arial" w:hAnsi="Arial"/>
                <w:sz w:val="14"/>
                <w:szCs w:val="14"/>
                <w:color w:val="auto"/>
                <w:w w:val="96"/>
              </w:rPr>
              <w:t>5,882</w:t>
            </w:r>
          </w:p>
        </w:tc>
        <w:tc>
          <w:tcPr>
            <w:tcW w:w="1640" w:type="dxa"/>
            <w:vAlign w:val="bottom"/>
          </w:tcPr>
          <w:p>
            <w:pPr>
              <w:jc w:val="center"/>
              <w:spacing w:after="0"/>
              <w:rPr>
                <w:sz w:val="20"/>
                <w:szCs w:val="20"/>
                <w:color w:val="auto"/>
              </w:rPr>
            </w:pPr>
            <w:r>
              <w:rPr>
                <w:rFonts w:ascii="Arial" w:cs="Arial" w:eastAsia="Arial" w:hAnsi="Arial"/>
                <w:sz w:val="14"/>
                <w:szCs w:val="14"/>
                <w:color w:val="auto"/>
                <w:w w:val="98"/>
              </w:rPr>
              <w:t>399,505</w:t>
            </w:r>
          </w:p>
        </w:tc>
        <w:tc>
          <w:tcPr>
            <w:tcW w:w="15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580" w:type="dxa"/>
            <w:vAlign w:val="bottom"/>
          </w:tcPr>
          <w:p>
            <w:pPr>
              <w:spacing w:after="0"/>
              <w:rPr>
                <w:sz w:val="17"/>
                <w:szCs w:val="17"/>
                <w:color w:val="auto"/>
              </w:rPr>
            </w:pPr>
          </w:p>
        </w:tc>
        <w:tc>
          <w:tcPr>
            <w:tcW w:w="800" w:type="dxa"/>
            <w:vAlign w:val="bottom"/>
          </w:tcPr>
          <w:p>
            <w:pPr>
              <w:ind w:left="80"/>
              <w:spacing w:after="0"/>
              <w:rPr>
                <w:sz w:val="20"/>
                <w:szCs w:val="20"/>
                <w:color w:val="auto"/>
              </w:rPr>
            </w:pPr>
            <w:r>
              <w:rPr>
                <w:rFonts w:ascii="Arial" w:cs="Arial" w:eastAsia="Arial" w:hAnsi="Arial"/>
                <w:sz w:val="14"/>
                <w:szCs w:val="14"/>
                <w:color w:val="auto"/>
                <w:w w:val="99"/>
              </w:rPr>
              <w:t>03/04/2019</w:t>
            </w:r>
          </w:p>
        </w:tc>
        <w:tc>
          <w:tcPr>
            <w:tcW w:w="1500" w:type="dxa"/>
            <w:vAlign w:val="bottom"/>
          </w:tcPr>
          <w:p>
            <w:pPr>
              <w:jc w:val="center"/>
              <w:spacing w:after="0"/>
              <w:rPr>
                <w:sz w:val="20"/>
                <w:szCs w:val="20"/>
                <w:color w:val="auto"/>
              </w:rPr>
            </w:pPr>
            <w:r>
              <w:rPr>
                <w:rFonts w:ascii="Arial" w:cs="Arial" w:eastAsia="Arial" w:hAnsi="Arial"/>
                <w:sz w:val="14"/>
                <w:szCs w:val="14"/>
                <w:color w:val="auto"/>
                <w:w w:val="96"/>
              </w:rPr>
              <w:t>7,299</w:t>
            </w:r>
          </w:p>
        </w:tc>
        <w:tc>
          <w:tcPr>
            <w:tcW w:w="1640" w:type="dxa"/>
            <w:vAlign w:val="bottom"/>
          </w:tcPr>
          <w:p>
            <w:pPr>
              <w:jc w:val="center"/>
              <w:spacing w:after="0"/>
              <w:rPr>
                <w:sz w:val="20"/>
                <w:szCs w:val="20"/>
                <w:color w:val="auto"/>
              </w:rPr>
            </w:pPr>
            <w:r>
              <w:rPr>
                <w:rFonts w:ascii="Arial" w:cs="Arial" w:eastAsia="Arial" w:hAnsi="Arial"/>
                <w:sz w:val="14"/>
                <w:szCs w:val="14"/>
                <w:color w:val="auto"/>
                <w:w w:val="98"/>
              </w:rPr>
              <w:t>495,748</w:t>
            </w:r>
          </w:p>
        </w:tc>
        <w:tc>
          <w:tcPr>
            <w:tcW w:w="15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580" w:type="dxa"/>
            <w:vAlign w:val="bottom"/>
          </w:tcPr>
          <w:p>
            <w:pPr>
              <w:spacing w:after="0"/>
              <w:rPr>
                <w:sz w:val="17"/>
                <w:szCs w:val="17"/>
                <w:color w:val="auto"/>
              </w:rPr>
            </w:pPr>
          </w:p>
        </w:tc>
        <w:tc>
          <w:tcPr>
            <w:tcW w:w="800" w:type="dxa"/>
            <w:vAlign w:val="bottom"/>
          </w:tcPr>
          <w:p>
            <w:pPr>
              <w:ind w:left="80"/>
              <w:spacing w:after="0"/>
              <w:rPr>
                <w:sz w:val="20"/>
                <w:szCs w:val="20"/>
                <w:color w:val="auto"/>
              </w:rPr>
            </w:pPr>
            <w:r>
              <w:rPr>
                <w:rFonts w:ascii="Arial" w:cs="Arial" w:eastAsia="Arial" w:hAnsi="Arial"/>
                <w:sz w:val="14"/>
                <w:szCs w:val="14"/>
                <w:color w:val="auto"/>
                <w:w w:val="99"/>
              </w:rPr>
              <w:t>03/02/2020</w:t>
            </w:r>
          </w:p>
        </w:tc>
        <w:tc>
          <w:tcPr>
            <w:tcW w:w="1500" w:type="dxa"/>
            <w:vAlign w:val="bottom"/>
          </w:tcPr>
          <w:p>
            <w:pPr>
              <w:jc w:val="center"/>
              <w:spacing w:after="0"/>
              <w:rPr>
                <w:sz w:val="20"/>
                <w:szCs w:val="20"/>
                <w:color w:val="auto"/>
              </w:rPr>
            </w:pPr>
            <w:r>
              <w:rPr>
                <w:rFonts w:ascii="Arial" w:cs="Arial" w:eastAsia="Arial" w:hAnsi="Arial"/>
                <w:sz w:val="14"/>
                <w:szCs w:val="14"/>
                <w:color w:val="auto"/>
                <w:w w:val="97"/>
              </w:rPr>
              <w:t>21,130</w:t>
            </w:r>
          </w:p>
        </w:tc>
        <w:tc>
          <w:tcPr>
            <w:tcW w:w="1640" w:type="dxa"/>
            <w:vAlign w:val="bottom"/>
          </w:tcPr>
          <w:p>
            <w:pPr>
              <w:jc w:val="center"/>
              <w:spacing w:after="0"/>
              <w:rPr>
                <w:sz w:val="20"/>
                <w:szCs w:val="20"/>
                <w:color w:val="auto"/>
              </w:rPr>
            </w:pPr>
            <w:r>
              <w:rPr>
                <w:rFonts w:ascii="Arial" w:cs="Arial" w:eastAsia="Arial" w:hAnsi="Arial"/>
                <w:sz w:val="14"/>
                <w:szCs w:val="14"/>
                <w:color w:val="auto"/>
                <w:w w:val="99"/>
              </w:rPr>
              <w:t>1,435,150</w:t>
            </w:r>
          </w:p>
        </w:tc>
        <w:tc>
          <w:tcPr>
            <w:tcW w:w="15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580" w:type="dxa"/>
            <w:vAlign w:val="bottom"/>
          </w:tcPr>
          <w:p>
            <w:pPr>
              <w:spacing w:after="0"/>
              <w:rPr>
                <w:sz w:val="17"/>
                <w:szCs w:val="17"/>
                <w:color w:val="auto"/>
              </w:rPr>
            </w:pPr>
          </w:p>
        </w:tc>
        <w:tc>
          <w:tcPr>
            <w:tcW w:w="800" w:type="dxa"/>
            <w:vAlign w:val="bottom"/>
          </w:tcPr>
          <w:p>
            <w:pPr>
              <w:ind w:left="80"/>
              <w:spacing w:after="0"/>
              <w:rPr>
                <w:sz w:val="20"/>
                <w:szCs w:val="20"/>
                <w:color w:val="auto"/>
              </w:rPr>
            </w:pPr>
            <w:r>
              <w:rPr>
                <w:rFonts w:ascii="Arial" w:cs="Arial" w:eastAsia="Arial" w:hAnsi="Arial"/>
                <w:sz w:val="14"/>
                <w:szCs w:val="14"/>
                <w:color w:val="auto"/>
                <w:w w:val="99"/>
              </w:rPr>
              <w:t>03/02/2020</w:t>
            </w:r>
          </w:p>
        </w:tc>
        <w:tc>
          <w:tcPr>
            <w:tcW w:w="1500" w:type="dxa"/>
            <w:vAlign w:val="bottom"/>
          </w:tcPr>
          <w:p>
            <w:pPr>
              <w:jc w:val="center"/>
              <w:spacing w:after="0"/>
              <w:rPr>
                <w:sz w:val="20"/>
                <w:szCs w:val="20"/>
                <w:color w:val="auto"/>
              </w:rPr>
            </w:pPr>
            <w:r>
              <w:rPr>
                <w:rFonts w:ascii="Arial" w:cs="Arial" w:eastAsia="Arial" w:hAnsi="Arial"/>
                <w:sz w:val="14"/>
                <w:szCs w:val="14"/>
                <w:color w:val="auto"/>
                <w:w w:val="97"/>
              </w:rPr>
              <w:t>95,088</w:t>
            </w:r>
          </w:p>
        </w:tc>
        <w:tc>
          <w:tcPr>
            <w:tcW w:w="1640" w:type="dxa"/>
            <w:vAlign w:val="bottom"/>
          </w:tcPr>
          <w:p>
            <w:pPr>
              <w:jc w:val="center"/>
              <w:spacing w:after="0"/>
              <w:rPr>
                <w:sz w:val="20"/>
                <w:szCs w:val="20"/>
                <w:color w:val="auto"/>
              </w:rPr>
            </w:pPr>
            <w:r>
              <w:rPr>
                <w:rFonts w:ascii="Arial" w:cs="Arial" w:eastAsia="Arial" w:hAnsi="Arial"/>
                <w:sz w:val="14"/>
                <w:szCs w:val="14"/>
                <w:color w:val="auto"/>
                <w:w w:val="99"/>
              </w:rPr>
              <w:t>6,458,377</w:t>
            </w:r>
          </w:p>
        </w:tc>
        <w:tc>
          <w:tcPr>
            <w:tcW w:w="15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580" w:type="dxa"/>
            <w:vAlign w:val="bottom"/>
          </w:tcPr>
          <w:p>
            <w:pPr>
              <w:spacing w:after="0"/>
              <w:rPr>
                <w:sz w:val="17"/>
                <w:szCs w:val="17"/>
                <w:color w:val="auto"/>
              </w:rPr>
            </w:pPr>
          </w:p>
        </w:tc>
        <w:tc>
          <w:tcPr>
            <w:tcW w:w="800" w:type="dxa"/>
            <w:vAlign w:val="bottom"/>
          </w:tcPr>
          <w:p>
            <w:pPr>
              <w:ind w:left="80"/>
              <w:spacing w:after="0"/>
              <w:rPr>
                <w:sz w:val="20"/>
                <w:szCs w:val="20"/>
                <w:color w:val="auto"/>
              </w:rPr>
            </w:pPr>
            <w:r>
              <w:rPr>
                <w:rFonts w:ascii="Arial" w:cs="Arial" w:eastAsia="Arial" w:hAnsi="Arial"/>
                <w:sz w:val="14"/>
                <w:szCs w:val="14"/>
                <w:color w:val="auto"/>
                <w:w w:val="99"/>
              </w:rPr>
              <w:t>10/05/2020</w:t>
            </w:r>
          </w:p>
        </w:tc>
        <w:tc>
          <w:tcPr>
            <w:tcW w:w="1500" w:type="dxa"/>
            <w:vAlign w:val="bottom"/>
          </w:tcPr>
          <w:p>
            <w:pPr>
              <w:jc w:val="center"/>
              <w:spacing w:after="0"/>
              <w:rPr>
                <w:sz w:val="20"/>
                <w:szCs w:val="20"/>
                <w:color w:val="auto"/>
              </w:rPr>
            </w:pPr>
            <w:r>
              <w:rPr>
                <w:rFonts w:ascii="Arial" w:cs="Arial" w:eastAsia="Arial" w:hAnsi="Arial"/>
                <w:sz w:val="14"/>
                <w:szCs w:val="14"/>
                <w:color w:val="auto"/>
                <w:w w:val="96"/>
              </w:rPr>
              <w:t>5,760</w:t>
            </w:r>
          </w:p>
        </w:tc>
        <w:tc>
          <w:tcPr>
            <w:tcW w:w="1640" w:type="dxa"/>
            <w:vAlign w:val="bottom"/>
          </w:tcPr>
          <w:p>
            <w:pPr>
              <w:jc w:val="center"/>
              <w:spacing w:after="0"/>
              <w:rPr>
                <w:sz w:val="20"/>
                <w:szCs w:val="20"/>
                <w:color w:val="auto"/>
              </w:rPr>
            </w:pPr>
            <w:r>
              <w:rPr>
                <w:rFonts w:ascii="Arial" w:cs="Arial" w:eastAsia="Arial" w:hAnsi="Arial"/>
                <w:sz w:val="14"/>
                <w:szCs w:val="14"/>
                <w:color w:val="auto"/>
                <w:w w:val="98"/>
              </w:rPr>
              <w:t>391,219</w:t>
            </w:r>
          </w:p>
        </w:tc>
        <w:tc>
          <w:tcPr>
            <w:tcW w:w="15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580" w:type="dxa"/>
            <w:vAlign w:val="bottom"/>
          </w:tcPr>
          <w:p>
            <w:pPr>
              <w:spacing w:after="0"/>
              <w:rPr>
                <w:sz w:val="17"/>
                <w:szCs w:val="17"/>
                <w:color w:val="auto"/>
              </w:rPr>
            </w:pPr>
          </w:p>
        </w:tc>
        <w:tc>
          <w:tcPr>
            <w:tcW w:w="800" w:type="dxa"/>
            <w:vAlign w:val="bottom"/>
          </w:tcPr>
          <w:p>
            <w:pPr>
              <w:ind w:left="80"/>
              <w:spacing w:after="0"/>
              <w:rPr>
                <w:sz w:val="20"/>
                <w:szCs w:val="20"/>
                <w:color w:val="auto"/>
              </w:rPr>
            </w:pPr>
            <w:r>
              <w:rPr>
                <w:rFonts w:ascii="Arial" w:cs="Arial" w:eastAsia="Arial" w:hAnsi="Arial"/>
                <w:sz w:val="14"/>
                <w:szCs w:val="14"/>
                <w:color w:val="auto"/>
                <w:w w:val="99"/>
              </w:rPr>
              <w:t>02/12/2021</w:t>
            </w:r>
          </w:p>
        </w:tc>
        <w:tc>
          <w:tcPr>
            <w:tcW w:w="1500" w:type="dxa"/>
            <w:vAlign w:val="bottom"/>
          </w:tcPr>
          <w:p>
            <w:pPr>
              <w:jc w:val="center"/>
              <w:spacing w:after="0"/>
              <w:rPr>
                <w:sz w:val="20"/>
                <w:szCs w:val="20"/>
                <w:color w:val="auto"/>
              </w:rPr>
            </w:pPr>
            <w:r>
              <w:rPr>
                <w:rFonts w:ascii="Arial" w:cs="Arial" w:eastAsia="Arial" w:hAnsi="Arial"/>
                <w:sz w:val="14"/>
                <w:szCs w:val="14"/>
                <w:color w:val="auto"/>
                <w:w w:val="97"/>
              </w:rPr>
              <w:t>20,597</w:t>
            </w:r>
          </w:p>
        </w:tc>
        <w:tc>
          <w:tcPr>
            <w:tcW w:w="1640" w:type="dxa"/>
            <w:vAlign w:val="bottom"/>
          </w:tcPr>
          <w:p>
            <w:pPr>
              <w:jc w:val="center"/>
              <w:spacing w:after="0"/>
              <w:rPr>
                <w:sz w:val="20"/>
                <w:szCs w:val="20"/>
                <w:color w:val="auto"/>
              </w:rPr>
            </w:pPr>
            <w:r>
              <w:rPr>
                <w:rFonts w:ascii="Arial" w:cs="Arial" w:eastAsia="Arial" w:hAnsi="Arial"/>
                <w:sz w:val="14"/>
                <w:szCs w:val="14"/>
                <w:color w:val="auto"/>
                <w:w w:val="99"/>
              </w:rPr>
              <w:t>1,398,948</w:t>
            </w:r>
          </w:p>
        </w:tc>
        <w:tc>
          <w:tcPr>
            <w:tcW w:w="15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580" w:type="dxa"/>
            <w:vAlign w:val="bottom"/>
          </w:tcPr>
          <w:p>
            <w:pPr>
              <w:spacing w:after="0"/>
              <w:rPr>
                <w:sz w:val="17"/>
                <w:szCs w:val="17"/>
                <w:color w:val="auto"/>
              </w:rPr>
            </w:pPr>
          </w:p>
        </w:tc>
        <w:tc>
          <w:tcPr>
            <w:tcW w:w="800" w:type="dxa"/>
            <w:vAlign w:val="bottom"/>
          </w:tcPr>
          <w:p>
            <w:pPr>
              <w:ind w:left="80"/>
              <w:spacing w:after="0"/>
              <w:rPr>
                <w:sz w:val="20"/>
                <w:szCs w:val="20"/>
                <w:color w:val="auto"/>
              </w:rPr>
            </w:pPr>
            <w:r>
              <w:rPr>
                <w:rFonts w:ascii="Arial" w:cs="Arial" w:eastAsia="Arial" w:hAnsi="Arial"/>
                <w:sz w:val="14"/>
                <w:szCs w:val="14"/>
                <w:color w:val="auto"/>
                <w:w w:val="99"/>
              </w:rPr>
              <w:t>02/12/2021</w:t>
            </w:r>
          </w:p>
        </w:tc>
        <w:tc>
          <w:tcPr>
            <w:tcW w:w="1500" w:type="dxa"/>
            <w:vAlign w:val="bottom"/>
          </w:tcPr>
          <w:p>
            <w:pPr>
              <w:jc w:val="center"/>
              <w:spacing w:after="0"/>
              <w:rPr>
                <w:sz w:val="20"/>
                <w:szCs w:val="20"/>
                <w:color w:val="auto"/>
              </w:rPr>
            </w:pPr>
            <w:r>
              <w:rPr>
                <w:rFonts w:ascii="Arial" w:cs="Arial" w:eastAsia="Arial" w:hAnsi="Arial"/>
                <w:sz w:val="14"/>
                <w:szCs w:val="14"/>
                <w:color w:val="auto"/>
                <w:w w:val="97"/>
              </w:rPr>
              <w:t>23,171</w:t>
            </w:r>
          </w:p>
        </w:tc>
        <w:tc>
          <w:tcPr>
            <w:tcW w:w="1640" w:type="dxa"/>
            <w:vAlign w:val="bottom"/>
          </w:tcPr>
          <w:p>
            <w:pPr>
              <w:jc w:val="center"/>
              <w:spacing w:after="0"/>
              <w:rPr>
                <w:sz w:val="20"/>
                <w:szCs w:val="20"/>
                <w:color w:val="auto"/>
              </w:rPr>
            </w:pPr>
            <w:r>
              <w:rPr>
                <w:rFonts w:ascii="Arial" w:cs="Arial" w:eastAsia="Arial" w:hAnsi="Arial"/>
                <w:sz w:val="14"/>
                <w:szCs w:val="14"/>
                <w:color w:val="auto"/>
                <w:w w:val="99"/>
              </w:rPr>
              <w:t>1,573,791</w:t>
            </w:r>
          </w:p>
        </w:tc>
        <w:tc>
          <w:tcPr>
            <w:tcW w:w="1520" w:type="dxa"/>
            <w:vAlign w:val="bottom"/>
          </w:tcPr>
          <w:p>
            <w:pPr>
              <w:jc w:val="center"/>
              <w:spacing w:after="0"/>
              <w:rPr>
                <w:sz w:val="20"/>
                <w:szCs w:val="20"/>
                <w:color w:val="auto"/>
              </w:rPr>
            </w:pPr>
            <w:r>
              <w:rPr>
                <w:rFonts w:ascii="Arial" w:cs="Arial" w:eastAsia="Arial" w:hAnsi="Arial"/>
                <w:sz w:val="14"/>
                <w:szCs w:val="14"/>
                <w:color w:val="auto"/>
              </w:rPr>
              <w:t>46,343</w:t>
            </w:r>
          </w:p>
        </w:tc>
        <w:tc>
          <w:tcPr>
            <w:tcW w:w="1660" w:type="dxa"/>
            <w:vAlign w:val="bottom"/>
          </w:tcPr>
          <w:p>
            <w:pPr>
              <w:jc w:val="center"/>
              <w:ind w:right="49"/>
              <w:spacing w:after="0"/>
              <w:rPr>
                <w:sz w:val="20"/>
                <w:szCs w:val="20"/>
                <w:color w:val="auto"/>
              </w:rPr>
            </w:pPr>
            <w:r>
              <w:rPr>
                <w:rFonts w:ascii="Arial" w:cs="Arial" w:eastAsia="Arial" w:hAnsi="Arial"/>
                <w:sz w:val="14"/>
                <w:szCs w:val="14"/>
                <w:color w:val="auto"/>
                <w:w w:val="99"/>
              </w:rPr>
              <w:t>3,147,583</w:t>
            </w:r>
          </w:p>
        </w:tc>
        <w:tc>
          <w:tcPr>
            <w:tcW w:w="0" w:type="dxa"/>
            <w:vAlign w:val="bottom"/>
          </w:tcPr>
          <w:p>
            <w:pPr>
              <w:spacing w:after="0"/>
              <w:rPr>
                <w:sz w:val="1"/>
                <w:szCs w:val="1"/>
                <w:color w:val="auto"/>
              </w:rPr>
            </w:pPr>
          </w:p>
        </w:tc>
      </w:tr>
      <w:tr>
        <w:trPr>
          <w:trHeight w:val="201"/>
        </w:trPr>
        <w:tc>
          <w:tcPr>
            <w:tcW w:w="3580" w:type="dxa"/>
            <w:vAlign w:val="bottom"/>
          </w:tcPr>
          <w:p>
            <w:pPr>
              <w:spacing w:after="0"/>
              <w:rPr>
                <w:sz w:val="17"/>
                <w:szCs w:val="17"/>
                <w:color w:val="auto"/>
              </w:rPr>
            </w:pPr>
          </w:p>
        </w:tc>
        <w:tc>
          <w:tcPr>
            <w:tcW w:w="800" w:type="dxa"/>
            <w:vAlign w:val="bottom"/>
          </w:tcPr>
          <w:p>
            <w:pPr>
              <w:ind w:left="80"/>
              <w:spacing w:after="0"/>
              <w:rPr>
                <w:sz w:val="20"/>
                <w:szCs w:val="20"/>
                <w:color w:val="auto"/>
              </w:rPr>
            </w:pPr>
            <w:r>
              <w:rPr>
                <w:rFonts w:ascii="Arial" w:cs="Arial" w:eastAsia="Arial" w:hAnsi="Arial"/>
                <w:sz w:val="14"/>
                <w:szCs w:val="14"/>
                <w:color w:val="auto"/>
                <w:w w:val="99"/>
              </w:rPr>
              <w:t>07/01/2021</w:t>
            </w:r>
          </w:p>
        </w:tc>
        <w:tc>
          <w:tcPr>
            <w:tcW w:w="1500" w:type="dxa"/>
            <w:vAlign w:val="bottom"/>
          </w:tcPr>
          <w:p>
            <w:pPr>
              <w:jc w:val="center"/>
              <w:spacing w:after="0"/>
              <w:rPr>
                <w:sz w:val="20"/>
                <w:szCs w:val="20"/>
                <w:color w:val="auto"/>
              </w:rPr>
            </w:pPr>
            <w:r>
              <w:rPr>
                <w:rFonts w:ascii="Arial" w:cs="Arial" w:eastAsia="Arial" w:hAnsi="Arial"/>
                <w:sz w:val="14"/>
                <w:szCs w:val="14"/>
                <w:color w:val="auto"/>
                <w:w w:val="96"/>
              </w:rPr>
              <w:t>1,583</w:t>
            </w:r>
          </w:p>
        </w:tc>
        <w:tc>
          <w:tcPr>
            <w:tcW w:w="1640" w:type="dxa"/>
            <w:vAlign w:val="bottom"/>
          </w:tcPr>
          <w:p>
            <w:pPr>
              <w:jc w:val="center"/>
              <w:spacing w:after="0"/>
              <w:rPr>
                <w:sz w:val="20"/>
                <w:szCs w:val="20"/>
                <w:color w:val="auto"/>
              </w:rPr>
            </w:pPr>
            <w:r>
              <w:rPr>
                <w:rFonts w:ascii="Arial" w:cs="Arial" w:eastAsia="Arial" w:hAnsi="Arial"/>
                <w:sz w:val="14"/>
                <w:szCs w:val="14"/>
                <w:color w:val="auto"/>
                <w:w w:val="98"/>
              </w:rPr>
              <w:t>107,517</w:t>
            </w:r>
          </w:p>
        </w:tc>
        <w:tc>
          <w:tcPr>
            <w:tcW w:w="15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3580" w:type="dxa"/>
            <w:vAlign w:val="bottom"/>
          </w:tcPr>
          <w:p>
            <w:pPr>
              <w:spacing w:after="0"/>
              <w:rPr>
                <w:sz w:val="18"/>
                <w:szCs w:val="18"/>
                <w:color w:val="auto"/>
              </w:rPr>
            </w:pPr>
          </w:p>
        </w:tc>
        <w:tc>
          <w:tcPr>
            <w:tcW w:w="800" w:type="dxa"/>
            <w:vAlign w:val="bottom"/>
          </w:tcPr>
          <w:p>
            <w:pPr>
              <w:ind w:left="80"/>
              <w:spacing w:after="0"/>
              <w:rPr>
                <w:sz w:val="20"/>
                <w:szCs w:val="20"/>
                <w:color w:val="auto"/>
              </w:rPr>
            </w:pPr>
            <w:r>
              <w:rPr>
                <w:rFonts w:ascii="Arial" w:cs="Arial" w:eastAsia="Arial" w:hAnsi="Arial"/>
                <w:sz w:val="14"/>
                <w:szCs w:val="14"/>
                <w:color w:val="auto"/>
                <w:w w:val="99"/>
              </w:rPr>
              <w:t>07/01/2021</w:t>
            </w:r>
          </w:p>
        </w:tc>
        <w:tc>
          <w:tcPr>
            <w:tcW w:w="1500" w:type="dxa"/>
            <w:vAlign w:val="bottom"/>
          </w:tcPr>
          <w:p>
            <w:pPr>
              <w:jc w:val="center"/>
              <w:spacing w:after="0"/>
              <w:rPr>
                <w:sz w:val="20"/>
                <w:szCs w:val="20"/>
                <w:color w:val="auto"/>
              </w:rPr>
            </w:pPr>
            <w:r>
              <w:rPr>
                <w:rFonts w:ascii="Arial" w:cs="Arial" w:eastAsia="Arial" w:hAnsi="Arial"/>
                <w:sz w:val="14"/>
                <w:szCs w:val="14"/>
                <w:color w:val="auto"/>
                <w:w w:val="96"/>
              </w:rPr>
              <w:t>1,188</w:t>
            </w:r>
          </w:p>
        </w:tc>
        <w:tc>
          <w:tcPr>
            <w:tcW w:w="1640" w:type="dxa"/>
            <w:vAlign w:val="bottom"/>
          </w:tcPr>
          <w:p>
            <w:pPr>
              <w:jc w:val="center"/>
              <w:spacing w:after="0"/>
              <w:rPr>
                <w:sz w:val="20"/>
                <w:szCs w:val="20"/>
                <w:color w:val="auto"/>
              </w:rPr>
            </w:pPr>
            <w:r>
              <w:rPr>
                <w:rFonts w:ascii="Arial" w:cs="Arial" w:eastAsia="Arial" w:hAnsi="Arial"/>
                <w:sz w:val="14"/>
                <w:szCs w:val="14"/>
                <w:color w:val="auto"/>
                <w:w w:val="97"/>
              </w:rPr>
              <w:t>80,655</w:t>
            </w:r>
          </w:p>
        </w:tc>
        <w:tc>
          <w:tcPr>
            <w:tcW w:w="1520" w:type="dxa"/>
            <w:vAlign w:val="bottom"/>
          </w:tcPr>
          <w:p>
            <w:pPr>
              <w:jc w:val="center"/>
              <w:spacing w:after="0"/>
              <w:rPr>
                <w:sz w:val="20"/>
                <w:szCs w:val="20"/>
                <w:color w:val="auto"/>
              </w:rPr>
            </w:pPr>
            <w:r>
              <w:rPr>
                <w:rFonts w:ascii="Arial" w:cs="Arial" w:eastAsia="Arial" w:hAnsi="Arial"/>
                <w:sz w:val="14"/>
                <w:szCs w:val="14"/>
                <w:color w:val="auto"/>
              </w:rPr>
              <w:t>2,375</w:t>
            </w:r>
          </w:p>
        </w:tc>
        <w:tc>
          <w:tcPr>
            <w:tcW w:w="1660" w:type="dxa"/>
            <w:vAlign w:val="bottom"/>
          </w:tcPr>
          <w:p>
            <w:pPr>
              <w:jc w:val="center"/>
              <w:ind w:right="49"/>
              <w:spacing w:after="0"/>
              <w:rPr>
                <w:sz w:val="20"/>
                <w:szCs w:val="20"/>
                <w:color w:val="auto"/>
              </w:rPr>
            </w:pPr>
            <w:r>
              <w:rPr>
                <w:rFonts w:ascii="Arial" w:cs="Arial" w:eastAsia="Arial" w:hAnsi="Arial"/>
                <w:sz w:val="14"/>
                <w:szCs w:val="14"/>
                <w:color w:val="auto"/>
                <w:w w:val="98"/>
              </w:rPr>
              <w:t>161,310</w:t>
            </w:r>
          </w:p>
        </w:tc>
        <w:tc>
          <w:tcPr>
            <w:tcW w:w="0" w:type="dxa"/>
            <w:vAlign w:val="bottom"/>
          </w:tcPr>
          <w:p>
            <w:pPr>
              <w:spacing w:after="0"/>
              <w:rPr>
                <w:sz w:val="1"/>
                <w:szCs w:val="1"/>
                <w:color w:val="auto"/>
              </w:rPr>
            </w:pPr>
          </w:p>
        </w:tc>
      </w:tr>
      <w:tr>
        <w:trPr>
          <w:trHeight w:val="210"/>
        </w:trPr>
        <w:tc>
          <w:tcPr>
            <w:tcW w:w="3580" w:type="dxa"/>
            <w:vAlign w:val="bottom"/>
            <w:shd w:val="clear" w:color="auto" w:fill="D8E8EF"/>
          </w:tcPr>
          <w:p>
            <w:pPr>
              <w:ind w:left="60"/>
              <w:spacing w:after="0"/>
              <w:rPr>
                <w:sz w:val="20"/>
                <w:szCs w:val="20"/>
                <w:color w:val="auto"/>
              </w:rPr>
            </w:pPr>
            <w:r>
              <w:rPr>
                <w:rFonts w:ascii="Arial" w:cs="Arial" w:eastAsia="Arial" w:hAnsi="Arial"/>
                <w:sz w:val="14"/>
                <w:szCs w:val="14"/>
                <w:color w:val="auto"/>
              </w:rPr>
              <w:t>Ross F. Jatou</w:t>
            </w:r>
          </w:p>
        </w:tc>
        <w:tc>
          <w:tcPr>
            <w:tcW w:w="800" w:type="dxa"/>
            <w:vAlign w:val="bottom"/>
            <w:shd w:val="clear" w:color="auto" w:fill="D8E8EF"/>
          </w:tcPr>
          <w:p>
            <w:pPr>
              <w:ind w:left="80"/>
              <w:spacing w:after="0"/>
              <w:rPr>
                <w:sz w:val="20"/>
                <w:szCs w:val="20"/>
                <w:color w:val="auto"/>
              </w:rPr>
            </w:pPr>
            <w:r>
              <w:rPr>
                <w:rFonts w:ascii="Arial" w:cs="Arial" w:eastAsia="Arial" w:hAnsi="Arial"/>
                <w:sz w:val="14"/>
                <w:szCs w:val="14"/>
                <w:color w:val="auto"/>
                <w:w w:val="99"/>
              </w:rPr>
              <w:t>03/04/2019</w:t>
            </w:r>
          </w:p>
        </w:tc>
        <w:tc>
          <w:tcPr>
            <w:tcW w:w="1500" w:type="dxa"/>
            <w:vAlign w:val="bottom"/>
            <w:shd w:val="clear" w:color="auto" w:fill="D8E8EF"/>
          </w:tcPr>
          <w:p>
            <w:pPr>
              <w:jc w:val="center"/>
              <w:spacing w:after="0"/>
              <w:rPr>
                <w:sz w:val="20"/>
                <w:szCs w:val="20"/>
                <w:color w:val="auto"/>
              </w:rPr>
            </w:pPr>
            <w:r>
              <w:rPr>
                <w:rFonts w:ascii="Arial" w:cs="Arial" w:eastAsia="Arial" w:hAnsi="Arial"/>
                <w:sz w:val="14"/>
                <w:szCs w:val="14"/>
                <w:color w:val="auto"/>
                <w:w w:val="96"/>
              </w:rPr>
              <w:t>1,521</w:t>
            </w:r>
          </w:p>
        </w:tc>
        <w:tc>
          <w:tcPr>
            <w:tcW w:w="1640" w:type="dxa"/>
            <w:vAlign w:val="bottom"/>
            <w:shd w:val="clear" w:color="auto" w:fill="D8E8EF"/>
          </w:tcPr>
          <w:p>
            <w:pPr>
              <w:jc w:val="center"/>
              <w:spacing w:after="0"/>
              <w:rPr>
                <w:sz w:val="20"/>
                <w:szCs w:val="20"/>
                <w:color w:val="auto"/>
              </w:rPr>
            </w:pPr>
            <w:r>
              <w:rPr>
                <w:rFonts w:ascii="Arial" w:cs="Arial" w:eastAsia="Arial" w:hAnsi="Arial"/>
                <w:sz w:val="14"/>
                <w:szCs w:val="14"/>
                <w:color w:val="auto"/>
                <w:w w:val="98"/>
              </w:rPr>
              <w:t>103,306</w:t>
            </w:r>
          </w:p>
        </w:tc>
        <w:tc>
          <w:tcPr>
            <w:tcW w:w="1520" w:type="dxa"/>
            <w:vAlign w:val="bottom"/>
            <w:shd w:val="clear" w:color="auto" w:fill="D8E8EF"/>
          </w:tcPr>
          <w:p>
            <w:pPr>
              <w:spacing w:after="0"/>
              <w:rPr>
                <w:sz w:val="18"/>
                <w:szCs w:val="18"/>
                <w:color w:val="auto"/>
              </w:rPr>
            </w:pPr>
          </w:p>
        </w:tc>
        <w:tc>
          <w:tcPr>
            <w:tcW w:w="1660" w:type="dxa"/>
            <w:vAlign w:val="bottom"/>
            <w:shd w:val="clear" w:color="auto" w:fill="D8E8EF"/>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3580" w:type="dxa"/>
            <w:vAlign w:val="bottom"/>
            <w:shd w:val="clear" w:color="auto" w:fill="D8E8EF"/>
          </w:tcPr>
          <w:p>
            <w:pPr>
              <w:spacing w:after="0"/>
              <w:rPr>
                <w:sz w:val="17"/>
                <w:szCs w:val="17"/>
                <w:color w:val="auto"/>
              </w:rPr>
            </w:pPr>
          </w:p>
        </w:tc>
        <w:tc>
          <w:tcPr>
            <w:tcW w:w="800" w:type="dxa"/>
            <w:vAlign w:val="bottom"/>
            <w:shd w:val="clear" w:color="auto" w:fill="D8E8EF"/>
          </w:tcPr>
          <w:p>
            <w:pPr>
              <w:ind w:left="80"/>
              <w:spacing w:after="0"/>
              <w:rPr>
                <w:sz w:val="20"/>
                <w:szCs w:val="20"/>
                <w:color w:val="auto"/>
              </w:rPr>
            </w:pPr>
            <w:r>
              <w:rPr>
                <w:rFonts w:ascii="Arial" w:cs="Arial" w:eastAsia="Arial" w:hAnsi="Arial"/>
                <w:sz w:val="14"/>
                <w:szCs w:val="14"/>
                <w:color w:val="auto"/>
                <w:w w:val="99"/>
              </w:rPr>
              <w:t>03/02/2020</w:t>
            </w:r>
          </w:p>
        </w:tc>
        <w:tc>
          <w:tcPr>
            <w:tcW w:w="1500" w:type="dxa"/>
            <w:vAlign w:val="bottom"/>
            <w:shd w:val="clear" w:color="auto" w:fill="D8E8EF"/>
          </w:tcPr>
          <w:p>
            <w:pPr>
              <w:jc w:val="center"/>
              <w:spacing w:after="0"/>
              <w:rPr>
                <w:sz w:val="20"/>
                <w:szCs w:val="20"/>
                <w:color w:val="auto"/>
              </w:rPr>
            </w:pPr>
            <w:r>
              <w:rPr>
                <w:rFonts w:ascii="Arial" w:cs="Arial" w:eastAsia="Arial" w:hAnsi="Arial"/>
                <w:sz w:val="14"/>
                <w:szCs w:val="14"/>
                <w:color w:val="auto"/>
                <w:w w:val="96"/>
              </w:rPr>
              <w:t>4,402</w:t>
            </w:r>
          </w:p>
        </w:tc>
        <w:tc>
          <w:tcPr>
            <w:tcW w:w="1640" w:type="dxa"/>
            <w:vAlign w:val="bottom"/>
            <w:shd w:val="clear" w:color="auto" w:fill="D8E8EF"/>
          </w:tcPr>
          <w:p>
            <w:pPr>
              <w:jc w:val="center"/>
              <w:spacing w:after="0"/>
              <w:rPr>
                <w:sz w:val="20"/>
                <w:szCs w:val="20"/>
                <w:color w:val="auto"/>
              </w:rPr>
            </w:pPr>
            <w:r>
              <w:rPr>
                <w:rFonts w:ascii="Arial" w:cs="Arial" w:eastAsia="Arial" w:hAnsi="Arial"/>
                <w:sz w:val="14"/>
                <w:szCs w:val="14"/>
                <w:color w:val="auto"/>
                <w:w w:val="98"/>
              </w:rPr>
              <w:t>298,984</w:t>
            </w:r>
          </w:p>
        </w:tc>
        <w:tc>
          <w:tcPr>
            <w:tcW w:w="1520" w:type="dxa"/>
            <w:vAlign w:val="bottom"/>
            <w:shd w:val="clear" w:color="auto" w:fill="D8E8EF"/>
          </w:tcPr>
          <w:p>
            <w:pPr>
              <w:spacing w:after="0"/>
              <w:rPr>
                <w:sz w:val="17"/>
                <w:szCs w:val="17"/>
                <w:color w:val="auto"/>
              </w:rPr>
            </w:pPr>
          </w:p>
        </w:tc>
        <w:tc>
          <w:tcPr>
            <w:tcW w:w="1660" w:type="dxa"/>
            <w:vAlign w:val="bottom"/>
            <w:shd w:val="clear" w:color="auto" w:fill="D8E8E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580" w:type="dxa"/>
            <w:vAlign w:val="bottom"/>
            <w:shd w:val="clear" w:color="auto" w:fill="D8E8EF"/>
          </w:tcPr>
          <w:p>
            <w:pPr>
              <w:spacing w:after="0"/>
              <w:rPr>
                <w:sz w:val="17"/>
                <w:szCs w:val="17"/>
                <w:color w:val="auto"/>
              </w:rPr>
            </w:pPr>
          </w:p>
        </w:tc>
        <w:tc>
          <w:tcPr>
            <w:tcW w:w="800" w:type="dxa"/>
            <w:vAlign w:val="bottom"/>
            <w:shd w:val="clear" w:color="auto" w:fill="D8E8EF"/>
          </w:tcPr>
          <w:p>
            <w:pPr>
              <w:ind w:left="80"/>
              <w:spacing w:after="0"/>
              <w:rPr>
                <w:sz w:val="20"/>
                <w:szCs w:val="20"/>
                <w:color w:val="auto"/>
              </w:rPr>
            </w:pPr>
            <w:r>
              <w:rPr>
                <w:rFonts w:ascii="Arial" w:cs="Arial" w:eastAsia="Arial" w:hAnsi="Arial"/>
                <w:sz w:val="14"/>
                <w:szCs w:val="14"/>
                <w:color w:val="auto"/>
                <w:w w:val="99"/>
              </w:rPr>
              <w:t>03/02/2020</w:t>
            </w:r>
          </w:p>
        </w:tc>
        <w:tc>
          <w:tcPr>
            <w:tcW w:w="1500" w:type="dxa"/>
            <w:vAlign w:val="bottom"/>
            <w:shd w:val="clear" w:color="auto" w:fill="D8E8EF"/>
          </w:tcPr>
          <w:p>
            <w:pPr>
              <w:jc w:val="center"/>
              <w:spacing w:after="0"/>
              <w:rPr>
                <w:sz w:val="20"/>
                <w:szCs w:val="20"/>
                <w:color w:val="auto"/>
              </w:rPr>
            </w:pPr>
            <w:r>
              <w:rPr>
                <w:rFonts w:ascii="Arial" w:cs="Arial" w:eastAsia="Arial" w:hAnsi="Arial"/>
                <w:sz w:val="14"/>
                <w:szCs w:val="14"/>
                <w:color w:val="auto"/>
                <w:w w:val="97"/>
              </w:rPr>
              <w:t>13,208</w:t>
            </w:r>
          </w:p>
        </w:tc>
        <w:tc>
          <w:tcPr>
            <w:tcW w:w="1640" w:type="dxa"/>
            <w:vAlign w:val="bottom"/>
            <w:shd w:val="clear" w:color="auto" w:fill="D8E8EF"/>
          </w:tcPr>
          <w:p>
            <w:pPr>
              <w:jc w:val="center"/>
              <w:spacing w:after="0"/>
              <w:rPr>
                <w:sz w:val="20"/>
                <w:szCs w:val="20"/>
                <w:color w:val="auto"/>
              </w:rPr>
            </w:pPr>
            <w:r>
              <w:rPr>
                <w:rFonts w:ascii="Arial" w:cs="Arial" w:eastAsia="Arial" w:hAnsi="Arial"/>
                <w:sz w:val="14"/>
                <w:szCs w:val="14"/>
                <w:color w:val="auto"/>
                <w:w w:val="98"/>
              </w:rPr>
              <w:t>897,087</w:t>
            </w:r>
          </w:p>
        </w:tc>
        <w:tc>
          <w:tcPr>
            <w:tcW w:w="1520" w:type="dxa"/>
            <w:vAlign w:val="bottom"/>
            <w:shd w:val="clear" w:color="auto" w:fill="D8E8EF"/>
          </w:tcPr>
          <w:p>
            <w:pPr>
              <w:spacing w:after="0"/>
              <w:rPr>
                <w:sz w:val="17"/>
                <w:szCs w:val="17"/>
                <w:color w:val="auto"/>
              </w:rPr>
            </w:pPr>
          </w:p>
        </w:tc>
        <w:tc>
          <w:tcPr>
            <w:tcW w:w="1660" w:type="dxa"/>
            <w:vAlign w:val="bottom"/>
            <w:shd w:val="clear" w:color="auto" w:fill="D8E8E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580" w:type="dxa"/>
            <w:vAlign w:val="bottom"/>
            <w:shd w:val="clear" w:color="auto" w:fill="D8E8EF"/>
          </w:tcPr>
          <w:p>
            <w:pPr>
              <w:spacing w:after="0"/>
              <w:rPr>
                <w:sz w:val="17"/>
                <w:szCs w:val="17"/>
                <w:color w:val="auto"/>
              </w:rPr>
            </w:pPr>
          </w:p>
        </w:tc>
        <w:tc>
          <w:tcPr>
            <w:tcW w:w="800" w:type="dxa"/>
            <w:vAlign w:val="bottom"/>
            <w:shd w:val="clear" w:color="auto" w:fill="D8E8EF"/>
          </w:tcPr>
          <w:p>
            <w:pPr>
              <w:ind w:left="80"/>
              <w:spacing w:after="0"/>
              <w:rPr>
                <w:sz w:val="20"/>
                <w:szCs w:val="20"/>
                <w:color w:val="auto"/>
              </w:rPr>
            </w:pPr>
            <w:r>
              <w:rPr>
                <w:rFonts w:ascii="Arial" w:cs="Arial" w:eastAsia="Arial" w:hAnsi="Arial"/>
                <w:sz w:val="14"/>
                <w:szCs w:val="14"/>
                <w:color w:val="auto"/>
                <w:w w:val="99"/>
              </w:rPr>
              <w:t>09/08/2020</w:t>
            </w:r>
          </w:p>
        </w:tc>
        <w:tc>
          <w:tcPr>
            <w:tcW w:w="1500" w:type="dxa"/>
            <w:vAlign w:val="bottom"/>
            <w:shd w:val="clear" w:color="auto" w:fill="D8E8EF"/>
          </w:tcPr>
          <w:p>
            <w:pPr>
              <w:jc w:val="center"/>
              <w:spacing w:after="0"/>
              <w:rPr>
                <w:sz w:val="20"/>
                <w:szCs w:val="20"/>
                <w:color w:val="auto"/>
              </w:rPr>
            </w:pPr>
            <w:r>
              <w:rPr>
                <w:rFonts w:ascii="Arial" w:cs="Arial" w:eastAsia="Arial" w:hAnsi="Arial"/>
                <w:sz w:val="14"/>
                <w:szCs w:val="14"/>
                <w:color w:val="auto"/>
                <w:w w:val="96"/>
              </w:rPr>
              <w:t>7,963</w:t>
            </w:r>
          </w:p>
        </w:tc>
        <w:tc>
          <w:tcPr>
            <w:tcW w:w="1640" w:type="dxa"/>
            <w:vAlign w:val="bottom"/>
            <w:shd w:val="clear" w:color="auto" w:fill="D8E8EF"/>
          </w:tcPr>
          <w:p>
            <w:pPr>
              <w:jc w:val="center"/>
              <w:spacing w:after="0"/>
              <w:rPr>
                <w:sz w:val="20"/>
                <w:szCs w:val="20"/>
                <w:color w:val="auto"/>
              </w:rPr>
            </w:pPr>
            <w:r>
              <w:rPr>
                <w:rFonts w:ascii="Arial" w:cs="Arial" w:eastAsia="Arial" w:hAnsi="Arial"/>
                <w:sz w:val="14"/>
                <w:szCs w:val="14"/>
                <w:color w:val="auto"/>
                <w:w w:val="98"/>
              </w:rPr>
              <w:t>540,847</w:t>
            </w:r>
          </w:p>
        </w:tc>
        <w:tc>
          <w:tcPr>
            <w:tcW w:w="1520" w:type="dxa"/>
            <w:vAlign w:val="bottom"/>
            <w:shd w:val="clear" w:color="auto" w:fill="D8E8EF"/>
          </w:tcPr>
          <w:p>
            <w:pPr>
              <w:spacing w:after="0"/>
              <w:rPr>
                <w:sz w:val="17"/>
                <w:szCs w:val="17"/>
                <w:color w:val="auto"/>
              </w:rPr>
            </w:pPr>
          </w:p>
        </w:tc>
        <w:tc>
          <w:tcPr>
            <w:tcW w:w="1660" w:type="dxa"/>
            <w:vAlign w:val="bottom"/>
            <w:shd w:val="clear" w:color="auto" w:fill="D8E8E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580" w:type="dxa"/>
            <w:vAlign w:val="bottom"/>
            <w:shd w:val="clear" w:color="auto" w:fill="D8E8EF"/>
          </w:tcPr>
          <w:p>
            <w:pPr>
              <w:spacing w:after="0"/>
              <w:rPr>
                <w:sz w:val="17"/>
                <w:szCs w:val="17"/>
                <w:color w:val="auto"/>
              </w:rPr>
            </w:pPr>
          </w:p>
        </w:tc>
        <w:tc>
          <w:tcPr>
            <w:tcW w:w="800" w:type="dxa"/>
            <w:vAlign w:val="bottom"/>
            <w:shd w:val="clear" w:color="auto" w:fill="D8E8EF"/>
          </w:tcPr>
          <w:p>
            <w:pPr>
              <w:ind w:left="80"/>
              <w:spacing w:after="0"/>
              <w:rPr>
                <w:sz w:val="20"/>
                <w:szCs w:val="20"/>
                <w:color w:val="auto"/>
              </w:rPr>
            </w:pPr>
            <w:r>
              <w:rPr>
                <w:rFonts w:ascii="Arial" w:cs="Arial" w:eastAsia="Arial" w:hAnsi="Arial"/>
                <w:sz w:val="14"/>
                <w:szCs w:val="14"/>
                <w:color w:val="auto"/>
                <w:w w:val="99"/>
              </w:rPr>
              <w:t>10/05/2020</w:t>
            </w:r>
          </w:p>
        </w:tc>
        <w:tc>
          <w:tcPr>
            <w:tcW w:w="1500" w:type="dxa"/>
            <w:vAlign w:val="bottom"/>
            <w:shd w:val="clear" w:color="auto" w:fill="D8E8EF"/>
          </w:tcPr>
          <w:p>
            <w:pPr>
              <w:jc w:val="center"/>
              <w:spacing w:after="0"/>
              <w:rPr>
                <w:sz w:val="20"/>
                <w:szCs w:val="20"/>
                <w:color w:val="auto"/>
              </w:rPr>
            </w:pPr>
            <w:r>
              <w:rPr>
                <w:rFonts w:ascii="Arial" w:cs="Arial" w:eastAsia="Arial" w:hAnsi="Arial"/>
                <w:sz w:val="14"/>
                <w:szCs w:val="14"/>
                <w:color w:val="auto"/>
                <w:w w:val="96"/>
              </w:rPr>
              <w:t>8,639</w:t>
            </w:r>
          </w:p>
        </w:tc>
        <w:tc>
          <w:tcPr>
            <w:tcW w:w="1640" w:type="dxa"/>
            <w:vAlign w:val="bottom"/>
            <w:shd w:val="clear" w:color="auto" w:fill="D8E8EF"/>
          </w:tcPr>
          <w:p>
            <w:pPr>
              <w:jc w:val="center"/>
              <w:spacing w:after="0"/>
              <w:rPr>
                <w:sz w:val="20"/>
                <w:szCs w:val="20"/>
                <w:color w:val="auto"/>
              </w:rPr>
            </w:pPr>
            <w:r>
              <w:rPr>
                <w:rFonts w:ascii="Arial" w:cs="Arial" w:eastAsia="Arial" w:hAnsi="Arial"/>
                <w:sz w:val="14"/>
                <w:szCs w:val="14"/>
                <w:color w:val="auto"/>
                <w:w w:val="98"/>
              </w:rPr>
              <w:t>586,761</w:t>
            </w:r>
          </w:p>
        </w:tc>
        <w:tc>
          <w:tcPr>
            <w:tcW w:w="1520" w:type="dxa"/>
            <w:vAlign w:val="bottom"/>
            <w:shd w:val="clear" w:color="auto" w:fill="D8E8EF"/>
          </w:tcPr>
          <w:p>
            <w:pPr>
              <w:spacing w:after="0"/>
              <w:rPr>
                <w:sz w:val="17"/>
                <w:szCs w:val="17"/>
                <w:color w:val="auto"/>
              </w:rPr>
            </w:pPr>
          </w:p>
        </w:tc>
        <w:tc>
          <w:tcPr>
            <w:tcW w:w="1660" w:type="dxa"/>
            <w:vAlign w:val="bottom"/>
            <w:shd w:val="clear" w:color="auto" w:fill="D8E8E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580" w:type="dxa"/>
            <w:vAlign w:val="bottom"/>
            <w:shd w:val="clear" w:color="auto" w:fill="D8E8EF"/>
          </w:tcPr>
          <w:p>
            <w:pPr>
              <w:spacing w:after="0"/>
              <w:rPr>
                <w:sz w:val="17"/>
                <w:szCs w:val="17"/>
                <w:color w:val="auto"/>
              </w:rPr>
            </w:pPr>
          </w:p>
        </w:tc>
        <w:tc>
          <w:tcPr>
            <w:tcW w:w="800" w:type="dxa"/>
            <w:vAlign w:val="bottom"/>
            <w:shd w:val="clear" w:color="auto" w:fill="D8E8EF"/>
          </w:tcPr>
          <w:p>
            <w:pPr>
              <w:ind w:left="80"/>
              <w:spacing w:after="0"/>
              <w:rPr>
                <w:sz w:val="20"/>
                <w:szCs w:val="20"/>
                <w:color w:val="auto"/>
              </w:rPr>
            </w:pPr>
            <w:r>
              <w:rPr>
                <w:rFonts w:ascii="Arial" w:cs="Arial" w:eastAsia="Arial" w:hAnsi="Arial"/>
                <w:sz w:val="14"/>
                <w:szCs w:val="14"/>
                <w:color w:val="auto"/>
                <w:w w:val="99"/>
              </w:rPr>
              <w:t>02/12/2021</w:t>
            </w:r>
          </w:p>
        </w:tc>
        <w:tc>
          <w:tcPr>
            <w:tcW w:w="1500" w:type="dxa"/>
            <w:vAlign w:val="bottom"/>
            <w:shd w:val="clear" w:color="auto" w:fill="D8E8EF"/>
          </w:tcPr>
          <w:p>
            <w:pPr>
              <w:jc w:val="center"/>
              <w:spacing w:after="0"/>
              <w:rPr>
                <w:sz w:val="20"/>
                <w:szCs w:val="20"/>
                <w:color w:val="auto"/>
              </w:rPr>
            </w:pPr>
            <w:r>
              <w:rPr>
                <w:rFonts w:ascii="Arial" w:cs="Arial" w:eastAsia="Arial" w:hAnsi="Arial"/>
                <w:sz w:val="14"/>
                <w:szCs w:val="14"/>
                <w:color w:val="auto"/>
                <w:w w:val="97"/>
              </w:rPr>
              <w:t>12,116</w:t>
            </w:r>
          </w:p>
        </w:tc>
        <w:tc>
          <w:tcPr>
            <w:tcW w:w="1640" w:type="dxa"/>
            <w:vAlign w:val="bottom"/>
            <w:shd w:val="clear" w:color="auto" w:fill="D8E8EF"/>
          </w:tcPr>
          <w:p>
            <w:pPr>
              <w:jc w:val="center"/>
              <w:spacing w:after="0"/>
              <w:rPr>
                <w:sz w:val="20"/>
                <w:szCs w:val="20"/>
                <w:color w:val="auto"/>
              </w:rPr>
            </w:pPr>
            <w:r>
              <w:rPr>
                <w:rFonts w:ascii="Arial" w:cs="Arial" w:eastAsia="Arial" w:hAnsi="Arial"/>
                <w:sz w:val="14"/>
                <w:szCs w:val="14"/>
                <w:color w:val="auto"/>
                <w:w w:val="98"/>
              </w:rPr>
              <w:t>822,919</w:t>
            </w:r>
          </w:p>
        </w:tc>
        <w:tc>
          <w:tcPr>
            <w:tcW w:w="1520" w:type="dxa"/>
            <w:vAlign w:val="bottom"/>
            <w:shd w:val="clear" w:color="auto" w:fill="D8E8EF"/>
          </w:tcPr>
          <w:p>
            <w:pPr>
              <w:spacing w:after="0"/>
              <w:rPr>
                <w:sz w:val="17"/>
                <w:szCs w:val="17"/>
                <w:color w:val="auto"/>
              </w:rPr>
            </w:pPr>
          </w:p>
        </w:tc>
        <w:tc>
          <w:tcPr>
            <w:tcW w:w="1660" w:type="dxa"/>
            <w:vAlign w:val="bottom"/>
            <w:shd w:val="clear" w:color="auto" w:fill="D8E8E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580" w:type="dxa"/>
            <w:vAlign w:val="bottom"/>
            <w:shd w:val="clear" w:color="auto" w:fill="D8E8EF"/>
          </w:tcPr>
          <w:p>
            <w:pPr>
              <w:spacing w:after="0"/>
              <w:rPr>
                <w:sz w:val="17"/>
                <w:szCs w:val="17"/>
                <w:color w:val="auto"/>
              </w:rPr>
            </w:pPr>
          </w:p>
        </w:tc>
        <w:tc>
          <w:tcPr>
            <w:tcW w:w="800" w:type="dxa"/>
            <w:vAlign w:val="bottom"/>
            <w:shd w:val="clear" w:color="auto" w:fill="D8E8EF"/>
          </w:tcPr>
          <w:p>
            <w:pPr>
              <w:ind w:left="80"/>
              <w:spacing w:after="0"/>
              <w:rPr>
                <w:sz w:val="20"/>
                <w:szCs w:val="20"/>
                <w:color w:val="auto"/>
              </w:rPr>
            </w:pPr>
            <w:r>
              <w:rPr>
                <w:rFonts w:ascii="Arial" w:cs="Arial" w:eastAsia="Arial" w:hAnsi="Arial"/>
                <w:sz w:val="14"/>
                <w:szCs w:val="14"/>
                <w:color w:val="auto"/>
                <w:w w:val="99"/>
              </w:rPr>
              <w:t>02/12/2021</w:t>
            </w:r>
          </w:p>
        </w:tc>
        <w:tc>
          <w:tcPr>
            <w:tcW w:w="1500" w:type="dxa"/>
            <w:vAlign w:val="bottom"/>
            <w:shd w:val="clear" w:color="auto" w:fill="D8E8EF"/>
          </w:tcPr>
          <w:p>
            <w:pPr>
              <w:jc w:val="center"/>
              <w:spacing w:after="0"/>
              <w:rPr>
                <w:sz w:val="20"/>
                <w:szCs w:val="20"/>
                <w:color w:val="auto"/>
              </w:rPr>
            </w:pPr>
            <w:r>
              <w:rPr>
                <w:rFonts w:ascii="Arial" w:cs="Arial" w:eastAsia="Arial" w:hAnsi="Arial"/>
                <w:sz w:val="14"/>
                <w:szCs w:val="14"/>
                <w:color w:val="auto"/>
                <w:w w:val="97"/>
              </w:rPr>
              <w:t>13,631</w:t>
            </w:r>
          </w:p>
        </w:tc>
        <w:tc>
          <w:tcPr>
            <w:tcW w:w="1640" w:type="dxa"/>
            <w:vAlign w:val="bottom"/>
            <w:shd w:val="clear" w:color="auto" w:fill="D8E8EF"/>
          </w:tcPr>
          <w:p>
            <w:pPr>
              <w:jc w:val="center"/>
              <w:spacing w:after="0"/>
              <w:rPr>
                <w:sz w:val="20"/>
                <w:szCs w:val="20"/>
                <w:color w:val="auto"/>
              </w:rPr>
            </w:pPr>
            <w:r>
              <w:rPr>
                <w:rFonts w:ascii="Arial" w:cs="Arial" w:eastAsia="Arial" w:hAnsi="Arial"/>
                <w:sz w:val="14"/>
                <w:szCs w:val="14"/>
                <w:color w:val="auto"/>
                <w:w w:val="98"/>
              </w:rPr>
              <w:t>925,784</w:t>
            </w:r>
          </w:p>
        </w:tc>
        <w:tc>
          <w:tcPr>
            <w:tcW w:w="1520" w:type="dxa"/>
            <w:vAlign w:val="bottom"/>
            <w:shd w:val="clear" w:color="auto" w:fill="D8E8EF"/>
          </w:tcPr>
          <w:p>
            <w:pPr>
              <w:jc w:val="center"/>
              <w:spacing w:after="0"/>
              <w:rPr>
                <w:sz w:val="20"/>
                <w:szCs w:val="20"/>
                <w:color w:val="auto"/>
              </w:rPr>
            </w:pPr>
            <w:r>
              <w:rPr>
                <w:rFonts w:ascii="Arial" w:cs="Arial" w:eastAsia="Arial" w:hAnsi="Arial"/>
                <w:sz w:val="14"/>
                <w:szCs w:val="14"/>
                <w:color w:val="auto"/>
              </w:rPr>
              <w:t>27,261</w:t>
            </w:r>
          </w:p>
        </w:tc>
        <w:tc>
          <w:tcPr>
            <w:tcW w:w="1660" w:type="dxa"/>
            <w:vAlign w:val="bottom"/>
            <w:shd w:val="clear" w:color="auto" w:fill="D8E8EF"/>
          </w:tcPr>
          <w:p>
            <w:pPr>
              <w:jc w:val="center"/>
              <w:ind w:right="49"/>
              <w:spacing w:after="0"/>
              <w:rPr>
                <w:sz w:val="20"/>
                <w:szCs w:val="20"/>
                <w:color w:val="auto"/>
              </w:rPr>
            </w:pPr>
            <w:r>
              <w:rPr>
                <w:rFonts w:ascii="Arial" w:cs="Arial" w:eastAsia="Arial" w:hAnsi="Arial"/>
                <w:sz w:val="14"/>
                <w:szCs w:val="14"/>
                <w:color w:val="auto"/>
                <w:w w:val="99"/>
              </w:rPr>
              <w:t>1,851,567</w:t>
            </w:r>
          </w:p>
        </w:tc>
        <w:tc>
          <w:tcPr>
            <w:tcW w:w="0" w:type="dxa"/>
            <w:vAlign w:val="bottom"/>
          </w:tcPr>
          <w:p>
            <w:pPr>
              <w:spacing w:after="0"/>
              <w:rPr>
                <w:sz w:val="1"/>
                <w:szCs w:val="1"/>
                <w:color w:val="auto"/>
              </w:rPr>
            </w:pPr>
          </w:p>
        </w:tc>
      </w:tr>
      <w:tr>
        <w:trPr>
          <w:trHeight w:val="201"/>
        </w:trPr>
        <w:tc>
          <w:tcPr>
            <w:tcW w:w="3580" w:type="dxa"/>
            <w:vAlign w:val="bottom"/>
            <w:shd w:val="clear" w:color="auto" w:fill="D8E8EF"/>
          </w:tcPr>
          <w:p>
            <w:pPr>
              <w:spacing w:after="0"/>
              <w:rPr>
                <w:sz w:val="17"/>
                <w:szCs w:val="17"/>
                <w:color w:val="auto"/>
              </w:rPr>
            </w:pPr>
          </w:p>
        </w:tc>
        <w:tc>
          <w:tcPr>
            <w:tcW w:w="800" w:type="dxa"/>
            <w:vAlign w:val="bottom"/>
            <w:shd w:val="clear" w:color="auto" w:fill="D8E8EF"/>
          </w:tcPr>
          <w:p>
            <w:pPr>
              <w:ind w:left="80"/>
              <w:spacing w:after="0"/>
              <w:rPr>
                <w:sz w:val="20"/>
                <w:szCs w:val="20"/>
                <w:color w:val="auto"/>
              </w:rPr>
            </w:pPr>
            <w:r>
              <w:rPr>
                <w:rFonts w:ascii="Arial" w:cs="Arial" w:eastAsia="Arial" w:hAnsi="Arial"/>
                <w:sz w:val="14"/>
                <w:szCs w:val="14"/>
                <w:color w:val="auto"/>
                <w:w w:val="99"/>
              </w:rPr>
              <w:t>07/01/2021</w:t>
            </w:r>
          </w:p>
        </w:tc>
        <w:tc>
          <w:tcPr>
            <w:tcW w:w="1500" w:type="dxa"/>
            <w:vAlign w:val="bottom"/>
            <w:shd w:val="clear" w:color="auto" w:fill="D8E8EF"/>
          </w:tcPr>
          <w:p>
            <w:pPr>
              <w:jc w:val="center"/>
              <w:spacing w:after="0"/>
              <w:rPr>
                <w:sz w:val="20"/>
                <w:szCs w:val="20"/>
                <w:color w:val="auto"/>
              </w:rPr>
            </w:pPr>
            <w:r>
              <w:rPr>
                <w:rFonts w:ascii="Arial" w:cs="Arial" w:eastAsia="Arial" w:hAnsi="Arial"/>
                <w:sz w:val="14"/>
                <w:szCs w:val="14"/>
                <w:color w:val="auto"/>
                <w:w w:val="96"/>
              </w:rPr>
              <w:t>1,583</w:t>
            </w:r>
          </w:p>
        </w:tc>
        <w:tc>
          <w:tcPr>
            <w:tcW w:w="1640" w:type="dxa"/>
            <w:vAlign w:val="bottom"/>
            <w:shd w:val="clear" w:color="auto" w:fill="D8E8EF"/>
          </w:tcPr>
          <w:p>
            <w:pPr>
              <w:jc w:val="center"/>
              <w:spacing w:after="0"/>
              <w:rPr>
                <w:sz w:val="20"/>
                <w:szCs w:val="20"/>
                <w:color w:val="auto"/>
              </w:rPr>
            </w:pPr>
            <w:r>
              <w:rPr>
                <w:rFonts w:ascii="Arial" w:cs="Arial" w:eastAsia="Arial" w:hAnsi="Arial"/>
                <w:sz w:val="14"/>
                <w:szCs w:val="14"/>
                <w:color w:val="auto"/>
                <w:w w:val="98"/>
              </w:rPr>
              <w:t>107,517</w:t>
            </w:r>
          </w:p>
        </w:tc>
        <w:tc>
          <w:tcPr>
            <w:tcW w:w="1520" w:type="dxa"/>
            <w:vAlign w:val="bottom"/>
            <w:shd w:val="clear" w:color="auto" w:fill="D8E8EF"/>
          </w:tcPr>
          <w:p>
            <w:pPr>
              <w:spacing w:after="0"/>
              <w:rPr>
                <w:sz w:val="17"/>
                <w:szCs w:val="17"/>
                <w:color w:val="auto"/>
              </w:rPr>
            </w:pPr>
          </w:p>
        </w:tc>
        <w:tc>
          <w:tcPr>
            <w:tcW w:w="1660" w:type="dxa"/>
            <w:vAlign w:val="bottom"/>
            <w:shd w:val="clear" w:color="auto" w:fill="D8E8EF"/>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3580" w:type="dxa"/>
            <w:vAlign w:val="bottom"/>
            <w:shd w:val="clear" w:color="auto" w:fill="D8E8EF"/>
          </w:tcPr>
          <w:p>
            <w:pPr>
              <w:spacing w:after="0"/>
              <w:rPr>
                <w:sz w:val="19"/>
                <w:szCs w:val="19"/>
                <w:color w:val="auto"/>
              </w:rPr>
            </w:pPr>
          </w:p>
        </w:tc>
        <w:tc>
          <w:tcPr>
            <w:tcW w:w="800" w:type="dxa"/>
            <w:vAlign w:val="bottom"/>
            <w:shd w:val="clear" w:color="auto" w:fill="D8E8EF"/>
          </w:tcPr>
          <w:p>
            <w:pPr>
              <w:ind w:left="80"/>
              <w:spacing w:after="0"/>
              <w:rPr>
                <w:sz w:val="20"/>
                <w:szCs w:val="20"/>
                <w:color w:val="auto"/>
              </w:rPr>
            </w:pPr>
            <w:r>
              <w:rPr>
                <w:rFonts w:ascii="Arial" w:cs="Arial" w:eastAsia="Arial" w:hAnsi="Arial"/>
                <w:sz w:val="14"/>
                <w:szCs w:val="14"/>
                <w:color w:val="auto"/>
                <w:w w:val="99"/>
              </w:rPr>
              <w:t>07/01/2021</w:t>
            </w:r>
          </w:p>
        </w:tc>
        <w:tc>
          <w:tcPr>
            <w:tcW w:w="1500" w:type="dxa"/>
            <w:vAlign w:val="bottom"/>
            <w:shd w:val="clear" w:color="auto" w:fill="D8E8EF"/>
          </w:tcPr>
          <w:p>
            <w:pPr>
              <w:jc w:val="center"/>
              <w:spacing w:after="0"/>
              <w:rPr>
                <w:sz w:val="20"/>
                <w:szCs w:val="20"/>
                <w:color w:val="auto"/>
              </w:rPr>
            </w:pPr>
            <w:r>
              <w:rPr>
                <w:rFonts w:ascii="Arial" w:cs="Arial" w:eastAsia="Arial" w:hAnsi="Arial"/>
                <w:sz w:val="14"/>
                <w:szCs w:val="14"/>
                <w:color w:val="auto"/>
                <w:w w:val="96"/>
              </w:rPr>
              <w:t>1,188</w:t>
            </w:r>
          </w:p>
        </w:tc>
        <w:tc>
          <w:tcPr>
            <w:tcW w:w="1640" w:type="dxa"/>
            <w:vAlign w:val="bottom"/>
            <w:shd w:val="clear" w:color="auto" w:fill="D8E8EF"/>
          </w:tcPr>
          <w:p>
            <w:pPr>
              <w:jc w:val="center"/>
              <w:spacing w:after="0"/>
              <w:rPr>
                <w:sz w:val="20"/>
                <w:szCs w:val="20"/>
                <w:color w:val="auto"/>
              </w:rPr>
            </w:pPr>
            <w:r>
              <w:rPr>
                <w:rFonts w:ascii="Arial" w:cs="Arial" w:eastAsia="Arial" w:hAnsi="Arial"/>
                <w:sz w:val="14"/>
                <w:szCs w:val="14"/>
                <w:color w:val="auto"/>
                <w:w w:val="97"/>
              </w:rPr>
              <w:t>80,655</w:t>
            </w:r>
          </w:p>
        </w:tc>
        <w:tc>
          <w:tcPr>
            <w:tcW w:w="1520" w:type="dxa"/>
            <w:vAlign w:val="bottom"/>
            <w:shd w:val="clear" w:color="auto" w:fill="D8E8EF"/>
          </w:tcPr>
          <w:p>
            <w:pPr>
              <w:jc w:val="center"/>
              <w:spacing w:after="0"/>
              <w:rPr>
                <w:sz w:val="20"/>
                <w:szCs w:val="20"/>
                <w:color w:val="auto"/>
              </w:rPr>
            </w:pPr>
            <w:r>
              <w:rPr>
                <w:rFonts w:ascii="Arial" w:cs="Arial" w:eastAsia="Arial" w:hAnsi="Arial"/>
                <w:sz w:val="14"/>
                <w:szCs w:val="14"/>
                <w:color w:val="auto"/>
              </w:rPr>
              <w:t>2,375</w:t>
            </w:r>
          </w:p>
        </w:tc>
        <w:tc>
          <w:tcPr>
            <w:tcW w:w="1660" w:type="dxa"/>
            <w:vAlign w:val="bottom"/>
            <w:shd w:val="clear" w:color="auto" w:fill="D8E8EF"/>
          </w:tcPr>
          <w:p>
            <w:pPr>
              <w:jc w:val="center"/>
              <w:ind w:right="49"/>
              <w:spacing w:after="0"/>
              <w:rPr>
                <w:sz w:val="20"/>
                <w:szCs w:val="20"/>
                <w:color w:val="auto"/>
              </w:rPr>
            </w:pPr>
            <w:r>
              <w:rPr>
                <w:rFonts w:ascii="Arial" w:cs="Arial" w:eastAsia="Arial" w:hAnsi="Arial"/>
                <w:sz w:val="14"/>
                <w:szCs w:val="14"/>
                <w:color w:val="auto"/>
                <w:w w:val="98"/>
              </w:rPr>
              <w:t>161,310</w:t>
            </w:r>
          </w:p>
        </w:tc>
        <w:tc>
          <w:tcPr>
            <w:tcW w:w="0" w:type="dxa"/>
            <w:vAlign w:val="bottom"/>
          </w:tcPr>
          <w:p>
            <w:pPr>
              <w:spacing w:after="0"/>
              <w:rPr>
                <w:sz w:val="1"/>
                <w:szCs w:val="1"/>
                <w:color w:val="auto"/>
              </w:rPr>
            </w:pPr>
          </w:p>
        </w:tc>
      </w:tr>
      <w:tr>
        <w:trPr>
          <w:trHeight w:val="206"/>
        </w:trPr>
        <w:tc>
          <w:tcPr>
            <w:tcW w:w="3580" w:type="dxa"/>
            <w:vAlign w:val="bottom"/>
          </w:tcPr>
          <w:p>
            <w:pPr>
              <w:ind w:left="60"/>
              <w:spacing w:after="0"/>
              <w:rPr>
                <w:sz w:val="20"/>
                <w:szCs w:val="20"/>
                <w:color w:val="auto"/>
              </w:rPr>
            </w:pPr>
            <w:r>
              <w:rPr>
                <w:rFonts w:ascii="Arial" w:cs="Arial" w:eastAsia="Arial" w:hAnsi="Arial"/>
                <w:sz w:val="14"/>
                <w:szCs w:val="14"/>
                <w:color w:val="auto"/>
              </w:rPr>
              <w:t>George H. Cave</w:t>
            </w:r>
          </w:p>
        </w:tc>
        <w:tc>
          <w:tcPr>
            <w:tcW w:w="800" w:type="dxa"/>
            <w:vAlign w:val="bottom"/>
          </w:tcPr>
          <w:p>
            <w:pPr>
              <w:ind w:left="80"/>
              <w:spacing w:after="0"/>
              <w:rPr>
                <w:sz w:val="20"/>
                <w:szCs w:val="20"/>
                <w:color w:val="auto"/>
              </w:rPr>
            </w:pPr>
            <w:r>
              <w:rPr>
                <w:rFonts w:ascii="Arial" w:cs="Arial" w:eastAsia="Arial" w:hAnsi="Arial"/>
                <w:sz w:val="14"/>
                <w:szCs w:val="14"/>
                <w:color w:val="auto"/>
                <w:w w:val="99"/>
              </w:rPr>
              <w:t>03/04/2019</w:t>
            </w:r>
          </w:p>
        </w:tc>
        <w:tc>
          <w:tcPr>
            <w:tcW w:w="1500" w:type="dxa"/>
            <w:vAlign w:val="bottom"/>
          </w:tcPr>
          <w:p>
            <w:pPr>
              <w:jc w:val="center"/>
              <w:spacing w:after="0"/>
              <w:rPr>
                <w:sz w:val="20"/>
                <w:szCs w:val="20"/>
                <w:color w:val="auto"/>
              </w:rPr>
            </w:pPr>
            <w:r>
              <w:rPr>
                <w:rFonts w:ascii="Arial" w:cs="Arial" w:eastAsia="Arial" w:hAnsi="Arial"/>
                <w:sz w:val="14"/>
                <w:szCs w:val="14"/>
                <w:color w:val="auto"/>
                <w:w w:val="96"/>
              </w:rPr>
              <w:t>7,299</w:t>
            </w:r>
          </w:p>
        </w:tc>
        <w:tc>
          <w:tcPr>
            <w:tcW w:w="1640" w:type="dxa"/>
            <w:vAlign w:val="bottom"/>
          </w:tcPr>
          <w:p>
            <w:pPr>
              <w:jc w:val="center"/>
              <w:spacing w:after="0"/>
              <w:rPr>
                <w:sz w:val="20"/>
                <w:szCs w:val="20"/>
                <w:color w:val="auto"/>
              </w:rPr>
            </w:pPr>
            <w:r>
              <w:rPr>
                <w:rFonts w:ascii="Arial" w:cs="Arial" w:eastAsia="Arial" w:hAnsi="Arial"/>
                <w:sz w:val="14"/>
                <w:szCs w:val="14"/>
                <w:color w:val="auto"/>
                <w:w w:val="98"/>
              </w:rPr>
              <w:t>495,748</w:t>
            </w:r>
          </w:p>
        </w:tc>
        <w:tc>
          <w:tcPr>
            <w:tcW w:w="15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580" w:type="dxa"/>
            <w:vAlign w:val="bottom"/>
          </w:tcPr>
          <w:p>
            <w:pPr>
              <w:spacing w:after="0"/>
              <w:rPr>
                <w:sz w:val="17"/>
                <w:szCs w:val="17"/>
                <w:color w:val="auto"/>
              </w:rPr>
            </w:pPr>
          </w:p>
        </w:tc>
        <w:tc>
          <w:tcPr>
            <w:tcW w:w="800" w:type="dxa"/>
            <w:vAlign w:val="bottom"/>
          </w:tcPr>
          <w:p>
            <w:pPr>
              <w:ind w:left="80"/>
              <w:spacing w:after="0"/>
              <w:rPr>
                <w:sz w:val="20"/>
                <w:szCs w:val="20"/>
                <w:color w:val="auto"/>
              </w:rPr>
            </w:pPr>
            <w:r>
              <w:rPr>
                <w:rFonts w:ascii="Arial" w:cs="Arial" w:eastAsia="Arial" w:hAnsi="Arial"/>
                <w:sz w:val="14"/>
                <w:szCs w:val="14"/>
                <w:color w:val="auto"/>
                <w:w w:val="99"/>
              </w:rPr>
              <w:t>03/02/2020</w:t>
            </w:r>
          </w:p>
        </w:tc>
        <w:tc>
          <w:tcPr>
            <w:tcW w:w="1500" w:type="dxa"/>
            <w:vAlign w:val="bottom"/>
          </w:tcPr>
          <w:p>
            <w:pPr>
              <w:jc w:val="center"/>
              <w:spacing w:after="0"/>
              <w:rPr>
                <w:sz w:val="20"/>
                <w:szCs w:val="20"/>
                <w:color w:val="auto"/>
              </w:rPr>
            </w:pPr>
            <w:r>
              <w:rPr>
                <w:rFonts w:ascii="Arial" w:cs="Arial" w:eastAsia="Arial" w:hAnsi="Arial"/>
                <w:sz w:val="14"/>
                <w:szCs w:val="14"/>
                <w:color w:val="auto"/>
                <w:w w:val="97"/>
              </w:rPr>
              <w:t>16,904</w:t>
            </w:r>
          </w:p>
        </w:tc>
        <w:tc>
          <w:tcPr>
            <w:tcW w:w="1640" w:type="dxa"/>
            <w:vAlign w:val="bottom"/>
          </w:tcPr>
          <w:p>
            <w:pPr>
              <w:jc w:val="center"/>
              <w:spacing w:after="0"/>
              <w:rPr>
                <w:sz w:val="20"/>
                <w:szCs w:val="20"/>
                <w:color w:val="auto"/>
              </w:rPr>
            </w:pPr>
            <w:r>
              <w:rPr>
                <w:rFonts w:ascii="Arial" w:cs="Arial" w:eastAsia="Arial" w:hAnsi="Arial"/>
                <w:sz w:val="14"/>
                <w:szCs w:val="14"/>
                <w:color w:val="auto"/>
                <w:w w:val="99"/>
              </w:rPr>
              <w:t>1,148,120</w:t>
            </w:r>
          </w:p>
        </w:tc>
        <w:tc>
          <w:tcPr>
            <w:tcW w:w="15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580" w:type="dxa"/>
            <w:vAlign w:val="bottom"/>
          </w:tcPr>
          <w:p>
            <w:pPr>
              <w:spacing w:after="0"/>
              <w:rPr>
                <w:sz w:val="17"/>
                <w:szCs w:val="17"/>
                <w:color w:val="auto"/>
              </w:rPr>
            </w:pPr>
          </w:p>
        </w:tc>
        <w:tc>
          <w:tcPr>
            <w:tcW w:w="800" w:type="dxa"/>
            <w:vAlign w:val="bottom"/>
          </w:tcPr>
          <w:p>
            <w:pPr>
              <w:ind w:left="80"/>
              <w:spacing w:after="0"/>
              <w:rPr>
                <w:sz w:val="20"/>
                <w:szCs w:val="20"/>
                <w:color w:val="auto"/>
              </w:rPr>
            </w:pPr>
            <w:r>
              <w:rPr>
                <w:rFonts w:ascii="Arial" w:cs="Arial" w:eastAsia="Arial" w:hAnsi="Arial"/>
                <w:sz w:val="14"/>
                <w:szCs w:val="14"/>
                <w:color w:val="auto"/>
                <w:w w:val="99"/>
              </w:rPr>
              <w:t>03/02/2020</w:t>
            </w:r>
          </w:p>
        </w:tc>
        <w:tc>
          <w:tcPr>
            <w:tcW w:w="1500" w:type="dxa"/>
            <w:vAlign w:val="bottom"/>
          </w:tcPr>
          <w:p>
            <w:pPr>
              <w:jc w:val="center"/>
              <w:spacing w:after="0"/>
              <w:rPr>
                <w:sz w:val="20"/>
                <w:szCs w:val="20"/>
                <w:color w:val="auto"/>
              </w:rPr>
            </w:pPr>
            <w:r>
              <w:rPr>
                <w:rFonts w:ascii="Arial" w:cs="Arial" w:eastAsia="Arial" w:hAnsi="Arial"/>
                <w:sz w:val="14"/>
                <w:szCs w:val="14"/>
                <w:color w:val="auto"/>
                <w:w w:val="97"/>
              </w:rPr>
              <w:t>76,070</w:t>
            </w:r>
          </w:p>
        </w:tc>
        <w:tc>
          <w:tcPr>
            <w:tcW w:w="1640" w:type="dxa"/>
            <w:vAlign w:val="bottom"/>
          </w:tcPr>
          <w:p>
            <w:pPr>
              <w:jc w:val="center"/>
              <w:spacing w:after="0"/>
              <w:rPr>
                <w:sz w:val="20"/>
                <w:szCs w:val="20"/>
                <w:color w:val="auto"/>
              </w:rPr>
            </w:pPr>
            <w:r>
              <w:rPr>
                <w:rFonts w:ascii="Arial" w:cs="Arial" w:eastAsia="Arial" w:hAnsi="Arial"/>
                <w:sz w:val="14"/>
                <w:szCs w:val="14"/>
                <w:color w:val="auto"/>
                <w:w w:val="99"/>
              </w:rPr>
              <w:t>5,166,674</w:t>
            </w:r>
          </w:p>
        </w:tc>
        <w:tc>
          <w:tcPr>
            <w:tcW w:w="15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580" w:type="dxa"/>
            <w:vAlign w:val="bottom"/>
          </w:tcPr>
          <w:p>
            <w:pPr>
              <w:spacing w:after="0"/>
              <w:rPr>
                <w:sz w:val="17"/>
                <w:szCs w:val="17"/>
                <w:color w:val="auto"/>
              </w:rPr>
            </w:pPr>
          </w:p>
        </w:tc>
        <w:tc>
          <w:tcPr>
            <w:tcW w:w="800" w:type="dxa"/>
            <w:vAlign w:val="bottom"/>
          </w:tcPr>
          <w:p>
            <w:pPr>
              <w:ind w:left="80"/>
              <w:spacing w:after="0"/>
              <w:rPr>
                <w:sz w:val="20"/>
                <w:szCs w:val="20"/>
                <w:color w:val="auto"/>
              </w:rPr>
            </w:pPr>
            <w:r>
              <w:rPr>
                <w:rFonts w:ascii="Arial" w:cs="Arial" w:eastAsia="Arial" w:hAnsi="Arial"/>
                <w:sz w:val="14"/>
                <w:szCs w:val="14"/>
                <w:color w:val="auto"/>
                <w:w w:val="99"/>
              </w:rPr>
              <w:t>02/12/2021</w:t>
            </w:r>
          </w:p>
        </w:tc>
        <w:tc>
          <w:tcPr>
            <w:tcW w:w="1500" w:type="dxa"/>
            <w:vAlign w:val="bottom"/>
          </w:tcPr>
          <w:p>
            <w:pPr>
              <w:jc w:val="center"/>
              <w:spacing w:after="0"/>
              <w:rPr>
                <w:sz w:val="20"/>
                <w:szCs w:val="20"/>
                <w:color w:val="auto"/>
              </w:rPr>
            </w:pPr>
            <w:r>
              <w:rPr>
                <w:rFonts w:ascii="Arial" w:cs="Arial" w:eastAsia="Arial" w:hAnsi="Arial"/>
                <w:sz w:val="14"/>
                <w:szCs w:val="14"/>
                <w:color w:val="auto"/>
                <w:w w:val="97"/>
              </w:rPr>
              <w:t>14,539</w:t>
            </w:r>
          </w:p>
        </w:tc>
        <w:tc>
          <w:tcPr>
            <w:tcW w:w="1640" w:type="dxa"/>
            <w:vAlign w:val="bottom"/>
          </w:tcPr>
          <w:p>
            <w:pPr>
              <w:jc w:val="center"/>
              <w:spacing w:after="0"/>
              <w:rPr>
                <w:sz w:val="20"/>
                <w:szCs w:val="20"/>
                <w:color w:val="auto"/>
              </w:rPr>
            </w:pPr>
            <w:r>
              <w:rPr>
                <w:rFonts w:ascii="Arial" w:cs="Arial" w:eastAsia="Arial" w:hAnsi="Arial"/>
                <w:sz w:val="14"/>
                <w:szCs w:val="14"/>
                <w:color w:val="auto"/>
                <w:w w:val="98"/>
              </w:rPr>
              <w:t>987,489</w:t>
            </w:r>
          </w:p>
        </w:tc>
        <w:tc>
          <w:tcPr>
            <w:tcW w:w="15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3580" w:type="dxa"/>
            <w:vAlign w:val="bottom"/>
          </w:tcPr>
          <w:p>
            <w:pPr>
              <w:spacing w:after="0"/>
              <w:rPr>
                <w:sz w:val="18"/>
                <w:szCs w:val="18"/>
                <w:color w:val="auto"/>
              </w:rPr>
            </w:pPr>
          </w:p>
        </w:tc>
        <w:tc>
          <w:tcPr>
            <w:tcW w:w="800" w:type="dxa"/>
            <w:vAlign w:val="bottom"/>
          </w:tcPr>
          <w:p>
            <w:pPr>
              <w:ind w:left="80"/>
              <w:spacing w:after="0"/>
              <w:rPr>
                <w:sz w:val="20"/>
                <w:szCs w:val="20"/>
                <w:color w:val="auto"/>
              </w:rPr>
            </w:pPr>
            <w:r>
              <w:rPr>
                <w:rFonts w:ascii="Arial" w:cs="Arial" w:eastAsia="Arial" w:hAnsi="Arial"/>
                <w:sz w:val="14"/>
                <w:szCs w:val="14"/>
                <w:color w:val="auto"/>
                <w:w w:val="99"/>
              </w:rPr>
              <w:t>02/12/2021</w:t>
            </w:r>
          </w:p>
        </w:tc>
        <w:tc>
          <w:tcPr>
            <w:tcW w:w="1500" w:type="dxa"/>
            <w:vAlign w:val="bottom"/>
          </w:tcPr>
          <w:p>
            <w:pPr>
              <w:jc w:val="center"/>
              <w:spacing w:after="0"/>
              <w:rPr>
                <w:sz w:val="20"/>
                <w:szCs w:val="20"/>
                <w:color w:val="auto"/>
              </w:rPr>
            </w:pPr>
            <w:r>
              <w:rPr>
                <w:rFonts w:ascii="Arial" w:cs="Arial" w:eastAsia="Arial" w:hAnsi="Arial"/>
                <w:sz w:val="14"/>
                <w:szCs w:val="14"/>
                <w:color w:val="auto"/>
                <w:w w:val="97"/>
              </w:rPr>
              <w:t>16,356</w:t>
            </w:r>
          </w:p>
        </w:tc>
        <w:tc>
          <w:tcPr>
            <w:tcW w:w="1640" w:type="dxa"/>
            <w:vAlign w:val="bottom"/>
          </w:tcPr>
          <w:p>
            <w:pPr>
              <w:jc w:val="center"/>
              <w:spacing w:after="0"/>
              <w:rPr>
                <w:sz w:val="20"/>
                <w:szCs w:val="20"/>
                <w:color w:val="auto"/>
              </w:rPr>
            </w:pPr>
            <w:r>
              <w:rPr>
                <w:rFonts w:ascii="Arial" w:cs="Arial" w:eastAsia="Arial" w:hAnsi="Arial"/>
                <w:sz w:val="14"/>
                <w:szCs w:val="14"/>
                <w:color w:val="auto"/>
                <w:w w:val="99"/>
              </w:rPr>
              <w:t>1,110,900</w:t>
            </w:r>
          </w:p>
        </w:tc>
        <w:tc>
          <w:tcPr>
            <w:tcW w:w="1520" w:type="dxa"/>
            <w:vAlign w:val="bottom"/>
          </w:tcPr>
          <w:p>
            <w:pPr>
              <w:jc w:val="center"/>
              <w:spacing w:after="0"/>
              <w:rPr>
                <w:sz w:val="20"/>
                <w:szCs w:val="20"/>
                <w:color w:val="auto"/>
              </w:rPr>
            </w:pPr>
            <w:r>
              <w:rPr>
                <w:rFonts w:ascii="Arial" w:cs="Arial" w:eastAsia="Arial" w:hAnsi="Arial"/>
                <w:sz w:val="14"/>
                <w:szCs w:val="14"/>
                <w:color w:val="auto"/>
              </w:rPr>
              <w:t>32,712</w:t>
            </w:r>
          </w:p>
        </w:tc>
        <w:tc>
          <w:tcPr>
            <w:tcW w:w="1660" w:type="dxa"/>
            <w:vAlign w:val="bottom"/>
          </w:tcPr>
          <w:p>
            <w:pPr>
              <w:jc w:val="center"/>
              <w:ind w:right="49"/>
              <w:spacing w:after="0"/>
              <w:rPr>
                <w:sz w:val="20"/>
                <w:szCs w:val="20"/>
                <w:color w:val="auto"/>
              </w:rPr>
            </w:pPr>
            <w:r>
              <w:rPr>
                <w:rFonts w:ascii="Arial" w:cs="Arial" w:eastAsia="Arial" w:hAnsi="Arial"/>
                <w:sz w:val="14"/>
                <w:szCs w:val="14"/>
                <w:color w:val="auto"/>
                <w:w w:val="99"/>
              </w:rPr>
              <w:t>2,221,799</w:t>
            </w:r>
          </w:p>
        </w:tc>
        <w:tc>
          <w:tcPr>
            <w:tcW w:w="0" w:type="dxa"/>
            <w:vAlign w:val="bottom"/>
          </w:tcPr>
          <w:p>
            <w:pPr>
              <w:spacing w:after="0"/>
              <w:rPr>
                <w:sz w:val="1"/>
                <w:szCs w:val="1"/>
                <w:color w:val="auto"/>
              </w:rPr>
            </w:pPr>
          </w:p>
        </w:tc>
      </w:tr>
      <w:tr>
        <w:trPr>
          <w:trHeight w:val="210"/>
        </w:trPr>
        <w:tc>
          <w:tcPr>
            <w:tcW w:w="3580" w:type="dxa"/>
            <w:vAlign w:val="bottom"/>
            <w:shd w:val="clear" w:color="auto" w:fill="D8E8EF"/>
          </w:tcPr>
          <w:p>
            <w:pPr>
              <w:ind w:left="60"/>
              <w:spacing w:after="0"/>
              <w:rPr>
                <w:sz w:val="20"/>
                <w:szCs w:val="20"/>
                <w:color w:val="auto"/>
              </w:rPr>
            </w:pPr>
            <w:r>
              <w:rPr>
                <w:rFonts w:ascii="Arial" w:cs="Arial" w:eastAsia="Arial" w:hAnsi="Arial"/>
                <w:sz w:val="14"/>
                <w:szCs w:val="14"/>
                <w:color w:val="auto"/>
              </w:rPr>
              <w:t>Bernard Gutmann</w:t>
            </w:r>
          </w:p>
        </w:tc>
        <w:tc>
          <w:tcPr>
            <w:tcW w:w="800" w:type="dxa"/>
            <w:vAlign w:val="bottom"/>
            <w:shd w:val="clear" w:color="auto" w:fill="D8E8EF"/>
          </w:tcPr>
          <w:p>
            <w:pPr>
              <w:ind w:left="80"/>
              <w:spacing w:after="0"/>
              <w:rPr>
                <w:sz w:val="20"/>
                <w:szCs w:val="20"/>
                <w:color w:val="auto"/>
              </w:rPr>
            </w:pPr>
            <w:r>
              <w:rPr>
                <w:rFonts w:ascii="Arial" w:cs="Arial" w:eastAsia="Arial" w:hAnsi="Arial"/>
                <w:sz w:val="14"/>
                <w:szCs w:val="14"/>
                <w:color w:val="auto"/>
                <w:w w:val="99"/>
              </w:rPr>
              <w:t>03/04/2019</w:t>
            </w:r>
          </w:p>
        </w:tc>
        <w:tc>
          <w:tcPr>
            <w:tcW w:w="1500" w:type="dxa"/>
            <w:vAlign w:val="bottom"/>
            <w:shd w:val="clear" w:color="auto" w:fill="D8E8EF"/>
          </w:tcPr>
          <w:p>
            <w:pPr>
              <w:jc w:val="center"/>
              <w:spacing w:after="0"/>
              <w:rPr>
                <w:sz w:val="20"/>
                <w:szCs w:val="20"/>
                <w:color w:val="auto"/>
              </w:rPr>
            </w:pPr>
            <w:r>
              <w:rPr>
                <w:rFonts w:ascii="Arial" w:cs="Arial" w:eastAsia="Arial" w:hAnsi="Arial"/>
                <w:sz w:val="14"/>
                <w:szCs w:val="14"/>
                <w:color w:val="auto"/>
                <w:w w:val="97"/>
              </w:rPr>
              <w:t>11,557</w:t>
            </w:r>
          </w:p>
        </w:tc>
        <w:tc>
          <w:tcPr>
            <w:tcW w:w="1640" w:type="dxa"/>
            <w:vAlign w:val="bottom"/>
            <w:shd w:val="clear" w:color="auto" w:fill="D8E8EF"/>
          </w:tcPr>
          <w:p>
            <w:pPr>
              <w:jc w:val="center"/>
              <w:spacing w:after="0"/>
              <w:rPr>
                <w:sz w:val="20"/>
                <w:szCs w:val="20"/>
                <w:color w:val="auto"/>
              </w:rPr>
            </w:pPr>
            <w:r>
              <w:rPr>
                <w:rFonts w:ascii="Arial" w:cs="Arial" w:eastAsia="Arial" w:hAnsi="Arial"/>
                <w:sz w:val="14"/>
                <w:szCs w:val="14"/>
                <w:color w:val="auto"/>
                <w:w w:val="98"/>
              </w:rPr>
              <w:t>784,951</w:t>
            </w:r>
          </w:p>
        </w:tc>
        <w:tc>
          <w:tcPr>
            <w:tcW w:w="1520" w:type="dxa"/>
            <w:vAlign w:val="bottom"/>
            <w:shd w:val="clear" w:color="auto" w:fill="D8E8EF"/>
          </w:tcPr>
          <w:p>
            <w:pPr>
              <w:spacing w:after="0"/>
              <w:rPr>
                <w:sz w:val="18"/>
                <w:szCs w:val="18"/>
                <w:color w:val="auto"/>
              </w:rPr>
            </w:pPr>
          </w:p>
        </w:tc>
        <w:tc>
          <w:tcPr>
            <w:tcW w:w="1660" w:type="dxa"/>
            <w:vAlign w:val="bottom"/>
            <w:shd w:val="clear" w:color="auto" w:fill="D8E8E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3580" w:type="dxa"/>
            <w:vAlign w:val="bottom"/>
            <w:tcBorders>
              <w:bottom w:val="single" w:sz="8" w:color="auto"/>
            </w:tcBorders>
            <w:shd w:val="clear" w:color="auto" w:fill="D8E8EF"/>
          </w:tcPr>
          <w:p>
            <w:pPr>
              <w:spacing w:after="0"/>
              <w:rPr>
                <w:sz w:val="17"/>
                <w:szCs w:val="17"/>
                <w:color w:val="auto"/>
              </w:rPr>
            </w:pPr>
          </w:p>
        </w:tc>
        <w:tc>
          <w:tcPr>
            <w:tcW w:w="800" w:type="dxa"/>
            <w:vAlign w:val="bottom"/>
            <w:tcBorders>
              <w:bottom w:val="single" w:sz="8" w:color="auto"/>
            </w:tcBorders>
            <w:shd w:val="clear" w:color="auto" w:fill="D8E8EF"/>
          </w:tcPr>
          <w:p>
            <w:pPr>
              <w:ind w:left="80"/>
              <w:spacing w:after="0"/>
              <w:rPr>
                <w:sz w:val="20"/>
                <w:szCs w:val="20"/>
                <w:color w:val="auto"/>
              </w:rPr>
            </w:pPr>
            <w:r>
              <w:rPr>
                <w:rFonts w:ascii="Arial" w:cs="Arial" w:eastAsia="Arial" w:hAnsi="Arial"/>
                <w:sz w:val="14"/>
                <w:szCs w:val="14"/>
                <w:color w:val="auto"/>
                <w:w w:val="99"/>
              </w:rPr>
              <w:t>03/02/2020</w:t>
            </w:r>
          </w:p>
        </w:tc>
        <w:tc>
          <w:tcPr>
            <w:tcW w:w="1500" w:type="dxa"/>
            <w:vAlign w:val="bottom"/>
            <w:tcBorders>
              <w:bottom w:val="single" w:sz="8" w:color="auto"/>
            </w:tcBorders>
            <w:shd w:val="clear" w:color="auto" w:fill="D8E8EF"/>
          </w:tcPr>
          <w:p>
            <w:pPr>
              <w:jc w:val="center"/>
              <w:spacing w:after="0"/>
              <w:rPr>
                <w:sz w:val="20"/>
                <w:szCs w:val="20"/>
                <w:color w:val="auto"/>
              </w:rPr>
            </w:pPr>
            <w:r>
              <w:rPr>
                <w:rFonts w:ascii="Arial" w:cs="Arial" w:eastAsia="Arial" w:hAnsi="Arial"/>
                <w:sz w:val="14"/>
                <w:szCs w:val="14"/>
                <w:color w:val="auto"/>
                <w:w w:val="97"/>
              </w:rPr>
              <w:t>28,174</w:t>
            </w:r>
          </w:p>
        </w:tc>
        <w:tc>
          <w:tcPr>
            <w:tcW w:w="1640" w:type="dxa"/>
            <w:vAlign w:val="bottom"/>
            <w:tcBorders>
              <w:bottom w:val="single" w:sz="8" w:color="auto"/>
            </w:tcBorders>
            <w:shd w:val="clear" w:color="auto" w:fill="D8E8EF"/>
          </w:tcPr>
          <w:p>
            <w:pPr>
              <w:jc w:val="center"/>
              <w:spacing w:after="0"/>
              <w:rPr>
                <w:sz w:val="20"/>
                <w:szCs w:val="20"/>
                <w:color w:val="auto"/>
              </w:rPr>
            </w:pPr>
            <w:r>
              <w:rPr>
                <w:rFonts w:ascii="Arial" w:cs="Arial" w:eastAsia="Arial" w:hAnsi="Arial"/>
                <w:sz w:val="14"/>
                <w:szCs w:val="14"/>
                <w:color w:val="auto"/>
                <w:w w:val="99"/>
              </w:rPr>
              <w:t>1,913,578</w:t>
            </w:r>
          </w:p>
        </w:tc>
        <w:tc>
          <w:tcPr>
            <w:tcW w:w="1520" w:type="dxa"/>
            <w:vAlign w:val="bottom"/>
            <w:tcBorders>
              <w:bottom w:val="single" w:sz="8" w:color="auto"/>
            </w:tcBorders>
            <w:shd w:val="clear" w:color="auto" w:fill="D8E8EF"/>
          </w:tcPr>
          <w:p>
            <w:pPr>
              <w:spacing w:after="0"/>
              <w:rPr>
                <w:sz w:val="17"/>
                <w:szCs w:val="17"/>
                <w:color w:val="auto"/>
              </w:rPr>
            </w:pPr>
          </w:p>
        </w:tc>
        <w:tc>
          <w:tcPr>
            <w:tcW w:w="1660" w:type="dxa"/>
            <w:vAlign w:val="bottom"/>
            <w:tcBorders>
              <w:bottom w:val="single" w:sz="8" w:color="auto"/>
            </w:tcBorders>
            <w:shd w:val="clear" w:color="auto" w:fill="D8E8EF"/>
          </w:tcPr>
          <w:p>
            <w:pPr>
              <w:spacing w:after="0"/>
              <w:rPr>
                <w:sz w:val="17"/>
                <w:szCs w:val="17"/>
                <w:color w:val="auto"/>
              </w:rPr>
            </w:pPr>
          </w:p>
        </w:tc>
        <w:tc>
          <w:tcPr>
            <w:tcW w:w="0" w:type="dxa"/>
            <w:vAlign w:val="bottom"/>
          </w:tcPr>
          <w:p>
            <w:pPr>
              <w:spacing w:after="0"/>
              <w:rPr>
                <w:sz w:val="1"/>
                <w:szCs w:val="1"/>
                <w:color w:val="auto"/>
              </w:rPr>
            </w:pPr>
          </w:p>
        </w:tc>
      </w:tr>
    </w:tbl>
    <w:p>
      <w:pPr>
        <w:spacing w:after="0" w:line="138" w:lineRule="exact"/>
        <w:rPr>
          <w:sz w:val="20"/>
          <w:szCs w:val="20"/>
          <w:color w:val="auto"/>
        </w:rPr>
      </w:pPr>
    </w:p>
    <w:p>
      <w:pPr>
        <w:ind w:left="160"/>
        <w:spacing w:after="0"/>
        <w:tabs>
          <w:tab w:leader="none" w:pos="500" w:val="left"/>
        </w:tabs>
        <w:rPr>
          <w:sz w:val="20"/>
          <w:szCs w:val="20"/>
          <w:color w:val="auto"/>
        </w:rPr>
      </w:pPr>
      <w:r>
        <w:rPr>
          <w:rFonts w:ascii="Arial" w:cs="Arial" w:eastAsia="Arial" w:hAnsi="Arial"/>
          <w:sz w:val="14"/>
          <w:szCs w:val="14"/>
          <w:color w:val="F75E14"/>
        </w:rPr>
        <w:t>56</w:t>
        <w:tab/>
        <w:t>onsemi 2022 Proxy Statement</w:t>
      </w:r>
    </w:p>
    <w:p>
      <w:pPr>
        <w:sectPr>
          <w:pgSz w:w="11900" w:h="16838" w:orient="portrait"/>
          <w:cols w:equalWidth="0" w:num="1">
            <w:col w:w="11080"/>
          </w:cols>
          <w:pgMar w:left="320" w:top="454" w:right="499" w:bottom="1440" w:gutter="0" w:footer="0" w:header="0"/>
        </w:sectPr>
      </w:pPr>
    </w:p>
    <w:bookmarkStart w:id="60" w:name="page61"/>
    <w:bookmarkEnd w:id="6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2" w:lineRule="exact"/>
        <w:rPr>
          <w:sz w:val="20"/>
          <w:szCs w:val="20"/>
          <w:color w:val="auto"/>
        </w:rPr>
      </w:pPr>
    </w:p>
    <w:p>
      <w:pPr>
        <w:jc w:val="right"/>
        <w:spacing w:after="0"/>
        <w:rPr>
          <w:sz w:val="20"/>
          <w:szCs w:val="20"/>
          <w:color w:val="auto"/>
        </w:rPr>
      </w:pPr>
      <w:r>
        <w:rPr>
          <w:rFonts w:ascii="Arial" w:cs="Arial" w:eastAsia="Arial" w:hAnsi="Arial"/>
          <w:sz w:val="18"/>
          <w:szCs w:val="18"/>
          <w:color w:val="F75E14"/>
        </w:rPr>
        <w:t>Compensation of Executive Officers</w:t>
      </w:r>
    </w:p>
    <w:p>
      <w:pPr>
        <w:spacing w:after="0" w:line="150" w:lineRule="exact"/>
        <w:rPr>
          <w:sz w:val="20"/>
          <w:szCs w:val="20"/>
          <w:color w:val="auto"/>
        </w:rPr>
      </w:pPr>
    </w:p>
    <w:p>
      <w:pPr>
        <w:jc w:val="both"/>
        <w:ind w:left="600" w:hanging="433"/>
        <w:spacing w:after="0" w:line="253" w:lineRule="auto"/>
        <w:tabs>
          <w:tab w:leader="none" w:pos="600" w:val="left"/>
        </w:tabs>
        <w:numPr>
          <w:ilvl w:val="0"/>
          <w:numId w:val="85"/>
        </w:numPr>
        <w:rPr>
          <w:rFonts w:ascii="Arial" w:cs="Arial" w:eastAsia="Arial" w:hAnsi="Arial"/>
          <w:sz w:val="14"/>
          <w:szCs w:val="14"/>
          <w:color w:val="auto"/>
        </w:rPr>
      </w:pPr>
      <w:r>
        <w:rPr>
          <w:rFonts w:ascii="Arial" w:cs="Arial" w:eastAsia="Arial" w:hAnsi="Arial"/>
          <w:sz w:val="14"/>
          <w:szCs w:val="14"/>
          <w:color w:val="auto"/>
        </w:rPr>
        <w:t>This column represents outstanding awards of RSUs. The awards vest pro rata over a three-year period on each anniversary of the date of grant, subject to the terms and conditions of the SIP and the relevant award agreement. This column also includes the 2020 PBRSUs and the first tranche of the 2021 PBRSUs, both of which were achieved and vested in February 2022. We describe the RSUs and the PBRSUs in more detail above in the “Compensation of Executive Officers – 2021, 2020 and 2019 Awards of Equity” section of this proxy statement.</w:t>
      </w:r>
    </w:p>
    <w:p>
      <w:pPr>
        <w:spacing w:after="0" w:line="3" w:lineRule="exact"/>
        <w:rPr>
          <w:rFonts w:ascii="Arial" w:cs="Arial" w:eastAsia="Arial" w:hAnsi="Arial"/>
          <w:sz w:val="14"/>
          <w:szCs w:val="14"/>
          <w:color w:val="auto"/>
        </w:rPr>
      </w:pPr>
    </w:p>
    <w:p>
      <w:pPr>
        <w:jc w:val="both"/>
        <w:ind w:left="600" w:hanging="433"/>
        <w:spacing w:after="0" w:line="259" w:lineRule="auto"/>
        <w:tabs>
          <w:tab w:leader="none" w:pos="600" w:val="left"/>
        </w:tabs>
        <w:numPr>
          <w:ilvl w:val="0"/>
          <w:numId w:val="85"/>
        </w:numPr>
        <w:rPr>
          <w:rFonts w:ascii="Arial" w:cs="Arial" w:eastAsia="Arial" w:hAnsi="Arial"/>
          <w:sz w:val="14"/>
          <w:szCs w:val="14"/>
          <w:color w:val="auto"/>
        </w:rPr>
      </w:pPr>
      <w:r>
        <w:rPr>
          <w:rFonts w:ascii="Arial" w:cs="Arial" w:eastAsia="Arial" w:hAnsi="Arial"/>
          <w:sz w:val="14"/>
          <w:szCs w:val="14"/>
          <w:color w:val="auto"/>
        </w:rPr>
        <w:t>Each amount in this column is calculated by multiplying the closing market price of our common stock as of December 31, 2021 ($67.92) by the number of RSUs or PBRSUs listed for the specified NEO. The amounts in this column do not necessarily represent the fair value for expensing purposes or the fair value of awards that were expected to vest as of December 31, 2021.</w:t>
      </w:r>
    </w:p>
    <w:p>
      <w:pPr>
        <w:jc w:val="both"/>
        <w:ind w:left="600" w:hanging="433"/>
        <w:spacing w:after="0" w:line="243" w:lineRule="auto"/>
        <w:tabs>
          <w:tab w:leader="none" w:pos="600" w:val="left"/>
        </w:tabs>
        <w:numPr>
          <w:ilvl w:val="0"/>
          <w:numId w:val="85"/>
        </w:numPr>
        <w:rPr>
          <w:rFonts w:ascii="Arial" w:cs="Arial" w:eastAsia="Arial" w:hAnsi="Arial"/>
          <w:sz w:val="14"/>
          <w:szCs w:val="14"/>
          <w:color w:val="auto"/>
        </w:rPr>
      </w:pPr>
      <w:r>
        <w:rPr>
          <w:rFonts w:ascii="Arial" w:cs="Arial" w:eastAsia="Arial" w:hAnsi="Arial"/>
          <w:sz w:val="14"/>
          <w:szCs w:val="14"/>
          <w:color w:val="auto"/>
        </w:rPr>
        <w:t>This column represents outstanding PBRSU awards (i.e., the second and third tranche of the 2021 PBRSUs) that remain subject to a performance condition and includes the full number of PBRSUs that would vest, assuming that all performance goals are achieved. As of December 31, 2021, the expected attainment for all 2021 PBRSUs awarded in 2021 was 150%. On January 28, 2022, the HCC Committee determined that the attainment levels for all of the performance goals under the relevant award agreements for the 2020 Base PBRSUs and the 2020 Upside PBRSUs were above threshold and, accordingly, that those awards were eligible to vest based on the levels of achievement reached with respect to each of the associated performance metrics. The number of threshold, target and maximum shares are also described in columns (f), (g) and (h) of the Grants of Plan-Based Awards in 2021 Table above in this proxy statement. These awards are subject to the terms and conditions of the SIP and the relevant award agreement. We describe these PBRSUs, including their vesting terms, above under “2021, 2020 and 2019 Awards of Equity” and, as to the 2021 awards, in the CD&amp;A under the heading “Elements of our Compensation Program — Long-Term Incentive Program.” The amounts in this column do not necessarily represent the number of shares used for expensing purposes or the number of awards that were expected to vest as of December 31, 2021. For the amounts of awards expected to vest as of a recent date, see footnote (2) to the Summary Compensation Table above in this proxy statement. The estimated number of units that are expected to vest is evaluated and adjusted each reporting period, as necessary, in connection with the preparation of the Company’s quarterly and annual financial statements.</w:t>
      </w:r>
    </w:p>
    <w:p>
      <w:pPr>
        <w:spacing w:after="0" w:line="169"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2B4772"/>
        </w:rPr>
        <w:t>2021 Option Exercises and Stock Vested</w:t>
      </w:r>
    </w:p>
    <w:p>
      <w:pPr>
        <w:spacing w:after="0" w:line="272" w:lineRule="exact"/>
        <w:rPr>
          <w:sz w:val="20"/>
          <w:szCs w:val="20"/>
          <w:color w:val="auto"/>
        </w:rPr>
      </w:pPr>
    </w:p>
    <w:tbl>
      <w:tblPr>
        <w:tblLayout w:type="fixed"/>
        <w:tblInd w:w="1920" w:type="dxa"/>
        <w:tblCellMar>
          <w:top w:w="0" w:type="dxa"/>
          <w:left w:w="0" w:type="dxa"/>
          <w:bottom w:w="0" w:type="dxa"/>
          <w:right w:w="0" w:type="dxa"/>
        </w:tblCellMar>
      </w:tblPr>
      <w:tr>
        <w:trPr>
          <w:trHeight w:val="247"/>
        </w:trPr>
        <w:tc>
          <w:tcPr>
            <w:tcW w:w="2560" w:type="dxa"/>
            <w:vAlign w:val="bottom"/>
            <w:shd w:val="clear" w:color="auto" w:fill="F75E14"/>
          </w:tcPr>
          <w:p>
            <w:pPr>
              <w:spacing w:after="0"/>
              <w:rPr>
                <w:sz w:val="21"/>
                <w:szCs w:val="21"/>
                <w:color w:val="auto"/>
              </w:rPr>
            </w:pPr>
          </w:p>
        </w:tc>
        <w:tc>
          <w:tcPr>
            <w:tcW w:w="3460" w:type="dxa"/>
            <w:vAlign w:val="bottom"/>
            <w:shd w:val="clear" w:color="auto" w:fill="F75E14"/>
          </w:tcPr>
          <w:p>
            <w:pPr>
              <w:jc w:val="right"/>
              <w:spacing w:after="0"/>
              <w:rPr>
                <w:sz w:val="20"/>
                <w:szCs w:val="20"/>
                <w:color w:val="auto"/>
              </w:rPr>
            </w:pPr>
            <w:r>
              <w:rPr>
                <w:rFonts w:ascii="Arial" w:cs="Arial" w:eastAsia="Arial" w:hAnsi="Arial"/>
                <w:sz w:val="16"/>
                <w:szCs w:val="16"/>
                <w:b w:val="1"/>
                <w:bCs w:val="1"/>
                <w:color w:val="FFFFFF"/>
              </w:rPr>
              <w:t>Stock Awards</w:t>
            </w:r>
          </w:p>
        </w:tc>
        <w:tc>
          <w:tcPr>
            <w:tcW w:w="1380" w:type="dxa"/>
            <w:vAlign w:val="bottom"/>
            <w:shd w:val="clear" w:color="auto" w:fill="F75E14"/>
          </w:tcPr>
          <w:p>
            <w:pPr>
              <w:spacing w:after="0"/>
              <w:rPr>
                <w:sz w:val="21"/>
                <w:szCs w:val="21"/>
                <w:color w:val="auto"/>
              </w:rPr>
            </w:pPr>
          </w:p>
        </w:tc>
      </w:tr>
      <w:tr>
        <w:trPr>
          <w:trHeight w:val="207"/>
        </w:trPr>
        <w:tc>
          <w:tcPr>
            <w:tcW w:w="2560" w:type="dxa"/>
            <w:vAlign w:val="bottom"/>
            <w:shd w:val="clear" w:color="auto" w:fill="F75E14"/>
          </w:tcPr>
          <w:p>
            <w:pPr>
              <w:spacing w:after="0"/>
              <w:rPr>
                <w:sz w:val="17"/>
                <w:szCs w:val="17"/>
                <w:color w:val="auto"/>
              </w:rPr>
            </w:pPr>
          </w:p>
        </w:tc>
        <w:tc>
          <w:tcPr>
            <w:tcW w:w="3460" w:type="dxa"/>
            <w:vAlign w:val="bottom"/>
            <w:shd w:val="clear" w:color="auto" w:fill="F75E14"/>
          </w:tcPr>
          <w:p>
            <w:pPr>
              <w:jc w:val="center"/>
              <w:spacing w:after="0"/>
              <w:rPr>
                <w:sz w:val="20"/>
                <w:szCs w:val="20"/>
                <w:color w:val="auto"/>
              </w:rPr>
            </w:pPr>
            <w:r>
              <w:rPr>
                <w:rFonts w:ascii="Arial" w:cs="Arial" w:eastAsia="Arial" w:hAnsi="Arial"/>
                <w:sz w:val="16"/>
                <w:szCs w:val="16"/>
                <w:b w:val="1"/>
                <w:bCs w:val="1"/>
                <w:color w:val="FFFFFF"/>
              </w:rPr>
              <w:t>Number of Shares</w:t>
            </w:r>
          </w:p>
        </w:tc>
        <w:tc>
          <w:tcPr>
            <w:tcW w:w="1380" w:type="dxa"/>
            <w:vAlign w:val="bottom"/>
            <w:shd w:val="clear" w:color="auto" w:fill="F75E14"/>
          </w:tcPr>
          <w:p>
            <w:pPr>
              <w:jc w:val="center"/>
              <w:spacing w:after="0"/>
              <w:rPr>
                <w:sz w:val="20"/>
                <w:szCs w:val="20"/>
                <w:color w:val="auto"/>
              </w:rPr>
            </w:pPr>
            <w:r>
              <w:rPr>
                <w:rFonts w:ascii="Arial" w:cs="Arial" w:eastAsia="Arial" w:hAnsi="Arial"/>
                <w:sz w:val="16"/>
                <w:szCs w:val="16"/>
                <w:b w:val="1"/>
                <w:bCs w:val="1"/>
                <w:color w:val="FFFFFF"/>
                <w:w w:val="99"/>
              </w:rPr>
              <w:t>Value Realized on</w:t>
            </w:r>
          </w:p>
        </w:tc>
      </w:tr>
      <w:tr>
        <w:trPr>
          <w:trHeight w:val="187"/>
        </w:trPr>
        <w:tc>
          <w:tcPr>
            <w:tcW w:w="2560" w:type="dxa"/>
            <w:vAlign w:val="bottom"/>
            <w:shd w:val="clear" w:color="auto" w:fill="F75E14"/>
          </w:tcPr>
          <w:p>
            <w:pPr>
              <w:spacing w:after="0"/>
              <w:rPr>
                <w:sz w:val="16"/>
                <w:szCs w:val="16"/>
                <w:color w:val="auto"/>
              </w:rPr>
            </w:pPr>
          </w:p>
        </w:tc>
        <w:tc>
          <w:tcPr>
            <w:tcW w:w="3460" w:type="dxa"/>
            <w:vAlign w:val="bottom"/>
            <w:shd w:val="clear" w:color="auto" w:fill="F75E14"/>
          </w:tcPr>
          <w:p>
            <w:pPr>
              <w:jc w:val="center"/>
              <w:spacing w:after="0"/>
              <w:rPr>
                <w:sz w:val="20"/>
                <w:szCs w:val="20"/>
                <w:color w:val="auto"/>
              </w:rPr>
            </w:pPr>
            <w:r>
              <w:rPr>
                <w:rFonts w:ascii="Arial" w:cs="Arial" w:eastAsia="Arial" w:hAnsi="Arial"/>
                <w:sz w:val="16"/>
                <w:szCs w:val="16"/>
                <w:b w:val="1"/>
                <w:bCs w:val="1"/>
                <w:color w:val="FFFFFF"/>
                <w:w w:val="98"/>
              </w:rPr>
              <w:t>Acquired on Vesting</w:t>
            </w:r>
          </w:p>
        </w:tc>
        <w:tc>
          <w:tcPr>
            <w:tcW w:w="1380" w:type="dxa"/>
            <w:vAlign w:val="bottom"/>
            <w:shd w:val="clear" w:color="auto" w:fill="F75E14"/>
          </w:tcPr>
          <w:p>
            <w:pPr>
              <w:jc w:val="center"/>
              <w:spacing w:after="0"/>
              <w:rPr>
                <w:sz w:val="20"/>
                <w:szCs w:val="20"/>
                <w:color w:val="auto"/>
              </w:rPr>
            </w:pPr>
            <w:r>
              <w:rPr>
                <w:rFonts w:ascii="Arial" w:cs="Arial" w:eastAsia="Arial" w:hAnsi="Arial"/>
                <w:sz w:val="16"/>
                <w:szCs w:val="16"/>
                <w:b w:val="1"/>
                <w:bCs w:val="1"/>
                <w:color w:val="FFFFFF"/>
              </w:rPr>
              <w:t>Vesting</w:t>
            </w:r>
          </w:p>
        </w:tc>
      </w:tr>
      <w:tr>
        <w:trPr>
          <w:trHeight w:val="235"/>
        </w:trPr>
        <w:tc>
          <w:tcPr>
            <w:tcW w:w="2560" w:type="dxa"/>
            <w:vAlign w:val="bottom"/>
            <w:tcBorders>
              <w:bottom w:val="single" w:sz="8" w:color="F75E14"/>
            </w:tcBorders>
            <w:shd w:val="clear" w:color="auto" w:fill="F75E14"/>
          </w:tcPr>
          <w:p>
            <w:pPr>
              <w:ind w:left="960"/>
              <w:spacing w:after="0"/>
              <w:rPr>
                <w:sz w:val="20"/>
                <w:szCs w:val="20"/>
                <w:color w:val="auto"/>
              </w:rPr>
            </w:pPr>
            <w:r>
              <w:rPr>
                <w:rFonts w:ascii="Arial" w:cs="Arial" w:eastAsia="Arial" w:hAnsi="Arial"/>
                <w:sz w:val="16"/>
                <w:szCs w:val="16"/>
                <w:b w:val="1"/>
                <w:bCs w:val="1"/>
                <w:color w:val="FFFFFF"/>
              </w:rPr>
              <w:t>Name (a)</w:t>
            </w:r>
          </w:p>
        </w:tc>
        <w:tc>
          <w:tcPr>
            <w:tcW w:w="3460" w:type="dxa"/>
            <w:vAlign w:val="bottom"/>
            <w:tcBorders>
              <w:bottom w:val="single" w:sz="8" w:color="F75E14"/>
            </w:tcBorders>
            <w:shd w:val="clear" w:color="auto" w:fill="F75E14"/>
          </w:tcPr>
          <w:p>
            <w:pPr>
              <w:jc w:val="center"/>
              <w:spacing w:after="0"/>
              <w:rPr>
                <w:sz w:val="20"/>
                <w:szCs w:val="20"/>
                <w:color w:val="auto"/>
              </w:rPr>
            </w:pPr>
            <w:r>
              <w:rPr>
                <w:rFonts w:ascii="Arial" w:cs="Arial" w:eastAsia="Arial" w:hAnsi="Arial"/>
                <w:sz w:val="16"/>
                <w:szCs w:val="16"/>
                <w:b w:val="1"/>
                <w:bCs w:val="1"/>
                <w:color w:val="FFFFFF"/>
              </w:rPr>
              <w:t>(#) (1) (d)</w:t>
            </w:r>
          </w:p>
        </w:tc>
        <w:tc>
          <w:tcPr>
            <w:tcW w:w="1380" w:type="dxa"/>
            <w:vAlign w:val="bottom"/>
            <w:tcBorders>
              <w:bottom w:val="single" w:sz="8" w:color="F75E14"/>
            </w:tcBorders>
            <w:shd w:val="clear" w:color="auto" w:fill="F75E14"/>
          </w:tcPr>
          <w:p>
            <w:pPr>
              <w:jc w:val="center"/>
              <w:spacing w:after="0"/>
              <w:rPr>
                <w:sz w:val="20"/>
                <w:szCs w:val="20"/>
                <w:color w:val="auto"/>
              </w:rPr>
            </w:pPr>
            <w:r>
              <w:rPr>
                <w:rFonts w:ascii="Arial" w:cs="Arial" w:eastAsia="Arial" w:hAnsi="Arial"/>
                <w:sz w:val="16"/>
                <w:szCs w:val="16"/>
                <w:b w:val="1"/>
                <w:bCs w:val="1"/>
                <w:color w:val="FFFFFF"/>
              </w:rPr>
              <w:t>($) (2) (e)</w:t>
            </w:r>
          </w:p>
        </w:tc>
      </w:tr>
      <w:tr>
        <w:trPr>
          <w:trHeight w:val="294"/>
        </w:trPr>
        <w:tc>
          <w:tcPr>
            <w:tcW w:w="2560" w:type="dxa"/>
            <w:vAlign w:val="bottom"/>
            <w:shd w:val="clear" w:color="auto" w:fill="D8E8EF"/>
          </w:tcPr>
          <w:p>
            <w:pPr>
              <w:ind w:left="60"/>
              <w:spacing w:after="0"/>
              <w:rPr>
                <w:sz w:val="20"/>
                <w:szCs w:val="20"/>
                <w:color w:val="auto"/>
              </w:rPr>
            </w:pPr>
            <w:r>
              <w:rPr>
                <w:rFonts w:ascii="Arial" w:cs="Arial" w:eastAsia="Arial" w:hAnsi="Arial"/>
                <w:sz w:val="14"/>
                <w:szCs w:val="14"/>
                <w:color w:val="auto"/>
              </w:rPr>
              <w:t>Hassane El-Khoury</w:t>
            </w:r>
          </w:p>
        </w:tc>
        <w:tc>
          <w:tcPr>
            <w:tcW w:w="3460" w:type="dxa"/>
            <w:vAlign w:val="bottom"/>
            <w:shd w:val="clear" w:color="auto" w:fill="D8E8EF"/>
          </w:tcPr>
          <w:p>
            <w:pPr>
              <w:jc w:val="right"/>
              <w:ind w:right="1285"/>
              <w:spacing w:after="0"/>
              <w:rPr>
                <w:sz w:val="20"/>
                <w:szCs w:val="20"/>
                <w:color w:val="auto"/>
              </w:rPr>
            </w:pPr>
            <w:r>
              <w:rPr>
                <w:rFonts w:ascii="Arial" w:cs="Arial" w:eastAsia="Arial" w:hAnsi="Arial"/>
                <w:sz w:val="14"/>
                <w:szCs w:val="14"/>
                <w:color w:val="auto"/>
              </w:rPr>
              <w:t>32,707</w:t>
            </w:r>
          </w:p>
        </w:tc>
        <w:tc>
          <w:tcPr>
            <w:tcW w:w="1380" w:type="dxa"/>
            <w:vAlign w:val="bottom"/>
            <w:shd w:val="clear" w:color="auto" w:fill="D8E8EF"/>
          </w:tcPr>
          <w:p>
            <w:pPr>
              <w:jc w:val="right"/>
              <w:ind w:right="106"/>
              <w:spacing w:after="0"/>
              <w:rPr>
                <w:sz w:val="20"/>
                <w:szCs w:val="20"/>
                <w:color w:val="auto"/>
              </w:rPr>
            </w:pPr>
            <w:r>
              <w:rPr>
                <w:rFonts w:ascii="Arial" w:cs="Arial" w:eastAsia="Arial" w:hAnsi="Arial"/>
                <w:sz w:val="14"/>
                <w:szCs w:val="14"/>
                <w:color w:val="auto"/>
              </w:rPr>
              <w:t>2,140,673</w:t>
            </w:r>
          </w:p>
        </w:tc>
      </w:tr>
      <w:tr>
        <w:trPr>
          <w:trHeight w:val="214"/>
        </w:trPr>
        <w:tc>
          <w:tcPr>
            <w:tcW w:w="2560" w:type="dxa"/>
            <w:vAlign w:val="bottom"/>
          </w:tcPr>
          <w:p>
            <w:pPr>
              <w:ind w:left="60"/>
              <w:spacing w:after="0"/>
              <w:rPr>
                <w:sz w:val="20"/>
                <w:szCs w:val="20"/>
                <w:color w:val="auto"/>
              </w:rPr>
            </w:pPr>
            <w:r>
              <w:rPr>
                <w:rFonts w:ascii="Arial" w:cs="Arial" w:eastAsia="Arial" w:hAnsi="Arial"/>
                <w:sz w:val="14"/>
                <w:szCs w:val="14"/>
                <w:color w:val="auto"/>
              </w:rPr>
              <w:t>Thad Trent</w:t>
            </w:r>
          </w:p>
        </w:tc>
        <w:tc>
          <w:tcPr>
            <w:tcW w:w="3460" w:type="dxa"/>
            <w:vAlign w:val="bottom"/>
          </w:tcPr>
          <w:p>
            <w:pPr>
              <w:jc w:val="right"/>
              <w:ind w:right="1285"/>
              <w:spacing w:after="0"/>
              <w:rPr>
                <w:sz w:val="20"/>
                <w:szCs w:val="20"/>
                <w:color w:val="auto"/>
              </w:rPr>
            </w:pPr>
            <w:r>
              <w:rPr>
                <w:rFonts w:ascii="Arial" w:cs="Arial" w:eastAsia="Arial" w:hAnsi="Arial"/>
                <w:sz w:val="14"/>
                <w:szCs w:val="14"/>
                <w:color w:val="auto"/>
              </w:rPr>
              <w:t>0</w:t>
            </w:r>
          </w:p>
        </w:tc>
        <w:tc>
          <w:tcPr>
            <w:tcW w:w="1380" w:type="dxa"/>
            <w:vAlign w:val="bottom"/>
          </w:tcPr>
          <w:p>
            <w:pPr>
              <w:jc w:val="right"/>
              <w:ind w:right="106"/>
              <w:spacing w:after="0"/>
              <w:rPr>
                <w:sz w:val="20"/>
                <w:szCs w:val="20"/>
                <w:color w:val="auto"/>
              </w:rPr>
            </w:pPr>
            <w:r>
              <w:rPr>
                <w:rFonts w:ascii="Arial" w:cs="Arial" w:eastAsia="Arial" w:hAnsi="Arial"/>
                <w:sz w:val="14"/>
                <w:szCs w:val="14"/>
                <w:color w:val="auto"/>
              </w:rPr>
              <w:t>0</w:t>
            </w:r>
          </w:p>
        </w:tc>
      </w:tr>
      <w:tr>
        <w:trPr>
          <w:trHeight w:val="214"/>
        </w:trPr>
        <w:tc>
          <w:tcPr>
            <w:tcW w:w="2560" w:type="dxa"/>
            <w:vAlign w:val="bottom"/>
            <w:shd w:val="clear" w:color="auto" w:fill="D8E8EF"/>
          </w:tcPr>
          <w:p>
            <w:pPr>
              <w:ind w:left="60"/>
              <w:spacing w:after="0"/>
              <w:rPr>
                <w:sz w:val="20"/>
                <w:szCs w:val="20"/>
                <w:color w:val="auto"/>
              </w:rPr>
            </w:pPr>
            <w:r>
              <w:rPr>
                <w:rFonts w:ascii="Arial" w:cs="Arial" w:eastAsia="Arial" w:hAnsi="Arial"/>
                <w:sz w:val="14"/>
                <w:szCs w:val="14"/>
                <w:color w:val="auto"/>
              </w:rPr>
              <w:t>Vincent C. Hopkin</w:t>
            </w:r>
          </w:p>
        </w:tc>
        <w:tc>
          <w:tcPr>
            <w:tcW w:w="3460" w:type="dxa"/>
            <w:vAlign w:val="bottom"/>
            <w:shd w:val="clear" w:color="auto" w:fill="D8E8EF"/>
          </w:tcPr>
          <w:p>
            <w:pPr>
              <w:jc w:val="right"/>
              <w:ind w:right="1285"/>
              <w:spacing w:after="0"/>
              <w:rPr>
                <w:sz w:val="20"/>
                <w:szCs w:val="20"/>
                <w:color w:val="auto"/>
              </w:rPr>
            </w:pPr>
            <w:r>
              <w:rPr>
                <w:rFonts w:ascii="Arial" w:cs="Arial" w:eastAsia="Arial" w:hAnsi="Arial"/>
                <w:sz w:val="14"/>
                <w:szCs w:val="14"/>
                <w:color w:val="auto"/>
              </w:rPr>
              <w:t>40,065</w:t>
            </w:r>
          </w:p>
        </w:tc>
        <w:tc>
          <w:tcPr>
            <w:tcW w:w="1380" w:type="dxa"/>
            <w:vAlign w:val="bottom"/>
            <w:shd w:val="clear" w:color="auto" w:fill="D8E8EF"/>
          </w:tcPr>
          <w:p>
            <w:pPr>
              <w:jc w:val="right"/>
              <w:ind w:right="106"/>
              <w:spacing w:after="0"/>
              <w:rPr>
                <w:sz w:val="20"/>
                <w:szCs w:val="20"/>
                <w:color w:val="auto"/>
              </w:rPr>
            </w:pPr>
            <w:r>
              <w:rPr>
                <w:rFonts w:ascii="Arial" w:cs="Arial" w:eastAsia="Arial" w:hAnsi="Arial"/>
                <w:sz w:val="14"/>
                <w:szCs w:val="14"/>
                <w:color w:val="auto"/>
              </w:rPr>
              <w:t>1,576,501</w:t>
            </w:r>
          </w:p>
        </w:tc>
      </w:tr>
      <w:tr>
        <w:trPr>
          <w:trHeight w:val="214"/>
        </w:trPr>
        <w:tc>
          <w:tcPr>
            <w:tcW w:w="2560" w:type="dxa"/>
            <w:vAlign w:val="bottom"/>
          </w:tcPr>
          <w:p>
            <w:pPr>
              <w:ind w:left="60"/>
              <w:spacing w:after="0"/>
              <w:rPr>
                <w:sz w:val="20"/>
                <w:szCs w:val="20"/>
                <w:color w:val="auto"/>
              </w:rPr>
            </w:pPr>
            <w:r>
              <w:rPr>
                <w:rFonts w:ascii="Arial" w:cs="Arial" w:eastAsia="Arial" w:hAnsi="Arial"/>
                <w:sz w:val="14"/>
                <w:szCs w:val="14"/>
                <w:color w:val="auto"/>
              </w:rPr>
              <w:t>Simon Keeton</w:t>
            </w:r>
          </w:p>
        </w:tc>
        <w:tc>
          <w:tcPr>
            <w:tcW w:w="3460" w:type="dxa"/>
            <w:vAlign w:val="bottom"/>
          </w:tcPr>
          <w:p>
            <w:pPr>
              <w:jc w:val="right"/>
              <w:ind w:right="1285"/>
              <w:spacing w:after="0"/>
              <w:rPr>
                <w:sz w:val="20"/>
                <w:szCs w:val="20"/>
                <w:color w:val="auto"/>
              </w:rPr>
            </w:pPr>
            <w:r>
              <w:rPr>
                <w:rFonts w:ascii="Arial" w:cs="Arial" w:eastAsia="Arial" w:hAnsi="Arial"/>
                <w:sz w:val="14"/>
                <w:szCs w:val="14"/>
                <w:color w:val="auto"/>
              </w:rPr>
              <w:t>44,345</w:t>
            </w:r>
          </w:p>
        </w:tc>
        <w:tc>
          <w:tcPr>
            <w:tcW w:w="1380" w:type="dxa"/>
            <w:vAlign w:val="bottom"/>
          </w:tcPr>
          <w:p>
            <w:pPr>
              <w:jc w:val="right"/>
              <w:ind w:right="106"/>
              <w:spacing w:after="0"/>
              <w:rPr>
                <w:sz w:val="20"/>
                <w:szCs w:val="20"/>
                <w:color w:val="auto"/>
              </w:rPr>
            </w:pPr>
            <w:r>
              <w:rPr>
                <w:rFonts w:ascii="Arial" w:cs="Arial" w:eastAsia="Arial" w:hAnsi="Arial"/>
                <w:sz w:val="14"/>
                <w:szCs w:val="14"/>
                <w:color w:val="auto"/>
              </w:rPr>
              <w:t>1,724,601</w:t>
            </w:r>
          </w:p>
        </w:tc>
      </w:tr>
      <w:tr>
        <w:trPr>
          <w:trHeight w:val="214"/>
        </w:trPr>
        <w:tc>
          <w:tcPr>
            <w:tcW w:w="2560" w:type="dxa"/>
            <w:vAlign w:val="bottom"/>
            <w:shd w:val="clear" w:color="auto" w:fill="D8E8EF"/>
          </w:tcPr>
          <w:p>
            <w:pPr>
              <w:ind w:left="60"/>
              <w:spacing w:after="0"/>
              <w:rPr>
                <w:sz w:val="20"/>
                <w:szCs w:val="20"/>
                <w:color w:val="auto"/>
              </w:rPr>
            </w:pPr>
            <w:r>
              <w:rPr>
                <w:rFonts w:ascii="Arial" w:cs="Arial" w:eastAsia="Arial" w:hAnsi="Arial"/>
                <w:sz w:val="14"/>
                <w:szCs w:val="14"/>
                <w:color w:val="auto"/>
              </w:rPr>
              <w:t>Ross F. Jatou</w:t>
            </w:r>
          </w:p>
        </w:tc>
        <w:tc>
          <w:tcPr>
            <w:tcW w:w="3460" w:type="dxa"/>
            <w:vAlign w:val="bottom"/>
            <w:shd w:val="clear" w:color="auto" w:fill="D8E8EF"/>
          </w:tcPr>
          <w:p>
            <w:pPr>
              <w:jc w:val="right"/>
              <w:ind w:right="1285"/>
              <w:spacing w:after="0"/>
              <w:rPr>
                <w:sz w:val="20"/>
                <w:szCs w:val="20"/>
                <w:color w:val="auto"/>
              </w:rPr>
            </w:pPr>
            <w:r>
              <w:rPr>
                <w:rFonts w:ascii="Arial" w:cs="Arial" w:eastAsia="Arial" w:hAnsi="Arial"/>
                <w:sz w:val="14"/>
                <w:szCs w:val="14"/>
                <w:color w:val="auto"/>
              </w:rPr>
              <w:t>17,561</w:t>
            </w:r>
          </w:p>
        </w:tc>
        <w:tc>
          <w:tcPr>
            <w:tcW w:w="1380" w:type="dxa"/>
            <w:vAlign w:val="bottom"/>
            <w:shd w:val="clear" w:color="auto" w:fill="D8E8EF"/>
          </w:tcPr>
          <w:p>
            <w:pPr>
              <w:jc w:val="right"/>
              <w:ind w:right="106"/>
              <w:spacing w:after="0"/>
              <w:rPr>
                <w:sz w:val="20"/>
                <w:szCs w:val="20"/>
                <w:color w:val="auto"/>
              </w:rPr>
            </w:pPr>
            <w:r>
              <w:rPr>
                <w:rFonts w:ascii="Arial" w:cs="Arial" w:eastAsia="Arial" w:hAnsi="Arial"/>
                <w:sz w:val="14"/>
                <w:szCs w:val="14"/>
                <w:color w:val="auto"/>
              </w:rPr>
              <w:t>735,974</w:t>
            </w:r>
          </w:p>
        </w:tc>
      </w:tr>
      <w:tr>
        <w:trPr>
          <w:trHeight w:val="214"/>
        </w:trPr>
        <w:tc>
          <w:tcPr>
            <w:tcW w:w="2560" w:type="dxa"/>
            <w:vAlign w:val="bottom"/>
          </w:tcPr>
          <w:p>
            <w:pPr>
              <w:ind w:left="60"/>
              <w:spacing w:after="0"/>
              <w:rPr>
                <w:sz w:val="20"/>
                <w:szCs w:val="20"/>
                <w:color w:val="auto"/>
              </w:rPr>
            </w:pPr>
            <w:r>
              <w:rPr>
                <w:rFonts w:ascii="Arial" w:cs="Arial" w:eastAsia="Arial" w:hAnsi="Arial"/>
                <w:sz w:val="14"/>
                <w:szCs w:val="14"/>
                <w:color w:val="auto"/>
              </w:rPr>
              <w:t>George H. Cave</w:t>
            </w:r>
          </w:p>
        </w:tc>
        <w:tc>
          <w:tcPr>
            <w:tcW w:w="3460" w:type="dxa"/>
            <w:vAlign w:val="bottom"/>
          </w:tcPr>
          <w:p>
            <w:pPr>
              <w:jc w:val="right"/>
              <w:ind w:right="1285"/>
              <w:spacing w:after="0"/>
              <w:rPr>
                <w:sz w:val="20"/>
                <w:szCs w:val="20"/>
                <w:color w:val="auto"/>
              </w:rPr>
            </w:pPr>
            <w:r>
              <w:rPr>
                <w:rFonts w:ascii="Arial" w:cs="Arial" w:eastAsia="Arial" w:hAnsi="Arial"/>
                <w:sz w:val="14"/>
                <w:szCs w:val="14"/>
                <w:color w:val="auto"/>
              </w:rPr>
              <w:t>42,326</w:t>
            </w:r>
          </w:p>
        </w:tc>
        <w:tc>
          <w:tcPr>
            <w:tcW w:w="1380" w:type="dxa"/>
            <w:vAlign w:val="bottom"/>
          </w:tcPr>
          <w:p>
            <w:pPr>
              <w:jc w:val="right"/>
              <w:ind w:right="106"/>
              <w:spacing w:after="0"/>
              <w:rPr>
                <w:sz w:val="20"/>
                <w:szCs w:val="20"/>
                <w:color w:val="auto"/>
              </w:rPr>
            </w:pPr>
            <w:r>
              <w:rPr>
                <w:rFonts w:ascii="Arial" w:cs="Arial" w:eastAsia="Arial" w:hAnsi="Arial"/>
                <w:sz w:val="14"/>
                <w:szCs w:val="14"/>
                <w:color w:val="auto"/>
              </w:rPr>
              <w:t>1,643,447</w:t>
            </w:r>
          </w:p>
        </w:tc>
      </w:tr>
      <w:tr>
        <w:trPr>
          <w:trHeight w:val="224"/>
        </w:trPr>
        <w:tc>
          <w:tcPr>
            <w:tcW w:w="2560" w:type="dxa"/>
            <w:vAlign w:val="bottom"/>
            <w:tcBorders>
              <w:bottom w:val="single" w:sz="8" w:color="auto"/>
            </w:tcBorders>
            <w:shd w:val="clear" w:color="auto" w:fill="D8E8EF"/>
          </w:tcPr>
          <w:p>
            <w:pPr>
              <w:ind w:left="60"/>
              <w:spacing w:after="0"/>
              <w:rPr>
                <w:sz w:val="20"/>
                <w:szCs w:val="20"/>
                <w:color w:val="auto"/>
              </w:rPr>
            </w:pPr>
            <w:r>
              <w:rPr>
                <w:rFonts w:ascii="Arial" w:cs="Arial" w:eastAsia="Arial" w:hAnsi="Arial"/>
                <w:sz w:val="14"/>
                <w:szCs w:val="14"/>
                <w:color w:val="auto"/>
              </w:rPr>
              <w:t>Bernard Gutmann</w:t>
            </w:r>
          </w:p>
        </w:tc>
        <w:tc>
          <w:tcPr>
            <w:tcW w:w="3460" w:type="dxa"/>
            <w:vAlign w:val="bottom"/>
            <w:tcBorders>
              <w:bottom w:val="single" w:sz="8" w:color="auto"/>
            </w:tcBorders>
            <w:shd w:val="clear" w:color="auto" w:fill="D8E8EF"/>
          </w:tcPr>
          <w:p>
            <w:pPr>
              <w:jc w:val="right"/>
              <w:ind w:right="1285"/>
              <w:spacing w:after="0"/>
              <w:rPr>
                <w:sz w:val="20"/>
                <w:szCs w:val="20"/>
                <w:color w:val="auto"/>
              </w:rPr>
            </w:pPr>
            <w:r>
              <w:rPr>
                <w:rFonts w:ascii="Arial" w:cs="Arial" w:eastAsia="Arial" w:hAnsi="Arial"/>
                <w:sz w:val="14"/>
                <w:szCs w:val="14"/>
                <w:color w:val="auto"/>
              </w:rPr>
              <w:t>67,719</w:t>
            </w:r>
          </w:p>
        </w:tc>
        <w:tc>
          <w:tcPr>
            <w:tcW w:w="1380" w:type="dxa"/>
            <w:vAlign w:val="bottom"/>
            <w:tcBorders>
              <w:bottom w:val="single" w:sz="8" w:color="auto"/>
            </w:tcBorders>
            <w:shd w:val="clear" w:color="auto" w:fill="D8E8EF"/>
          </w:tcPr>
          <w:p>
            <w:pPr>
              <w:jc w:val="right"/>
              <w:ind w:right="106"/>
              <w:spacing w:after="0"/>
              <w:rPr>
                <w:sz w:val="20"/>
                <w:szCs w:val="20"/>
                <w:color w:val="auto"/>
              </w:rPr>
            </w:pPr>
            <w:r>
              <w:rPr>
                <w:rFonts w:ascii="Arial" w:cs="Arial" w:eastAsia="Arial" w:hAnsi="Arial"/>
                <w:sz w:val="14"/>
                <w:szCs w:val="14"/>
                <w:color w:val="auto"/>
              </w:rPr>
              <w:t>2,630,539</w:t>
            </w:r>
          </w:p>
        </w:tc>
      </w:tr>
    </w:tbl>
    <w:p>
      <w:pPr>
        <w:ind w:left="2880" w:right="2400" w:hanging="426"/>
        <w:spacing w:after="0" w:line="242" w:lineRule="auto"/>
        <w:tabs>
          <w:tab w:leader="none" w:pos="2880" w:val="left"/>
        </w:tabs>
        <w:numPr>
          <w:ilvl w:val="0"/>
          <w:numId w:val="86"/>
        </w:numPr>
        <w:rPr>
          <w:rFonts w:ascii="Arial" w:cs="Arial" w:eastAsia="Arial" w:hAnsi="Arial"/>
          <w:sz w:val="14"/>
          <w:szCs w:val="14"/>
          <w:color w:val="auto"/>
        </w:rPr>
      </w:pPr>
      <w:r>
        <w:rPr>
          <w:rFonts w:ascii="Arial" w:cs="Arial" w:eastAsia="Arial" w:hAnsi="Arial"/>
          <w:sz w:val="14"/>
          <w:szCs w:val="14"/>
          <w:color w:val="auto"/>
        </w:rPr>
        <w:t>This column represents the total number of shares underlying RSUs that vested in 2021, including PBRSUs.</w:t>
      </w:r>
    </w:p>
    <w:p>
      <w:pPr>
        <w:spacing w:after="0" w:line="1" w:lineRule="exact"/>
        <w:rPr>
          <w:rFonts w:ascii="Arial" w:cs="Arial" w:eastAsia="Arial" w:hAnsi="Arial"/>
          <w:sz w:val="14"/>
          <w:szCs w:val="14"/>
          <w:color w:val="auto"/>
        </w:rPr>
      </w:pPr>
    </w:p>
    <w:p>
      <w:pPr>
        <w:jc w:val="both"/>
        <w:ind w:left="2880" w:right="2400" w:hanging="426"/>
        <w:spacing w:after="0" w:line="249" w:lineRule="auto"/>
        <w:tabs>
          <w:tab w:leader="none" w:pos="2880" w:val="left"/>
        </w:tabs>
        <w:numPr>
          <w:ilvl w:val="0"/>
          <w:numId w:val="86"/>
        </w:numPr>
        <w:rPr>
          <w:rFonts w:ascii="Arial" w:cs="Arial" w:eastAsia="Arial" w:hAnsi="Arial"/>
          <w:sz w:val="14"/>
          <w:szCs w:val="14"/>
          <w:color w:val="auto"/>
        </w:rPr>
      </w:pPr>
      <w:r>
        <w:rPr>
          <w:rFonts w:ascii="Arial" w:cs="Arial" w:eastAsia="Arial" w:hAnsi="Arial"/>
          <w:sz w:val="14"/>
          <w:szCs w:val="14"/>
          <w:color w:val="auto"/>
        </w:rPr>
        <w:t>The value realized equals the number of shares of stock vested multiplied by the market value of one share of our common stock on the date of vesting or, if the vesting date is not a trading date, the immediately preceding trading date.</w:t>
      </w:r>
    </w:p>
    <w:p>
      <w:pPr>
        <w:spacing w:after="0" w:line="165"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2B4772"/>
        </w:rPr>
        <w:t>Employment, Severance and Change in Control Arrangements</w:t>
      </w:r>
    </w:p>
    <w:p>
      <w:pPr>
        <w:spacing w:after="0" w:line="119" w:lineRule="exact"/>
        <w:rPr>
          <w:sz w:val="20"/>
          <w:szCs w:val="20"/>
          <w:color w:val="auto"/>
        </w:rPr>
      </w:pPr>
    </w:p>
    <w:p>
      <w:pPr>
        <w:jc w:val="both"/>
        <w:ind w:left="160"/>
        <w:spacing w:after="0" w:line="243" w:lineRule="auto"/>
        <w:rPr>
          <w:sz w:val="20"/>
          <w:szCs w:val="20"/>
          <w:color w:val="auto"/>
        </w:rPr>
      </w:pPr>
      <w:r>
        <w:rPr>
          <w:rFonts w:ascii="Arial" w:cs="Arial" w:eastAsia="Arial" w:hAnsi="Arial"/>
          <w:sz w:val="18"/>
          <w:szCs w:val="18"/>
          <w:color w:val="auto"/>
        </w:rPr>
        <w:t>We currently have employment agreements with each of our NEOs. Each of the employment agreements entitles the officer to a base salary and to a target percentage of base salary for purposes of our cash incentive plan, subject to Board review from time to time or additional Board action, and generally provides for certain payments or benefits in the event of a termination of employment of the executive in various circumstances, including within two years following a Change in Control.</w:t>
      </w:r>
    </w:p>
    <w:p>
      <w:pPr>
        <w:spacing w:after="0" w:line="178"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Mr. El-Khoury</w:t>
      </w:r>
    </w:p>
    <w:p>
      <w:pPr>
        <w:spacing w:after="0" w:line="208" w:lineRule="exact"/>
        <w:rPr>
          <w:sz w:val="20"/>
          <w:szCs w:val="20"/>
          <w:color w:val="auto"/>
        </w:rPr>
      </w:pPr>
    </w:p>
    <w:p>
      <w:pPr>
        <w:jc w:val="both"/>
        <w:ind w:left="160"/>
        <w:spacing w:after="0" w:line="237" w:lineRule="auto"/>
        <w:rPr>
          <w:sz w:val="20"/>
          <w:szCs w:val="20"/>
          <w:color w:val="auto"/>
        </w:rPr>
      </w:pPr>
      <w:r>
        <w:rPr>
          <w:rFonts w:ascii="Arial" w:cs="Arial" w:eastAsia="Arial" w:hAnsi="Arial"/>
          <w:sz w:val="18"/>
          <w:szCs w:val="18"/>
          <w:color w:val="auto"/>
        </w:rPr>
        <w:t>We entered into an employment agreement with Hassane El-Khoury, our President and Chief Executive Officer, on December 7, 2020. The employment agreement, subject to HCC Committee action and review from time to time, entitles Mr. El-Khoury to a base salary of $950,000 per year. Mr. El-Khoury’s employment agreement also sets a target percentage of base salary, initially 150% of his base salary during the relevant performance cycle, plus a potential additional amount as may be approved by the Board and/or the HCC Committee under the Company’s bonus program dependent on the performance of the Company and/or Mr. El-Khoury against the specified performance criteria. His employment agreement further provides for: (i) a $250,000 relocation bonus (in lieu of standard relocation benefits); and (ii) other standard employee benefits that we make available to our executive officers, including a monthly car allowance of $1,200 and reimbursement of up to $10,000 per year for actual financial planning expenses, in each case, without any tax gross-ups. The employment agreement has no specified term of years.</w:t>
      </w:r>
    </w:p>
    <w:p>
      <w:pPr>
        <w:spacing w:after="0" w:line="123" w:lineRule="exact"/>
        <w:rPr>
          <w:sz w:val="20"/>
          <w:szCs w:val="20"/>
          <w:color w:val="auto"/>
        </w:rPr>
      </w:pPr>
    </w:p>
    <w:p>
      <w:pPr>
        <w:ind w:left="8820"/>
        <w:spacing w:after="0"/>
        <w:tabs>
          <w:tab w:leader="none" w:pos="10900" w:val="left"/>
        </w:tabs>
        <w:rPr>
          <w:sz w:val="20"/>
          <w:szCs w:val="20"/>
          <w:color w:val="auto"/>
        </w:rPr>
      </w:pPr>
      <w:r>
        <w:rPr>
          <w:rFonts w:ascii="Arial" w:cs="Arial" w:eastAsia="Arial" w:hAnsi="Arial"/>
          <w:sz w:val="14"/>
          <w:szCs w:val="14"/>
          <w:color w:val="F75E14"/>
        </w:rPr>
        <w:t>onsemi 2022 Proxy Statement</w:t>
        <w:tab/>
        <w:t>57</w:t>
      </w:r>
    </w:p>
    <w:p>
      <w:pPr>
        <w:sectPr>
          <w:pgSz w:w="11900" w:h="16838" w:orient="portrait"/>
          <w:cols w:equalWidth="0" w:num="1">
            <w:col w:w="11080"/>
          </w:cols>
          <w:pgMar w:left="320" w:top="454" w:right="499" w:bottom="1440" w:gutter="0" w:footer="0" w:header="0"/>
        </w:sectPr>
      </w:pPr>
    </w:p>
    <w:bookmarkStart w:id="61" w:name="page62"/>
    <w:bookmarkEnd w:id="6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2" w:lineRule="exact"/>
        <w:rPr>
          <w:sz w:val="20"/>
          <w:szCs w:val="20"/>
          <w:color w:val="auto"/>
        </w:rPr>
      </w:pPr>
    </w:p>
    <w:p>
      <w:pPr>
        <w:ind w:left="160"/>
        <w:spacing w:after="0"/>
        <w:rPr>
          <w:sz w:val="20"/>
          <w:szCs w:val="20"/>
          <w:color w:val="auto"/>
        </w:rPr>
      </w:pPr>
      <w:r>
        <w:rPr>
          <w:rFonts w:ascii="Arial" w:cs="Arial" w:eastAsia="Arial" w:hAnsi="Arial"/>
          <w:sz w:val="18"/>
          <w:szCs w:val="18"/>
          <w:color w:val="F75E14"/>
        </w:rPr>
        <w:t>Compensation of Executive Officers</w:t>
      </w:r>
    </w:p>
    <w:p>
      <w:pPr>
        <w:spacing w:after="0" w:line="14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Other NEOs</w:t>
      </w:r>
    </w:p>
    <w:p>
      <w:pPr>
        <w:spacing w:after="0" w:line="208" w:lineRule="exact"/>
        <w:rPr>
          <w:sz w:val="20"/>
          <w:szCs w:val="20"/>
          <w:color w:val="auto"/>
        </w:rPr>
      </w:pPr>
    </w:p>
    <w:p>
      <w:pPr>
        <w:jc w:val="both"/>
        <w:ind w:left="160"/>
        <w:spacing w:after="0" w:line="237" w:lineRule="auto"/>
        <w:rPr>
          <w:sz w:val="20"/>
          <w:szCs w:val="20"/>
          <w:color w:val="auto"/>
        </w:rPr>
      </w:pPr>
      <w:r>
        <w:rPr>
          <w:rFonts w:ascii="Arial" w:cs="Arial" w:eastAsia="Arial" w:hAnsi="Arial"/>
          <w:sz w:val="18"/>
          <w:szCs w:val="18"/>
          <w:color w:val="auto"/>
        </w:rPr>
        <w:t>We entered into an employment agreement with each of: (i) Mr. Trent, our Executive Vice President, Chief Financial Officer and Treasurer, dated as of February 16, 2021; (ii) Mr. Hopkin, our Executive Vice President and General Manager, Advanced Solutions Group, effective May 11, 2018; (iii) Mr. Keeton, our Executive Vice President and General Manager, Power Solutions Group, dated January 1, 2019; (iv) Mr. Cave, our former Executive Vice President, General Counsel, Chief Compliance Officer, Chief Risk Officer and Secretary, dated as of May 26, 2005, as amended and restated effective June 1, 2017; and (v) Mr. Gutmann, our former Executive Vice President, Chief Financial Officer and Treasurer, dated as of September 26, 2012, as amended on June 1, 2017. The employment agreements for Messrs. Hopkin and Keeton are substantially similar. With respect to Mr. Jatou, our Senior Vice President and General Manager, Intelligent Sensing Group, we entered into a Key Officer Severance and Change in Control Agreement on October 1, 2020.</w:t>
      </w:r>
    </w:p>
    <w:p>
      <w:pPr>
        <w:spacing w:after="0" w:line="184" w:lineRule="exact"/>
        <w:rPr>
          <w:sz w:val="20"/>
          <w:szCs w:val="20"/>
          <w:color w:val="auto"/>
        </w:rPr>
      </w:pPr>
    </w:p>
    <w:p>
      <w:pPr>
        <w:jc w:val="both"/>
        <w:ind w:left="160"/>
        <w:spacing w:after="0" w:line="243" w:lineRule="auto"/>
        <w:rPr>
          <w:sz w:val="20"/>
          <w:szCs w:val="20"/>
          <w:color w:val="auto"/>
        </w:rPr>
      </w:pPr>
      <w:r>
        <w:rPr>
          <w:rFonts w:ascii="Arial" w:cs="Arial" w:eastAsia="Arial" w:hAnsi="Arial"/>
          <w:sz w:val="18"/>
          <w:szCs w:val="18"/>
          <w:color w:val="auto"/>
        </w:rPr>
        <w:t>None of the applicable agreements has a specified termination date and, subject to HCC Committee action and review from time to time, each of them entitles the officer to a base salary and sets an initial target percentage of base salary for purposes of our cash incentive plan. In addition, the employment agreement entitles each NEO other than Mr. Jatou to a monthly car allowance of $1,200 and the reimbursement of up to $10,000 of financial planning expenses annually, in each case without any tax gross-ups.</w:t>
      </w:r>
    </w:p>
    <w:p>
      <w:pPr>
        <w:spacing w:after="0" w:line="178" w:lineRule="exact"/>
        <w:rPr>
          <w:sz w:val="20"/>
          <w:szCs w:val="20"/>
          <w:color w:val="auto"/>
        </w:rPr>
      </w:pPr>
    </w:p>
    <w:p>
      <w:pPr>
        <w:jc w:val="both"/>
        <w:ind w:left="160"/>
        <w:spacing w:after="0" w:line="265" w:lineRule="auto"/>
        <w:rPr>
          <w:sz w:val="20"/>
          <w:szCs w:val="20"/>
          <w:color w:val="auto"/>
        </w:rPr>
      </w:pPr>
      <w:r>
        <w:rPr>
          <w:rFonts w:ascii="Arial" w:cs="Arial" w:eastAsia="Arial" w:hAnsi="Arial"/>
          <w:sz w:val="18"/>
          <w:szCs w:val="18"/>
          <w:color w:val="auto"/>
        </w:rPr>
        <w:t>As Mr. Gutmann retired effective as of February 16, 2021, he received his salary prorated through the date of termination, and remains eligible for the continued vesting of certain RSUs received previously under the Company’s long-term incentive compensation plans.</w:t>
      </w:r>
    </w:p>
    <w:p>
      <w:pPr>
        <w:spacing w:after="0" w:line="15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tables below outline the severance and Change in Control arrangements for our NEOs:</w:t>
      </w:r>
    </w:p>
    <w:p>
      <w:pPr>
        <w:spacing w:after="0" w:line="233" w:lineRule="exact"/>
        <w:rPr>
          <w:sz w:val="20"/>
          <w:szCs w:val="20"/>
          <w:color w:val="auto"/>
        </w:rPr>
      </w:pPr>
    </w:p>
    <w:tbl>
      <w:tblPr>
        <w:tblLayout w:type="fixed"/>
        <w:tblInd w:w="250" w:type="dxa"/>
        <w:tblCellMar>
          <w:top w:w="0" w:type="dxa"/>
          <w:left w:w="0" w:type="dxa"/>
          <w:bottom w:w="0" w:type="dxa"/>
          <w:right w:w="0" w:type="dxa"/>
        </w:tblCellMar>
      </w:tblPr>
      <w:tr>
        <w:trPr>
          <w:trHeight w:val="240"/>
        </w:trPr>
        <w:tc>
          <w:tcPr>
            <w:tcW w:w="2380" w:type="dxa"/>
            <w:vAlign w:val="bottom"/>
            <w:tcBorders>
              <w:top w:val="single" w:sz="8" w:color="auto"/>
              <w:left w:val="single" w:sz="8" w:color="auto"/>
              <w:right w:val="single" w:sz="8" w:color="auto"/>
            </w:tcBorders>
            <w:shd w:val="clear" w:color="auto" w:fill="F75E14"/>
          </w:tcPr>
          <w:p>
            <w:pPr>
              <w:spacing w:after="0"/>
              <w:rPr>
                <w:sz w:val="20"/>
                <w:szCs w:val="20"/>
                <w:color w:val="auto"/>
              </w:rPr>
            </w:pPr>
          </w:p>
        </w:tc>
        <w:tc>
          <w:tcPr>
            <w:tcW w:w="200" w:type="dxa"/>
            <w:vAlign w:val="bottom"/>
            <w:tcBorders>
              <w:top w:val="single" w:sz="8" w:color="auto"/>
            </w:tcBorders>
            <w:shd w:val="clear" w:color="auto" w:fill="F75E14"/>
          </w:tcPr>
          <w:p>
            <w:pPr>
              <w:spacing w:after="0"/>
              <w:rPr>
                <w:sz w:val="20"/>
                <w:szCs w:val="20"/>
                <w:color w:val="auto"/>
              </w:rPr>
            </w:pPr>
          </w:p>
        </w:tc>
        <w:tc>
          <w:tcPr>
            <w:tcW w:w="8220" w:type="dxa"/>
            <w:vAlign w:val="bottom"/>
            <w:tcBorders>
              <w:top w:val="single" w:sz="8" w:color="auto"/>
              <w:right w:val="single" w:sz="8" w:color="auto"/>
            </w:tcBorders>
            <w:shd w:val="clear" w:color="auto" w:fill="F75E14"/>
          </w:tcPr>
          <w:p>
            <w:pPr>
              <w:jc w:val="center"/>
              <w:ind w:right="80"/>
              <w:spacing w:after="0"/>
              <w:rPr>
                <w:sz w:val="20"/>
                <w:szCs w:val="20"/>
                <w:color w:val="auto"/>
              </w:rPr>
            </w:pPr>
            <w:r>
              <w:rPr>
                <w:rFonts w:ascii="Arial" w:cs="Arial" w:eastAsia="Arial" w:hAnsi="Arial"/>
                <w:sz w:val="16"/>
                <w:szCs w:val="16"/>
                <w:b w:val="1"/>
                <w:bCs w:val="1"/>
                <w:color w:val="FFFFFF"/>
                <w:w w:val="99"/>
              </w:rPr>
              <w:t>Obligations Upon Certain Termination Events Absent a Change in Control:</w:t>
            </w:r>
          </w:p>
        </w:tc>
      </w:tr>
      <w:tr>
        <w:trPr>
          <w:trHeight w:val="187"/>
        </w:trPr>
        <w:tc>
          <w:tcPr>
            <w:tcW w:w="2380" w:type="dxa"/>
            <w:vAlign w:val="bottom"/>
            <w:tcBorders>
              <w:left w:val="single" w:sz="8" w:color="auto"/>
              <w:right w:val="single" w:sz="8" w:color="auto"/>
            </w:tcBorders>
            <w:shd w:val="clear" w:color="auto" w:fill="F75E14"/>
          </w:tcPr>
          <w:p>
            <w:pPr>
              <w:spacing w:after="0"/>
              <w:rPr>
                <w:sz w:val="16"/>
                <w:szCs w:val="16"/>
                <w:color w:val="auto"/>
              </w:rPr>
            </w:pPr>
          </w:p>
        </w:tc>
        <w:tc>
          <w:tcPr>
            <w:tcW w:w="200" w:type="dxa"/>
            <w:vAlign w:val="bottom"/>
            <w:shd w:val="clear" w:color="auto" w:fill="F75E14"/>
          </w:tcPr>
          <w:p>
            <w:pPr>
              <w:spacing w:after="0"/>
              <w:rPr>
                <w:sz w:val="16"/>
                <w:szCs w:val="16"/>
                <w:color w:val="auto"/>
              </w:rPr>
            </w:pPr>
          </w:p>
        </w:tc>
        <w:tc>
          <w:tcPr>
            <w:tcW w:w="8220" w:type="dxa"/>
            <w:vAlign w:val="bottom"/>
            <w:tcBorders>
              <w:right w:val="single" w:sz="8" w:color="auto"/>
            </w:tcBorders>
            <w:shd w:val="clear" w:color="auto" w:fill="F75E14"/>
          </w:tcPr>
          <w:p>
            <w:pPr>
              <w:jc w:val="center"/>
              <w:ind w:right="80"/>
              <w:spacing w:after="0"/>
              <w:rPr>
                <w:sz w:val="20"/>
                <w:szCs w:val="20"/>
                <w:color w:val="auto"/>
              </w:rPr>
            </w:pPr>
            <w:r>
              <w:rPr>
                <w:rFonts w:ascii="Arial" w:cs="Arial" w:eastAsia="Arial" w:hAnsi="Arial"/>
                <w:sz w:val="16"/>
                <w:szCs w:val="16"/>
                <w:b w:val="1"/>
                <w:bCs w:val="1"/>
                <w:color w:val="FFFFFF"/>
              </w:rPr>
              <w:t>Termination without “Cause” or Resignation for “Good Reason” (as those terms are defined in</w:t>
            </w:r>
          </w:p>
        </w:tc>
      </w:tr>
      <w:tr>
        <w:trPr>
          <w:trHeight w:val="221"/>
        </w:trPr>
        <w:tc>
          <w:tcPr>
            <w:tcW w:w="2380" w:type="dxa"/>
            <w:vAlign w:val="bottom"/>
            <w:tcBorders>
              <w:left w:val="single" w:sz="8" w:color="auto"/>
              <w:right w:val="single" w:sz="8" w:color="auto"/>
            </w:tcBorders>
            <w:shd w:val="clear" w:color="auto" w:fill="F75E14"/>
          </w:tcPr>
          <w:p>
            <w:pPr>
              <w:spacing w:after="0"/>
              <w:rPr>
                <w:sz w:val="19"/>
                <w:szCs w:val="19"/>
                <w:color w:val="auto"/>
              </w:rPr>
            </w:pPr>
          </w:p>
        </w:tc>
        <w:tc>
          <w:tcPr>
            <w:tcW w:w="200" w:type="dxa"/>
            <w:vAlign w:val="bottom"/>
            <w:shd w:val="clear" w:color="auto" w:fill="F75E14"/>
          </w:tcPr>
          <w:p>
            <w:pPr>
              <w:spacing w:after="0"/>
              <w:rPr>
                <w:sz w:val="19"/>
                <w:szCs w:val="19"/>
                <w:color w:val="auto"/>
              </w:rPr>
            </w:pPr>
          </w:p>
        </w:tc>
        <w:tc>
          <w:tcPr>
            <w:tcW w:w="8220" w:type="dxa"/>
            <w:vAlign w:val="bottom"/>
            <w:tcBorders>
              <w:right w:val="single" w:sz="8" w:color="auto"/>
            </w:tcBorders>
            <w:shd w:val="clear" w:color="auto" w:fill="F75E14"/>
          </w:tcPr>
          <w:p>
            <w:pPr>
              <w:jc w:val="center"/>
              <w:ind w:right="80"/>
              <w:spacing w:after="0"/>
              <w:rPr>
                <w:sz w:val="20"/>
                <w:szCs w:val="20"/>
                <w:color w:val="auto"/>
              </w:rPr>
            </w:pPr>
            <w:r>
              <w:rPr>
                <w:rFonts w:ascii="Arial" w:cs="Arial" w:eastAsia="Arial" w:hAnsi="Arial"/>
                <w:sz w:val="16"/>
                <w:szCs w:val="16"/>
                <w:b w:val="1"/>
                <w:bCs w:val="1"/>
                <w:color w:val="FFFFFF"/>
              </w:rPr>
              <w:t>the applicable NEO’s employment agreement)</w:t>
            </w:r>
          </w:p>
        </w:tc>
      </w:tr>
      <w:tr>
        <w:trPr>
          <w:trHeight w:val="60"/>
        </w:trPr>
        <w:tc>
          <w:tcPr>
            <w:tcW w:w="2380" w:type="dxa"/>
            <w:vAlign w:val="bottom"/>
            <w:tcBorders>
              <w:left w:val="single" w:sz="8" w:color="auto"/>
              <w:bottom w:val="single" w:sz="8" w:color="auto"/>
              <w:right w:val="single" w:sz="8" w:color="auto"/>
            </w:tcBorders>
            <w:shd w:val="clear" w:color="auto" w:fill="F75E14"/>
          </w:tcPr>
          <w:p>
            <w:pPr>
              <w:spacing w:after="0"/>
              <w:rPr>
                <w:sz w:val="5"/>
                <w:szCs w:val="5"/>
                <w:color w:val="auto"/>
              </w:rPr>
            </w:pPr>
          </w:p>
        </w:tc>
        <w:tc>
          <w:tcPr>
            <w:tcW w:w="200" w:type="dxa"/>
            <w:vAlign w:val="bottom"/>
            <w:tcBorders>
              <w:bottom w:val="single" w:sz="8" w:color="auto"/>
            </w:tcBorders>
            <w:shd w:val="clear" w:color="auto" w:fill="F75E14"/>
          </w:tcPr>
          <w:p>
            <w:pPr>
              <w:spacing w:after="0"/>
              <w:rPr>
                <w:sz w:val="5"/>
                <w:szCs w:val="5"/>
                <w:color w:val="auto"/>
              </w:rPr>
            </w:pPr>
          </w:p>
        </w:tc>
        <w:tc>
          <w:tcPr>
            <w:tcW w:w="8220" w:type="dxa"/>
            <w:vAlign w:val="bottom"/>
            <w:tcBorders>
              <w:bottom w:val="single" w:sz="8" w:color="auto"/>
              <w:right w:val="single" w:sz="8" w:color="auto"/>
            </w:tcBorders>
            <w:shd w:val="clear" w:color="auto" w:fill="F75E14"/>
          </w:tcPr>
          <w:p>
            <w:pPr>
              <w:spacing w:after="0"/>
              <w:rPr>
                <w:sz w:val="5"/>
                <w:szCs w:val="5"/>
                <w:color w:val="auto"/>
              </w:rPr>
            </w:pPr>
          </w:p>
        </w:tc>
      </w:tr>
      <w:tr>
        <w:trPr>
          <w:trHeight w:val="220"/>
        </w:trPr>
        <w:tc>
          <w:tcPr>
            <w:tcW w:w="2380" w:type="dxa"/>
            <w:vAlign w:val="bottom"/>
            <w:tcBorders>
              <w:left w:val="single" w:sz="8" w:color="auto"/>
              <w:right w:val="single" w:sz="8" w:color="auto"/>
            </w:tcBorders>
            <w:shd w:val="clear" w:color="auto" w:fill="D8E8EF"/>
          </w:tcPr>
          <w:p>
            <w:pPr>
              <w:ind w:left="200"/>
              <w:spacing w:after="0"/>
              <w:rPr>
                <w:sz w:val="20"/>
                <w:szCs w:val="20"/>
                <w:color w:val="auto"/>
              </w:rPr>
            </w:pPr>
            <w:r>
              <w:rPr>
                <w:rFonts w:ascii="Arial" w:cs="Arial" w:eastAsia="Arial" w:hAnsi="Arial"/>
                <w:sz w:val="16"/>
                <w:szCs w:val="16"/>
                <w:b w:val="1"/>
                <w:bCs w:val="1"/>
                <w:color w:val="auto"/>
              </w:rPr>
              <w:t>Hassane El-Khoury</w:t>
            </w:r>
          </w:p>
        </w:tc>
        <w:tc>
          <w:tcPr>
            <w:tcW w:w="200" w:type="dxa"/>
            <w:vAlign w:val="bottom"/>
            <w:shd w:val="clear" w:color="auto" w:fill="D8E8EF"/>
          </w:tcPr>
          <w:p>
            <w:pPr>
              <w:ind w:left="100"/>
              <w:spacing w:after="0"/>
              <w:rPr>
                <w:sz w:val="20"/>
                <w:szCs w:val="20"/>
                <w:color w:val="auto"/>
              </w:rPr>
            </w:pPr>
            <w:r>
              <w:rPr>
                <w:rFonts w:ascii="Arial" w:cs="Arial" w:eastAsia="Arial" w:hAnsi="Arial"/>
                <w:sz w:val="16"/>
                <w:szCs w:val="16"/>
                <w:color w:val="auto"/>
              </w:rPr>
              <w:t>•</w:t>
            </w:r>
          </w:p>
        </w:tc>
        <w:tc>
          <w:tcPr>
            <w:tcW w:w="8220" w:type="dxa"/>
            <w:vAlign w:val="bottom"/>
            <w:tcBorders>
              <w:right w:val="single" w:sz="8" w:color="auto"/>
            </w:tcBorders>
            <w:shd w:val="clear" w:color="auto" w:fill="D8E8EF"/>
          </w:tcPr>
          <w:p>
            <w:pPr>
              <w:ind w:left="40"/>
              <w:spacing w:after="0"/>
              <w:rPr>
                <w:sz w:val="20"/>
                <w:szCs w:val="20"/>
                <w:color w:val="auto"/>
              </w:rPr>
            </w:pPr>
            <w:r>
              <w:rPr>
                <w:rFonts w:ascii="Arial" w:cs="Arial" w:eastAsia="Arial" w:hAnsi="Arial"/>
                <w:sz w:val="16"/>
                <w:szCs w:val="16"/>
                <w:color w:val="auto"/>
              </w:rPr>
              <w:t>Base salary through the date of termination</w:t>
            </w:r>
          </w:p>
        </w:tc>
      </w:tr>
      <w:tr>
        <w:trPr>
          <w:trHeight w:val="187"/>
        </w:trPr>
        <w:tc>
          <w:tcPr>
            <w:tcW w:w="2380" w:type="dxa"/>
            <w:vAlign w:val="bottom"/>
            <w:tcBorders>
              <w:left w:val="single" w:sz="8" w:color="auto"/>
              <w:right w:val="single" w:sz="8" w:color="auto"/>
            </w:tcBorders>
            <w:shd w:val="clear" w:color="auto" w:fill="D8E8EF"/>
          </w:tcPr>
          <w:p>
            <w:pPr>
              <w:spacing w:after="0"/>
              <w:rPr>
                <w:sz w:val="16"/>
                <w:szCs w:val="16"/>
                <w:color w:val="auto"/>
              </w:rPr>
            </w:pPr>
          </w:p>
        </w:tc>
        <w:tc>
          <w:tcPr>
            <w:tcW w:w="200" w:type="dxa"/>
            <w:vAlign w:val="bottom"/>
            <w:shd w:val="clear" w:color="auto" w:fill="D8E8EF"/>
          </w:tcPr>
          <w:p>
            <w:pPr>
              <w:ind w:left="100"/>
              <w:spacing w:after="0"/>
              <w:rPr>
                <w:sz w:val="20"/>
                <w:szCs w:val="20"/>
                <w:color w:val="auto"/>
              </w:rPr>
            </w:pPr>
            <w:r>
              <w:rPr>
                <w:rFonts w:ascii="Arial" w:cs="Arial" w:eastAsia="Arial" w:hAnsi="Arial"/>
                <w:sz w:val="16"/>
                <w:szCs w:val="16"/>
                <w:color w:val="auto"/>
              </w:rPr>
              <w:t>•</w:t>
            </w:r>
          </w:p>
        </w:tc>
        <w:tc>
          <w:tcPr>
            <w:tcW w:w="8220" w:type="dxa"/>
            <w:vAlign w:val="bottom"/>
            <w:tcBorders>
              <w:right w:val="single" w:sz="8" w:color="auto"/>
            </w:tcBorders>
            <w:shd w:val="clear" w:color="auto" w:fill="D8E8EF"/>
          </w:tcPr>
          <w:p>
            <w:pPr>
              <w:ind w:left="40"/>
              <w:spacing w:after="0"/>
              <w:rPr>
                <w:sz w:val="20"/>
                <w:szCs w:val="20"/>
                <w:color w:val="auto"/>
              </w:rPr>
            </w:pPr>
            <w:r>
              <w:rPr>
                <w:rFonts w:ascii="Arial" w:cs="Arial" w:eastAsia="Arial" w:hAnsi="Arial"/>
                <w:sz w:val="16"/>
                <w:szCs w:val="16"/>
                <w:color w:val="auto"/>
              </w:rPr>
              <w:t>Two years’ continuation of base salary</w:t>
            </w:r>
          </w:p>
        </w:tc>
      </w:tr>
      <w:tr>
        <w:trPr>
          <w:trHeight w:val="187"/>
        </w:trPr>
        <w:tc>
          <w:tcPr>
            <w:tcW w:w="2380" w:type="dxa"/>
            <w:vAlign w:val="bottom"/>
            <w:tcBorders>
              <w:left w:val="single" w:sz="8" w:color="auto"/>
              <w:right w:val="single" w:sz="8" w:color="auto"/>
            </w:tcBorders>
            <w:shd w:val="clear" w:color="auto" w:fill="D8E8EF"/>
          </w:tcPr>
          <w:p>
            <w:pPr>
              <w:spacing w:after="0"/>
              <w:rPr>
                <w:sz w:val="16"/>
                <w:szCs w:val="16"/>
                <w:color w:val="auto"/>
              </w:rPr>
            </w:pPr>
          </w:p>
        </w:tc>
        <w:tc>
          <w:tcPr>
            <w:tcW w:w="8420" w:type="dxa"/>
            <w:vAlign w:val="bottom"/>
            <w:tcBorders>
              <w:right w:val="single" w:sz="8" w:color="auto"/>
            </w:tcBorders>
            <w:gridSpan w:val="2"/>
            <w:shd w:val="clear" w:color="auto" w:fill="D8E8EF"/>
          </w:tcPr>
          <w:p>
            <w:pPr>
              <w:ind w:left="100"/>
              <w:spacing w:after="0"/>
              <w:rPr>
                <w:sz w:val="20"/>
                <w:szCs w:val="20"/>
                <w:color w:val="auto"/>
              </w:rPr>
            </w:pPr>
            <w:r>
              <w:rPr>
                <w:rFonts w:ascii="Arial" w:cs="Arial" w:eastAsia="Arial" w:hAnsi="Arial"/>
                <w:sz w:val="16"/>
                <w:szCs w:val="16"/>
                <w:color w:val="auto"/>
              </w:rPr>
              <w:t>• Any earned but unpaid bonus for the performance cycle that had a performance period that ended prior to the date</w:t>
            </w:r>
          </w:p>
        </w:tc>
      </w:tr>
      <w:tr>
        <w:trPr>
          <w:trHeight w:val="187"/>
        </w:trPr>
        <w:tc>
          <w:tcPr>
            <w:tcW w:w="2380" w:type="dxa"/>
            <w:vAlign w:val="bottom"/>
            <w:tcBorders>
              <w:left w:val="single" w:sz="8" w:color="auto"/>
              <w:right w:val="single" w:sz="8" w:color="auto"/>
            </w:tcBorders>
            <w:shd w:val="clear" w:color="auto" w:fill="D8E8EF"/>
          </w:tcPr>
          <w:p>
            <w:pPr>
              <w:spacing w:after="0"/>
              <w:rPr>
                <w:sz w:val="16"/>
                <w:szCs w:val="16"/>
                <w:color w:val="auto"/>
              </w:rPr>
            </w:pPr>
          </w:p>
        </w:tc>
        <w:tc>
          <w:tcPr>
            <w:tcW w:w="200" w:type="dxa"/>
            <w:vAlign w:val="bottom"/>
            <w:shd w:val="clear" w:color="auto" w:fill="D8E8EF"/>
          </w:tcPr>
          <w:p>
            <w:pPr>
              <w:spacing w:after="0"/>
              <w:rPr>
                <w:sz w:val="16"/>
                <w:szCs w:val="16"/>
                <w:color w:val="auto"/>
              </w:rPr>
            </w:pPr>
          </w:p>
        </w:tc>
        <w:tc>
          <w:tcPr>
            <w:tcW w:w="8220" w:type="dxa"/>
            <w:vAlign w:val="bottom"/>
            <w:tcBorders>
              <w:right w:val="single" w:sz="8" w:color="auto"/>
            </w:tcBorders>
            <w:shd w:val="clear" w:color="auto" w:fill="D8E8EF"/>
          </w:tcPr>
          <w:p>
            <w:pPr>
              <w:ind w:left="60"/>
              <w:spacing w:after="0"/>
              <w:rPr>
                <w:sz w:val="20"/>
                <w:szCs w:val="20"/>
                <w:color w:val="auto"/>
              </w:rPr>
            </w:pPr>
            <w:r>
              <w:rPr>
                <w:rFonts w:ascii="Arial" w:cs="Arial" w:eastAsia="Arial" w:hAnsi="Arial"/>
                <w:sz w:val="16"/>
                <w:szCs w:val="16"/>
                <w:color w:val="auto"/>
              </w:rPr>
              <w:t>of termination</w:t>
            </w:r>
          </w:p>
        </w:tc>
      </w:tr>
      <w:tr>
        <w:trPr>
          <w:trHeight w:val="187"/>
        </w:trPr>
        <w:tc>
          <w:tcPr>
            <w:tcW w:w="2380" w:type="dxa"/>
            <w:vAlign w:val="bottom"/>
            <w:tcBorders>
              <w:left w:val="single" w:sz="8" w:color="auto"/>
              <w:right w:val="single" w:sz="8" w:color="auto"/>
            </w:tcBorders>
            <w:shd w:val="clear" w:color="auto" w:fill="D8E8EF"/>
          </w:tcPr>
          <w:p>
            <w:pPr>
              <w:spacing w:after="0"/>
              <w:rPr>
                <w:sz w:val="16"/>
                <w:szCs w:val="16"/>
                <w:color w:val="auto"/>
              </w:rPr>
            </w:pPr>
          </w:p>
        </w:tc>
        <w:tc>
          <w:tcPr>
            <w:tcW w:w="8420" w:type="dxa"/>
            <w:vAlign w:val="bottom"/>
            <w:tcBorders>
              <w:right w:val="single" w:sz="8" w:color="auto"/>
            </w:tcBorders>
            <w:gridSpan w:val="2"/>
            <w:shd w:val="clear" w:color="auto" w:fill="D8E8EF"/>
          </w:tcPr>
          <w:p>
            <w:pPr>
              <w:ind w:left="100"/>
              <w:spacing w:after="0"/>
              <w:rPr>
                <w:sz w:val="20"/>
                <w:szCs w:val="20"/>
                <w:color w:val="auto"/>
              </w:rPr>
            </w:pPr>
            <w:r>
              <w:rPr>
                <w:rFonts w:ascii="Arial" w:cs="Arial" w:eastAsia="Arial" w:hAnsi="Arial"/>
                <w:sz w:val="16"/>
                <w:szCs w:val="16"/>
                <w:color w:val="auto"/>
              </w:rPr>
              <w:t>• An amount equal to Mr. El-Khoury’s target bonus for the performance cycle in which the date of termination occurs</w:t>
            </w:r>
          </w:p>
        </w:tc>
      </w:tr>
      <w:tr>
        <w:trPr>
          <w:trHeight w:val="187"/>
        </w:trPr>
        <w:tc>
          <w:tcPr>
            <w:tcW w:w="2380" w:type="dxa"/>
            <w:vAlign w:val="bottom"/>
            <w:tcBorders>
              <w:left w:val="single" w:sz="8" w:color="auto"/>
              <w:right w:val="single" w:sz="8" w:color="auto"/>
            </w:tcBorders>
            <w:shd w:val="clear" w:color="auto" w:fill="D8E8EF"/>
          </w:tcPr>
          <w:p>
            <w:pPr>
              <w:spacing w:after="0"/>
              <w:rPr>
                <w:sz w:val="16"/>
                <w:szCs w:val="16"/>
                <w:color w:val="auto"/>
              </w:rPr>
            </w:pPr>
          </w:p>
        </w:tc>
        <w:tc>
          <w:tcPr>
            <w:tcW w:w="200" w:type="dxa"/>
            <w:vAlign w:val="bottom"/>
            <w:shd w:val="clear" w:color="auto" w:fill="D8E8EF"/>
          </w:tcPr>
          <w:p>
            <w:pPr>
              <w:spacing w:after="0"/>
              <w:rPr>
                <w:sz w:val="16"/>
                <w:szCs w:val="16"/>
                <w:color w:val="auto"/>
              </w:rPr>
            </w:pPr>
          </w:p>
        </w:tc>
        <w:tc>
          <w:tcPr>
            <w:tcW w:w="8220" w:type="dxa"/>
            <w:vAlign w:val="bottom"/>
            <w:tcBorders>
              <w:right w:val="single" w:sz="8" w:color="auto"/>
            </w:tcBorders>
            <w:shd w:val="clear" w:color="auto" w:fill="D8E8EF"/>
          </w:tcPr>
          <w:p>
            <w:pPr>
              <w:ind w:left="60"/>
              <w:spacing w:after="0"/>
              <w:rPr>
                <w:sz w:val="20"/>
                <w:szCs w:val="20"/>
                <w:color w:val="auto"/>
              </w:rPr>
            </w:pPr>
            <w:r>
              <w:rPr>
                <w:rFonts w:ascii="Arial" w:cs="Arial" w:eastAsia="Arial" w:hAnsi="Arial"/>
                <w:sz w:val="16"/>
                <w:szCs w:val="16"/>
                <w:color w:val="auto"/>
              </w:rPr>
              <w:t>(or two times the semi-annual amount if bonuses are paid semi-annually as of the date of his termination)</w:t>
            </w:r>
          </w:p>
        </w:tc>
      </w:tr>
      <w:tr>
        <w:trPr>
          <w:trHeight w:val="187"/>
        </w:trPr>
        <w:tc>
          <w:tcPr>
            <w:tcW w:w="2380" w:type="dxa"/>
            <w:vAlign w:val="bottom"/>
            <w:tcBorders>
              <w:left w:val="single" w:sz="8" w:color="auto"/>
              <w:right w:val="single" w:sz="8" w:color="auto"/>
            </w:tcBorders>
            <w:shd w:val="clear" w:color="auto" w:fill="D8E8EF"/>
          </w:tcPr>
          <w:p>
            <w:pPr>
              <w:spacing w:after="0"/>
              <w:rPr>
                <w:sz w:val="16"/>
                <w:szCs w:val="16"/>
                <w:color w:val="auto"/>
              </w:rPr>
            </w:pPr>
          </w:p>
        </w:tc>
        <w:tc>
          <w:tcPr>
            <w:tcW w:w="200" w:type="dxa"/>
            <w:vAlign w:val="bottom"/>
            <w:shd w:val="clear" w:color="auto" w:fill="D8E8EF"/>
          </w:tcPr>
          <w:p>
            <w:pPr>
              <w:ind w:left="100"/>
              <w:spacing w:after="0"/>
              <w:rPr>
                <w:sz w:val="20"/>
                <w:szCs w:val="20"/>
                <w:color w:val="auto"/>
              </w:rPr>
            </w:pPr>
            <w:r>
              <w:rPr>
                <w:rFonts w:ascii="Arial" w:cs="Arial" w:eastAsia="Arial" w:hAnsi="Arial"/>
                <w:sz w:val="16"/>
                <w:szCs w:val="16"/>
                <w:color w:val="auto"/>
              </w:rPr>
              <w:t>•</w:t>
            </w:r>
          </w:p>
        </w:tc>
        <w:tc>
          <w:tcPr>
            <w:tcW w:w="8220" w:type="dxa"/>
            <w:vAlign w:val="bottom"/>
            <w:tcBorders>
              <w:right w:val="single" w:sz="8" w:color="auto"/>
            </w:tcBorders>
            <w:shd w:val="clear" w:color="auto" w:fill="D8E8EF"/>
          </w:tcPr>
          <w:p>
            <w:pPr>
              <w:ind w:left="40"/>
              <w:spacing w:after="0"/>
              <w:rPr>
                <w:sz w:val="20"/>
                <w:szCs w:val="20"/>
                <w:color w:val="auto"/>
              </w:rPr>
            </w:pPr>
            <w:r>
              <w:rPr>
                <w:rFonts w:ascii="Arial" w:cs="Arial" w:eastAsia="Arial" w:hAnsi="Arial"/>
                <w:sz w:val="16"/>
                <w:szCs w:val="16"/>
                <w:color w:val="auto"/>
              </w:rPr>
              <w:t>Full vesting of any unvested RSUs that he received in connection with his appointment as our President and CEO</w:t>
            </w:r>
          </w:p>
        </w:tc>
      </w:tr>
      <w:tr>
        <w:trPr>
          <w:trHeight w:val="187"/>
        </w:trPr>
        <w:tc>
          <w:tcPr>
            <w:tcW w:w="2380" w:type="dxa"/>
            <w:vAlign w:val="bottom"/>
            <w:tcBorders>
              <w:left w:val="single" w:sz="8" w:color="auto"/>
              <w:right w:val="single" w:sz="8" w:color="auto"/>
            </w:tcBorders>
            <w:shd w:val="clear" w:color="auto" w:fill="D8E8EF"/>
          </w:tcPr>
          <w:p>
            <w:pPr>
              <w:spacing w:after="0"/>
              <w:rPr>
                <w:sz w:val="16"/>
                <w:szCs w:val="16"/>
                <w:color w:val="auto"/>
              </w:rPr>
            </w:pPr>
          </w:p>
        </w:tc>
        <w:tc>
          <w:tcPr>
            <w:tcW w:w="200" w:type="dxa"/>
            <w:vAlign w:val="bottom"/>
            <w:shd w:val="clear" w:color="auto" w:fill="D8E8EF"/>
          </w:tcPr>
          <w:p>
            <w:pPr>
              <w:spacing w:after="0"/>
              <w:rPr>
                <w:sz w:val="16"/>
                <w:szCs w:val="16"/>
                <w:color w:val="auto"/>
              </w:rPr>
            </w:pPr>
          </w:p>
        </w:tc>
        <w:tc>
          <w:tcPr>
            <w:tcW w:w="8220" w:type="dxa"/>
            <w:vAlign w:val="bottom"/>
            <w:tcBorders>
              <w:right w:val="single" w:sz="8" w:color="auto"/>
            </w:tcBorders>
            <w:shd w:val="clear" w:color="auto" w:fill="D8E8EF"/>
          </w:tcPr>
          <w:p>
            <w:pPr>
              <w:ind w:left="60"/>
              <w:spacing w:after="0"/>
              <w:rPr>
                <w:sz w:val="20"/>
                <w:szCs w:val="20"/>
                <w:color w:val="auto"/>
              </w:rPr>
            </w:pPr>
            <w:r>
              <w:rPr>
                <w:rFonts w:ascii="Arial" w:cs="Arial" w:eastAsia="Arial" w:hAnsi="Arial"/>
                <w:sz w:val="16"/>
                <w:szCs w:val="16"/>
                <w:color w:val="auto"/>
              </w:rPr>
              <w:t>(“New Hire CEO RSUs”)</w:t>
            </w:r>
          </w:p>
        </w:tc>
      </w:tr>
      <w:tr>
        <w:trPr>
          <w:trHeight w:val="187"/>
        </w:trPr>
        <w:tc>
          <w:tcPr>
            <w:tcW w:w="2380" w:type="dxa"/>
            <w:vAlign w:val="bottom"/>
            <w:tcBorders>
              <w:left w:val="single" w:sz="8" w:color="auto"/>
              <w:right w:val="single" w:sz="8" w:color="auto"/>
            </w:tcBorders>
            <w:shd w:val="clear" w:color="auto" w:fill="D8E8EF"/>
          </w:tcPr>
          <w:p>
            <w:pPr>
              <w:spacing w:after="0"/>
              <w:rPr>
                <w:sz w:val="16"/>
                <w:szCs w:val="16"/>
                <w:color w:val="auto"/>
              </w:rPr>
            </w:pPr>
          </w:p>
        </w:tc>
        <w:tc>
          <w:tcPr>
            <w:tcW w:w="200" w:type="dxa"/>
            <w:vAlign w:val="bottom"/>
            <w:shd w:val="clear" w:color="auto" w:fill="D8E8EF"/>
          </w:tcPr>
          <w:p>
            <w:pPr>
              <w:ind w:left="100"/>
              <w:spacing w:after="0"/>
              <w:rPr>
                <w:sz w:val="20"/>
                <w:szCs w:val="20"/>
                <w:color w:val="auto"/>
              </w:rPr>
            </w:pPr>
            <w:r>
              <w:rPr>
                <w:rFonts w:ascii="Arial" w:cs="Arial" w:eastAsia="Arial" w:hAnsi="Arial"/>
                <w:sz w:val="16"/>
                <w:szCs w:val="16"/>
                <w:color w:val="auto"/>
              </w:rPr>
              <w:t>•</w:t>
            </w:r>
          </w:p>
        </w:tc>
        <w:tc>
          <w:tcPr>
            <w:tcW w:w="8220" w:type="dxa"/>
            <w:vAlign w:val="bottom"/>
            <w:tcBorders>
              <w:right w:val="single" w:sz="8" w:color="auto"/>
            </w:tcBorders>
            <w:shd w:val="clear" w:color="auto" w:fill="D8E8EF"/>
          </w:tcPr>
          <w:p>
            <w:pPr>
              <w:ind w:left="40"/>
              <w:spacing w:after="0"/>
              <w:rPr>
                <w:sz w:val="20"/>
                <w:szCs w:val="20"/>
                <w:color w:val="auto"/>
              </w:rPr>
            </w:pPr>
            <w:r>
              <w:rPr>
                <w:rFonts w:ascii="Arial" w:cs="Arial" w:eastAsia="Arial" w:hAnsi="Arial"/>
                <w:sz w:val="16"/>
                <w:szCs w:val="16"/>
                <w:color w:val="auto"/>
              </w:rPr>
              <w:t>Pro rata vesting of any unvested PBRSUs that he received in connection with his appointment as our President</w:t>
            </w:r>
          </w:p>
        </w:tc>
      </w:tr>
      <w:tr>
        <w:trPr>
          <w:trHeight w:val="187"/>
        </w:trPr>
        <w:tc>
          <w:tcPr>
            <w:tcW w:w="2380" w:type="dxa"/>
            <w:vAlign w:val="bottom"/>
            <w:tcBorders>
              <w:left w:val="single" w:sz="8" w:color="auto"/>
              <w:right w:val="single" w:sz="8" w:color="auto"/>
            </w:tcBorders>
            <w:shd w:val="clear" w:color="auto" w:fill="D8E8EF"/>
          </w:tcPr>
          <w:p>
            <w:pPr>
              <w:spacing w:after="0"/>
              <w:rPr>
                <w:sz w:val="16"/>
                <w:szCs w:val="16"/>
                <w:color w:val="auto"/>
              </w:rPr>
            </w:pPr>
          </w:p>
        </w:tc>
        <w:tc>
          <w:tcPr>
            <w:tcW w:w="200" w:type="dxa"/>
            <w:vAlign w:val="bottom"/>
            <w:shd w:val="clear" w:color="auto" w:fill="D8E8EF"/>
          </w:tcPr>
          <w:p>
            <w:pPr>
              <w:spacing w:after="0"/>
              <w:rPr>
                <w:sz w:val="16"/>
                <w:szCs w:val="16"/>
                <w:color w:val="auto"/>
              </w:rPr>
            </w:pPr>
          </w:p>
        </w:tc>
        <w:tc>
          <w:tcPr>
            <w:tcW w:w="8220" w:type="dxa"/>
            <w:vAlign w:val="bottom"/>
            <w:tcBorders>
              <w:right w:val="single" w:sz="8" w:color="auto"/>
            </w:tcBorders>
            <w:shd w:val="clear" w:color="auto" w:fill="D8E8EF"/>
          </w:tcPr>
          <w:p>
            <w:pPr>
              <w:ind w:left="60"/>
              <w:spacing w:after="0"/>
              <w:rPr>
                <w:sz w:val="20"/>
                <w:szCs w:val="20"/>
                <w:color w:val="auto"/>
              </w:rPr>
            </w:pPr>
            <w:r>
              <w:rPr>
                <w:rFonts w:ascii="Arial" w:cs="Arial" w:eastAsia="Arial" w:hAnsi="Arial"/>
                <w:sz w:val="16"/>
                <w:szCs w:val="16"/>
                <w:color w:val="auto"/>
              </w:rPr>
              <w:t>and CEO (“New Hire CEO PBRSUs”) using a truncated performance period</w:t>
            </w:r>
          </w:p>
        </w:tc>
      </w:tr>
      <w:tr>
        <w:trPr>
          <w:trHeight w:val="187"/>
        </w:trPr>
        <w:tc>
          <w:tcPr>
            <w:tcW w:w="2380" w:type="dxa"/>
            <w:vAlign w:val="bottom"/>
            <w:tcBorders>
              <w:left w:val="single" w:sz="8" w:color="auto"/>
              <w:right w:val="single" w:sz="8" w:color="auto"/>
            </w:tcBorders>
            <w:shd w:val="clear" w:color="auto" w:fill="D8E8EF"/>
          </w:tcPr>
          <w:p>
            <w:pPr>
              <w:spacing w:after="0"/>
              <w:rPr>
                <w:sz w:val="16"/>
                <w:szCs w:val="16"/>
                <w:color w:val="auto"/>
              </w:rPr>
            </w:pPr>
          </w:p>
        </w:tc>
        <w:tc>
          <w:tcPr>
            <w:tcW w:w="8420" w:type="dxa"/>
            <w:vAlign w:val="bottom"/>
            <w:tcBorders>
              <w:right w:val="single" w:sz="8" w:color="auto"/>
            </w:tcBorders>
            <w:gridSpan w:val="2"/>
            <w:shd w:val="clear" w:color="auto" w:fill="D8E8EF"/>
          </w:tcPr>
          <w:p>
            <w:pPr>
              <w:ind w:left="100"/>
              <w:spacing w:after="0"/>
              <w:rPr>
                <w:sz w:val="20"/>
                <w:szCs w:val="20"/>
                <w:color w:val="auto"/>
              </w:rPr>
            </w:pPr>
            <w:r>
              <w:rPr>
                <w:rFonts w:ascii="Arial" w:cs="Arial" w:eastAsia="Arial" w:hAnsi="Arial"/>
                <w:sz w:val="16"/>
                <w:szCs w:val="16"/>
                <w:color w:val="auto"/>
              </w:rPr>
              <w:t>• Pro rata vesting of any unvested RSUs awarded to Mr. El-Khoury (other than New Hire CEO RSUs)</w:t>
            </w:r>
          </w:p>
        </w:tc>
      </w:tr>
      <w:tr>
        <w:trPr>
          <w:trHeight w:val="187"/>
        </w:trPr>
        <w:tc>
          <w:tcPr>
            <w:tcW w:w="2380" w:type="dxa"/>
            <w:vAlign w:val="bottom"/>
            <w:tcBorders>
              <w:left w:val="single" w:sz="8" w:color="auto"/>
              <w:right w:val="single" w:sz="8" w:color="auto"/>
            </w:tcBorders>
            <w:shd w:val="clear" w:color="auto" w:fill="D8E8EF"/>
          </w:tcPr>
          <w:p>
            <w:pPr>
              <w:spacing w:after="0"/>
              <w:rPr>
                <w:sz w:val="16"/>
                <w:szCs w:val="16"/>
                <w:color w:val="auto"/>
              </w:rPr>
            </w:pPr>
          </w:p>
        </w:tc>
        <w:tc>
          <w:tcPr>
            <w:tcW w:w="8420" w:type="dxa"/>
            <w:vAlign w:val="bottom"/>
            <w:tcBorders>
              <w:right w:val="single" w:sz="8" w:color="auto"/>
            </w:tcBorders>
            <w:gridSpan w:val="2"/>
            <w:shd w:val="clear" w:color="auto" w:fill="D8E8EF"/>
          </w:tcPr>
          <w:p>
            <w:pPr>
              <w:ind w:left="100"/>
              <w:spacing w:after="0"/>
              <w:rPr>
                <w:sz w:val="20"/>
                <w:szCs w:val="20"/>
                <w:color w:val="auto"/>
              </w:rPr>
            </w:pPr>
            <w:r>
              <w:rPr>
                <w:rFonts w:ascii="Arial" w:cs="Arial" w:eastAsia="Arial" w:hAnsi="Arial"/>
                <w:sz w:val="16"/>
                <w:szCs w:val="16"/>
                <w:color w:val="auto"/>
              </w:rPr>
              <w:t>• Pro rata vesting of any unvested PBRSUs awarded to Mr. El-Khoury (other than New Hire CEO PBRSUs) based</w:t>
            </w:r>
          </w:p>
        </w:tc>
      </w:tr>
      <w:tr>
        <w:trPr>
          <w:trHeight w:val="187"/>
        </w:trPr>
        <w:tc>
          <w:tcPr>
            <w:tcW w:w="2380" w:type="dxa"/>
            <w:vAlign w:val="bottom"/>
            <w:tcBorders>
              <w:left w:val="single" w:sz="8" w:color="auto"/>
              <w:right w:val="single" w:sz="8" w:color="auto"/>
            </w:tcBorders>
            <w:shd w:val="clear" w:color="auto" w:fill="D8E8EF"/>
          </w:tcPr>
          <w:p>
            <w:pPr>
              <w:spacing w:after="0"/>
              <w:rPr>
                <w:sz w:val="16"/>
                <w:szCs w:val="16"/>
                <w:color w:val="auto"/>
              </w:rPr>
            </w:pPr>
          </w:p>
        </w:tc>
        <w:tc>
          <w:tcPr>
            <w:tcW w:w="200" w:type="dxa"/>
            <w:vAlign w:val="bottom"/>
            <w:shd w:val="clear" w:color="auto" w:fill="D8E8EF"/>
          </w:tcPr>
          <w:p>
            <w:pPr>
              <w:spacing w:after="0"/>
              <w:rPr>
                <w:sz w:val="16"/>
                <w:szCs w:val="16"/>
                <w:color w:val="auto"/>
              </w:rPr>
            </w:pPr>
          </w:p>
        </w:tc>
        <w:tc>
          <w:tcPr>
            <w:tcW w:w="8220" w:type="dxa"/>
            <w:vAlign w:val="bottom"/>
            <w:tcBorders>
              <w:right w:val="single" w:sz="8" w:color="auto"/>
            </w:tcBorders>
            <w:shd w:val="clear" w:color="auto" w:fill="D8E8EF"/>
          </w:tcPr>
          <w:p>
            <w:pPr>
              <w:ind w:left="60"/>
              <w:spacing w:after="0"/>
              <w:rPr>
                <w:sz w:val="20"/>
                <w:szCs w:val="20"/>
                <w:color w:val="auto"/>
              </w:rPr>
            </w:pPr>
            <w:r>
              <w:rPr>
                <w:rFonts w:ascii="Arial" w:cs="Arial" w:eastAsia="Arial" w:hAnsi="Arial"/>
                <w:sz w:val="16"/>
                <w:szCs w:val="16"/>
                <w:color w:val="auto"/>
              </w:rPr>
              <w:t>on actual performance during the full performance period</w:t>
            </w:r>
          </w:p>
        </w:tc>
      </w:tr>
      <w:tr>
        <w:trPr>
          <w:trHeight w:val="187"/>
        </w:trPr>
        <w:tc>
          <w:tcPr>
            <w:tcW w:w="2380" w:type="dxa"/>
            <w:vAlign w:val="bottom"/>
            <w:tcBorders>
              <w:left w:val="single" w:sz="8" w:color="auto"/>
              <w:right w:val="single" w:sz="8" w:color="auto"/>
            </w:tcBorders>
            <w:shd w:val="clear" w:color="auto" w:fill="D8E8EF"/>
          </w:tcPr>
          <w:p>
            <w:pPr>
              <w:spacing w:after="0"/>
              <w:rPr>
                <w:sz w:val="16"/>
                <w:szCs w:val="16"/>
                <w:color w:val="auto"/>
              </w:rPr>
            </w:pPr>
          </w:p>
        </w:tc>
        <w:tc>
          <w:tcPr>
            <w:tcW w:w="200" w:type="dxa"/>
            <w:vAlign w:val="bottom"/>
            <w:shd w:val="clear" w:color="auto" w:fill="D8E8EF"/>
          </w:tcPr>
          <w:p>
            <w:pPr>
              <w:ind w:left="100"/>
              <w:spacing w:after="0"/>
              <w:rPr>
                <w:sz w:val="20"/>
                <w:szCs w:val="20"/>
                <w:color w:val="auto"/>
              </w:rPr>
            </w:pPr>
            <w:r>
              <w:rPr>
                <w:rFonts w:ascii="Arial" w:cs="Arial" w:eastAsia="Arial" w:hAnsi="Arial"/>
                <w:sz w:val="16"/>
                <w:szCs w:val="16"/>
                <w:color w:val="auto"/>
              </w:rPr>
              <w:t>•</w:t>
            </w:r>
          </w:p>
        </w:tc>
        <w:tc>
          <w:tcPr>
            <w:tcW w:w="8220" w:type="dxa"/>
            <w:vAlign w:val="bottom"/>
            <w:tcBorders>
              <w:right w:val="single" w:sz="8" w:color="auto"/>
            </w:tcBorders>
            <w:shd w:val="clear" w:color="auto" w:fill="D8E8EF"/>
          </w:tcPr>
          <w:p>
            <w:pPr>
              <w:ind w:left="40"/>
              <w:spacing w:after="0"/>
              <w:rPr>
                <w:sz w:val="20"/>
                <w:szCs w:val="20"/>
                <w:color w:val="auto"/>
              </w:rPr>
            </w:pPr>
            <w:r>
              <w:rPr>
                <w:rFonts w:ascii="Arial" w:cs="Arial" w:eastAsia="Arial" w:hAnsi="Arial"/>
                <w:sz w:val="16"/>
                <w:szCs w:val="16"/>
                <w:color w:val="auto"/>
              </w:rPr>
              <w:t>Medical, dental and vision benefits for two years following termination and six months of outplacement assistance</w:t>
            </w:r>
          </w:p>
        </w:tc>
      </w:tr>
      <w:tr>
        <w:trPr>
          <w:trHeight w:val="211"/>
        </w:trPr>
        <w:tc>
          <w:tcPr>
            <w:tcW w:w="2380" w:type="dxa"/>
            <w:vAlign w:val="bottom"/>
            <w:tcBorders>
              <w:left w:val="single" w:sz="8" w:color="auto"/>
              <w:right w:val="single" w:sz="8" w:color="auto"/>
            </w:tcBorders>
            <w:shd w:val="clear" w:color="auto" w:fill="D8E8EF"/>
          </w:tcPr>
          <w:p>
            <w:pPr>
              <w:spacing w:after="0"/>
              <w:rPr>
                <w:sz w:val="18"/>
                <w:szCs w:val="18"/>
                <w:color w:val="auto"/>
              </w:rPr>
            </w:pPr>
          </w:p>
        </w:tc>
        <w:tc>
          <w:tcPr>
            <w:tcW w:w="200" w:type="dxa"/>
            <w:vAlign w:val="bottom"/>
            <w:shd w:val="clear" w:color="auto" w:fill="D8E8EF"/>
          </w:tcPr>
          <w:p>
            <w:pPr>
              <w:spacing w:after="0"/>
              <w:rPr>
                <w:sz w:val="18"/>
                <w:szCs w:val="18"/>
                <w:color w:val="auto"/>
              </w:rPr>
            </w:pPr>
          </w:p>
        </w:tc>
        <w:tc>
          <w:tcPr>
            <w:tcW w:w="8220" w:type="dxa"/>
            <w:vAlign w:val="bottom"/>
            <w:tcBorders>
              <w:right w:val="single" w:sz="8" w:color="auto"/>
            </w:tcBorders>
            <w:shd w:val="clear" w:color="auto" w:fill="D8E8EF"/>
          </w:tcPr>
          <w:p>
            <w:pPr>
              <w:ind w:left="60"/>
              <w:spacing w:after="0"/>
              <w:rPr>
                <w:sz w:val="20"/>
                <w:szCs w:val="20"/>
                <w:color w:val="auto"/>
              </w:rPr>
            </w:pPr>
            <w:r>
              <w:rPr>
                <w:rFonts w:ascii="Arial" w:cs="Arial" w:eastAsia="Arial" w:hAnsi="Arial"/>
                <w:sz w:val="16"/>
                <w:szCs w:val="16"/>
                <w:color w:val="auto"/>
              </w:rPr>
              <w:t>at a cost of up to $25,000, without any tax gross-ups</w:t>
            </w:r>
          </w:p>
        </w:tc>
      </w:tr>
      <w:tr>
        <w:trPr>
          <w:trHeight w:val="70"/>
        </w:trPr>
        <w:tc>
          <w:tcPr>
            <w:tcW w:w="2380" w:type="dxa"/>
            <w:vAlign w:val="bottom"/>
            <w:tcBorders>
              <w:left w:val="single" w:sz="8" w:color="auto"/>
              <w:bottom w:val="single" w:sz="8" w:color="auto"/>
              <w:right w:val="single" w:sz="8" w:color="auto"/>
            </w:tcBorders>
            <w:shd w:val="clear" w:color="auto" w:fill="D8E8EF"/>
          </w:tcPr>
          <w:p>
            <w:pPr>
              <w:spacing w:after="0"/>
              <w:rPr>
                <w:sz w:val="6"/>
                <w:szCs w:val="6"/>
                <w:color w:val="auto"/>
              </w:rPr>
            </w:pPr>
          </w:p>
        </w:tc>
        <w:tc>
          <w:tcPr>
            <w:tcW w:w="200" w:type="dxa"/>
            <w:vAlign w:val="bottom"/>
            <w:tcBorders>
              <w:bottom w:val="single" w:sz="8" w:color="auto"/>
            </w:tcBorders>
            <w:shd w:val="clear" w:color="auto" w:fill="D8E8EF"/>
          </w:tcPr>
          <w:p>
            <w:pPr>
              <w:spacing w:after="0"/>
              <w:rPr>
                <w:sz w:val="6"/>
                <w:szCs w:val="6"/>
                <w:color w:val="auto"/>
              </w:rPr>
            </w:pPr>
          </w:p>
        </w:tc>
        <w:tc>
          <w:tcPr>
            <w:tcW w:w="8220" w:type="dxa"/>
            <w:vAlign w:val="bottom"/>
            <w:tcBorders>
              <w:bottom w:val="single" w:sz="8" w:color="auto"/>
              <w:right w:val="single" w:sz="8" w:color="auto"/>
            </w:tcBorders>
            <w:shd w:val="clear" w:color="auto" w:fill="D8E8EF"/>
          </w:tcPr>
          <w:p>
            <w:pPr>
              <w:spacing w:after="0"/>
              <w:rPr>
                <w:sz w:val="6"/>
                <w:szCs w:val="6"/>
                <w:color w:val="auto"/>
              </w:rPr>
            </w:pPr>
          </w:p>
        </w:tc>
      </w:tr>
      <w:tr>
        <w:trPr>
          <w:trHeight w:val="220"/>
        </w:trPr>
        <w:tc>
          <w:tcPr>
            <w:tcW w:w="2380" w:type="dxa"/>
            <w:vAlign w:val="bottom"/>
            <w:tcBorders>
              <w:left w:val="single" w:sz="8" w:color="auto"/>
              <w:right w:val="single" w:sz="8" w:color="auto"/>
            </w:tcBorders>
          </w:tcPr>
          <w:p>
            <w:pPr>
              <w:ind w:left="200"/>
              <w:spacing w:after="0"/>
              <w:rPr>
                <w:sz w:val="20"/>
                <w:szCs w:val="20"/>
                <w:color w:val="auto"/>
              </w:rPr>
            </w:pPr>
            <w:r>
              <w:rPr>
                <w:rFonts w:ascii="Arial" w:cs="Arial" w:eastAsia="Arial" w:hAnsi="Arial"/>
                <w:sz w:val="16"/>
                <w:szCs w:val="16"/>
                <w:b w:val="1"/>
                <w:bCs w:val="1"/>
                <w:color w:val="auto"/>
              </w:rPr>
              <w:t>Thad Trent</w:t>
            </w:r>
          </w:p>
        </w:tc>
        <w:tc>
          <w:tcPr>
            <w:tcW w:w="200" w:type="dxa"/>
            <w:vAlign w:val="bottom"/>
          </w:tcPr>
          <w:p>
            <w:pPr>
              <w:ind w:left="100"/>
              <w:spacing w:after="0"/>
              <w:rPr>
                <w:sz w:val="20"/>
                <w:szCs w:val="20"/>
                <w:color w:val="auto"/>
              </w:rPr>
            </w:pPr>
            <w:r>
              <w:rPr>
                <w:rFonts w:ascii="Arial" w:cs="Arial" w:eastAsia="Arial" w:hAnsi="Arial"/>
                <w:sz w:val="16"/>
                <w:szCs w:val="16"/>
                <w:color w:val="auto"/>
              </w:rPr>
              <w:t>•</w:t>
            </w:r>
          </w:p>
        </w:tc>
        <w:tc>
          <w:tcPr>
            <w:tcW w:w="822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Base salary through the date of termination</w:t>
            </w:r>
          </w:p>
        </w:tc>
      </w:tr>
      <w:tr>
        <w:trPr>
          <w:trHeight w:val="187"/>
        </w:trPr>
        <w:tc>
          <w:tcPr>
            <w:tcW w:w="2380" w:type="dxa"/>
            <w:vAlign w:val="bottom"/>
            <w:tcBorders>
              <w:left w:val="single" w:sz="8" w:color="auto"/>
              <w:right w:val="single" w:sz="8" w:color="auto"/>
            </w:tcBorders>
          </w:tcPr>
          <w:p>
            <w:pPr>
              <w:spacing w:after="0"/>
              <w:rPr>
                <w:sz w:val="16"/>
                <w:szCs w:val="16"/>
                <w:color w:val="auto"/>
              </w:rPr>
            </w:pPr>
          </w:p>
        </w:tc>
        <w:tc>
          <w:tcPr>
            <w:tcW w:w="200" w:type="dxa"/>
            <w:vAlign w:val="bottom"/>
          </w:tcPr>
          <w:p>
            <w:pPr>
              <w:ind w:left="100"/>
              <w:spacing w:after="0"/>
              <w:rPr>
                <w:sz w:val="20"/>
                <w:szCs w:val="20"/>
                <w:color w:val="auto"/>
              </w:rPr>
            </w:pPr>
            <w:r>
              <w:rPr>
                <w:rFonts w:ascii="Arial" w:cs="Arial" w:eastAsia="Arial" w:hAnsi="Arial"/>
                <w:sz w:val="16"/>
                <w:szCs w:val="16"/>
                <w:color w:val="auto"/>
              </w:rPr>
              <w:t>•</w:t>
            </w:r>
          </w:p>
        </w:tc>
        <w:tc>
          <w:tcPr>
            <w:tcW w:w="822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78 weeks’ continuation of base salary</w:t>
            </w:r>
          </w:p>
        </w:tc>
      </w:tr>
      <w:tr>
        <w:trPr>
          <w:trHeight w:val="187"/>
        </w:trPr>
        <w:tc>
          <w:tcPr>
            <w:tcW w:w="2380" w:type="dxa"/>
            <w:vAlign w:val="bottom"/>
            <w:tcBorders>
              <w:left w:val="single" w:sz="8" w:color="auto"/>
              <w:right w:val="single" w:sz="8" w:color="auto"/>
            </w:tcBorders>
          </w:tcPr>
          <w:p>
            <w:pPr>
              <w:spacing w:after="0"/>
              <w:rPr>
                <w:sz w:val="16"/>
                <w:szCs w:val="16"/>
                <w:color w:val="auto"/>
              </w:rPr>
            </w:pPr>
          </w:p>
        </w:tc>
        <w:tc>
          <w:tcPr>
            <w:tcW w:w="8420" w:type="dxa"/>
            <w:vAlign w:val="bottom"/>
            <w:tcBorders>
              <w:right w:val="single" w:sz="8" w:color="auto"/>
            </w:tcBorders>
            <w:gridSpan w:val="2"/>
          </w:tcPr>
          <w:p>
            <w:pPr>
              <w:ind w:left="100"/>
              <w:spacing w:after="0"/>
              <w:rPr>
                <w:sz w:val="20"/>
                <w:szCs w:val="20"/>
                <w:color w:val="auto"/>
              </w:rPr>
            </w:pPr>
            <w:r>
              <w:rPr>
                <w:rFonts w:ascii="Arial" w:cs="Arial" w:eastAsia="Arial" w:hAnsi="Arial"/>
                <w:sz w:val="16"/>
                <w:szCs w:val="16"/>
                <w:color w:val="auto"/>
              </w:rPr>
              <w:t>• Any earned but unpaid bonus for the performance cycle that had a performance period that ended prior to the date</w:t>
            </w:r>
          </w:p>
        </w:tc>
      </w:tr>
      <w:tr>
        <w:trPr>
          <w:trHeight w:val="187"/>
        </w:trPr>
        <w:tc>
          <w:tcPr>
            <w:tcW w:w="2380" w:type="dxa"/>
            <w:vAlign w:val="bottom"/>
            <w:tcBorders>
              <w:left w:val="single" w:sz="8" w:color="auto"/>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822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of termination</w:t>
            </w:r>
          </w:p>
        </w:tc>
      </w:tr>
      <w:tr>
        <w:trPr>
          <w:trHeight w:val="187"/>
        </w:trPr>
        <w:tc>
          <w:tcPr>
            <w:tcW w:w="2380" w:type="dxa"/>
            <w:vAlign w:val="bottom"/>
            <w:tcBorders>
              <w:left w:val="single" w:sz="8" w:color="auto"/>
              <w:right w:val="single" w:sz="8" w:color="auto"/>
            </w:tcBorders>
          </w:tcPr>
          <w:p>
            <w:pPr>
              <w:spacing w:after="0"/>
              <w:rPr>
                <w:sz w:val="16"/>
                <w:szCs w:val="16"/>
                <w:color w:val="auto"/>
              </w:rPr>
            </w:pPr>
          </w:p>
        </w:tc>
        <w:tc>
          <w:tcPr>
            <w:tcW w:w="8420" w:type="dxa"/>
            <w:vAlign w:val="bottom"/>
            <w:tcBorders>
              <w:right w:val="single" w:sz="8" w:color="auto"/>
            </w:tcBorders>
            <w:gridSpan w:val="2"/>
          </w:tcPr>
          <w:p>
            <w:pPr>
              <w:ind w:left="100"/>
              <w:spacing w:after="0"/>
              <w:rPr>
                <w:sz w:val="20"/>
                <w:szCs w:val="20"/>
                <w:color w:val="auto"/>
              </w:rPr>
            </w:pPr>
            <w:r>
              <w:rPr>
                <w:rFonts w:ascii="Arial" w:cs="Arial" w:eastAsia="Arial" w:hAnsi="Arial"/>
                <w:sz w:val="16"/>
                <w:szCs w:val="16"/>
                <w:color w:val="auto"/>
              </w:rPr>
              <w:t>• An amount equal to Mr. Trent’s target bonus for the performance cycle in which the date of termination occurs (or</w:t>
            </w:r>
          </w:p>
        </w:tc>
      </w:tr>
      <w:tr>
        <w:trPr>
          <w:trHeight w:val="187"/>
        </w:trPr>
        <w:tc>
          <w:tcPr>
            <w:tcW w:w="2380" w:type="dxa"/>
            <w:vAlign w:val="bottom"/>
            <w:tcBorders>
              <w:left w:val="single" w:sz="8" w:color="auto"/>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822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two times the semi-annual amount if bonuses are paid semi-annually as of the date of his termination)</w:t>
            </w:r>
          </w:p>
        </w:tc>
      </w:tr>
      <w:tr>
        <w:trPr>
          <w:trHeight w:val="187"/>
        </w:trPr>
        <w:tc>
          <w:tcPr>
            <w:tcW w:w="2380" w:type="dxa"/>
            <w:vAlign w:val="bottom"/>
            <w:tcBorders>
              <w:left w:val="single" w:sz="8" w:color="auto"/>
              <w:right w:val="single" w:sz="8" w:color="auto"/>
            </w:tcBorders>
          </w:tcPr>
          <w:p>
            <w:pPr>
              <w:spacing w:after="0"/>
              <w:rPr>
                <w:sz w:val="16"/>
                <w:szCs w:val="16"/>
                <w:color w:val="auto"/>
              </w:rPr>
            </w:pPr>
          </w:p>
        </w:tc>
        <w:tc>
          <w:tcPr>
            <w:tcW w:w="200" w:type="dxa"/>
            <w:vAlign w:val="bottom"/>
          </w:tcPr>
          <w:p>
            <w:pPr>
              <w:ind w:left="100"/>
              <w:spacing w:after="0"/>
              <w:rPr>
                <w:sz w:val="20"/>
                <w:szCs w:val="20"/>
                <w:color w:val="auto"/>
              </w:rPr>
            </w:pPr>
            <w:r>
              <w:rPr>
                <w:rFonts w:ascii="Arial" w:cs="Arial" w:eastAsia="Arial" w:hAnsi="Arial"/>
                <w:sz w:val="16"/>
                <w:szCs w:val="16"/>
                <w:color w:val="auto"/>
              </w:rPr>
              <w:t>•</w:t>
            </w:r>
          </w:p>
        </w:tc>
        <w:tc>
          <w:tcPr>
            <w:tcW w:w="822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Full vesting of any unvested RSUs that he received in connection with his appointment as our Executive Vice</w:t>
            </w:r>
          </w:p>
        </w:tc>
      </w:tr>
      <w:tr>
        <w:trPr>
          <w:trHeight w:val="187"/>
        </w:trPr>
        <w:tc>
          <w:tcPr>
            <w:tcW w:w="2380" w:type="dxa"/>
            <w:vAlign w:val="bottom"/>
            <w:tcBorders>
              <w:left w:val="single" w:sz="8" w:color="auto"/>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822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President, CFO and Treasurer (“New Hire CFO RSUs”)</w:t>
            </w:r>
          </w:p>
        </w:tc>
      </w:tr>
      <w:tr>
        <w:trPr>
          <w:trHeight w:val="187"/>
        </w:trPr>
        <w:tc>
          <w:tcPr>
            <w:tcW w:w="2380" w:type="dxa"/>
            <w:vAlign w:val="bottom"/>
            <w:tcBorders>
              <w:left w:val="single" w:sz="8" w:color="auto"/>
              <w:right w:val="single" w:sz="8" w:color="auto"/>
            </w:tcBorders>
          </w:tcPr>
          <w:p>
            <w:pPr>
              <w:spacing w:after="0"/>
              <w:rPr>
                <w:sz w:val="16"/>
                <w:szCs w:val="16"/>
                <w:color w:val="auto"/>
              </w:rPr>
            </w:pPr>
          </w:p>
        </w:tc>
        <w:tc>
          <w:tcPr>
            <w:tcW w:w="200" w:type="dxa"/>
            <w:vAlign w:val="bottom"/>
          </w:tcPr>
          <w:p>
            <w:pPr>
              <w:ind w:left="100"/>
              <w:spacing w:after="0"/>
              <w:rPr>
                <w:sz w:val="20"/>
                <w:szCs w:val="20"/>
                <w:color w:val="auto"/>
              </w:rPr>
            </w:pPr>
            <w:r>
              <w:rPr>
                <w:rFonts w:ascii="Arial" w:cs="Arial" w:eastAsia="Arial" w:hAnsi="Arial"/>
                <w:sz w:val="16"/>
                <w:szCs w:val="16"/>
                <w:color w:val="auto"/>
              </w:rPr>
              <w:t>•</w:t>
            </w:r>
          </w:p>
        </w:tc>
        <w:tc>
          <w:tcPr>
            <w:tcW w:w="822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Pro rata vesting of any unvested PBRSUs that he received in connection with his appointment as our Executive</w:t>
            </w:r>
          </w:p>
        </w:tc>
      </w:tr>
      <w:tr>
        <w:trPr>
          <w:trHeight w:val="187"/>
        </w:trPr>
        <w:tc>
          <w:tcPr>
            <w:tcW w:w="2380" w:type="dxa"/>
            <w:vAlign w:val="bottom"/>
            <w:tcBorders>
              <w:left w:val="single" w:sz="8" w:color="auto"/>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822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Vice President, CFO and Treasurer (“New Hire CFO PBRSUs”) using a truncated performance period</w:t>
            </w:r>
          </w:p>
        </w:tc>
      </w:tr>
      <w:tr>
        <w:trPr>
          <w:trHeight w:val="187"/>
        </w:trPr>
        <w:tc>
          <w:tcPr>
            <w:tcW w:w="2380" w:type="dxa"/>
            <w:vAlign w:val="bottom"/>
            <w:tcBorders>
              <w:left w:val="single" w:sz="8" w:color="auto"/>
              <w:right w:val="single" w:sz="8" w:color="auto"/>
            </w:tcBorders>
          </w:tcPr>
          <w:p>
            <w:pPr>
              <w:spacing w:after="0"/>
              <w:rPr>
                <w:sz w:val="16"/>
                <w:szCs w:val="16"/>
                <w:color w:val="auto"/>
              </w:rPr>
            </w:pPr>
          </w:p>
        </w:tc>
        <w:tc>
          <w:tcPr>
            <w:tcW w:w="8420" w:type="dxa"/>
            <w:vAlign w:val="bottom"/>
            <w:tcBorders>
              <w:right w:val="single" w:sz="8" w:color="auto"/>
            </w:tcBorders>
            <w:gridSpan w:val="2"/>
          </w:tcPr>
          <w:p>
            <w:pPr>
              <w:ind w:left="100"/>
              <w:spacing w:after="0"/>
              <w:rPr>
                <w:sz w:val="20"/>
                <w:szCs w:val="20"/>
                <w:color w:val="auto"/>
              </w:rPr>
            </w:pPr>
            <w:r>
              <w:rPr>
                <w:rFonts w:ascii="Arial" w:cs="Arial" w:eastAsia="Arial" w:hAnsi="Arial"/>
                <w:sz w:val="16"/>
                <w:szCs w:val="16"/>
                <w:color w:val="auto"/>
              </w:rPr>
              <w:t>• Pro rata vesting of any unvested PBRSUs awarded to Mr. Trent (other than New Hire CFO PBRSUs) based on</w:t>
            </w:r>
          </w:p>
        </w:tc>
      </w:tr>
      <w:tr>
        <w:trPr>
          <w:trHeight w:val="187"/>
        </w:trPr>
        <w:tc>
          <w:tcPr>
            <w:tcW w:w="2380" w:type="dxa"/>
            <w:vAlign w:val="bottom"/>
            <w:tcBorders>
              <w:left w:val="single" w:sz="8" w:color="auto"/>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822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actual performance during the full performance period</w:t>
            </w:r>
          </w:p>
        </w:tc>
      </w:tr>
      <w:tr>
        <w:trPr>
          <w:trHeight w:val="187"/>
        </w:trPr>
        <w:tc>
          <w:tcPr>
            <w:tcW w:w="2380" w:type="dxa"/>
            <w:vAlign w:val="bottom"/>
            <w:tcBorders>
              <w:left w:val="single" w:sz="8" w:color="auto"/>
              <w:right w:val="single" w:sz="8" w:color="auto"/>
            </w:tcBorders>
          </w:tcPr>
          <w:p>
            <w:pPr>
              <w:spacing w:after="0"/>
              <w:rPr>
                <w:sz w:val="16"/>
                <w:szCs w:val="16"/>
                <w:color w:val="auto"/>
              </w:rPr>
            </w:pPr>
          </w:p>
        </w:tc>
        <w:tc>
          <w:tcPr>
            <w:tcW w:w="200" w:type="dxa"/>
            <w:vAlign w:val="bottom"/>
          </w:tcPr>
          <w:p>
            <w:pPr>
              <w:ind w:left="100"/>
              <w:spacing w:after="0"/>
              <w:rPr>
                <w:sz w:val="20"/>
                <w:szCs w:val="20"/>
                <w:color w:val="auto"/>
              </w:rPr>
            </w:pPr>
            <w:r>
              <w:rPr>
                <w:rFonts w:ascii="Arial" w:cs="Arial" w:eastAsia="Arial" w:hAnsi="Arial"/>
                <w:sz w:val="16"/>
                <w:szCs w:val="16"/>
                <w:color w:val="auto"/>
              </w:rPr>
              <w:t>•</w:t>
            </w:r>
          </w:p>
        </w:tc>
        <w:tc>
          <w:tcPr>
            <w:tcW w:w="822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Medical, dental and vision benefits for two years following termination and six months of outplacement assistance</w:t>
            </w:r>
          </w:p>
        </w:tc>
      </w:tr>
      <w:tr>
        <w:trPr>
          <w:trHeight w:val="213"/>
        </w:trPr>
        <w:tc>
          <w:tcPr>
            <w:tcW w:w="2380" w:type="dxa"/>
            <w:vAlign w:val="bottom"/>
            <w:tcBorders>
              <w:left w:val="single" w:sz="8" w:color="auto"/>
              <w:bottom w:val="single" w:sz="8" w:color="auto"/>
              <w:right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at a cost of up to $25,000, without any tax gross-ups</w:t>
            </w:r>
          </w:p>
        </w:tc>
      </w:tr>
    </w:tbl>
    <w:p>
      <w:pPr>
        <w:spacing w:after="0" w:line="138" w:lineRule="exact"/>
        <w:rPr>
          <w:sz w:val="20"/>
          <w:szCs w:val="20"/>
          <w:color w:val="auto"/>
        </w:rPr>
      </w:pPr>
    </w:p>
    <w:p>
      <w:pPr>
        <w:ind w:left="160"/>
        <w:spacing w:after="0"/>
        <w:tabs>
          <w:tab w:leader="none" w:pos="500" w:val="left"/>
        </w:tabs>
        <w:rPr>
          <w:sz w:val="20"/>
          <w:szCs w:val="20"/>
          <w:color w:val="auto"/>
        </w:rPr>
      </w:pPr>
      <w:r>
        <w:rPr>
          <w:rFonts w:ascii="Arial" w:cs="Arial" w:eastAsia="Arial" w:hAnsi="Arial"/>
          <w:sz w:val="14"/>
          <w:szCs w:val="14"/>
          <w:color w:val="F75E14"/>
        </w:rPr>
        <w:t>58</w:t>
        <w:tab/>
        <w:t>onsemi 2022 Proxy Statement</w:t>
      </w:r>
    </w:p>
    <w:p>
      <w:pPr>
        <w:sectPr>
          <w:pgSz w:w="11900" w:h="16838" w:orient="portrait"/>
          <w:cols w:equalWidth="0" w:num="1">
            <w:col w:w="11080"/>
          </w:cols>
          <w:pgMar w:left="320" w:top="454" w:right="499" w:bottom="1440" w:gutter="0" w:footer="0" w:header="0"/>
        </w:sectPr>
      </w:pPr>
    </w:p>
    <w:bookmarkStart w:id="62" w:name="page63"/>
    <w:bookmarkEnd w:id="6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2" w:lineRule="exact"/>
        <w:rPr>
          <w:sz w:val="20"/>
          <w:szCs w:val="20"/>
          <w:color w:val="auto"/>
        </w:rPr>
      </w:pPr>
    </w:p>
    <w:tbl>
      <w:tblPr>
        <w:tblLayout w:type="fixed"/>
        <w:tblInd w:w="250" w:type="dxa"/>
        <w:tblCellMar>
          <w:top w:w="0" w:type="dxa"/>
          <w:left w:w="0" w:type="dxa"/>
          <w:bottom w:w="0" w:type="dxa"/>
          <w:right w:w="0" w:type="dxa"/>
        </w:tblCellMar>
      </w:tblPr>
      <w:tr>
        <w:trPr>
          <w:trHeight w:val="235"/>
        </w:trPr>
        <w:tc>
          <w:tcPr>
            <w:tcW w:w="2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60" w:type="dxa"/>
            <w:vAlign w:val="bottom"/>
            <w:gridSpan w:val="3"/>
          </w:tcPr>
          <w:p>
            <w:pPr>
              <w:jc w:val="right"/>
              <w:spacing w:after="0"/>
              <w:rPr>
                <w:sz w:val="20"/>
                <w:szCs w:val="20"/>
                <w:color w:val="auto"/>
              </w:rPr>
            </w:pPr>
            <w:r>
              <w:rPr>
                <w:rFonts w:ascii="Arial" w:cs="Arial" w:eastAsia="Arial" w:hAnsi="Arial"/>
                <w:sz w:val="18"/>
                <w:szCs w:val="18"/>
                <w:color w:val="F75E14"/>
              </w:rPr>
              <w:t>Compensation of Executive Officers</w:t>
            </w:r>
          </w:p>
        </w:tc>
      </w:tr>
      <w:tr>
        <w:trPr>
          <w:trHeight w:val="131"/>
        </w:trPr>
        <w:tc>
          <w:tcPr>
            <w:tcW w:w="2380" w:type="dxa"/>
            <w:vAlign w:val="bottom"/>
            <w:tcBorders>
              <w:bottom w:val="single" w:sz="8" w:color="auto"/>
            </w:tcBorders>
          </w:tcPr>
          <w:p>
            <w:pPr>
              <w:spacing w:after="0"/>
              <w:rPr>
                <w:sz w:val="11"/>
                <w:szCs w:val="11"/>
                <w:color w:val="auto"/>
              </w:rPr>
            </w:pPr>
          </w:p>
        </w:tc>
        <w:tc>
          <w:tcPr>
            <w:tcW w:w="8180" w:type="dxa"/>
            <w:vAlign w:val="bottom"/>
            <w:tcBorders>
              <w:bottom w:val="single" w:sz="8" w:color="auto"/>
            </w:tcBorders>
            <w:gridSpan w:val="2"/>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r>
      <w:tr>
        <w:trPr>
          <w:trHeight w:val="220"/>
        </w:trPr>
        <w:tc>
          <w:tcPr>
            <w:tcW w:w="2380" w:type="dxa"/>
            <w:vAlign w:val="bottom"/>
            <w:tcBorders>
              <w:left w:val="single" w:sz="8" w:color="auto"/>
              <w:right w:val="single" w:sz="8" w:color="auto"/>
            </w:tcBorders>
            <w:shd w:val="clear" w:color="auto" w:fill="D8E8EF"/>
          </w:tcPr>
          <w:p>
            <w:pPr>
              <w:ind w:left="200"/>
              <w:spacing w:after="0"/>
              <w:rPr>
                <w:sz w:val="20"/>
                <w:szCs w:val="20"/>
                <w:color w:val="auto"/>
              </w:rPr>
            </w:pPr>
            <w:r>
              <w:rPr>
                <w:rFonts w:ascii="Arial" w:cs="Arial" w:eastAsia="Arial" w:hAnsi="Arial"/>
                <w:sz w:val="16"/>
                <w:szCs w:val="16"/>
                <w:b w:val="1"/>
                <w:bCs w:val="1"/>
                <w:color w:val="auto"/>
              </w:rPr>
              <w:t>Vincent C. Hopkin,</w:t>
            </w:r>
          </w:p>
        </w:tc>
        <w:tc>
          <w:tcPr>
            <w:tcW w:w="8180" w:type="dxa"/>
            <w:vAlign w:val="bottom"/>
            <w:gridSpan w:val="2"/>
            <w:shd w:val="clear" w:color="auto" w:fill="D8E8EF"/>
          </w:tcPr>
          <w:p>
            <w:pPr>
              <w:ind w:left="100"/>
              <w:spacing w:after="0"/>
              <w:rPr>
                <w:sz w:val="20"/>
                <w:szCs w:val="20"/>
                <w:color w:val="auto"/>
              </w:rPr>
            </w:pPr>
            <w:r>
              <w:rPr>
                <w:rFonts w:ascii="Arial" w:cs="Arial" w:eastAsia="Arial" w:hAnsi="Arial"/>
                <w:sz w:val="16"/>
                <w:szCs w:val="16"/>
                <w:color w:val="auto"/>
              </w:rPr>
              <w:t>• Any accrued and unused vacation</w:t>
            </w:r>
          </w:p>
        </w:tc>
        <w:tc>
          <w:tcPr>
            <w:tcW w:w="240" w:type="dxa"/>
            <w:vAlign w:val="bottom"/>
            <w:tcBorders>
              <w:right w:val="single" w:sz="8" w:color="auto"/>
            </w:tcBorders>
            <w:shd w:val="clear" w:color="auto" w:fill="D8E8EF"/>
          </w:tcPr>
          <w:p>
            <w:pPr>
              <w:spacing w:after="0"/>
              <w:rPr>
                <w:sz w:val="19"/>
                <w:szCs w:val="19"/>
                <w:color w:val="auto"/>
              </w:rPr>
            </w:pPr>
          </w:p>
        </w:tc>
        <w:tc>
          <w:tcPr>
            <w:tcW w:w="40" w:type="dxa"/>
            <w:vAlign w:val="bottom"/>
          </w:tcPr>
          <w:p>
            <w:pPr>
              <w:spacing w:after="0"/>
              <w:rPr>
                <w:sz w:val="19"/>
                <w:szCs w:val="19"/>
                <w:color w:val="auto"/>
              </w:rPr>
            </w:pPr>
          </w:p>
        </w:tc>
      </w:tr>
      <w:tr>
        <w:trPr>
          <w:trHeight w:val="187"/>
        </w:trPr>
        <w:tc>
          <w:tcPr>
            <w:tcW w:w="2380" w:type="dxa"/>
            <w:vAlign w:val="bottom"/>
            <w:tcBorders>
              <w:left w:val="single" w:sz="8" w:color="auto"/>
              <w:right w:val="single" w:sz="8" w:color="auto"/>
            </w:tcBorders>
            <w:shd w:val="clear" w:color="auto" w:fill="D8E8EF"/>
          </w:tcPr>
          <w:p>
            <w:pPr>
              <w:ind w:left="200"/>
              <w:spacing w:after="0"/>
              <w:rPr>
                <w:sz w:val="20"/>
                <w:szCs w:val="20"/>
                <w:color w:val="auto"/>
              </w:rPr>
            </w:pPr>
            <w:r>
              <w:rPr>
                <w:rFonts w:ascii="Arial" w:cs="Arial" w:eastAsia="Arial" w:hAnsi="Arial"/>
                <w:sz w:val="16"/>
                <w:szCs w:val="16"/>
                <w:b w:val="1"/>
                <w:bCs w:val="1"/>
                <w:color w:val="auto"/>
              </w:rPr>
              <w:t>Simon Keeton,</w:t>
            </w:r>
          </w:p>
        </w:tc>
        <w:tc>
          <w:tcPr>
            <w:tcW w:w="200" w:type="dxa"/>
            <w:vAlign w:val="bottom"/>
            <w:shd w:val="clear" w:color="auto" w:fill="D8E8EF"/>
          </w:tcPr>
          <w:p>
            <w:pPr>
              <w:ind w:left="100"/>
              <w:spacing w:after="0"/>
              <w:rPr>
                <w:sz w:val="20"/>
                <w:szCs w:val="20"/>
                <w:color w:val="auto"/>
              </w:rPr>
            </w:pPr>
            <w:r>
              <w:rPr>
                <w:rFonts w:ascii="Arial" w:cs="Arial" w:eastAsia="Arial" w:hAnsi="Arial"/>
                <w:sz w:val="16"/>
                <w:szCs w:val="16"/>
                <w:color w:val="auto"/>
              </w:rPr>
              <w:t>•</w:t>
            </w:r>
          </w:p>
        </w:tc>
        <w:tc>
          <w:tcPr>
            <w:tcW w:w="7980" w:type="dxa"/>
            <w:vAlign w:val="bottom"/>
            <w:shd w:val="clear" w:color="auto" w:fill="D8E8EF"/>
          </w:tcPr>
          <w:p>
            <w:pPr>
              <w:ind w:left="40"/>
              <w:spacing w:after="0"/>
              <w:rPr>
                <w:sz w:val="20"/>
                <w:szCs w:val="20"/>
                <w:color w:val="auto"/>
              </w:rPr>
            </w:pPr>
            <w:r>
              <w:rPr>
                <w:rFonts w:ascii="Arial" w:cs="Arial" w:eastAsia="Arial" w:hAnsi="Arial"/>
                <w:sz w:val="16"/>
                <w:szCs w:val="16"/>
                <w:color w:val="auto"/>
              </w:rPr>
              <w:t>Base salary through the date of termination</w:t>
            </w:r>
          </w:p>
        </w:tc>
        <w:tc>
          <w:tcPr>
            <w:tcW w:w="240" w:type="dxa"/>
            <w:vAlign w:val="bottom"/>
            <w:tcBorders>
              <w:right w:val="single" w:sz="8" w:color="auto"/>
            </w:tcBorders>
            <w:shd w:val="clear" w:color="auto" w:fill="D8E8EF"/>
          </w:tcPr>
          <w:p>
            <w:pPr>
              <w:spacing w:after="0"/>
              <w:rPr>
                <w:sz w:val="16"/>
                <w:szCs w:val="16"/>
                <w:color w:val="auto"/>
              </w:rPr>
            </w:pPr>
          </w:p>
        </w:tc>
        <w:tc>
          <w:tcPr>
            <w:tcW w:w="40" w:type="dxa"/>
            <w:vAlign w:val="bottom"/>
          </w:tcPr>
          <w:p>
            <w:pPr>
              <w:spacing w:after="0"/>
              <w:rPr>
                <w:sz w:val="16"/>
                <w:szCs w:val="16"/>
                <w:color w:val="auto"/>
              </w:rPr>
            </w:pPr>
          </w:p>
        </w:tc>
      </w:tr>
      <w:tr>
        <w:trPr>
          <w:trHeight w:val="187"/>
        </w:trPr>
        <w:tc>
          <w:tcPr>
            <w:tcW w:w="2380" w:type="dxa"/>
            <w:vAlign w:val="bottom"/>
            <w:tcBorders>
              <w:left w:val="single" w:sz="8" w:color="auto"/>
              <w:right w:val="single" w:sz="8" w:color="auto"/>
            </w:tcBorders>
            <w:shd w:val="clear" w:color="auto" w:fill="D8E8EF"/>
          </w:tcPr>
          <w:p>
            <w:pPr>
              <w:ind w:left="200"/>
              <w:spacing w:after="0"/>
              <w:rPr>
                <w:sz w:val="20"/>
                <w:szCs w:val="20"/>
                <w:color w:val="auto"/>
              </w:rPr>
            </w:pPr>
            <w:r>
              <w:rPr>
                <w:rFonts w:ascii="Arial" w:cs="Arial" w:eastAsia="Arial" w:hAnsi="Arial"/>
                <w:sz w:val="16"/>
                <w:szCs w:val="16"/>
                <w:b w:val="1"/>
                <w:bCs w:val="1"/>
                <w:color w:val="auto"/>
              </w:rPr>
              <w:t>Ross F. Jatou and</w:t>
            </w:r>
          </w:p>
        </w:tc>
        <w:tc>
          <w:tcPr>
            <w:tcW w:w="200" w:type="dxa"/>
            <w:vAlign w:val="bottom"/>
            <w:shd w:val="clear" w:color="auto" w:fill="D8E8EF"/>
          </w:tcPr>
          <w:p>
            <w:pPr>
              <w:ind w:left="100"/>
              <w:spacing w:after="0"/>
              <w:rPr>
                <w:sz w:val="20"/>
                <w:szCs w:val="20"/>
                <w:color w:val="auto"/>
              </w:rPr>
            </w:pPr>
            <w:r>
              <w:rPr>
                <w:rFonts w:ascii="Arial" w:cs="Arial" w:eastAsia="Arial" w:hAnsi="Arial"/>
                <w:sz w:val="16"/>
                <w:szCs w:val="16"/>
                <w:color w:val="auto"/>
              </w:rPr>
              <w:t>•</w:t>
            </w:r>
          </w:p>
        </w:tc>
        <w:tc>
          <w:tcPr>
            <w:tcW w:w="7980" w:type="dxa"/>
            <w:vAlign w:val="bottom"/>
            <w:shd w:val="clear" w:color="auto" w:fill="D8E8EF"/>
          </w:tcPr>
          <w:p>
            <w:pPr>
              <w:ind w:left="40"/>
              <w:spacing w:after="0"/>
              <w:rPr>
                <w:sz w:val="20"/>
                <w:szCs w:val="20"/>
                <w:color w:val="auto"/>
              </w:rPr>
            </w:pPr>
            <w:r>
              <w:rPr>
                <w:rFonts w:ascii="Arial" w:cs="Arial" w:eastAsia="Arial" w:hAnsi="Arial"/>
                <w:sz w:val="16"/>
                <w:szCs w:val="16"/>
                <w:color w:val="auto"/>
              </w:rPr>
              <w:t>One year’s continuation of base salary</w:t>
            </w:r>
          </w:p>
        </w:tc>
        <w:tc>
          <w:tcPr>
            <w:tcW w:w="240" w:type="dxa"/>
            <w:vAlign w:val="bottom"/>
            <w:tcBorders>
              <w:right w:val="single" w:sz="8" w:color="auto"/>
            </w:tcBorders>
            <w:shd w:val="clear" w:color="auto" w:fill="D8E8EF"/>
          </w:tcPr>
          <w:p>
            <w:pPr>
              <w:spacing w:after="0"/>
              <w:rPr>
                <w:sz w:val="16"/>
                <w:szCs w:val="16"/>
                <w:color w:val="auto"/>
              </w:rPr>
            </w:pPr>
          </w:p>
        </w:tc>
        <w:tc>
          <w:tcPr>
            <w:tcW w:w="40" w:type="dxa"/>
            <w:vAlign w:val="bottom"/>
          </w:tcPr>
          <w:p>
            <w:pPr>
              <w:spacing w:after="0"/>
              <w:rPr>
                <w:sz w:val="16"/>
                <w:szCs w:val="16"/>
                <w:color w:val="auto"/>
              </w:rPr>
            </w:pPr>
          </w:p>
        </w:tc>
      </w:tr>
      <w:tr>
        <w:trPr>
          <w:trHeight w:val="187"/>
        </w:trPr>
        <w:tc>
          <w:tcPr>
            <w:tcW w:w="2380" w:type="dxa"/>
            <w:vAlign w:val="bottom"/>
            <w:tcBorders>
              <w:left w:val="single" w:sz="8" w:color="auto"/>
              <w:right w:val="single" w:sz="8" w:color="auto"/>
            </w:tcBorders>
            <w:shd w:val="clear" w:color="auto" w:fill="D8E8EF"/>
          </w:tcPr>
          <w:p>
            <w:pPr>
              <w:ind w:left="200"/>
              <w:spacing w:after="0"/>
              <w:rPr>
                <w:sz w:val="20"/>
                <w:szCs w:val="20"/>
                <w:color w:val="auto"/>
              </w:rPr>
            </w:pPr>
            <w:r>
              <w:rPr>
                <w:rFonts w:ascii="Arial" w:cs="Arial" w:eastAsia="Arial" w:hAnsi="Arial"/>
                <w:sz w:val="16"/>
                <w:szCs w:val="16"/>
                <w:b w:val="1"/>
                <w:bCs w:val="1"/>
                <w:color w:val="auto"/>
              </w:rPr>
              <w:t>George H. Cave</w:t>
            </w:r>
          </w:p>
        </w:tc>
        <w:tc>
          <w:tcPr>
            <w:tcW w:w="8180" w:type="dxa"/>
            <w:vAlign w:val="bottom"/>
            <w:gridSpan w:val="2"/>
            <w:shd w:val="clear" w:color="auto" w:fill="D8E8EF"/>
          </w:tcPr>
          <w:p>
            <w:pPr>
              <w:ind w:left="100"/>
              <w:spacing w:after="0"/>
              <w:rPr>
                <w:sz w:val="20"/>
                <w:szCs w:val="20"/>
                <w:color w:val="auto"/>
              </w:rPr>
            </w:pPr>
            <w:r>
              <w:rPr>
                <w:rFonts w:ascii="Arial" w:cs="Arial" w:eastAsia="Arial" w:hAnsi="Arial"/>
                <w:sz w:val="16"/>
                <w:szCs w:val="16"/>
                <w:color w:val="auto"/>
              </w:rPr>
              <w:t>• Any earned but unpaid bonus for the immediately preceding performance cycle</w:t>
            </w:r>
          </w:p>
        </w:tc>
        <w:tc>
          <w:tcPr>
            <w:tcW w:w="240" w:type="dxa"/>
            <w:vAlign w:val="bottom"/>
            <w:tcBorders>
              <w:right w:val="single" w:sz="8" w:color="auto"/>
            </w:tcBorders>
            <w:shd w:val="clear" w:color="auto" w:fill="D8E8EF"/>
          </w:tcPr>
          <w:p>
            <w:pPr>
              <w:spacing w:after="0"/>
              <w:rPr>
                <w:sz w:val="16"/>
                <w:szCs w:val="16"/>
                <w:color w:val="auto"/>
              </w:rPr>
            </w:pPr>
          </w:p>
        </w:tc>
        <w:tc>
          <w:tcPr>
            <w:tcW w:w="40" w:type="dxa"/>
            <w:vAlign w:val="bottom"/>
          </w:tcPr>
          <w:p>
            <w:pPr>
              <w:spacing w:after="0"/>
              <w:rPr>
                <w:sz w:val="16"/>
                <w:szCs w:val="16"/>
                <w:color w:val="auto"/>
              </w:rPr>
            </w:pPr>
          </w:p>
        </w:tc>
      </w:tr>
      <w:tr>
        <w:trPr>
          <w:trHeight w:val="187"/>
        </w:trPr>
        <w:tc>
          <w:tcPr>
            <w:tcW w:w="2380" w:type="dxa"/>
            <w:vAlign w:val="bottom"/>
            <w:tcBorders>
              <w:left w:val="single" w:sz="8" w:color="auto"/>
              <w:right w:val="single" w:sz="8" w:color="auto"/>
            </w:tcBorders>
            <w:shd w:val="clear" w:color="auto" w:fill="D8E8EF"/>
          </w:tcPr>
          <w:p>
            <w:pPr>
              <w:spacing w:after="0"/>
              <w:rPr>
                <w:sz w:val="16"/>
                <w:szCs w:val="16"/>
                <w:color w:val="auto"/>
              </w:rPr>
            </w:pPr>
          </w:p>
        </w:tc>
        <w:tc>
          <w:tcPr>
            <w:tcW w:w="8420" w:type="dxa"/>
            <w:vAlign w:val="bottom"/>
            <w:tcBorders>
              <w:right w:val="single" w:sz="8" w:color="auto"/>
            </w:tcBorders>
            <w:gridSpan w:val="3"/>
            <w:shd w:val="clear" w:color="auto" w:fill="D8E8EF"/>
          </w:tcPr>
          <w:p>
            <w:pPr>
              <w:ind w:left="100"/>
              <w:spacing w:after="0"/>
              <w:rPr>
                <w:sz w:val="20"/>
                <w:szCs w:val="20"/>
                <w:color w:val="auto"/>
              </w:rPr>
            </w:pPr>
            <w:r>
              <w:rPr>
                <w:rFonts w:ascii="Arial" w:cs="Arial" w:eastAsia="Arial" w:hAnsi="Arial"/>
                <w:sz w:val="16"/>
                <w:szCs w:val="16"/>
                <w:color w:val="auto"/>
              </w:rPr>
              <w:t>• A pro-rata portion of the bonus, if any, for the performance cycle in which the date of termination occurs based on</w:t>
            </w:r>
          </w:p>
        </w:tc>
        <w:tc>
          <w:tcPr>
            <w:tcW w:w="40" w:type="dxa"/>
            <w:vAlign w:val="bottom"/>
          </w:tcPr>
          <w:p>
            <w:pPr>
              <w:spacing w:after="0"/>
              <w:rPr>
                <w:sz w:val="16"/>
                <w:szCs w:val="16"/>
                <w:color w:val="auto"/>
              </w:rPr>
            </w:pPr>
          </w:p>
        </w:tc>
      </w:tr>
      <w:tr>
        <w:trPr>
          <w:trHeight w:val="187"/>
        </w:trPr>
        <w:tc>
          <w:tcPr>
            <w:tcW w:w="2380" w:type="dxa"/>
            <w:vAlign w:val="bottom"/>
            <w:tcBorders>
              <w:left w:val="single" w:sz="8" w:color="auto"/>
              <w:right w:val="single" w:sz="8" w:color="auto"/>
            </w:tcBorders>
            <w:shd w:val="clear" w:color="auto" w:fill="D8E8EF"/>
          </w:tcPr>
          <w:p>
            <w:pPr>
              <w:spacing w:after="0"/>
              <w:rPr>
                <w:sz w:val="16"/>
                <w:szCs w:val="16"/>
                <w:color w:val="auto"/>
              </w:rPr>
            </w:pPr>
          </w:p>
        </w:tc>
        <w:tc>
          <w:tcPr>
            <w:tcW w:w="200" w:type="dxa"/>
            <w:vAlign w:val="bottom"/>
            <w:shd w:val="clear" w:color="auto" w:fill="D8E8EF"/>
          </w:tcPr>
          <w:p>
            <w:pPr>
              <w:spacing w:after="0"/>
              <w:rPr>
                <w:sz w:val="16"/>
                <w:szCs w:val="16"/>
                <w:color w:val="auto"/>
              </w:rPr>
            </w:pPr>
          </w:p>
        </w:tc>
        <w:tc>
          <w:tcPr>
            <w:tcW w:w="7980" w:type="dxa"/>
            <w:vAlign w:val="bottom"/>
            <w:shd w:val="clear" w:color="auto" w:fill="D8E8EF"/>
          </w:tcPr>
          <w:p>
            <w:pPr>
              <w:ind w:left="60"/>
              <w:spacing w:after="0"/>
              <w:rPr>
                <w:sz w:val="20"/>
                <w:szCs w:val="20"/>
                <w:color w:val="auto"/>
              </w:rPr>
            </w:pPr>
            <w:r>
              <w:rPr>
                <w:rFonts w:ascii="Arial" w:cs="Arial" w:eastAsia="Arial" w:hAnsi="Arial"/>
                <w:sz w:val="16"/>
                <w:szCs w:val="16"/>
                <w:color w:val="auto"/>
              </w:rPr>
              <w:t>achievement of the applicable performance criteria</w:t>
            </w:r>
          </w:p>
        </w:tc>
        <w:tc>
          <w:tcPr>
            <w:tcW w:w="240" w:type="dxa"/>
            <w:vAlign w:val="bottom"/>
            <w:tcBorders>
              <w:right w:val="single" w:sz="8" w:color="auto"/>
            </w:tcBorders>
            <w:shd w:val="clear" w:color="auto" w:fill="D8E8EF"/>
          </w:tcPr>
          <w:p>
            <w:pPr>
              <w:spacing w:after="0"/>
              <w:rPr>
                <w:sz w:val="16"/>
                <w:szCs w:val="16"/>
                <w:color w:val="auto"/>
              </w:rPr>
            </w:pPr>
          </w:p>
        </w:tc>
        <w:tc>
          <w:tcPr>
            <w:tcW w:w="40" w:type="dxa"/>
            <w:vAlign w:val="bottom"/>
          </w:tcPr>
          <w:p>
            <w:pPr>
              <w:spacing w:after="0"/>
              <w:rPr>
                <w:sz w:val="16"/>
                <w:szCs w:val="16"/>
                <w:color w:val="auto"/>
              </w:rPr>
            </w:pPr>
          </w:p>
        </w:tc>
      </w:tr>
      <w:tr>
        <w:trPr>
          <w:trHeight w:val="187"/>
        </w:trPr>
        <w:tc>
          <w:tcPr>
            <w:tcW w:w="2380" w:type="dxa"/>
            <w:vAlign w:val="bottom"/>
            <w:tcBorders>
              <w:left w:val="single" w:sz="8" w:color="auto"/>
              <w:right w:val="single" w:sz="8" w:color="auto"/>
            </w:tcBorders>
            <w:shd w:val="clear" w:color="auto" w:fill="D8E8EF"/>
          </w:tcPr>
          <w:p>
            <w:pPr>
              <w:spacing w:after="0"/>
              <w:rPr>
                <w:sz w:val="16"/>
                <w:szCs w:val="16"/>
                <w:color w:val="auto"/>
              </w:rPr>
            </w:pPr>
          </w:p>
        </w:tc>
        <w:tc>
          <w:tcPr>
            <w:tcW w:w="8180" w:type="dxa"/>
            <w:vAlign w:val="bottom"/>
            <w:gridSpan w:val="2"/>
            <w:shd w:val="clear" w:color="auto" w:fill="D8E8EF"/>
          </w:tcPr>
          <w:p>
            <w:pPr>
              <w:ind w:left="100"/>
              <w:spacing w:after="0"/>
              <w:rPr>
                <w:sz w:val="20"/>
                <w:szCs w:val="20"/>
                <w:color w:val="auto"/>
              </w:rPr>
            </w:pPr>
            <w:r>
              <w:rPr>
                <w:rFonts w:ascii="Arial" w:cs="Arial" w:eastAsia="Arial" w:hAnsi="Arial"/>
                <w:sz w:val="16"/>
                <w:szCs w:val="16"/>
                <w:color w:val="auto"/>
              </w:rPr>
              <w:t>• Payment of health plan continuation premiums for up to one year following termination and six months</w:t>
            </w:r>
          </w:p>
        </w:tc>
        <w:tc>
          <w:tcPr>
            <w:tcW w:w="240" w:type="dxa"/>
            <w:vAlign w:val="bottom"/>
            <w:tcBorders>
              <w:right w:val="single" w:sz="8" w:color="auto"/>
            </w:tcBorders>
            <w:shd w:val="clear" w:color="auto" w:fill="D8E8EF"/>
          </w:tcPr>
          <w:p>
            <w:pPr>
              <w:ind w:left="40"/>
              <w:spacing w:after="0"/>
              <w:rPr>
                <w:sz w:val="20"/>
                <w:szCs w:val="20"/>
                <w:color w:val="auto"/>
              </w:rPr>
            </w:pPr>
            <w:r>
              <w:rPr>
                <w:rFonts w:ascii="Arial" w:cs="Arial" w:eastAsia="Arial" w:hAnsi="Arial"/>
                <w:sz w:val="16"/>
                <w:szCs w:val="16"/>
                <w:color w:val="auto"/>
              </w:rPr>
              <w:t>of</w:t>
            </w:r>
          </w:p>
        </w:tc>
        <w:tc>
          <w:tcPr>
            <w:tcW w:w="40" w:type="dxa"/>
            <w:vAlign w:val="bottom"/>
          </w:tcPr>
          <w:p>
            <w:pPr>
              <w:spacing w:after="0"/>
              <w:rPr>
                <w:sz w:val="16"/>
                <w:szCs w:val="16"/>
                <w:color w:val="auto"/>
              </w:rPr>
            </w:pPr>
          </w:p>
        </w:tc>
      </w:tr>
      <w:tr>
        <w:trPr>
          <w:trHeight w:val="211"/>
        </w:trPr>
        <w:tc>
          <w:tcPr>
            <w:tcW w:w="2380" w:type="dxa"/>
            <w:vAlign w:val="bottom"/>
            <w:tcBorders>
              <w:left w:val="single" w:sz="8" w:color="auto"/>
              <w:right w:val="single" w:sz="8" w:color="auto"/>
            </w:tcBorders>
            <w:shd w:val="clear" w:color="auto" w:fill="D8E8EF"/>
          </w:tcPr>
          <w:p>
            <w:pPr>
              <w:spacing w:after="0"/>
              <w:rPr>
                <w:sz w:val="18"/>
                <w:szCs w:val="18"/>
                <w:color w:val="auto"/>
              </w:rPr>
            </w:pPr>
          </w:p>
        </w:tc>
        <w:tc>
          <w:tcPr>
            <w:tcW w:w="200" w:type="dxa"/>
            <w:vAlign w:val="bottom"/>
            <w:shd w:val="clear" w:color="auto" w:fill="D8E8EF"/>
          </w:tcPr>
          <w:p>
            <w:pPr>
              <w:spacing w:after="0"/>
              <w:rPr>
                <w:sz w:val="18"/>
                <w:szCs w:val="18"/>
                <w:color w:val="auto"/>
              </w:rPr>
            </w:pPr>
          </w:p>
        </w:tc>
        <w:tc>
          <w:tcPr>
            <w:tcW w:w="7980" w:type="dxa"/>
            <w:vAlign w:val="bottom"/>
            <w:shd w:val="clear" w:color="auto" w:fill="D8E8EF"/>
          </w:tcPr>
          <w:p>
            <w:pPr>
              <w:ind w:left="60"/>
              <w:spacing w:after="0"/>
              <w:rPr>
                <w:sz w:val="20"/>
                <w:szCs w:val="20"/>
                <w:color w:val="auto"/>
              </w:rPr>
            </w:pPr>
            <w:r>
              <w:rPr>
                <w:rFonts w:ascii="Arial" w:cs="Arial" w:eastAsia="Arial" w:hAnsi="Arial"/>
                <w:sz w:val="16"/>
                <w:szCs w:val="16"/>
                <w:color w:val="auto"/>
              </w:rPr>
              <w:t>outplacement assistance at a cost of up to $5,000</w:t>
            </w:r>
          </w:p>
        </w:tc>
        <w:tc>
          <w:tcPr>
            <w:tcW w:w="240" w:type="dxa"/>
            <w:vAlign w:val="bottom"/>
            <w:tcBorders>
              <w:right w:val="single" w:sz="8" w:color="auto"/>
            </w:tcBorders>
            <w:shd w:val="clear" w:color="auto" w:fill="D8E8EF"/>
          </w:tcPr>
          <w:p>
            <w:pPr>
              <w:spacing w:after="0"/>
              <w:rPr>
                <w:sz w:val="18"/>
                <w:szCs w:val="18"/>
                <w:color w:val="auto"/>
              </w:rPr>
            </w:pPr>
          </w:p>
        </w:tc>
        <w:tc>
          <w:tcPr>
            <w:tcW w:w="40" w:type="dxa"/>
            <w:vAlign w:val="bottom"/>
          </w:tcPr>
          <w:p>
            <w:pPr>
              <w:spacing w:after="0"/>
              <w:rPr>
                <w:sz w:val="18"/>
                <w:szCs w:val="18"/>
                <w:color w:val="auto"/>
              </w:rPr>
            </w:pPr>
          </w:p>
        </w:tc>
      </w:tr>
      <w:tr>
        <w:trPr>
          <w:trHeight w:val="70"/>
        </w:trPr>
        <w:tc>
          <w:tcPr>
            <w:tcW w:w="2380" w:type="dxa"/>
            <w:vAlign w:val="bottom"/>
            <w:tcBorders>
              <w:left w:val="single" w:sz="8" w:color="auto"/>
              <w:bottom w:val="single" w:sz="8" w:color="auto"/>
              <w:right w:val="single" w:sz="8" w:color="auto"/>
            </w:tcBorders>
            <w:shd w:val="clear" w:color="auto" w:fill="D8E8EF"/>
          </w:tcPr>
          <w:p>
            <w:pPr>
              <w:spacing w:after="0"/>
              <w:rPr>
                <w:sz w:val="6"/>
                <w:szCs w:val="6"/>
                <w:color w:val="auto"/>
              </w:rPr>
            </w:pPr>
          </w:p>
        </w:tc>
        <w:tc>
          <w:tcPr>
            <w:tcW w:w="200" w:type="dxa"/>
            <w:vAlign w:val="bottom"/>
            <w:tcBorders>
              <w:bottom w:val="single" w:sz="8" w:color="auto"/>
            </w:tcBorders>
            <w:shd w:val="clear" w:color="auto" w:fill="D8E8EF"/>
          </w:tcPr>
          <w:p>
            <w:pPr>
              <w:spacing w:after="0"/>
              <w:rPr>
                <w:sz w:val="6"/>
                <w:szCs w:val="6"/>
                <w:color w:val="auto"/>
              </w:rPr>
            </w:pPr>
          </w:p>
        </w:tc>
        <w:tc>
          <w:tcPr>
            <w:tcW w:w="7980" w:type="dxa"/>
            <w:vAlign w:val="bottom"/>
            <w:tcBorders>
              <w:bottom w:val="single" w:sz="8" w:color="auto"/>
            </w:tcBorders>
            <w:shd w:val="clear" w:color="auto" w:fill="D8E8EF"/>
          </w:tcPr>
          <w:p>
            <w:pPr>
              <w:spacing w:after="0"/>
              <w:rPr>
                <w:sz w:val="6"/>
                <w:szCs w:val="6"/>
                <w:color w:val="auto"/>
              </w:rPr>
            </w:pPr>
          </w:p>
        </w:tc>
        <w:tc>
          <w:tcPr>
            <w:tcW w:w="240" w:type="dxa"/>
            <w:vAlign w:val="bottom"/>
            <w:tcBorders>
              <w:bottom w:val="single" w:sz="8" w:color="auto"/>
              <w:right w:val="single" w:sz="8" w:color="auto"/>
            </w:tcBorders>
            <w:shd w:val="clear" w:color="auto" w:fill="D8E8EF"/>
          </w:tcPr>
          <w:p>
            <w:pPr>
              <w:spacing w:after="0"/>
              <w:rPr>
                <w:sz w:val="6"/>
                <w:szCs w:val="6"/>
                <w:color w:val="auto"/>
              </w:rPr>
            </w:pPr>
          </w:p>
        </w:tc>
        <w:tc>
          <w:tcPr>
            <w:tcW w:w="40" w:type="dxa"/>
            <w:vAlign w:val="bottom"/>
          </w:tcPr>
          <w:p>
            <w:pPr>
              <w:spacing w:after="0"/>
              <w:rPr>
                <w:sz w:val="6"/>
                <w:szCs w:val="6"/>
                <w:color w:val="auto"/>
              </w:rPr>
            </w:pPr>
          </w:p>
        </w:tc>
      </w:tr>
      <w:tr>
        <w:trPr>
          <w:trHeight w:val="234"/>
        </w:trPr>
        <w:tc>
          <w:tcPr>
            <w:tcW w:w="23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9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r>
      <w:tr>
        <w:trPr>
          <w:trHeight w:val="220"/>
        </w:trPr>
        <w:tc>
          <w:tcPr>
            <w:tcW w:w="2380" w:type="dxa"/>
            <w:vAlign w:val="bottom"/>
            <w:tcBorders>
              <w:left w:val="single" w:sz="8" w:color="auto"/>
              <w:right w:val="single" w:sz="8" w:color="auto"/>
            </w:tcBorders>
            <w:shd w:val="clear" w:color="auto" w:fill="F75E14"/>
          </w:tcPr>
          <w:p>
            <w:pPr>
              <w:spacing w:after="0"/>
              <w:rPr>
                <w:sz w:val="19"/>
                <w:szCs w:val="19"/>
                <w:color w:val="auto"/>
              </w:rPr>
            </w:pPr>
          </w:p>
        </w:tc>
        <w:tc>
          <w:tcPr>
            <w:tcW w:w="200" w:type="dxa"/>
            <w:vAlign w:val="bottom"/>
            <w:shd w:val="clear" w:color="auto" w:fill="F75E14"/>
          </w:tcPr>
          <w:p>
            <w:pPr>
              <w:spacing w:after="0"/>
              <w:rPr>
                <w:sz w:val="19"/>
                <w:szCs w:val="19"/>
                <w:color w:val="auto"/>
              </w:rPr>
            </w:pPr>
          </w:p>
        </w:tc>
        <w:tc>
          <w:tcPr>
            <w:tcW w:w="7980" w:type="dxa"/>
            <w:vAlign w:val="bottom"/>
            <w:shd w:val="clear" w:color="auto" w:fill="F75E14"/>
          </w:tcPr>
          <w:p>
            <w:pPr>
              <w:jc w:val="center"/>
              <w:spacing w:after="0"/>
              <w:rPr>
                <w:sz w:val="20"/>
                <w:szCs w:val="20"/>
                <w:color w:val="auto"/>
              </w:rPr>
            </w:pPr>
            <w:r>
              <w:rPr>
                <w:rFonts w:ascii="Arial" w:cs="Arial" w:eastAsia="Arial" w:hAnsi="Arial"/>
                <w:sz w:val="16"/>
                <w:szCs w:val="16"/>
                <w:b w:val="1"/>
                <w:bCs w:val="1"/>
                <w:color w:val="FFFFFF"/>
                <w:w w:val="99"/>
              </w:rPr>
              <w:t>Obligations Upon Certain Termination Events Following a Change in Control:</w:t>
            </w:r>
          </w:p>
        </w:tc>
        <w:tc>
          <w:tcPr>
            <w:tcW w:w="240" w:type="dxa"/>
            <w:vAlign w:val="bottom"/>
            <w:tcBorders>
              <w:right w:val="single" w:sz="8" w:color="auto"/>
            </w:tcBorders>
            <w:shd w:val="clear" w:color="auto" w:fill="F75E14"/>
          </w:tcPr>
          <w:p>
            <w:pPr>
              <w:spacing w:after="0"/>
              <w:rPr>
                <w:sz w:val="19"/>
                <w:szCs w:val="19"/>
                <w:color w:val="auto"/>
              </w:rPr>
            </w:pPr>
          </w:p>
        </w:tc>
        <w:tc>
          <w:tcPr>
            <w:tcW w:w="40" w:type="dxa"/>
            <w:vAlign w:val="bottom"/>
          </w:tcPr>
          <w:p>
            <w:pPr>
              <w:spacing w:after="0"/>
              <w:rPr>
                <w:sz w:val="19"/>
                <w:szCs w:val="19"/>
                <w:color w:val="auto"/>
              </w:rPr>
            </w:pPr>
          </w:p>
        </w:tc>
      </w:tr>
      <w:tr>
        <w:trPr>
          <w:trHeight w:val="187"/>
        </w:trPr>
        <w:tc>
          <w:tcPr>
            <w:tcW w:w="2380" w:type="dxa"/>
            <w:vAlign w:val="bottom"/>
            <w:tcBorders>
              <w:left w:val="single" w:sz="8" w:color="auto"/>
              <w:right w:val="single" w:sz="8" w:color="auto"/>
            </w:tcBorders>
            <w:shd w:val="clear" w:color="auto" w:fill="F75E14"/>
          </w:tcPr>
          <w:p>
            <w:pPr>
              <w:spacing w:after="0"/>
              <w:rPr>
                <w:sz w:val="16"/>
                <w:szCs w:val="16"/>
                <w:color w:val="auto"/>
              </w:rPr>
            </w:pPr>
          </w:p>
        </w:tc>
        <w:tc>
          <w:tcPr>
            <w:tcW w:w="200" w:type="dxa"/>
            <w:vAlign w:val="bottom"/>
            <w:shd w:val="clear" w:color="auto" w:fill="F75E14"/>
          </w:tcPr>
          <w:p>
            <w:pPr>
              <w:spacing w:after="0"/>
              <w:rPr>
                <w:sz w:val="16"/>
                <w:szCs w:val="16"/>
                <w:color w:val="auto"/>
              </w:rPr>
            </w:pPr>
          </w:p>
        </w:tc>
        <w:tc>
          <w:tcPr>
            <w:tcW w:w="7980" w:type="dxa"/>
            <w:vAlign w:val="bottom"/>
            <w:shd w:val="clear" w:color="auto" w:fill="F75E14"/>
          </w:tcPr>
          <w:p>
            <w:pPr>
              <w:jc w:val="center"/>
              <w:spacing w:after="0"/>
              <w:rPr>
                <w:sz w:val="20"/>
                <w:szCs w:val="20"/>
                <w:color w:val="auto"/>
              </w:rPr>
            </w:pPr>
            <w:r>
              <w:rPr>
                <w:rFonts w:ascii="Arial" w:cs="Arial" w:eastAsia="Arial" w:hAnsi="Arial"/>
                <w:sz w:val="16"/>
                <w:szCs w:val="16"/>
                <w:b w:val="1"/>
                <w:bCs w:val="1"/>
                <w:color w:val="FFFFFF"/>
              </w:rPr>
              <w:t>Termination without “Cause” or Resignation for “Good Reason” (as those terms are defined in</w:t>
            </w:r>
          </w:p>
        </w:tc>
        <w:tc>
          <w:tcPr>
            <w:tcW w:w="240" w:type="dxa"/>
            <w:vAlign w:val="bottom"/>
            <w:tcBorders>
              <w:right w:val="single" w:sz="8" w:color="auto"/>
            </w:tcBorders>
            <w:shd w:val="clear" w:color="auto" w:fill="F75E14"/>
          </w:tcPr>
          <w:p>
            <w:pPr>
              <w:spacing w:after="0"/>
              <w:rPr>
                <w:sz w:val="16"/>
                <w:szCs w:val="16"/>
                <w:color w:val="auto"/>
              </w:rPr>
            </w:pPr>
          </w:p>
        </w:tc>
        <w:tc>
          <w:tcPr>
            <w:tcW w:w="40" w:type="dxa"/>
            <w:vAlign w:val="bottom"/>
          </w:tcPr>
          <w:p>
            <w:pPr>
              <w:spacing w:after="0"/>
              <w:rPr>
                <w:sz w:val="16"/>
                <w:szCs w:val="16"/>
                <w:color w:val="auto"/>
              </w:rPr>
            </w:pPr>
          </w:p>
        </w:tc>
      </w:tr>
      <w:tr>
        <w:trPr>
          <w:trHeight w:val="221"/>
        </w:trPr>
        <w:tc>
          <w:tcPr>
            <w:tcW w:w="2380" w:type="dxa"/>
            <w:vAlign w:val="bottom"/>
            <w:tcBorders>
              <w:left w:val="single" w:sz="8" w:color="auto"/>
              <w:right w:val="single" w:sz="8" w:color="auto"/>
            </w:tcBorders>
            <w:shd w:val="clear" w:color="auto" w:fill="F75E14"/>
          </w:tcPr>
          <w:p>
            <w:pPr>
              <w:spacing w:after="0"/>
              <w:rPr>
                <w:sz w:val="19"/>
                <w:szCs w:val="19"/>
                <w:color w:val="auto"/>
              </w:rPr>
            </w:pPr>
          </w:p>
        </w:tc>
        <w:tc>
          <w:tcPr>
            <w:tcW w:w="200" w:type="dxa"/>
            <w:vAlign w:val="bottom"/>
            <w:shd w:val="clear" w:color="auto" w:fill="F75E14"/>
          </w:tcPr>
          <w:p>
            <w:pPr>
              <w:spacing w:after="0"/>
              <w:rPr>
                <w:sz w:val="19"/>
                <w:szCs w:val="19"/>
                <w:color w:val="auto"/>
              </w:rPr>
            </w:pPr>
          </w:p>
        </w:tc>
        <w:tc>
          <w:tcPr>
            <w:tcW w:w="7980" w:type="dxa"/>
            <w:vAlign w:val="bottom"/>
            <w:shd w:val="clear" w:color="auto" w:fill="F75E14"/>
          </w:tcPr>
          <w:p>
            <w:pPr>
              <w:jc w:val="center"/>
              <w:spacing w:after="0"/>
              <w:rPr>
                <w:sz w:val="20"/>
                <w:szCs w:val="20"/>
                <w:color w:val="auto"/>
              </w:rPr>
            </w:pPr>
            <w:r>
              <w:rPr>
                <w:rFonts w:ascii="Arial" w:cs="Arial" w:eastAsia="Arial" w:hAnsi="Arial"/>
                <w:sz w:val="16"/>
                <w:szCs w:val="16"/>
                <w:b w:val="1"/>
                <w:bCs w:val="1"/>
                <w:color w:val="FFFFFF"/>
              </w:rPr>
              <w:t>the applicable NEO’s employment agreement) within two years following a Change in Control</w:t>
            </w:r>
          </w:p>
        </w:tc>
        <w:tc>
          <w:tcPr>
            <w:tcW w:w="240" w:type="dxa"/>
            <w:vAlign w:val="bottom"/>
            <w:tcBorders>
              <w:right w:val="single" w:sz="8" w:color="auto"/>
            </w:tcBorders>
            <w:shd w:val="clear" w:color="auto" w:fill="F75E14"/>
          </w:tcPr>
          <w:p>
            <w:pPr>
              <w:spacing w:after="0"/>
              <w:rPr>
                <w:sz w:val="19"/>
                <w:szCs w:val="19"/>
                <w:color w:val="auto"/>
              </w:rPr>
            </w:pPr>
          </w:p>
        </w:tc>
        <w:tc>
          <w:tcPr>
            <w:tcW w:w="40" w:type="dxa"/>
            <w:vAlign w:val="bottom"/>
          </w:tcPr>
          <w:p>
            <w:pPr>
              <w:spacing w:after="0"/>
              <w:rPr>
                <w:sz w:val="19"/>
                <w:szCs w:val="19"/>
                <w:color w:val="auto"/>
              </w:rPr>
            </w:pPr>
          </w:p>
        </w:tc>
      </w:tr>
      <w:tr>
        <w:trPr>
          <w:trHeight w:val="60"/>
        </w:trPr>
        <w:tc>
          <w:tcPr>
            <w:tcW w:w="2380" w:type="dxa"/>
            <w:vAlign w:val="bottom"/>
            <w:tcBorders>
              <w:left w:val="single" w:sz="8" w:color="auto"/>
              <w:bottom w:val="single" w:sz="8" w:color="auto"/>
              <w:right w:val="single" w:sz="8" w:color="auto"/>
            </w:tcBorders>
            <w:shd w:val="clear" w:color="auto" w:fill="F75E14"/>
          </w:tcPr>
          <w:p>
            <w:pPr>
              <w:spacing w:after="0"/>
              <w:rPr>
                <w:sz w:val="5"/>
                <w:szCs w:val="5"/>
                <w:color w:val="auto"/>
              </w:rPr>
            </w:pPr>
          </w:p>
        </w:tc>
        <w:tc>
          <w:tcPr>
            <w:tcW w:w="200" w:type="dxa"/>
            <w:vAlign w:val="bottom"/>
            <w:tcBorders>
              <w:bottom w:val="single" w:sz="8" w:color="auto"/>
            </w:tcBorders>
            <w:shd w:val="clear" w:color="auto" w:fill="F75E14"/>
          </w:tcPr>
          <w:p>
            <w:pPr>
              <w:spacing w:after="0"/>
              <w:rPr>
                <w:sz w:val="5"/>
                <w:szCs w:val="5"/>
                <w:color w:val="auto"/>
              </w:rPr>
            </w:pPr>
          </w:p>
        </w:tc>
        <w:tc>
          <w:tcPr>
            <w:tcW w:w="7980" w:type="dxa"/>
            <w:vAlign w:val="bottom"/>
            <w:tcBorders>
              <w:bottom w:val="single" w:sz="8" w:color="auto"/>
            </w:tcBorders>
            <w:shd w:val="clear" w:color="auto" w:fill="F75E14"/>
          </w:tcPr>
          <w:p>
            <w:pPr>
              <w:spacing w:after="0"/>
              <w:rPr>
                <w:sz w:val="5"/>
                <w:szCs w:val="5"/>
                <w:color w:val="auto"/>
              </w:rPr>
            </w:pPr>
          </w:p>
        </w:tc>
        <w:tc>
          <w:tcPr>
            <w:tcW w:w="240" w:type="dxa"/>
            <w:vAlign w:val="bottom"/>
            <w:tcBorders>
              <w:bottom w:val="single" w:sz="8" w:color="auto"/>
              <w:right w:val="single" w:sz="8" w:color="auto"/>
            </w:tcBorders>
            <w:shd w:val="clear" w:color="auto" w:fill="F75E14"/>
          </w:tcPr>
          <w:p>
            <w:pPr>
              <w:spacing w:after="0"/>
              <w:rPr>
                <w:sz w:val="5"/>
                <w:szCs w:val="5"/>
                <w:color w:val="auto"/>
              </w:rPr>
            </w:pPr>
          </w:p>
        </w:tc>
        <w:tc>
          <w:tcPr>
            <w:tcW w:w="40" w:type="dxa"/>
            <w:vAlign w:val="bottom"/>
          </w:tcPr>
          <w:p>
            <w:pPr>
              <w:spacing w:after="0"/>
              <w:rPr>
                <w:sz w:val="5"/>
                <w:szCs w:val="5"/>
                <w:color w:val="auto"/>
              </w:rPr>
            </w:pPr>
          </w:p>
        </w:tc>
      </w:tr>
      <w:tr>
        <w:trPr>
          <w:trHeight w:val="220"/>
        </w:trPr>
        <w:tc>
          <w:tcPr>
            <w:tcW w:w="2380" w:type="dxa"/>
            <w:vAlign w:val="bottom"/>
            <w:tcBorders>
              <w:left w:val="single" w:sz="8" w:color="auto"/>
              <w:right w:val="single" w:sz="8" w:color="auto"/>
            </w:tcBorders>
            <w:shd w:val="clear" w:color="auto" w:fill="D8E8EF"/>
          </w:tcPr>
          <w:p>
            <w:pPr>
              <w:ind w:left="200"/>
              <w:spacing w:after="0"/>
              <w:rPr>
                <w:sz w:val="20"/>
                <w:szCs w:val="20"/>
                <w:color w:val="auto"/>
              </w:rPr>
            </w:pPr>
            <w:r>
              <w:rPr>
                <w:rFonts w:ascii="Arial" w:cs="Arial" w:eastAsia="Arial" w:hAnsi="Arial"/>
                <w:sz w:val="16"/>
                <w:szCs w:val="16"/>
                <w:b w:val="1"/>
                <w:bCs w:val="1"/>
                <w:color w:val="auto"/>
              </w:rPr>
              <w:t>Hassane El-Khoury</w:t>
            </w:r>
          </w:p>
        </w:tc>
        <w:tc>
          <w:tcPr>
            <w:tcW w:w="200" w:type="dxa"/>
            <w:vAlign w:val="bottom"/>
            <w:shd w:val="clear" w:color="auto" w:fill="D8E8EF"/>
          </w:tcPr>
          <w:p>
            <w:pPr>
              <w:ind w:left="100"/>
              <w:spacing w:after="0"/>
              <w:rPr>
                <w:sz w:val="20"/>
                <w:szCs w:val="20"/>
                <w:color w:val="auto"/>
              </w:rPr>
            </w:pPr>
            <w:r>
              <w:rPr>
                <w:rFonts w:ascii="Arial" w:cs="Arial" w:eastAsia="Arial" w:hAnsi="Arial"/>
                <w:sz w:val="16"/>
                <w:szCs w:val="16"/>
                <w:color w:val="auto"/>
              </w:rPr>
              <w:t>•</w:t>
            </w:r>
          </w:p>
        </w:tc>
        <w:tc>
          <w:tcPr>
            <w:tcW w:w="7980" w:type="dxa"/>
            <w:vAlign w:val="bottom"/>
            <w:shd w:val="clear" w:color="auto" w:fill="D8E8EF"/>
          </w:tcPr>
          <w:p>
            <w:pPr>
              <w:ind w:left="40"/>
              <w:spacing w:after="0"/>
              <w:rPr>
                <w:sz w:val="20"/>
                <w:szCs w:val="20"/>
                <w:color w:val="auto"/>
              </w:rPr>
            </w:pPr>
            <w:r>
              <w:rPr>
                <w:rFonts w:ascii="Arial" w:cs="Arial" w:eastAsia="Arial" w:hAnsi="Arial"/>
                <w:sz w:val="16"/>
                <w:szCs w:val="16"/>
                <w:color w:val="auto"/>
              </w:rPr>
              <w:t>Base salary through the date of termination</w:t>
            </w:r>
          </w:p>
        </w:tc>
        <w:tc>
          <w:tcPr>
            <w:tcW w:w="240" w:type="dxa"/>
            <w:vAlign w:val="bottom"/>
            <w:tcBorders>
              <w:right w:val="single" w:sz="8" w:color="auto"/>
            </w:tcBorders>
            <w:shd w:val="clear" w:color="auto" w:fill="D8E8EF"/>
          </w:tcPr>
          <w:p>
            <w:pPr>
              <w:spacing w:after="0"/>
              <w:rPr>
                <w:sz w:val="19"/>
                <w:szCs w:val="19"/>
                <w:color w:val="auto"/>
              </w:rPr>
            </w:pPr>
          </w:p>
        </w:tc>
        <w:tc>
          <w:tcPr>
            <w:tcW w:w="40" w:type="dxa"/>
            <w:vAlign w:val="bottom"/>
          </w:tcPr>
          <w:p>
            <w:pPr>
              <w:spacing w:after="0"/>
              <w:rPr>
                <w:sz w:val="19"/>
                <w:szCs w:val="19"/>
                <w:color w:val="auto"/>
              </w:rPr>
            </w:pPr>
          </w:p>
        </w:tc>
      </w:tr>
      <w:tr>
        <w:trPr>
          <w:trHeight w:val="187"/>
        </w:trPr>
        <w:tc>
          <w:tcPr>
            <w:tcW w:w="2380" w:type="dxa"/>
            <w:vAlign w:val="bottom"/>
            <w:tcBorders>
              <w:left w:val="single" w:sz="8" w:color="auto"/>
              <w:right w:val="single" w:sz="8" w:color="auto"/>
            </w:tcBorders>
            <w:shd w:val="clear" w:color="auto" w:fill="D8E8EF"/>
          </w:tcPr>
          <w:p>
            <w:pPr>
              <w:spacing w:after="0"/>
              <w:rPr>
                <w:sz w:val="16"/>
                <w:szCs w:val="16"/>
                <w:color w:val="auto"/>
              </w:rPr>
            </w:pPr>
          </w:p>
        </w:tc>
        <w:tc>
          <w:tcPr>
            <w:tcW w:w="200" w:type="dxa"/>
            <w:vAlign w:val="bottom"/>
            <w:shd w:val="clear" w:color="auto" w:fill="D8E8EF"/>
          </w:tcPr>
          <w:p>
            <w:pPr>
              <w:ind w:left="100"/>
              <w:spacing w:after="0"/>
              <w:rPr>
                <w:sz w:val="20"/>
                <w:szCs w:val="20"/>
                <w:color w:val="auto"/>
              </w:rPr>
            </w:pPr>
            <w:r>
              <w:rPr>
                <w:rFonts w:ascii="Arial" w:cs="Arial" w:eastAsia="Arial" w:hAnsi="Arial"/>
                <w:sz w:val="16"/>
                <w:szCs w:val="16"/>
                <w:color w:val="auto"/>
              </w:rPr>
              <w:t>•</w:t>
            </w:r>
          </w:p>
        </w:tc>
        <w:tc>
          <w:tcPr>
            <w:tcW w:w="7980" w:type="dxa"/>
            <w:vAlign w:val="bottom"/>
            <w:shd w:val="clear" w:color="auto" w:fill="D8E8EF"/>
          </w:tcPr>
          <w:p>
            <w:pPr>
              <w:ind w:left="40"/>
              <w:spacing w:after="0"/>
              <w:rPr>
                <w:sz w:val="20"/>
                <w:szCs w:val="20"/>
                <w:color w:val="auto"/>
              </w:rPr>
            </w:pPr>
            <w:r>
              <w:rPr>
                <w:rFonts w:ascii="Arial" w:cs="Arial" w:eastAsia="Arial" w:hAnsi="Arial"/>
                <w:sz w:val="16"/>
                <w:szCs w:val="16"/>
                <w:color w:val="auto"/>
              </w:rPr>
              <w:t>Two years’ continuation of base salary</w:t>
            </w:r>
          </w:p>
        </w:tc>
        <w:tc>
          <w:tcPr>
            <w:tcW w:w="240" w:type="dxa"/>
            <w:vAlign w:val="bottom"/>
            <w:tcBorders>
              <w:right w:val="single" w:sz="8" w:color="auto"/>
            </w:tcBorders>
            <w:shd w:val="clear" w:color="auto" w:fill="D8E8EF"/>
          </w:tcPr>
          <w:p>
            <w:pPr>
              <w:spacing w:after="0"/>
              <w:rPr>
                <w:sz w:val="16"/>
                <w:szCs w:val="16"/>
                <w:color w:val="auto"/>
              </w:rPr>
            </w:pPr>
          </w:p>
        </w:tc>
        <w:tc>
          <w:tcPr>
            <w:tcW w:w="40" w:type="dxa"/>
            <w:vAlign w:val="bottom"/>
          </w:tcPr>
          <w:p>
            <w:pPr>
              <w:spacing w:after="0"/>
              <w:rPr>
                <w:sz w:val="16"/>
                <w:szCs w:val="16"/>
                <w:color w:val="auto"/>
              </w:rPr>
            </w:pPr>
          </w:p>
        </w:tc>
      </w:tr>
      <w:tr>
        <w:trPr>
          <w:trHeight w:val="187"/>
        </w:trPr>
        <w:tc>
          <w:tcPr>
            <w:tcW w:w="2380" w:type="dxa"/>
            <w:vAlign w:val="bottom"/>
            <w:tcBorders>
              <w:left w:val="single" w:sz="8" w:color="auto"/>
              <w:right w:val="single" w:sz="8" w:color="auto"/>
            </w:tcBorders>
            <w:shd w:val="clear" w:color="auto" w:fill="D8E8EF"/>
          </w:tcPr>
          <w:p>
            <w:pPr>
              <w:spacing w:after="0"/>
              <w:rPr>
                <w:sz w:val="16"/>
                <w:szCs w:val="16"/>
                <w:color w:val="auto"/>
              </w:rPr>
            </w:pPr>
          </w:p>
        </w:tc>
        <w:tc>
          <w:tcPr>
            <w:tcW w:w="8420" w:type="dxa"/>
            <w:vAlign w:val="bottom"/>
            <w:tcBorders>
              <w:right w:val="single" w:sz="8" w:color="auto"/>
            </w:tcBorders>
            <w:gridSpan w:val="3"/>
            <w:shd w:val="clear" w:color="auto" w:fill="D8E8EF"/>
          </w:tcPr>
          <w:p>
            <w:pPr>
              <w:ind w:left="100"/>
              <w:spacing w:after="0"/>
              <w:rPr>
                <w:sz w:val="20"/>
                <w:szCs w:val="20"/>
                <w:color w:val="auto"/>
              </w:rPr>
            </w:pPr>
            <w:r>
              <w:rPr>
                <w:rFonts w:ascii="Arial" w:cs="Arial" w:eastAsia="Arial" w:hAnsi="Arial"/>
                <w:sz w:val="16"/>
                <w:szCs w:val="16"/>
                <w:color w:val="auto"/>
              </w:rPr>
              <w:t>• Any earned but unpaid bonus for the performance cycle that had a performance period that ended prior to the date</w:t>
            </w:r>
          </w:p>
        </w:tc>
        <w:tc>
          <w:tcPr>
            <w:tcW w:w="40" w:type="dxa"/>
            <w:vAlign w:val="bottom"/>
          </w:tcPr>
          <w:p>
            <w:pPr>
              <w:spacing w:after="0"/>
              <w:rPr>
                <w:sz w:val="16"/>
                <w:szCs w:val="16"/>
                <w:color w:val="auto"/>
              </w:rPr>
            </w:pPr>
          </w:p>
        </w:tc>
      </w:tr>
      <w:tr>
        <w:trPr>
          <w:trHeight w:val="187"/>
        </w:trPr>
        <w:tc>
          <w:tcPr>
            <w:tcW w:w="2380" w:type="dxa"/>
            <w:vAlign w:val="bottom"/>
            <w:tcBorders>
              <w:left w:val="single" w:sz="8" w:color="auto"/>
              <w:right w:val="single" w:sz="8" w:color="auto"/>
            </w:tcBorders>
            <w:shd w:val="clear" w:color="auto" w:fill="D8E8EF"/>
          </w:tcPr>
          <w:p>
            <w:pPr>
              <w:spacing w:after="0"/>
              <w:rPr>
                <w:sz w:val="16"/>
                <w:szCs w:val="16"/>
                <w:color w:val="auto"/>
              </w:rPr>
            </w:pPr>
          </w:p>
        </w:tc>
        <w:tc>
          <w:tcPr>
            <w:tcW w:w="200" w:type="dxa"/>
            <w:vAlign w:val="bottom"/>
            <w:shd w:val="clear" w:color="auto" w:fill="D8E8EF"/>
          </w:tcPr>
          <w:p>
            <w:pPr>
              <w:spacing w:after="0"/>
              <w:rPr>
                <w:sz w:val="16"/>
                <w:szCs w:val="16"/>
                <w:color w:val="auto"/>
              </w:rPr>
            </w:pPr>
          </w:p>
        </w:tc>
        <w:tc>
          <w:tcPr>
            <w:tcW w:w="7980" w:type="dxa"/>
            <w:vAlign w:val="bottom"/>
            <w:shd w:val="clear" w:color="auto" w:fill="D8E8EF"/>
          </w:tcPr>
          <w:p>
            <w:pPr>
              <w:ind w:left="60"/>
              <w:spacing w:after="0"/>
              <w:rPr>
                <w:sz w:val="20"/>
                <w:szCs w:val="20"/>
                <w:color w:val="auto"/>
              </w:rPr>
            </w:pPr>
            <w:r>
              <w:rPr>
                <w:rFonts w:ascii="Arial" w:cs="Arial" w:eastAsia="Arial" w:hAnsi="Arial"/>
                <w:sz w:val="16"/>
                <w:szCs w:val="16"/>
                <w:color w:val="auto"/>
              </w:rPr>
              <w:t>of termination</w:t>
            </w:r>
          </w:p>
        </w:tc>
        <w:tc>
          <w:tcPr>
            <w:tcW w:w="240" w:type="dxa"/>
            <w:vAlign w:val="bottom"/>
            <w:tcBorders>
              <w:right w:val="single" w:sz="8" w:color="auto"/>
            </w:tcBorders>
            <w:shd w:val="clear" w:color="auto" w:fill="D8E8EF"/>
          </w:tcPr>
          <w:p>
            <w:pPr>
              <w:spacing w:after="0"/>
              <w:rPr>
                <w:sz w:val="16"/>
                <w:szCs w:val="16"/>
                <w:color w:val="auto"/>
              </w:rPr>
            </w:pPr>
          </w:p>
        </w:tc>
        <w:tc>
          <w:tcPr>
            <w:tcW w:w="40" w:type="dxa"/>
            <w:vAlign w:val="bottom"/>
          </w:tcPr>
          <w:p>
            <w:pPr>
              <w:spacing w:after="0"/>
              <w:rPr>
                <w:sz w:val="16"/>
                <w:szCs w:val="16"/>
                <w:color w:val="auto"/>
              </w:rPr>
            </w:pPr>
          </w:p>
        </w:tc>
      </w:tr>
      <w:tr>
        <w:trPr>
          <w:trHeight w:val="187"/>
        </w:trPr>
        <w:tc>
          <w:tcPr>
            <w:tcW w:w="2380" w:type="dxa"/>
            <w:vAlign w:val="bottom"/>
            <w:tcBorders>
              <w:left w:val="single" w:sz="8" w:color="auto"/>
              <w:right w:val="single" w:sz="8" w:color="auto"/>
            </w:tcBorders>
            <w:shd w:val="clear" w:color="auto" w:fill="D8E8EF"/>
          </w:tcPr>
          <w:p>
            <w:pPr>
              <w:spacing w:after="0"/>
              <w:rPr>
                <w:sz w:val="16"/>
                <w:szCs w:val="16"/>
                <w:color w:val="auto"/>
              </w:rPr>
            </w:pPr>
          </w:p>
        </w:tc>
        <w:tc>
          <w:tcPr>
            <w:tcW w:w="8420" w:type="dxa"/>
            <w:vAlign w:val="bottom"/>
            <w:tcBorders>
              <w:right w:val="single" w:sz="8" w:color="auto"/>
            </w:tcBorders>
            <w:gridSpan w:val="3"/>
            <w:shd w:val="clear" w:color="auto" w:fill="D8E8EF"/>
          </w:tcPr>
          <w:p>
            <w:pPr>
              <w:ind w:left="100"/>
              <w:spacing w:after="0"/>
              <w:rPr>
                <w:sz w:val="20"/>
                <w:szCs w:val="20"/>
                <w:color w:val="auto"/>
              </w:rPr>
            </w:pPr>
            <w:r>
              <w:rPr>
                <w:rFonts w:ascii="Arial" w:cs="Arial" w:eastAsia="Arial" w:hAnsi="Arial"/>
                <w:sz w:val="16"/>
                <w:szCs w:val="16"/>
                <w:color w:val="auto"/>
              </w:rPr>
              <w:t>• An amount equal to two times Mr. El-Khoury’s target bonus for the performance cycle in which the date of</w:t>
            </w:r>
          </w:p>
        </w:tc>
        <w:tc>
          <w:tcPr>
            <w:tcW w:w="40" w:type="dxa"/>
            <w:vAlign w:val="bottom"/>
          </w:tcPr>
          <w:p>
            <w:pPr>
              <w:spacing w:after="0"/>
              <w:rPr>
                <w:sz w:val="16"/>
                <w:szCs w:val="16"/>
                <w:color w:val="auto"/>
              </w:rPr>
            </w:pPr>
          </w:p>
        </w:tc>
      </w:tr>
      <w:tr>
        <w:trPr>
          <w:trHeight w:val="187"/>
        </w:trPr>
        <w:tc>
          <w:tcPr>
            <w:tcW w:w="2380" w:type="dxa"/>
            <w:vAlign w:val="bottom"/>
            <w:tcBorders>
              <w:left w:val="single" w:sz="8" w:color="auto"/>
              <w:right w:val="single" w:sz="8" w:color="auto"/>
            </w:tcBorders>
            <w:shd w:val="clear" w:color="auto" w:fill="D8E8EF"/>
          </w:tcPr>
          <w:p>
            <w:pPr>
              <w:spacing w:after="0"/>
              <w:rPr>
                <w:sz w:val="16"/>
                <w:szCs w:val="16"/>
                <w:color w:val="auto"/>
              </w:rPr>
            </w:pPr>
          </w:p>
        </w:tc>
        <w:tc>
          <w:tcPr>
            <w:tcW w:w="200" w:type="dxa"/>
            <w:vAlign w:val="bottom"/>
            <w:shd w:val="clear" w:color="auto" w:fill="D8E8EF"/>
          </w:tcPr>
          <w:p>
            <w:pPr>
              <w:spacing w:after="0"/>
              <w:rPr>
                <w:sz w:val="16"/>
                <w:szCs w:val="16"/>
                <w:color w:val="auto"/>
              </w:rPr>
            </w:pPr>
          </w:p>
        </w:tc>
        <w:tc>
          <w:tcPr>
            <w:tcW w:w="8220" w:type="dxa"/>
            <w:vAlign w:val="bottom"/>
            <w:tcBorders>
              <w:right w:val="single" w:sz="8" w:color="auto"/>
            </w:tcBorders>
            <w:gridSpan w:val="2"/>
            <w:shd w:val="clear" w:color="auto" w:fill="D8E8EF"/>
          </w:tcPr>
          <w:p>
            <w:pPr>
              <w:ind w:left="60"/>
              <w:spacing w:after="0"/>
              <w:rPr>
                <w:sz w:val="20"/>
                <w:szCs w:val="20"/>
                <w:color w:val="auto"/>
              </w:rPr>
            </w:pPr>
            <w:r>
              <w:rPr>
                <w:rFonts w:ascii="Arial" w:cs="Arial" w:eastAsia="Arial" w:hAnsi="Arial"/>
                <w:sz w:val="16"/>
                <w:szCs w:val="16"/>
                <w:color w:val="auto"/>
              </w:rPr>
              <w:t>termination occurs (or four times the semi-annual amount if bonuses are paid semi-annually as of the date of his</w:t>
            </w:r>
          </w:p>
        </w:tc>
        <w:tc>
          <w:tcPr>
            <w:tcW w:w="40" w:type="dxa"/>
            <w:vAlign w:val="bottom"/>
          </w:tcPr>
          <w:p>
            <w:pPr>
              <w:spacing w:after="0"/>
              <w:rPr>
                <w:sz w:val="16"/>
                <w:szCs w:val="16"/>
                <w:color w:val="auto"/>
              </w:rPr>
            </w:pPr>
          </w:p>
        </w:tc>
      </w:tr>
      <w:tr>
        <w:trPr>
          <w:trHeight w:val="187"/>
        </w:trPr>
        <w:tc>
          <w:tcPr>
            <w:tcW w:w="2380" w:type="dxa"/>
            <w:vAlign w:val="bottom"/>
            <w:tcBorders>
              <w:left w:val="single" w:sz="8" w:color="auto"/>
              <w:right w:val="single" w:sz="8" w:color="auto"/>
            </w:tcBorders>
            <w:shd w:val="clear" w:color="auto" w:fill="D8E8EF"/>
          </w:tcPr>
          <w:p>
            <w:pPr>
              <w:spacing w:after="0"/>
              <w:rPr>
                <w:sz w:val="16"/>
                <w:szCs w:val="16"/>
                <w:color w:val="auto"/>
              </w:rPr>
            </w:pPr>
          </w:p>
        </w:tc>
        <w:tc>
          <w:tcPr>
            <w:tcW w:w="200" w:type="dxa"/>
            <w:vAlign w:val="bottom"/>
            <w:shd w:val="clear" w:color="auto" w:fill="D8E8EF"/>
          </w:tcPr>
          <w:p>
            <w:pPr>
              <w:spacing w:after="0"/>
              <w:rPr>
                <w:sz w:val="16"/>
                <w:szCs w:val="16"/>
                <w:color w:val="auto"/>
              </w:rPr>
            </w:pPr>
          </w:p>
        </w:tc>
        <w:tc>
          <w:tcPr>
            <w:tcW w:w="7980" w:type="dxa"/>
            <w:vAlign w:val="bottom"/>
            <w:shd w:val="clear" w:color="auto" w:fill="D8E8EF"/>
          </w:tcPr>
          <w:p>
            <w:pPr>
              <w:ind w:left="60"/>
              <w:spacing w:after="0"/>
              <w:rPr>
                <w:sz w:val="20"/>
                <w:szCs w:val="20"/>
                <w:color w:val="auto"/>
              </w:rPr>
            </w:pPr>
            <w:r>
              <w:rPr>
                <w:rFonts w:ascii="Arial" w:cs="Arial" w:eastAsia="Arial" w:hAnsi="Arial"/>
                <w:sz w:val="16"/>
                <w:szCs w:val="16"/>
                <w:color w:val="auto"/>
              </w:rPr>
              <w:t>termination)</w:t>
            </w:r>
          </w:p>
        </w:tc>
        <w:tc>
          <w:tcPr>
            <w:tcW w:w="240" w:type="dxa"/>
            <w:vAlign w:val="bottom"/>
            <w:tcBorders>
              <w:right w:val="single" w:sz="8" w:color="auto"/>
            </w:tcBorders>
            <w:shd w:val="clear" w:color="auto" w:fill="D8E8EF"/>
          </w:tcPr>
          <w:p>
            <w:pPr>
              <w:spacing w:after="0"/>
              <w:rPr>
                <w:sz w:val="16"/>
                <w:szCs w:val="16"/>
                <w:color w:val="auto"/>
              </w:rPr>
            </w:pPr>
          </w:p>
        </w:tc>
        <w:tc>
          <w:tcPr>
            <w:tcW w:w="40" w:type="dxa"/>
            <w:vAlign w:val="bottom"/>
          </w:tcPr>
          <w:p>
            <w:pPr>
              <w:spacing w:after="0"/>
              <w:rPr>
                <w:sz w:val="16"/>
                <w:szCs w:val="16"/>
                <w:color w:val="auto"/>
              </w:rPr>
            </w:pPr>
          </w:p>
        </w:tc>
      </w:tr>
      <w:tr>
        <w:trPr>
          <w:trHeight w:val="187"/>
        </w:trPr>
        <w:tc>
          <w:tcPr>
            <w:tcW w:w="2380" w:type="dxa"/>
            <w:vAlign w:val="bottom"/>
            <w:tcBorders>
              <w:left w:val="single" w:sz="8" w:color="auto"/>
              <w:right w:val="single" w:sz="8" w:color="auto"/>
            </w:tcBorders>
            <w:shd w:val="clear" w:color="auto" w:fill="D8E8EF"/>
          </w:tcPr>
          <w:p>
            <w:pPr>
              <w:spacing w:after="0"/>
              <w:rPr>
                <w:sz w:val="16"/>
                <w:szCs w:val="16"/>
                <w:color w:val="auto"/>
              </w:rPr>
            </w:pPr>
          </w:p>
        </w:tc>
        <w:tc>
          <w:tcPr>
            <w:tcW w:w="200" w:type="dxa"/>
            <w:vAlign w:val="bottom"/>
            <w:shd w:val="clear" w:color="auto" w:fill="D8E8EF"/>
          </w:tcPr>
          <w:p>
            <w:pPr>
              <w:ind w:left="100"/>
              <w:spacing w:after="0"/>
              <w:rPr>
                <w:sz w:val="20"/>
                <w:szCs w:val="20"/>
                <w:color w:val="auto"/>
              </w:rPr>
            </w:pPr>
            <w:r>
              <w:rPr>
                <w:rFonts w:ascii="Arial" w:cs="Arial" w:eastAsia="Arial" w:hAnsi="Arial"/>
                <w:sz w:val="16"/>
                <w:szCs w:val="16"/>
                <w:color w:val="auto"/>
              </w:rPr>
              <w:t>•</w:t>
            </w:r>
          </w:p>
        </w:tc>
        <w:tc>
          <w:tcPr>
            <w:tcW w:w="7980" w:type="dxa"/>
            <w:vAlign w:val="bottom"/>
            <w:shd w:val="clear" w:color="auto" w:fill="D8E8EF"/>
          </w:tcPr>
          <w:p>
            <w:pPr>
              <w:ind w:left="40"/>
              <w:spacing w:after="0"/>
              <w:rPr>
                <w:sz w:val="20"/>
                <w:szCs w:val="20"/>
                <w:color w:val="auto"/>
              </w:rPr>
            </w:pPr>
            <w:r>
              <w:rPr>
                <w:rFonts w:ascii="Arial" w:cs="Arial" w:eastAsia="Arial" w:hAnsi="Arial"/>
                <w:sz w:val="16"/>
                <w:szCs w:val="16"/>
                <w:color w:val="auto"/>
              </w:rPr>
              <w:t>Full vesting of any then-unvested RSUs</w:t>
            </w:r>
          </w:p>
        </w:tc>
        <w:tc>
          <w:tcPr>
            <w:tcW w:w="240" w:type="dxa"/>
            <w:vAlign w:val="bottom"/>
            <w:tcBorders>
              <w:right w:val="single" w:sz="8" w:color="auto"/>
            </w:tcBorders>
            <w:shd w:val="clear" w:color="auto" w:fill="D8E8EF"/>
          </w:tcPr>
          <w:p>
            <w:pPr>
              <w:spacing w:after="0"/>
              <w:rPr>
                <w:sz w:val="16"/>
                <w:szCs w:val="16"/>
                <w:color w:val="auto"/>
              </w:rPr>
            </w:pPr>
          </w:p>
        </w:tc>
        <w:tc>
          <w:tcPr>
            <w:tcW w:w="40" w:type="dxa"/>
            <w:vAlign w:val="bottom"/>
          </w:tcPr>
          <w:p>
            <w:pPr>
              <w:spacing w:after="0"/>
              <w:rPr>
                <w:sz w:val="16"/>
                <w:szCs w:val="16"/>
                <w:color w:val="auto"/>
              </w:rPr>
            </w:pPr>
          </w:p>
        </w:tc>
      </w:tr>
      <w:tr>
        <w:trPr>
          <w:trHeight w:val="187"/>
        </w:trPr>
        <w:tc>
          <w:tcPr>
            <w:tcW w:w="2380" w:type="dxa"/>
            <w:vAlign w:val="bottom"/>
            <w:tcBorders>
              <w:left w:val="single" w:sz="8" w:color="auto"/>
              <w:right w:val="single" w:sz="8" w:color="auto"/>
            </w:tcBorders>
            <w:shd w:val="clear" w:color="auto" w:fill="D8E8EF"/>
          </w:tcPr>
          <w:p>
            <w:pPr>
              <w:spacing w:after="0"/>
              <w:rPr>
                <w:sz w:val="16"/>
                <w:szCs w:val="16"/>
                <w:color w:val="auto"/>
              </w:rPr>
            </w:pPr>
          </w:p>
        </w:tc>
        <w:tc>
          <w:tcPr>
            <w:tcW w:w="200" w:type="dxa"/>
            <w:vAlign w:val="bottom"/>
            <w:shd w:val="clear" w:color="auto" w:fill="D8E8EF"/>
          </w:tcPr>
          <w:p>
            <w:pPr>
              <w:ind w:left="100"/>
              <w:spacing w:after="0"/>
              <w:rPr>
                <w:sz w:val="20"/>
                <w:szCs w:val="20"/>
                <w:color w:val="auto"/>
              </w:rPr>
            </w:pPr>
            <w:r>
              <w:rPr>
                <w:rFonts w:ascii="Arial" w:cs="Arial" w:eastAsia="Arial" w:hAnsi="Arial"/>
                <w:sz w:val="16"/>
                <w:szCs w:val="16"/>
                <w:color w:val="auto"/>
              </w:rPr>
              <w:t>•</w:t>
            </w:r>
          </w:p>
        </w:tc>
        <w:tc>
          <w:tcPr>
            <w:tcW w:w="7980" w:type="dxa"/>
            <w:vAlign w:val="bottom"/>
            <w:shd w:val="clear" w:color="auto" w:fill="D8E8EF"/>
          </w:tcPr>
          <w:p>
            <w:pPr>
              <w:ind w:left="40"/>
              <w:spacing w:after="0"/>
              <w:rPr>
                <w:sz w:val="20"/>
                <w:szCs w:val="20"/>
                <w:color w:val="auto"/>
              </w:rPr>
            </w:pPr>
            <w:r>
              <w:rPr>
                <w:rFonts w:ascii="Arial" w:cs="Arial" w:eastAsia="Arial" w:hAnsi="Arial"/>
                <w:sz w:val="16"/>
                <w:szCs w:val="16"/>
                <w:color w:val="auto"/>
              </w:rPr>
              <w:t>Full vesting of any then-unvested PBRSUs at target</w:t>
            </w:r>
          </w:p>
        </w:tc>
        <w:tc>
          <w:tcPr>
            <w:tcW w:w="240" w:type="dxa"/>
            <w:vAlign w:val="bottom"/>
            <w:tcBorders>
              <w:right w:val="single" w:sz="8" w:color="auto"/>
            </w:tcBorders>
            <w:shd w:val="clear" w:color="auto" w:fill="D8E8EF"/>
          </w:tcPr>
          <w:p>
            <w:pPr>
              <w:spacing w:after="0"/>
              <w:rPr>
                <w:sz w:val="16"/>
                <w:szCs w:val="16"/>
                <w:color w:val="auto"/>
              </w:rPr>
            </w:pPr>
          </w:p>
        </w:tc>
        <w:tc>
          <w:tcPr>
            <w:tcW w:w="40" w:type="dxa"/>
            <w:vAlign w:val="bottom"/>
          </w:tcPr>
          <w:p>
            <w:pPr>
              <w:spacing w:after="0"/>
              <w:rPr>
                <w:sz w:val="16"/>
                <w:szCs w:val="16"/>
                <w:color w:val="auto"/>
              </w:rPr>
            </w:pPr>
          </w:p>
        </w:tc>
      </w:tr>
      <w:tr>
        <w:trPr>
          <w:trHeight w:val="187"/>
        </w:trPr>
        <w:tc>
          <w:tcPr>
            <w:tcW w:w="2380" w:type="dxa"/>
            <w:vAlign w:val="bottom"/>
            <w:tcBorders>
              <w:left w:val="single" w:sz="8" w:color="auto"/>
              <w:right w:val="single" w:sz="8" w:color="auto"/>
            </w:tcBorders>
            <w:shd w:val="clear" w:color="auto" w:fill="D8E8EF"/>
          </w:tcPr>
          <w:p>
            <w:pPr>
              <w:spacing w:after="0"/>
              <w:rPr>
                <w:sz w:val="16"/>
                <w:szCs w:val="16"/>
                <w:color w:val="auto"/>
              </w:rPr>
            </w:pPr>
          </w:p>
        </w:tc>
        <w:tc>
          <w:tcPr>
            <w:tcW w:w="200" w:type="dxa"/>
            <w:vAlign w:val="bottom"/>
            <w:shd w:val="clear" w:color="auto" w:fill="D8E8EF"/>
          </w:tcPr>
          <w:p>
            <w:pPr>
              <w:ind w:left="100"/>
              <w:spacing w:after="0"/>
              <w:rPr>
                <w:sz w:val="20"/>
                <w:szCs w:val="20"/>
                <w:color w:val="auto"/>
              </w:rPr>
            </w:pPr>
            <w:r>
              <w:rPr>
                <w:rFonts w:ascii="Arial" w:cs="Arial" w:eastAsia="Arial" w:hAnsi="Arial"/>
                <w:sz w:val="16"/>
                <w:szCs w:val="16"/>
                <w:color w:val="auto"/>
              </w:rPr>
              <w:t>•</w:t>
            </w:r>
          </w:p>
        </w:tc>
        <w:tc>
          <w:tcPr>
            <w:tcW w:w="8220" w:type="dxa"/>
            <w:vAlign w:val="bottom"/>
            <w:tcBorders>
              <w:right w:val="single" w:sz="8" w:color="auto"/>
            </w:tcBorders>
            <w:gridSpan w:val="2"/>
            <w:shd w:val="clear" w:color="auto" w:fill="D8E8EF"/>
          </w:tcPr>
          <w:p>
            <w:pPr>
              <w:ind w:left="40"/>
              <w:spacing w:after="0"/>
              <w:rPr>
                <w:sz w:val="20"/>
                <w:szCs w:val="20"/>
                <w:color w:val="auto"/>
              </w:rPr>
            </w:pPr>
            <w:r>
              <w:rPr>
                <w:rFonts w:ascii="Arial" w:cs="Arial" w:eastAsia="Arial" w:hAnsi="Arial"/>
                <w:sz w:val="16"/>
                <w:szCs w:val="16"/>
                <w:color w:val="auto"/>
              </w:rPr>
              <w:t>Medical, dental and vision benefits for two years following termination and six months of outplacement assistance</w:t>
            </w:r>
          </w:p>
        </w:tc>
        <w:tc>
          <w:tcPr>
            <w:tcW w:w="40" w:type="dxa"/>
            <w:vAlign w:val="bottom"/>
          </w:tcPr>
          <w:p>
            <w:pPr>
              <w:spacing w:after="0"/>
              <w:rPr>
                <w:sz w:val="16"/>
                <w:szCs w:val="16"/>
                <w:color w:val="auto"/>
              </w:rPr>
            </w:pPr>
          </w:p>
        </w:tc>
      </w:tr>
      <w:tr>
        <w:trPr>
          <w:trHeight w:val="211"/>
        </w:trPr>
        <w:tc>
          <w:tcPr>
            <w:tcW w:w="2380" w:type="dxa"/>
            <w:vAlign w:val="bottom"/>
            <w:tcBorders>
              <w:left w:val="single" w:sz="8" w:color="auto"/>
              <w:right w:val="single" w:sz="8" w:color="auto"/>
            </w:tcBorders>
            <w:shd w:val="clear" w:color="auto" w:fill="D8E8EF"/>
          </w:tcPr>
          <w:p>
            <w:pPr>
              <w:spacing w:after="0"/>
              <w:rPr>
                <w:sz w:val="18"/>
                <w:szCs w:val="18"/>
                <w:color w:val="auto"/>
              </w:rPr>
            </w:pPr>
          </w:p>
        </w:tc>
        <w:tc>
          <w:tcPr>
            <w:tcW w:w="200" w:type="dxa"/>
            <w:vAlign w:val="bottom"/>
            <w:shd w:val="clear" w:color="auto" w:fill="D8E8EF"/>
          </w:tcPr>
          <w:p>
            <w:pPr>
              <w:spacing w:after="0"/>
              <w:rPr>
                <w:sz w:val="18"/>
                <w:szCs w:val="18"/>
                <w:color w:val="auto"/>
              </w:rPr>
            </w:pPr>
          </w:p>
        </w:tc>
        <w:tc>
          <w:tcPr>
            <w:tcW w:w="7980" w:type="dxa"/>
            <w:vAlign w:val="bottom"/>
            <w:shd w:val="clear" w:color="auto" w:fill="D8E8EF"/>
          </w:tcPr>
          <w:p>
            <w:pPr>
              <w:ind w:left="60"/>
              <w:spacing w:after="0"/>
              <w:rPr>
                <w:sz w:val="20"/>
                <w:szCs w:val="20"/>
                <w:color w:val="auto"/>
              </w:rPr>
            </w:pPr>
            <w:r>
              <w:rPr>
                <w:rFonts w:ascii="Arial" w:cs="Arial" w:eastAsia="Arial" w:hAnsi="Arial"/>
                <w:sz w:val="16"/>
                <w:szCs w:val="16"/>
                <w:color w:val="auto"/>
              </w:rPr>
              <w:t>at a cost of up to $25,000, without any tax gross-ups</w:t>
            </w:r>
          </w:p>
        </w:tc>
        <w:tc>
          <w:tcPr>
            <w:tcW w:w="240" w:type="dxa"/>
            <w:vAlign w:val="bottom"/>
            <w:tcBorders>
              <w:right w:val="single" w:sz="8" w:color="auto"/>
            </w:tcBorders>
            <w:shd w:val="clear" w:color="auto" w:fill="D8E8EF"/>
          </w:tcPr>
          <w:p>
            <w:pPr>
              <w:spacing w:after="0"/>
              <w:rPr>
                <w:sz w:val="18"/>
                <w:szCs w:val="18"/>
                <w:color w:val="auto"/>
              </w:rPr>
            </w:pPr>
          </w:p>
        </w:tc>
        <w:tc>
          <w:tcPr>
            <w:tcW w:w="40" w:type="dxa"/>
            <w:vAlign w:val="bottom"/>
          </w:tcPr>
          <w:p>
            <w:pPr>
              <w:spacing w:after="0"/>
              <w:rPr>
                <w:sz w:val="18"/>
                <w:szCs w:val="18"/>
                <w:color w:val="auto"/>
              </w:rPr>
            </w:pPr>
          </w:p>
        </w:tc>
      </w:tr>
      <w:tr>
        <w:trPr>
          <w:trHeight w:val="70"/>
        </w:trPr>
        <w:tc>
          <w:tcPr>
            <w:tcW w:w="2380" w:type="dxa"/>
            <w:vAlign w:val="bottom"/>
            <w:tcBorders>
              <w:left w:val="single" w:sz="8" w:color="auto"/>
              <w:bottom w:val="single" w:sz="8" w:color="auto"/>
              <w:right w:val="single" w:sz="8" w:color="auto"/>
            </w:tcBorders>
            <w:shd w:val="clear" w:color="auto" w:fill="D8E8EF"/>
          </w:tcPr>
          <w:p>
            <w:pPr>
              <w:spacing w:after="0"/>
              <w:rPr>
                <w:sz w:val="6"/>
                <w:szCs w:val="6"/>
                <w:color w:val="auto"/>
              </w:rPr>
            </w:pPr>
          </w:p>
        </w:tc>
        <w:tc>
          <w:tcPr>
            <w:tcW w:w="200" w:type="dxa"/>
            <w:vAlign w:val="bottom"/>
            <w:tcBorders>
              <w:bottom w:val="single" w:sz="8" w:color="auto"/>
            </w:tcBorders>
            <w:shd w:val="clear" w:color="auto" w:fill="D8E8EF"/>
          </w:tcPr>
          <w:p>
            <w:pPr>
              <w:spacing w:after="0"/>
              <w:rPr>
                <w:sz w:val="6"/>
                <w:szCs w:val="6"/>
                <w:color w:val="auto"/>
              </w:rPr>
            </w:pPr>
          </w:p>
        </w:tc>
        <w:tc>
          <w:tcPr>
            <w:tcW w:w="7980" w:type="dxa"/>
            <w:vAlign w:val="bottom"/>
            <w:tcBorders>
              <w:bottom w:val="single" w:sz="8" w:color="auto"/>
            </w:tcBorders>
            <w:shd w:val="clear" w:color="auto" w:fill="D8E8EF"/>
          </w:tcPr>
          <w:p>
            <w:pPr>
              <w:spacing w:after="0"/>
              <w:rPr>
                <w:sz w:val="6"/>
                <w:szCs w:val="6"/>
                <w:color w:val="auto"/>
              </w:rPr>
            </w:pPr>
          </w:p>
        </w:tc>
        <w:tc>
          <w:tcPr>
            <w:tcW w:w="240" w:type="dxa"/>
            <w:vAlign w:val="bottom"/>
            <w:tcBorders>
              <w:bottom w:val="single" w:sz="8" w:color="auto"/>
              <w:right w:val="single" w:sz="8" w:color="auto"/>
            </w:tcBorders>
            <w:shd w:val="clear" w:color="auto" w:fill="D8E8EF"/>
          </w:tcPr>
          <w:p>
            <w:pPr>
              <w:spacing w:after="0"/>
              <w:rPr>
                <w:sz w:val="6"/>
                <w:szCs w:val="6"/>
                <w:color w:val="auto"/>
              </w:rPr>
            </w:pPr>
          </w:p>
        </w:tc>
        <w:tc>
          <w:tcPr>
            <w:tcW w:w="40" w:type="dxa"/>
            <w:vAlign w:val="bottom"/>
          </w:tcPr>
          <w:p>
            <w:pPr>
              <w:spacing w:after="0"/>
              <w:rPr>
                <w:sz w:val="6"/>
                <w:szCs w:val="6"/>
                <w:color w:val="auto"/>
              </w:rPr>
            </w:pPr>
          </w:p>
        </w:tc>
      </w:tr>
      <w:tr>
        <w:trPr>
          <w:trHeight w:val="220"/>
        </w:trPr>
        <w:tc>
          <w:tcPr>
            <w:tcW w:w="2380" w:type="dxa"/>
            <w:vAlign w:val="bottom"/>
            <w:tcBorders>
              <w:left w:val="single" w:sz="8" w:color="auto"/>
              <w:right w:val="single" w:sz="8" w:color="auto"/>
            </w:tcBorders>
          </w:tcPr>
          <w:p>
            <w:pPr>
              <w:ind w:left="200"/>
              <w:spacing w:after="0"/>
              <w:rPr>
                <w:sz w:val="20"/>
                <w:szCs w:val="20"/>
                <w:color w:val="auto"/>
              </w:rPr>
            </w:pPr>
            <w:r>
              <w:rPr>
                <w:rFonts w:ascii="Arial" w:cs="Arial" w:eastAsia="Arial" w:hAnsi="Arial"/>
                <w:sz w:val="16"/>
                <w:szCs w:val="16"/>
                <w:b w:val="1"/>
                <w:bCs w:val="1"/>
                <w:color w:val="auto"/>
              </w:rPr>
              <w:t>Thad Trent</w:t>
            </w:r>
          </w:p>
        </w:tc>
        <w:tc>
          <w:tcPr>
            <w:tcW w:w="200" w:type="dxa"/>
            <w:vAlign w:val="bottom"/>
          </w:tcPr>
          <w:p>
            <w:pPr>
              <w:ind w:left="100"/>
              <w:spacing w:after="0"/>
              <w:rPr>
                <w:sz w:val="20"/>
                <w:szCs w:val="20"/>
                <w:color w:val="auto"/>
              </w:rPr>
            </w:pPr>
            <w:r>
              <w:rPr>
                <w:rFonts w:ascii="Arial" w:cs="Arial" w:eastAsia="Arial" w:hAnsi="Arial"/>
                <w:sz w:val="16"/>
                <w:szCs w:val="16"/>
                <w:color w:val="auto"/>
              </w:rPr>
              <w:t>•</w:t>
            </w:r>
          </w:p>
        </w:tc>
        <w:tc>
          <w:tcPr>
            <w:tcW w:w="7980" w:type="dxa"/>
            <w:vAlign w:val="bottom"/>
          </w:tcPr>
          <w:p>
            <w:pPr>
              <w:ind w:left="40"/>
              <w:spacing w:after="0"/>
              <w:rPr>
                <w:sz w:val="20"/>
                <w:szCs w:val="20"/>
                <w:color w:val="auto"/>
              </w:rPr>
            </w:pPr>
            <w:r>
              <w:rPr>
                <w:rFonts w:ascii="Arial" w:cs="Arial" w:eastAsia="Arial" w:hAnsi="Arial"/>
                <w:sz w:val="16"/>
                <w:szCs w:val="16"/>
                <w:color w:val="auto"/>
              </w:rPr>
              <w:t>Base salary through the date of termination</w:t>
            </w:r>
          </w:p>
        </w:tc>
        <w:tc>
          <w:tcPr>
            <w:tcW w:w="2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187"/>
        </w:trPr>
        <w:tc>
          <w:tcPr>
            <w:tcW w:w="2380" w:type="dxa"/>
            <w:vAlign w:val="bottom"/>
            <w:tcBorders>
              <w:left w:val="single" w:sz="8" w:color="auto"/>
              <w:right w:val="single" w:sz="8" w:color="auto"/>
            </w:tcBorders>
          </w:tcPr>
          <w:p>
            <w:pPr>
              <w:spacing w:after="0"/>
              <w:rPr>
                <w:sz w:val="16"/>
                <w:szCs w:val="16"/>
                <w:color w:val="auto"/>
              </w:rPr>
            </w:pPr>
          </w:p>
        </w:tc>
        <w:tc>
          <w:tcPr>
            <w:tcW w:w="200" w:type="dxa"/>
            <w:vAlign w:val="bottom"/>
          </w:tcPr>
          <w:p>
            <w:pPr>
              <w:ind w:left="100"/>
              <w:spacing w:after="0"/>
              <w:rPr>
                <w:sz w:val="20"/>
                <w:szCs w:val="20"/>
                <w:color w:val="auto"/>
              </w:rPr>
            </w:pPr>
            <w:r>
              <w:rPr>
                <w:rFonts w:ascii="Arial" w:cs="Arial" w:eastAsia="Arial" w:hAnsi="Arial"/>
                <w:sz w:val="16"/>
                <w:szCs w:val="16"/>
                <w:color w:val="auto"/>
              </w:rPr>
              <w:t>•</w:t>
            </w:r>
          </w:p>
        </w:tc>
        <w:tc>
          <w:tcPr>
            <w:tcW w:w="7980" w:type="dxa"/>
            <w:vAlign w:val="bottom"/>
          </w:tcPr>
          <w:p>
            <w:pPr>
              <w:ind w:left="40"/>
              <w:spacing w:after="0"/>
              <w:rPr>
                <w:sz w:val="20"/>
                <w:szCs w:val="20"/>
                <w:color w:val="auto"/>
              </w:rPr>
            </w:pPr>
            <w:r>
              <w:rPr>
                <w:rFonts w:ascii="Arial" w:cs="Arial" w:eastAsia="Arial" w:hAnsi="Arial"/>
                <w:sz w:val="16"/>
                <w:szCs w:val="16"/>
                <w:color w:val="auto"/>
              </w:rPr>
              <w:t>78 weeks’ continuation of base salary</w:t>
            </w:r>
          </w:p>
        </w:tc>
        <w:tc>
          <w:tcPr>
            <w:tcW w:w="24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r>
      <w:tr>
        <w:trPr>
          <w:trHeight w:val="187"/>
        </w:trPr>
        <w:tc>
          <w:tcPr>
            <w:tcW w:w="2380" w:type="dxa"/>
            <w:vAlign w:val="bottom"/>
            <w:tcBorders>
              <w:left w:val="single" w:sz="8" w:color="auto"/>
              <w:right w:val="single" w:sz="8" w:color="auto"/>
            </w:tcBorders>
          </w:tcPr>
          <w:p>
            <w:pPr>
              <w:spacing w:after="0"/>
              <w:rPr>
                <w:sz w:val="16"/>
                <w:szCs w:val="16"/>
                <w:color w:val="auto"/>
              </w:rPr>
            </w:pPr>
          </w:p>
        </w:tc>
        <w:tc>
          <w:tcPr>
            <w:tcW w:w="8420" w:type="dxa"/>
            <w:vAlign w:val="bottom"/>
            <w:tcBorders>
              <w:right w:val="single" w:sz="8" w:color="auto"/>
            </w:tcBorders>
            <w:gridSpan w:val="3"/>
          </w:tcPr>
          <w:p>
            <w:pPr>
              <w:ind w:left="100"/>
              <w:spacing w:after="0"/>
              <w:rPr>
                <w:sz w:val="20"/>
                <w:szCs w:val="20"/>
                <w:color w:val="auto"/>
              </w:rPr>
            </w:pPr>
            <w:r>
              <w:rPr>
                <w:rFonts w:ascii="Arial" w:cs="Arial" w:eastAsia="Arial" w:hAnsi="Arial"/>
                <w:sz w:val="16"/>
                <w:szCs w:val="16"/>
                <w:color w:val="auto"/>
              </w:rPr>
              <w:t>• Any earned but unpaid bonus for the performance cycle that had a performance period that ended prior to the date</w:t>
            </w:r>
          </w:p>
        </w:tc>
        <w:tc>
          <w:tcPr>
            <w:tcW w:w="40" w:type="dxa"/>
            <w:vAlign w:val="bottom"/>
          </w:tcPr>
          <w:p>
            <w:pPr>
              <w:spacing w:after="0"/>
              <w:rPr>
                <w:sz w:val="16"/>
                <w:szCs w:val="16"/>
                <w:color w:val="auto"/>
              </w:rPr>
            </w:pPr>
          </w:p>
        </w:tc>
      </w:tr>
      <w:tr>
        <w:trPr>
          <w:trHeight w:val="187"/>
        </w:trPr>
        <w:tc>
          <w:tcPr>
            <w:tcW w:w="2380" w:type="dxa"/>
            <w:vAlign w:val="bottom"/>
            <w:tcBorders>
              <w:left w:val="single" w:sz="8" w:color="auto"/>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7980" w:type="dxa"/>
            <w:vAlign w:val="bottom"/>
          </w:tcPr>
          <w:p>
            <w:pPr>
              <w:ind w:left="60"/>
              <w:spacing w:after="0"/>
              <w:rPr>
                <w:sz w:val="20"/>
                <w:szCs w:val="20"/>
                <w:color w:val="auto"/>
              </w:rPr>
            </w:pPr>
            <w:r>
              <w:rPr>
                <w:rFonts w:ascii="Arial" w:cs="Arial" w:eastAsia="Arial" w:hAnsi="Arial"/>
                <w:sz w:val="16"/>
                <w:szCs w:val="16"/>
                <w:color w:val="auto"/>
              </w:rPr>
              <w:t>of termination</w:t>
            </w:r>
          </w:p>
        </w:tc>
        <w:tc>
          <w:tcPr>
            <w:tcW w:w="24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r>
      <w:tr>
        <w:trPr>
          <w:trHeight w:val="187"/>
        </w:trPr>
        <w:tc>
          <w:tcPr>
            <w:tcW w:w="2380" w:type="dxa"/>
            <w:vAlign w:val="bottom"/>
            <w:tcBorders>
              <w:left w:val="single" w:sz="8" w:color="auto"/>
              <w:right w:val="single" w:sz="8" w:color="auto"/>
            </w:tcBorders>
          </w:tcPr>
          <w:p>
            <w:pPr>
              <w:spacing w:after="0"/>
              <w:rPr>
                <w:sz w:val="16"/>
                <w:szCs w:val="16"/>
                <w:color w:val="auto"/>
              </w:rPr>
            </w:pPr>
          </w:p>
        </w:tc>
        <w:tc>
          <w:tcPr>
            <w:tcW w:w="8420" w:type="dxa"/>
            <w:vAlign w:val="bottom"/>
            <w:tcBorders>
              <w:right w:val="single" w:sz="8" w:color="auto"/>
            </w:tcBorders>
            <w:gridSpan w:val="3"/>
          </w:tcPr>
          <w:p>
            <w:pPr>
              <w:ind w:left="100"/>
              <w:spacing w:after="0"/>
              <w:rPr>
                <w:sz w:val="20"/>
                <w:szCs w:val="20"/>
                <w:color w:val="auto"/>
              </w:rPr>
            </w:pPr>
            <w:r>
              <w:rPr>
                <w:rFonts w:ascii="Arial" w:cs="Arial" w:eastAsia="Arial" w:hAnsi="Arial"/>
                <w:sz w:val="16"/>
                <w:szCs w:val="16"/>
                <w:color w:val="auto"/>
              </w:rPr>
              <w:t>• An amount equal to 1.5 times Mr. Trent’s target bonus for the performance cycle in which the date of termination</w:t>
            </w:r>
          </w:p>
        </w:tc>
        <w:tc>
          <w:tcPr>
            <w:tcW w:w="40" w:type="dxa"/>
            <w:vAlign w:val="bottom"/>
          </w:tcPr>
          <w:p>
            <w:pPr>
              <w:spacing w:after="0"/>
              <w:rPr>
                <w:sz w:val="16"/>
                <w:szCs w:val="16"/>
                <w:color w:val="auto"/>
              </w:rPr>
            </w:pPr>
          </w:p>
        </w:tc>
      </w:tr>
      <w:tr>
        <w:trPr>
          <w:trHeight w:val="187"/>
        </w:trPr>
        <w:tc>
          <w:tcPr>
            <w:tcW w:w="2380" w:type="dxa"/>
            <w:vAlign w:val="bottom"/>
            <w:tcBorders>
              <w:left w:val="single" w:sz="8" w:color="auto"/>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8220" w:type="dxa"/>
            <w:vAlign w:val="bottom"/>
            <w:tcBorders>
              <w:right w:val="single" w:sz="8" w:color="auto"/>
            </w:tcBorders>
            <w:gridSpan w:val="2"/>
          </w:tcPr>
          <w:p>
            <w:pPr>
              <w:ind w:left="60"/>
              <w:spacing w:after="0"/>
              <w:rPr>
                <w:sz w:val="20"/>
                <w:szCs w:val="20"/>
                <w:color w:val="auto"/>
              </w:rPr>
            </w:pPr>
            <w:r>
              <w:rPr>
                <w:rFonts w:ascii="Arial" w:cs="Arial" w:eastAsia="Arial" w:hAnsi="Arial"/>
                <w:sz w:val="16"/>
                <w:szCs w:val="16"/>
                <w:color w:val="auto"/>
              </w:rPr>
              <w:t>occurs (or three times the semi-annual amount if bonuses are paid semi-annually as of the date of his termination)</w:t>
            </w:r>
          </w:p>
        </w:tc>
        <w:tc>
          <w:tcPr>
            <w:tcW w:w="40" w:type="dxa"/>
            <w:vAlign w:val="bottom"/>
          </w:tcPr>
          <w:p>
            <w:pPr>
              <w:spacing w:after="0"/>
              <w:rPr>
                <w:sz w:val="16"/>
                <w:szCs w:val="16"/>
                <w:color w:val="auto"/>
              </w:rPr>
            </w:pPr>
          </w:p>
        </w:tc>
      </w:tr>
      <w:tr>
        <w:trPr>
          <w:trHeight w:val="187"/>
        </w:trPr>
        <w:tc>
          <w:tcPr>
            <w:tcW w:w="2380" w:type="dxa"/>
            <w:vAlign w:val="bottom"/>
            <w:tcBorders>
              <w:left w:val="single" w:sz="8" w:color="auto"/>
              <w:right w:val="single" w:sz="8" w:color="auto"/>
            </w:tcBorders>
          </w:tcPr>
          <w:p>
            <w:pPr>
              <w:spacing w:after="0"/>
              <w:rPr>
                <w:sz w:val="16"/>
                <w:szCs w:val="16"/>
                <w:color w:val="auto"/>
              </w:rPr>
            </w:pPr>
          </w:p>
        </w:tc>
        <w:tc>
          <w:tcPr>
            <w:tcW w:w="200" w:type="dxa"/>
            <w:vAlign w:val="bottom"/>
          </w:tcPr>
          <w:p>
            <w:pPr>
              <w:ind w:left="100"/>
              <w:spacing w:after="0"/>
              <w:rPr>
                <w:sz w:val="20"/>
                <w:szCs w:val="20"/>
                <w:color w:val="auto"/>
              </w:rPr>
            </w:pPr>
            <w:r>
              <w:rPr>
                <w:rFonts w:ascii="Arial" w:cs="Arial" w:eastAsia="Arial" w:hAnsi="Arial"/>
                <w:sz w:val="16"/>
                <w:szCs w:val="16"/>
                <w:color w:val="auto"/>
              </w:rPr>
              <w:t>•</w:t>
            </w:r>
          </w:p>
        </w:tc>
        <w:tc>
          <w:tcPr>
            <w:tcW w:w="7980" w:type="dxa"/>
            <w:vAlign w:val="bottom"/>
          </w:tcPr>
          <w:p>
            <w:pPr>
              <w:ind w:left="40"/>
              <w:spacing w:after="0"/>
              <w:rPr>
                <w:sz w:val="20"/>
                <w:szCs w:val="20"/>
                <w:color w:val="auto"/>
              </w:rPr>
            </w:pPr>
            <w:r>
              <w:rPr>
                <w:rFonts w:ascii="Arial" w:cs="Arial" w:eastAsia="Arial" w:hAnsi="Arial"/>
                <w:sz w:val="16"/>
                <w:szCs w:val="16"/>
                <w:color w:val="auto"/>
              </w:rPr>
              <w:t>Full vesting of any then-unvested RSUs</w:t>
            </w:r>
          </w:p>
        </w:tc>
        <w:tc>
          <w:tcPr>
            <w:tcW w:w="24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r>
      <w:tr>
        <w:trPr>
          <w:trHeight w:val="187"/>
        </w:trPr>
        <w:tc>
          <w:tcPr>
            <w:tcW w:w="2380" w:type="dxa"/>
            <w:vAlign w:val="bottom"/>
            <w:tcBorders>
              <w:left w:val="single" w:sz="8" w:color="auto"/>
              <w:right w:val="single" w:sz="8" w:color="auto"/>
            </w:tcBorders>
          </w:tcPr>
          <w:p>
            <w:pPr>
              <w:spacing w:after="0"/>
              <w:rPr>
                <w:sz w:val="16"/>
                <w:szCs w:val="16"/>
                <w:color w:val="auto"/>
              </w:rPr>
            </w:pPr>
          </w:p>
        </w:tc>
        <w:tc>
          <w:tcPr>
            <w:tcW w:w="200" w:type="dxa"/>
            <w:vAlign w:val="bottom"/>
          </w:tcPr>
          <w:p>
            <w:pPr>
              <w:ind w:left="100"/>
              <w:spacing w:after="0"/>
              <w:rPr>
                <w:sz w:val="20"/>
                <w:szCs w:val="20"/>
                <w:color w:val="auto"/>
              </w:rPr>
            </w:pPr>
            <w:r>
              <w:rPr>
                <w:rFonts w:ascii="Arial" w:cs="Arial" w:eastAsia="Arial" w:hAnsi="Arial"/>
                <w:sz w:val="16"/>
                <w:szCs w:val="16"/>
                <w:color w:val="auto"/>
              </w:rPr>
              <w:t>•</w:t>
            </w:r>
          </w:p>
        </w:tc>
        <w:tc>
          <w:tcPr>
            <w:tcW w:w="7980" w:type="dxa"/>
            <w:vAlign w:val="bottom"/>
          </w:tcPr>
          <w:p>
            <w:pPr>
              <w:ind w:left="40"/>
              <w:spacing w:after="0"/>
              <w:rPr>
                <w:sz w:val="20"/>
                <w:szCs w:val="20"/>
                <w:color w:val="auto"/>
              </w:rPr>
            </w:pPr>
            <w:r>
              <w:rPr>
                <w:rFonts w:ascii="Arial" w:cs="Arial" w:eastAsia="Arial" w:hAnsi="Arial"/>
                <w:sz w:val="16"/>
                <w:szCs w:val="16"/>
                <w:color w:val="auto"/>
              </w:rPr>
              <w:t>Full vesting of any then-unvested PBRSUs at target</w:t>
            </w:r>
          </w:p>
        </w:tc>
        <w:tc>
          <w:tcPr>
            <w:tcW w:w="24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r>
      <w:tr>
        <w:trPr>
          <w:trHeight w:val="187"/>
        </w:trPr>
        <w:tc>
          <w:tcPr>
            <w:tcW w:w="2380" w:type="dxa"/>
            <w:vAlign w:val="bottom"/>
            <w:tcBorders>
              <w:left w:val="single" w:sz="8" w:color="auto"/>
              <w:right w:val="single" w:sz="8" w:color="auto"/>
            </w:tcBorders>
          </w:tcPr>
          <w:p>
            <w:pPr>
              <w:spacing w:after="0"/>
              <w:rPr>
                <w:sz w:val="16"/>
                <w:szCs w:val="16"/>
                <w:color w:val="auto"/>
              </w:rPr>
            </w:pPr>
          </w:p>
        </w:tc>
        <w:tc>
          <w:tcPr>
            <w:tcW w:w="200" w:type="dxa"/>
            <w:vAlign w:val="bottom"/>
          </w:tcPr>
          <w:p>
            <w:pPr>
              <w:ind w:left="100"/>
              <w:spacing w:after="0"/>
              <w:rPr>
                <w:sz w:val="20"/>
                <w:szCs w:val="20"/>
                <w:color w:val="auto"/>
              </w:rPr>
            </w:pPr>
            <w:r>
              <w:rPr>
                <w:rFonts w:ascii="Arial" w:cs="Arial" w:eastAsia="Arial" w:hAnsi="Arial"/>
                <w:sz w:val="16"/>
                <w:szCs w:val="16"/>
                <w:color w:val="auto"/>
              </w:rPr>
              <w:t>•</w:t>
            </w:r>
          </w:p>
        </w:tc>
        <w:tc>
          <w:tcPr>
            <w:tcW w:w="8220" w:type="dxa"/>
            <w:vAlign w:val="bottom"/>
            <w:tcBorders>
              <w:right w:val="single" w:sz="8" w:color="auto"/>
            </w:tcBorders>
            <w:gridSpan w:val="2"/>
          </w:tcPr>
          <w:p>
            <w:pPr>
              <w:ind w:left="40"/>
              <w:spacing w:after="0"/>
              <w:rPr>
                <w:sz w:val="20"/>
                <w:szCs w:val="20"/>
                <w:color w:val="auto"/>
              </w:rPr>
            </w:pPr>
            <w:r>
              <w:rPr>
                <w:rFonts w:ascii="Arial" w:cs="Arial" w:eastAsia="Arial" w:hAnsi="Arial"/>
                <w:sz w:val="16"/>
                <w:szCs w:val="16"/>
                <w:color w:val="auto"/>
              </w:rPr>
              <w:t>Medical, dental and vision benefits for two years following termination and six months of outplacement assistance</w:t>
            </w:r>
          </w:p>
        </w:tc>
        <w:tc>
          <w:tcPr>
            <w:tcW w:w="40" w:type="dxa"/>
            <w:vAlign w:val="bottom"/>
          </w:tcPr>
          <w:p>
            <w:pPr>
              <w:spacing w:after="0"/>
              <w:rPr>
                <w:sz w:val="16"/>
                <w:szCs w:val="16"/>
                <w:color w:val="auto"/>
              </w:rPr>
            </w:pPr>
          </w:p>
        </w:tc>
      </w:tr>
      <w:tr>
        <w:trPr>
          <w:trHeight w:val="211"/>
        </w:trPr>
        <w:tc>
          <w:tcPr>
            <w:tcW w:w="2380" w:type="dxa"/>
            <w:vAlign w:val="bottom"/>
            <w:tcBorders>
              <w:left w:val="single" w:sz="8" w:color="auto"/>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7980" w:type="dxa"/>
            <w:vAlign w:val="bottom"/>
          </w:tcPr>
          <w:p>
            <w:pPr>
              <w:ind w:left="60"/>
              <w:spacing w:after="0"/>
              <w:rPr>
                <w:sz w:val="20"/>
                <w:szCs w:val="20"/>
                <w:color w:val="auto"/>
              </w:rPr>
            </w:pPr>
            <w:r>
              <w:rPr>
                <w:rFonts w:ascii="Arial" w:cs="Arial" w:eastAsia="Arial" w:hAnsi="Arial"/>
                <w:sz w:val="16"/>
                <w:szCs w:val="16"/>
                <w:color w:val="auto"/>
              </w:rPr>
              <w:t>at a cost of up to $25,000, without any tax gross-ups</w:t>
            </w:r>
          </w:p>
        </w:tc>
        <w:tc>
          <w:tcPr>
            <w:tcW w:w="24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70"/>
        </w:trPr>
        <w:tc>
          <w:tcPr>
            <w:tcW w:w="2380" w:type="dxa"/>
            <w:vAlign w:val="bottom"/>
            <w:tcBorders>
              <w:left w:val="single" w:sz="8" w:color="auto"/>
              <w:bottom w:val="single" w:sz="8" w:color="auto"/>
              <w:right w:val="single" w:sz="8" w:color="auto"/>
            </w:tcBorders>
          </w:tcPr>
          <w:p>
            <w:pPr>
              <w:spacing w:after="0"/>
              <w:rPr>
                <w:sz w:val="6"/>
                <w:szCs w:val="6"/>
                <w:color w:val="auto"/>
              </w:rPr>
            </w:pPr>
          </w:p>
        </w:tc>
        <w:tc>
          <w:tcPr>
            <w:tcW w:w="8180" w:type="dxa"/>
            <w:vAlign w:val="bottom"/>
            <w:tcBorders>
              <w:bottom w:val="single" w:sz="8" w:color="auto"/>
            </w:tcBorders>
            <w:gridSpan w:val="2"/>
          </w:tcPr>
          <w:p>
            <w:pPr>
              <w:spacing w:after="0"/>
              <w:rPr>
                <w:sz w:val="6"/>
                <w:szCs w:val="6"/>
                <w:color w:val="auto"/>
              </w:rPr>
            </w:pPr>
          </w:p>
        </w:tc>
        <w:tc>
          <w:tcPr>
            <w:tcW w:w="240" w:type="dxa"/>
            <w:vAlign w:val="bottom"/>
            <w:tcBorders>
              <w:bottom w:val="single" w:sz="8" w:color="auto"/>
              <w:right w:val="single" w:sz="8" w:color="auto"/>
            </w:tcBorders>
          </w:tcPr>
          <w:p>
            <w:pPr>
              <w:spacing w:after="0"/>
              <w:rPr>
                <w:sz w:val="6"/>
                <w:szCs w:val="6"/>
                <w:color w:val="auto"/>
              </w:rPr>
            </w:pPr>
          </w:p>
        </w:tc>
        <w:tc>
          <w:tcPr>
            <w:tcW w:w="40" w:type="dxa"/>
            <w:vAlign w:val="bottom"/>
          </w:tcPr>
          <w:p>
            <w:pPr>
              <w:spacing w:after="0"/>
              <w:rPr>
                <w:sz w:val="6"/>
                <w:szCs w:val="6"/>
                <w:color w:val="auto"/>
              </w:rPr>
            </w:pPr>
          </w:p>
        </w:tc>
      </w:tr>
      <w:tr>
        <w:trPr>
          <w:trHeight w:val="220"/>
        </w:trPr>
        <w:tc>
          <w:tcPr>
            <w:tcW w:w="2380" w:type="dxa"/>
            <w:vAlign w:val="bottom"/>
            <w:tcBorders>
              <w:left w:val="single" w:sz="8" w:color="auto"/>
              <w:right w:val="single" w:sz="8" w:color="auto"/>
            </w:tcBorders>
            <w:shd w:val="clear" w:color="auto" w:fill="D8E8EF"/>
          </w:tcPr>
          <w:p>
            <w:pPr>
              <w:ind w:left="200"/>
              <w:spacing w:after="0"/>
              <w:rPr>
                <w:sz w:val="20"/>
                <w:szCs w:val="20"/>
                <w:color w:val="auto"/>
              </w:rPr>
            </w:pPr>
            <w:r>
              <w:rPr>
                <w:rFonts w:ascii="Arial" w:cs="Arial" w:eastAsia="Arial" w:hAnsi="Arial"/>
                <w:sz w:val="16"/>
                <w:szCs w:val="16"/>
                <w:b w:val="1"/>
                <w:bCs w:val="1"/>
                <w:color w:val="auto"/>
              </w:rPr>
              <w:t>Vincent C. Hopkin,</w:t>
            </w:r>
          </w:p>
        </w:tc>
        <w:tc>
          <w:tcPr>
            <w:tcW w:w="8180" w:type="dxa"/>
            <w:vAlign w:val="bottom"/>
            <w:gridSpan w:val="2"/>
            <w:shd w:val="clear" w:color="auto" w:fill="D8E8EF"/>
          </w:tcPr>
          <w:p>
            <w:pPr>
              <w:ind w:left="100"/>
              <w:spacing w:after="0"/>
              <w:rPr>
                <w:sz w:val="20"/>
                <w:szCs w:val="20"/>
                <w:color w:val="auto"/>
              </w:rPr>
            </w:pPr>
            <w:r>
              <w:rPr>
                <w:rFonts w:ascii="Arial" w:cs="Arial" w:eastAsia="Arial" w:hAnsi="Arial"/>
                <w:sz w:val="16"/>
                <w:szCs w:val="16"/>
                <w:color w:val="auto"/>
              </w:rPr>
              <w:t>• Any accrued and unused vacation</w:t>
            </w:r>
          </w:p>
        </w:tc>
        <w:tc>
          <w:tcPr>
            <w:tcW w:w="240" w:type="dxa"/>
            <w:vAlign w:val="bottom"/>
            <w:tcBorders>
              <w:right w:val="single" w:sz="8" w:color="auto"/>
            </w:tcBorders>
            <w:shd w:val="clear" w:color="auto" w:fill="D8E8EF"/>
          </w:tcPr>
          <w:p>
            <w:pPr>
              <w:spacing w:after="0"/>
              <w:rPr>
                <w:sz w:val="19"/>
                <w:szCs w:val="19"/>
                <w:color w:val="auto"/>
              </w:rPr>
            </w:pPr>
          </w:p>
        </w:tc>
        <w:tc>
          <w:tcPr>
            <w:tcW w:w="40" w:type="dxa"/>
            <w:vAlign w:val="bottom"/>
          </w:tcPr>
          <w:p>
            <w:pPr>
              <w:spacing w:after="0"/>
              <w:rPr>
                <w:sz w:val="19"/>
                <w:szCs w:val="19"/>
                <w:color w:val="auto"/>
              </w:rPr>
            </w:pPr>
          </w:p>
        </w:tc>
      </w:tr>
      <w:tr>
        <w:trPr>
          <w:trHeight w:val="187"/>
        </w:trPr>
        <w:tc>
          <w:tcPr>
            <w:tcW w:w="2380" w:type="dxa"/>
            <w:vAlign w:val="bottom"/>
            <w:tcBorders>
              <w:left w:val="single" w:sz="8" w:color="auto"/>
              <w:right w:val="single" w:sz="8" w:color="auto"/>
            </w:tcBorders>
            <w:shd w:val="clear" w:color="auto" w:fill="D8E8EF"/>
          </w:tcPr>
          <w:p>
            <w:pPr>
              <w:ind w:left="200"/>
              <w:spacing w:after="0"/>
              <w:rPr>
                <w:sz w:val="20"/>
                <w:szCs w:val="20"/>
                <w:color w:val="auto"/>
              </w:rPr>
            </w:pPr>
            <w:r>
              <w:rPr>
                <w:rFonts w:ascii="Arial" w:cs="Arial" w:eastAsia="Arial" w:hAnsi="Arial"/>
                <w:sz w:val="16"/>
                <w:szCs w:val="16"/>
                <w:b w:val="1"/>
                <w:bCs w:val="1"/>
                <w:color w:val="auto"/>
              </w:rPr>
              <w:t>Simon Keeton,</w:t>
            </w:r>
          </w:p>
        </w:tc>
        <w:tc>
          <w:tcPr>
            <w:tcW w:w="200" w:type="dxa"/>
            <w:vAlign w:val="bottom"/>
            <w:shd w:val="clear" w:color="auto" w:fill="D8E8EF"/>
          </w:tcPr>
          <w:p>
            <w:pPr>
              <w:ind w:left="100"/>
              <w:spacing w:after="0"/>
              <w:rPr>
                <w:sz w:val="20"/>
                <w:szCs w:val="20"/>
                <w:color w:val="auto"/>
              </w:rPr>
            </w:pPr>
            <w:r>
              <w:rPr>
                <w:rFonts w:ascii="Arial" w:cs="Arial" w:eastAsia="Arial" w:hAnsi="Arial"/>
                <w:sz w:val="16"/>
                <w:szCs w:val="16"/>
                <w:color w:val="auto"/>
              </w:rPr>
              <w:t>•</w:t>
            </w:r>
          </w:p>
        </w:tc>
        <w:tc>
          <w:tcPr>
            <w:tcW w:w="7980" w:type="dxa"/>
            <w:vAlign w:val="bottom"/>
            <w:shd w:val="clear" w:color="auto" w:fill="D8E8EF"/>
          </w:tcPr>
          <w:p>
            <w:pPr>
              <w:ind w:left="40"/>
              <w:spacing w:after="0"/>
              <w:rPr>
                <w:sz w:val="20"/>
                <w:szCs w:val="20"/>
                <w:color w:val="auto"/>
              </w:rPr>
            </w:pPr>
            <w:r>
              <w:rPr>
                <w:rFonts w:ascii="Arial" w:cs="Arial" w:eastAsia="Arial" w:hAnsi="Arial"/>
                <w:sz w:val="16"/>
                <w:szCs w:val="16"/>
                <w:color w:val="auto"/>
              </w:rPr>
              <w:t>Base salary through the date of termination</w:t>
            </w:r>
          </w:p>
        </w:tc>
        <w:tc>
          <w:tcPr>
            <w:tcW w:w="240" w:type="dxa"/>
            <w:vAlign w:val="bottom"/>
            <w:tcBorders>
              <w:right w:val="single" w:sz="8" w:color="auto"/>
            </w:tcBorders>
            <w:shd w:val="clear" w:color="auto" w:fill="D8E8EF"/>
          </w:tcPr>
          <w:p>
            <w:pPr>
              <w:spacing w:after="0"/>
              <w:rPr>
                <w:sz w:val="16"/>
                <w:szCs w:val="16"/>
                <w:color w:val="auto"/>
              </w:rPr>
            </w:pPr>
          </w:p>
        </w:tc>
        <w:tc>
          <w:tcPr>
            <w:tcW w:w="40" w:type="dxa"/>
            <w:vAlign w:val="bottom"/>
          </w:tcPr>
          <w:p>
            <w:pPr>
              <w:spacing w:after="0"/>
              <w:rPr>
                <w:sz w:val="16"/>
                <w:szCs w:val="16"/>
                <w:color w:val="auto"/>
              </w:rPr>
            </w:pPr>
          </w:p>
        </w:tc>
      </w:tr>
      <w:tr>
        <w:trPr>
          <w:trHeight w:val="187"/>
        </w:trPr>
        <w:tc>
          <w:tcPr>
            <w:tcW w:w="2380" w:type="dxa"/>
            <w:vAlign w:val="bottom"/>
            <w:tcBorders>
              <w:left w:val="single" w:sz="8" w:color="auto"/>
              <w:right w:val="single" w:sz="8" w:color="auto"/>
            </w:tcBorders>
            <w:shd w:val="clear" w:color="auto" w:fill="D8E8EF"/>
          </w:tcPr>
          <w:p>
            <w:pPr>
              <w:ind w:left="200"/>
              <w:spacing w:after="0"/>
              <w:rPr>
                <w:sz w:val="20"/>
                <w:szCs w:val="20"/>
                <w:color w:val="auto"/>
              </w:rPr>
            </w:pPr>
            <w:r>
              <w:rPr>
                <w:rFonts w:ascii="Arial" w:cs="Arial" w:eastAsia="Arial" w:hAnsi="Arial"/>
                <w:sz w:val="16"/>
                <w:szCs w:val="16"/>
                <w:b w:val="1"/>
                <w:bCs w:val="1"/>
                <w:color w:val="auto"/>
              </w:rPr>
              <w:t>Ross F. Jatou and</w:t>
            </w:r>
          </w:p>
        </w:tc>
        <w:tc>
          <w:tcPr>
            <w:tcW w:w="200" w:type="dxa"/>
            <w:vAlign w:val="bottom"/>
            <w:shd w:val="clear" w:color="auto" w:fill="D8E8EF"/>
          </w:tcPr>
          <w:p>
            <w:pPr>
              <w:ind w:left="100"/>
              <w:spacing w:after="0"/>
              <w:rPr>
                <w:sz w:val="20"/>
                <w:szCs w:val="20"/>
                <w:color w:val="auto"/>
              </w:rPr>
            </w:pPr>
            <w:r>
              <w:rPr>
                <w:rFonts w:ascii="Arial" w:cs="Arial" w:eastAsia="Arial" w:hAnsi="Arial"/>
                <w:sz w:val="16"/>
                <w:szCs w:val="16"/>
                <w:color w:val="auto"/>
              </w:rPr>
              <w:t>•</w:t>
            </w:r>
          </w:p>
        </w:tc>
        <w:tc>
          <w:tcPr>
            <w:tcW w:w="7980" w:type="dxa"/>
            <w:vAlign w:val="bottom"/>
            <w:shd w:val="clear" w:color="auto" w:fill="D8E8EF"/>
          </w:tcPr>
          <w:p>
            <w:pPr>
              <w:ind w:left="40"/>
              <w:spacing w:after="0"/>
              <w:rPr>
                <w:sz w:val="20"/>
                <w:szCs w:val="20"/>
                <w:color w:val="auto"/>
              </w:rPr>
            </w:pPr>
            <w:r>
              <w:rPr>
                <w:rFonts w:ascii="Arial" w:cs="Arial" w:eastAsia="Arial" w:hAnsi="Arial"/>
                <w:sz w:val="16"/>
                <w:szCs w:val="16"/>
                <w:color w:val="auto"/>
              </w:rPr>
              <w:t>One year’s continuation of base salary</w:t>
            </w:r>
          </w:p>
        </w:tc>
        <w:tc>
          <w:tcPr>
            <w:tcW w:w="240" w:type="dxa"/>
            <w:vAlign w:val="bottom"/>
            <w:tcBorders>
              <w:right w:val="single" w:sz="8" w:color="auto"/>
            </w:tcBorders>
            <w:shd w:val="clear" w:color="auto" w:fill="D8E8EF"/>
          </w:tcPr>
          <w:p>
            <w:pPr>
              <w:spacing w:after="0"/>
              <w:rPr>
                <w:sz w:val="16"/>
                <w:szCs w:val="16"/>
                <w:color w:val="auto"/>
              </w:rPr>
            </w:pPr>
          </w:p>
        </w:tc>
        <w:tc>
          <w:tcPr>
            <w:tcW w:w="40" w:type="dxa"/>
            <w:vAlign w:val="bottom"/>
          </w:tcPr>
          <w:p>
            <w:pPr>
              <w:spacing w:after="0"/>
              <w:rPr>
                <w:sz w:val="16"/>
                <w:szCs w:val="16"/>
                <w:color w:val="auto"/>
              </w:rPr>
            </w:pPr>
          </w:p>
        </w:tc>
      </w:tr>
      <w:tr>
        <w:trPr>
          <w:trHeight w:val="187"/>
        </w:trPr>
        <w:tc>
          <w:tcPr>
            <w:tcW w:w="2380" w:type="dxa"/>
            <w:vAlign w:val="bottom"/>
            <w:tcBorders>
              <w:left w:val="single" w:sz="8" w:color="auto"/>
              <w:right w:val="single" w:sz="8" w:color="auto"/>
            </w:tcBorders>
            <w:shd w:val="clear" w:color="auto" w:fill="D8E8EF"/>
          </w:tcPr>
          <w:p>
            <w:pPr>
              <w:ind w:left="200"/>
              <w:spacing w:after="0"/>
              <w:rPr>
                <w:sz w:val="20"/>
                <w:szCs w:val="20"/>
                <w:color w:val="auto"/>
              </w:rPr>
            </w:pPr>
            <w:r>
              <w:rPr>
                <w:rFonts w:ascii="Arial" w:cs="Arial" w:eastAsia="Arial" w:hAnsi="Arial"/>
                <w:sz w:val="16"/>
                <w:szCs w:val="16"/>
                <w:b w:val="1"/>
                <w:bCs w:val="1"/>
                <w:color w:val="auto"/>
              </w:rPr>
              <w:t>George H. Cave</w:t>
            </w:r>
          </w:p>
        </w:tc>
        <w:tc>
          <w:tcPr>
            <w:tcW w:w="8180" w:type="dxa"/>
            <w:vAlign w:val="bottom"/>
            <w:gridSpan w:val="2"/>
            <w:shd w:val="clear" w:color="auto" w:fill="D8E8EF"/>
          </w:tcPr>
          <w:p>
            <w:pPr>
              <w:ind w:left="100"/>
              <w:spacing w:after="0"/>
              <w:rPr>
                <w:sz w:val="20"/>
                <w:szCs w:val="20"/>
                <w:color w:val="auto"/>
              </w:rPr>
            </w:pPr>
            <w:r>
              <w:rPr>
                <w:rFonts w:ascii="Arial" w:cs="Arial" w:eastAsia="Arial" w:hAnsi="Arial"/>
                <w:sz w:val="16"/>
                <w:szCs w:val="16"/>
                <w:color w:val="auto"/>
              </w:rPr>
              <w:t>• Any earned but unpaid bonus for the immediately preceding performance cycle</w:t>
            </w:r>
          </w:p>
        </w:tc>
        <w:tc>
          <w:tcPr>
            <w:tcW w:w="240" w:type="dxa"/>
            <w:vAlign w:val="bottom"/>
            <w:tcBorders>
              <w:right w:val="single" w:sz="8" w:color="auto"/>
            </w:tcBorders>
            <w:shd w:val="clear" w:color="auto" w:fill="D8E8EF"/>
          </w:tcPr>
          <w:p>
            <w:pPr>
              <w:spacing w:after="0"/>
              <w:rPr>
                <w:sz w:val="16"/>
                <w:szCs w:val="16"/>
                <w:color w:val="auto"/>
              </w:rPr>
            </w:pPr>
          </w:p>
        </w:tc>
        <w:tc>
          <w:tcPr>
            <w:tcW w:w="40" w:type="dxa"/>
            <w:vAlign w:val="bottom"/>
          </w:tcPr>
          <w:p>
            <w:pPr>
              <w:spacing w:after="0"/>
              <w:rPr>
                <w:sz w:val="16"/>
                <w:szCs w:val="16"/>
                <w:color w:val="auto"/>
              </w:rPr>
            </w:pPr>
          </w:p>
        </w:tc>
      </w:tr>
      <w:tr>
        <w:trPr>
          <w:trHeight w:val="187"/>
        </w:trPr>
        <w:tc>
          <w:tcPr>
            <w:tcW w:w="2380" w:type="dxa"/>
            <w:vAlign w:val="bottom"/>
            <w:tcBorders>
              <w:left w:val="single" w:sz="8" w:color="auto"/>
              <w:right w:val="single" w:sz="8" w:color="auto"/>
            </w:tcBorders>
            <w:shd w:val="clear" w:color="auto" w:fill="D8E8EF"/>
          </w:tcPr>
          <w:p>
            <w:pPr>
              <w:spacing w:after="0"/>
              <w:rPr>
                <w:sz w:val="16"/>
                <w:szCs w:val="16"/>
                <w:color w:val="auto"/>
              </w:rPr>
            </w:pPr>
          </w:p>
        </w:tc>
        <w:tc>
          <w:tcPr>
            <w:tcW w:w="8420" w:type="dxa"/>
            <w:vAlign w:val="bottom"/>
            <w:tcBorders>
              <w:right w:val="single" w:sz="8" w:color="auto"/>
            </w:tcBorders>
            <w:gridSpan w:val="3"/>
            <w:shd w:val="clear" w:color="auto" w:fill="D8E8EF"/>
          </w:tcPr>
          <w:p>
            <w:pPr>
              <w:ind w:left="100"/>
              <w:spacing w:after="0"/>
              <w:rPr>
                <w:sz w:val="20"/>
                <w:szCs w:val="20"/>
                <w:color w:val="auto"/>
              </w:rPr>
            </w:pPr>
            <w:r>
              <w:rPr>
                <w:rFonts w:ascii="Arial" w:cs="Arial" w:eastAsia="Arial" w:hAnsi="Arial"/>
                <w:sz w:val="16"/>
                <w:szCs w:val="16"/>
                <w:color w:val="auto"/>
              </w:rPr>
              <w:t>• An amount equal to the NEO’s target bonus for the performance cycle in which the date of termination occurs (or</w:t>
            </w:r>
          </w:p>
        </w:tc>
        <w:tc>
          <w:tcPr>
            <w:tcW w:w="40" w:type="dxa"/>
            <w:vAlign w:val="bottom"/>
          </w:tcPr>
          <w:p>
            <w:pPr>
              <w:spacing w:after="0"/>
              <w:rPr>
                <w:sz w:val="16"/>
                <w:szCs w:val="16"/>
                <w:color w:val="auto"/>
              </w:rPr>
            </w:pPr>
          </w:p>
        </w:tc>
      </w:tr>
      <w:tr>
        <w:trPr>
          <w:trHeight w:val="187"/>
        </w:trPr>
        <w:tc>
          <w:tcPr>
            <w:tcW w:w="2380" w:type="dxa"/>
            <w:vAlign w:val="bottom"/>
            <w:tcBorders>
              <w:left w:val="single" w:sz="8" w:color="auto"/>
              <w:right w:val="single" w:sz="8" w:color="auto"/>
            </w:tcBorders>
            <w:shd w:val="clear" w:color="auto" w:fill="D8E8EF"/>
          </w:tcPr>
          <w:p>
            <w:pPr>
              <w:spacing w:after="0"/>
              <w:rPr>
                <w:sz w:val="16"/>
                <w:szCs w:val="16"/>
                <w:color w:val="auto"/>
              </w:rPr>
            </w:pPr>
          </w:p>
        </w:tc>
        <w:tc>
          <w:tcPr>
            <w:tcW w:w="200" w:type="dxa"/>
            <w:vAlign w:val="bottom"/>
            <w:shd w:val="clear" w:color="auto" w:fill="D8E8EF"/>
          </w:tcPr>
          <w:p>
            <w:pPr>
              <w:spacing w:after="0"/>
              <w:rPr>
                <w:sz w:val="16"/>
                <w:szCs w:val="16"/>
                <w:color w:val="auto"/>
              </w:rPr>
            </w:pPr>
          </w:p>
        </w:tc>
        <w:tc>
          <w:tcPr>
            <w:tcW w:w="7980" w:type="dxa"/>
            <w:vAlign w:val="bottom"/>
            <w:shd w:val="clear" w:color="auto" w:fill="D8E8EF"/>
          </w:tcPr>
          <w:p>
            <w:pPr>
              <w:ind w:left="60"/>
              <w:spacing w:after="0"/>
              <w:rPr>
                <w:sz w:val="20"/>
                <w:szCs w:val="20"/>
                <w:color w:val="auto"/>
              </w:rPr>
            </w:pPr>
            <w:r>
              <w:rPr>
                <w:rFonts w:ascii="Arial" w:cs="Arial" w:eastAsia="Arial" w:hAnsi="Arial"/>
                <w:sz w:val="16"/>
                <w:szCs w:val="16"/>
                <w:color w:val="auto"/>
              </w:rPr>
              <w:t>two times the semi-annual amount if bonuses are paid semi-annually as of the date of his termination)</w:t>
            </w:r>
          </w:p>
        </w:tc>
        <w:tc>
          <w:tcPr>
            <w:tcW w:w="240" w:type="dxa"/>
            <w:vAlign w:val="bottom"/>
            <w:tcBorders>
              <w:right w:val="single" w:sz="8" w:color="auto"/>
            </w:tcBorders>
            <w:shd w:val="clear" w:color="auto" w:fill="D8E8EF"/>
          </w:tcPr>
          <w:p>
            <w:pPr>
              <w:spacing w:after="0"/>
              <w:rPr>
                <w:sz w:val="16"/>
                <w:szCs w:val="16"/>
                <w:color w:val="auto"/>
              </w:rPr>
            </w:pPr>
          </w:p>
        </w:tc>
        <w:tc>
          <w:tcPr>
            <w:tcW w:w="40" w:type="dxa"/>
            <w:vAlign w:val="bottom"/>
          </w:tcPr>
          <w:p>
            <w:pPr>
              <w:spacing w:after="0"/>
              <w:rPr>
                <w:sz w:val="16"/>
                <w:szCs w:val="16"/>
                <w:color w:val="auto"/>
              </w:rPr>
            </w:pPr>
          </w:p>
        </w:tc>
      </w:tr>
      <w:tr>
        <w:trPr>
          <w:trHeight w:val="187"/>
        </w:trPr>
        <w:tc>
          <w:tcPr>
            <w:tcW w:w="2380" w:type="dxa"/>
            <w:vAlign w:val="bottom"/>
            <w:tcBorders>
              <w:left w:val="single" w:sz="8" w:color="auto"/>
              <w:right w:val="single" w:sz="8" w:color="auto"/>
            </w:tcBorders>
            <w:shd w:val="clear" w:color="auto" w:fill="D8E8EF"/>
          </w:tcPr>
          <w:p>
            <w:pPr>
              <w:spacing w:after="0"/>
              <w:rPr>
                <w:sz w:val="16"/>
                <w:szCs w:val="16"/>
                <w:color w:val="auto"/>
              </w:rPr>
            </w:pPr>
          </w:p>
        </w:tc>
        <w:tc>
          <w:tcPr>
            <w:tcW w:w="8180" w:type="dxa"/>
            <w:vAlign w:val="bottom"/>
            <w:gridSpan w:val="2"/>
            <w:shd w:val="clear" w:color="auto" w:fill="D8E8EF"/>
          </w:tcPr>
          <w:p>
            <w:pPr>
              <w:ind w:left="100"/>
              <w:spacing w:after="0"/>
              <w:rPr>
                <w:sz w:val="20"/>
                <w:szCs w:val="20"/>
                <w:color w:val="auto"/>
              </w:rPr>
            </w:pPr>
            <w:r>
              <w:rPr>
                <w:rFonts w:ascii="Arial" w:cs="Arial" w:eastAsia="Arial" w:hAnsi="Arial"/>
                <w:sz w:val="16"/>
                <w:szCs w:val="16"/>
                <w:color w:val="auto"/>
              </w:rPr>
              <w:t>• Payment of health plan continuation premiums for up to one year following termination and six months</w:t>
            </w:r>
          </w:p>
        </w:tc>
        <w:tc>
          <w:tcPr>
            <w:tcW w:w="240" w:type="dxa"/>
            <w:vAlign w:val="bottom"/>
            <w:tcBorders>
              <w:right w:val="single" w:sz="8" w:color="auto"/>
            </w:tcBorders>
            <w:shd w:val="clear" w:color="auto" w:fill="D8E8EF"/>
          </w:tcPr>
          <w:p>
            <w:pPr>
              <w:ind w:left="40"/>
              <w:spacing w:after="0"/>
              <w:rPr>
                <w:sz w:val="20"/>
                <w:szCs w:val="20"/>
                <w:color w:val="auto"/>
              </w:rPr>
            </w:pPr>
            <w:r>
              <w:rPr>
                <w:rFonts w:ascii="Arial" w:cs="Arial" w:eastAsia="Arial" w:hAnsi="Arial"/>
                <w:sz w:val="16"/>
                <w:szCs w:val="16"/>
                <w:color w:val="auto"/>
              </w:rPr>
              <w:t>of</w:t>
            </w:r>
          </w:p>
        </w:tc>
        <w:tc>
          <w:tcPr>
            <w:tcW w:w="40" w:type="dxa"/>
            <w:vAlign w:val="bottom"/>
          </w:tcPr>
          <w:p>
            <w:pPr>
              <w:spacing w:after="0"/>
              <w:rPr>
                <w:sz w:val="16"/>
                <w:szCs w:val="16"/>
                <w:color w:val="auto"/>
              </w:rPr>
            </w:pPr>
          </w:p>
        </w:tc>
      </w:tr>
      <w:tr>
        <w:trPr>
          <w:trHeight w:val="187"/>
        </w:trPr>
        <w:tc>
          <w:tcPr>
            <w:tcW w:w="2380" w:type="dxa"/>
            <w:vAlign w:val="bottom"/>
            <w:tcBorders>
              <w:left w:val="single" w:sz="8" w:color="auto"/>
              <w:right w:val="single" w:sz="8" w:color="auto"/>
            </w:tcBorders>
            <w:shd w:val="clear" w:color="auto" w:fill="D8E8EF"/>
          </w:tcPr>
          <w:p>
            <w:pPr>
              <w:spacing w:after="0"/>
              <w:rPr>
                <w:sz w:val="16"/>
                <w:szCs w:val="16"/>
                <w:color w:val="auto"/>
              </w:rPr>
            </w:pPr>
          </w:p>
        </w:tc>
        <w:tc>
          <w:tcPr>
            <w:tcW w:w="200" w:type="dxa"/>
            <w:vAlign w:val="bottom"/>
            <w:shd w:val="clear" w:color="auto" w:fill="D8E8EF"/>
          </w:tcPr>
          <w:p>
            <w:pPr>
              <w:spacing w:after="0"/>
              <w:rPr>
                <w:sz w:val="16"/>
                <w:szCs w:val="16"/>
                <w:color w:val="auto"/>
              </w:rPr>
            </w:pPr>
          </w:p>
        </w:tc>
        <w:tc>
          <w:tcPr>
            <w:tcW w:w="7980" w:type="dxa"/>
            <w:vAlign w:val="bottom"/>
            <w:shd w:val="clear" w:color="auto" w:fill="D8E8EF"/>
          </w:tcPr>
          <w:p>
            <w:pPr>
              <w:ind w:left="60"/>
              <w:spacing w:after="0"/>
              <w:rPr>
                <w:sz w:val="20"/>
                <w:szCs w:val="20"/>
                <w:color w:val="auto"/>
              </w:rPr>
            </w:pPr>
            <w:r>
              <w:rPr>
                <w:rFonts w:ascii="Arial" w:cs="Arial" w:eastAsia="Arial" w:hAnsi="Arial"/>
                <w:sz w:val="16"/>
                <w:szCs w:val="16"/>
                <w:color w:val="auto"/>
              </w:rPr>
              <w:t>outplacement assistance at a cost of up to $5,000</w:t>
            </w:r>
          </w:p>
        </w:tc>
        <w:tc>
          <w:tcPr>
            <w:tcW w:w="240" w:type="dxa"/>
            <w:vAlign w:val="bottom"/>
            <w:tcBorders>
              <w:right w:val="single" w:sz="8" w:color="auto"/>
            </w:tcBorders>
            <w:shd w:val="clear" w:color="auto" w:fill="D8E8EF"/>
          </w:tcPr>
          <w:p>
            <w:pPr>
              <w:spacing w:after="0"/>
              <w:rPr>
                <w:sz w:val="16"/>
                <w:szCs w:val="16"/>
                <w:color w:val="auto"/>
              </w:rPr>
            </w:pPr>
          </w:p>
        </w:tc>
        <w:tc>
          <w:tcPr>
            <w:tcW w:w="40" w:type="dxa"/>
            <w:vAlign w:val="bottom"/>
          </w:tcPr>
          <w:p>
            <w:pPr>
              <w:spacing w:after="0"/>
              <w:rPr>
                <w:sz w:val="16"/>
                <w:szCs w:val="16"/>
                <w:color w:val="auto"/>
              </w:rPr>
            </w:pPr>
          </w:p>
        </w:tc>
      </w:tr>
      <w:tr>
        <w:trPr>
          <w:trHeight w:val="187"/>
        </w:trPr>
        <w:tc>
          <w:tcPr>
            <w:tcW w:w="2380" w:type="dxa"/>
            <w:vAlign w:val="bottom"/>
            <w:tcBorders>
              <w:left w:val="single" w:sz="8" w:color="auto"/>
              <w:right w:val="single" w:sz="8" w:color="auto"/>
            </w:tcBorders>
            <w:shd w:val="clear" w:color="auto" w:fill="D8E8EF"/>
          </w:tcPr>
          <w:p>
            <w:pPr>
              <w:spacing w:after="0"/>
              <w:rPr>
                <w:sz w:val="16"/>
                <w:szCs w:val="16"/>
                <w:color w:val="auto"/>
              </w:rPr>
            </w:pPr>
          </w:p>
        </w:tc>
        <w:tc>
          <w:tcPr>
            <w:tcW w:w="200" w:type="dxa"/>
            <w:vAlign w:val="bottom"/>
            <w:shd w:val="clear" w:color="auto" w:fill="D8E8EF"/>
          </w:tcPr>
          <w:p>
            <w:pPr>
              <w:ind w:left="100"/>
              <w:spacing w:after="0"/>
              <w:rPr>
                <w:sz w:val="20"/>
                <w:szCs w:val="20"/>
                <w:color w:val="auto"/>
              </w:rPr>
            </w:pPr>
            <w:r>
              <w:rPr>
                <w:rFonts w:ascii="Arial" w:cs="Arial" w:eastAsia="Arial" w:hAnsi="Arial"/>
                <w:sz w:val="16"/>
                <w:szCs w:val="16"/>
                <w:color w:val="auto"/>
              </w:rPr>
              <w:t>•</w:t>
            </w:r>
          </w:p>
        </w:tc>
        <w:tc>
          <w:tcPr>
            <w:tcW w:w="8220" w:type="dxa"/>
            <w:vAlign w:val="bottom"/>
            <w:tcBorders>
              <w:right w:val="single" w:sz="8" w:color="auto"/>
            </w:tcBorders>
            <w:gridSpan w:val="2"/>
            <w:shd w:val="clear" w:color="auto" w:fill="D8E8EF"/>
          </w:tcPr>
          <w:p>
            <w:pPr>
              <w:ind w:left="40"/>
              <w:spacing w:after="0"/>
              <w:rPr>
                <w:sz w:val="20"/>
                <w:szCs w:val="20"/>
                <w:color w:val="auto"/>
              </w:rPr>
            </w:pPr>
            <w:r>
              <w:rPr>
                <w:rFonts w:ascii="Arial" w:cs="Arial" w:eastAsia="Arial" w:hAnsi="Arial"/>
                <w:sz w:val="16"/>
                <w:szCs w:val="16"/>
                <w:color w:val="auto"/>
              </w:rPr>
              <w:t>Full vesting of any unvested time-based equity awards that were granted in connection with his hiring or promotion</w:t>
            </w:r>
          </w:p>
        </w:tc>
        <w:tc>
          <w:tcPr>
            <w:tcW w:w="40" w:type="dxa"/>
            <w:vAlign w:val="bottom"/>
          </w:tcPr>
          <w:p>
            <w:pPr>
              <w:spacing w:after="0"/>
              <w:rPr>
                <w:sz w:val="16"/>
                <w:szCs w:val="16"/>
                <w:color w:val="auto"/>
              </w:rPr>
            </w:pPr>
          </w:p>
        </w:tc>
      </w:tr>
      <w:tr>
        <w:trPr>
          <w:trHeight w:val="187"/>
        </w:trPr>
        <w:tc>
          <w:tcPr>
            <w:tcW w:w="2380" w:type="dxa"/>
            <w:vAlign w:val="bottom"/>
            <w:tcBorders>
              <w:left w:val="single" w:sz="8" w:color="auto"/>
              <w:right w:val="single" w:sz="8" w:color="auto"/>
            </w:tcBorders>
            <w:shd w:val="clear" w:color="auto" w:fill="D8E8EF"/>
          </w:tcPr>
          <w:p>
            <w:pPr>
              <w:spacing w:after="0"/>
              <w:rPr>
                <w:sz w:val="16"/>
                <w:szCs w:val="16"/>
                <w:color w:val="auto"/>
              </w:rPr>
            </w:pPr>
          </w:p>
        </w:tc>
        <w:tc>
          <w:tcPr>
            <w:tcW w:w="200" w:type="dxa"/>
            <w:vAlign w:val="bottom"/>
            <w:shd w:val="clear" w:color="auto" w:fill="D8E8EF"/>
          </w:tcPr>
          <w:p>
            <w:pPr>
              <w:spacing w:after="0"/>
              <w:rPr>
                <w:sz w:val="16"/>
                <w:szCs w:val="16"/>
                <w:color w:val="auto"/>
              </w:rPr>
            </w:pPr>
          </w:p>
        </w:tc>
        <w:tc>
          <w:tcPr>
            <w:tcW w:w="7980" w:type="dxa"/>
            <w:vAlign w:val="bottom"/>
            <w:shd w:val="clear" w:color="auto" w:fill="D8E8EF"/>
          </w:tcPr>
          <w:p>
            <w:pPr>
              <w:ind w:left="60"/>
              <w:spacing w:after="0"/>
              <w:rPr>
                <w:sz w:val="20"/>
                <w:szCs w:val="20"/>
                <w:color w:val="auto"/>
              </w:rPr>
            </w:pPr>
            <w:r>
              <w:rPr>
                <w:rFonts w:ascii="Arial" w:cs="Arial" w:eastAsia="Arial" w:hAnsi="Arial"/>
                <w:sz w:val="16"/>
                <w:szCs w:val="16"/>
                <w:color w:val="auto"/>
              </w:rPr>
              <w:t>(as applicable)</w:t>
            </w:r>
          </w:p>
        </w:tc>
        <w:tc>
          <w:tcPr>
            <w:tcW w:w="240" w:type="dxa"/>
            <w:vAlign w:val="bottom"/>
            <w:tcBorders>
              <w:right w:val="single" w:sz="8" w:color="auto"/>
            </w:tcBorders>
            <w:shd w:val="clear" w:color="auto" w:fill="D8E8EF"/>
          </w:tcPr>
          <w:p>
            <w:pPr>
              <w:spacing w:after="0"/>
              <w:rPr>
                <w:sz w:val="16"/>
                <w:szCs w:val="16"/>
                <w:color w:val="auto"/>
              </w:rPr>
            </w:pPr>
          </w:p>
        </w:tc>
        <w:tc>
          <w:tcPr>
            <w:tcW w:w="40" w:type="dxa"/>
            <w:vAlign w:val="bottom"/>
          </w:tcPr>
          <w:p>
            <w:pPr>
              <w:spacing w:after="0"/>
              <w:rPr>
                <w:sz w:val="16"/>
                <w:szCs w:val="16"/>
                <w:color w:val="auto"/>
              </w:rPr>
            </w:pPr>
          </w:p>
        </w:tc>
      </w:tr>
      <w:tr>
        <w:trPr>
          <w:trHeight w:val="211"/>
        </w:trPr>
        <w:tc>
          <w:tcPr>
            <w:tcW w:w="2380" w:type="dxa"/>
            <w:vAlign w:val="bottom"/>
            <w:tcBorders>
              <w:left w:val="single" w:sz="8" w:color="auto"/>
              <w:right w:val="single" w:sz="8" w:color="auto"/>
            </w:tcBorders>
            <w:shd w:val="clear" w:color="auto" w:fill="D8E8EF"/>
          </w:tcPr>
          <w:p>
            <w:pPr>
              <w:spacing w:after="0"/>
              <w:rPr>
                <w:sz w:val="18"/>
                <w:szCs w:val="18"/>
                <w:color w:val="auto"/>
              </w:rPr>
            </w:pPr>
          </w:p>
        </w:tc>
        <w:tc>
          <w:tcPr>
            <w:tcW w:w="200" w:type="dxa"/>
            <w:vAlign w:val="bottom"/>
            <w:shd w:val="clear" w:color="auto" w:fill="D8E8EF"/>
          </w:tcPr>
          <w:p>
            <w:pPr>
              <w:ind w:left="100"/>
              <w:spacing w:after="0"/>
              <w:rPr>
                <w:sz w:val="20"/>
                <w:szCs w:val="20"/>
                <w:color w:val="auto"/>
              </w:rPr>
            </w:pPr>
            <w:r>
              <w:rPr>
                <w:rFonts w:ascii="Arial" w:cs="Arial" w:eastAsia="Arial" w:hAnsi="Arial"/>
                <w:sz w:val="16"/>
                <w:szCs w:val="16"/>
                <w:color w:val="auto"/>
              </w:rPr>
              <w:t>•</w:t>
            </w:r>
          </w:p>
        </w:tc>
        <w:tc>
          <w:tcPr>
            <w:tcW w:w="7980" w:type="dxa"/>
            <w:vAlign w:val="bottom"/>
            <w:shd w:val="clear" w:color="auto" w:fill="D8E8EF"/>
          </w:tcPr>
          <w:p>
            <w:pPr>
              <w:ind w:left="40"/>
              <w:spacing w:after="0"/>
              <w:rPr>
                <w:sz w:val="20"/>
                <w:szCs w:val="20"/>
                <w:color w:val="auto"/>
              </w:rPr>
            </w:pPr>
            <w:r>
              <w:rPr>
                <w:rFonts w:ascii="Arial" w:cs="Arial" w:eastAsia="Arial" w:hAnsi="Arial"/>
                <w:sz w:val="16"/>
                <w:szCs w:val="16"/>
                <w:color w:val="auto"/>
              </w:rPr>
              <w:t>Full vesting of any outstanding but unvested RSUs under the 2020 RSU awards</w:t>
            </w:r>
          </w:p>
        </w:tc>
        <w:tc>
          <w:tcPr>
            <w:tcW w:w="240" w:type="dxa"/>
            <w:vAlign w:val="bottom"/>
            <w:tcBorders>
              <w:right w:val="single" w:sz="8" w:color="auto"/>
            </w:tcBorders>
            <w:shd w:val="clear" w:color="auto" w:fill="D8E8EF"/>
          </w:tcPr>
          <w:p>
            <w:pPr>
              <w:spacing w:after="0"/>
              <w:rPr>
                <w:sz w:val="18"/>
                <w:szCs w:val="18"/>
                <w:color w:val="auto"/>
              </w:rPr>
            </w:pPr>
          </w:p>
        </w:tc>
        <w:tc>
          <w:tcPr>
            <w:tcW w:w="40" w:type="dxa"/>
            <w:vAlign w:val="bottom"/>
          </w:tcPr>
          <w:p>
            <w:pPr>
              <w:spacing w:after="0"/>
              <w:rPr>
                <w:sz w:val="18"/>
                <w:szCs w:val="18"/>
                <w:color w:val="auto"/>
              </w:rPr>
            </w:pPr>
          </w:p>
        </w:tc>
      </w:tr>
      <w:tr>
        <w:trPr>
          <w:trHeight w:val="70"/>
        </w:trPr>
        <w:tc>
          <w:tcPr>
            <w:tcW w:w="2380" w:type="dxa"/>
            <w:vAlign w:val="bottom"/>
            <w:tcBorders>
              <w:left w:val="single" w:sz="8" w:color="auto"/>
              <w:bottom w:val="single" w:sz="8" w:color="auto"/>
              <w:right w:val="single" w:sz="8" w:color="auto"/>
            </w:tcBorders>
            <w:shd w:val="clear" w:color="auto" w:fill="D8E8EF"/>
          </w:tcPr>
          <w:p>
            <w:pPr>
              <w:spacing w:after="0"/>
              <w:rPr>
                <w:sz w:val="6"/>
                <w:szCs w:val="6"/>
                <w:color w:val="auto"/>
              </w:rPr>
            </w:pPr>
          </w:p>
        </w:tc>
        <w:tc>
          <w:tcPr>
            <w:tcW w:w="200" w:type="dxa"/>
            <w:vAlign w:val="bottom"/>
            <w:tcBorders>
              <w:bottom w:val="single" w:sz="8" w:color="auto"/>
            </w:tcBorders>
            <w:shd w:val="clear" w:color="auto" w:fill="D8E8EF"/>
          </w:tcPr>
          <w:p>
            <w:pPr>
              <w:spacing w:after="0"/>
              <w:rPr>
                <w:sz w:val="6"/>
                <w:szCs w:val="6"/>
                <w:color w:val="auto"/>
              </w:rPr>
            </w:pPr>
          </w:p>
        </w:tc>
        <w:tc>
          <w:tcPr>
            <w:tcW w:w="7980" w:type="dxa"/>
            <w:vAlign w:val="bottom"/>
            <w:tcBorders>
              <w:bottom w:val="single" w:sz="8" w:color="auto"/>
            </w:tcBorders>
            <w:shd w:val="clear" w:color="auto" w:fill="D8E8EF"/>
          </w:tcPr>
          <w:p>
            <w:pPr>
              <w:spacing w:after="0"/>
              <w:rPr>
                <w:sz w:val="6"/>
                <w:szCs w:val="6"/>
                <w:color w:val="auto"/>
              </w:rPr>
            </w:pPr>
          </w:p>
        </w:tc>
        <w:tc>
          <w:tcPr>
            <w:tcW w:w="240" w:type="dxa"/>
            <w:vAlign w:val="bottom"/>
            <w:tcBorders>
              <w:bottom w:val="single" w:sz="8" w:color="auto"/>
              <w:right w:val="single" w:sz="8" w:color="auto"/>
            </w:tcBorders>
            <w:shd w:val="clear" w:color="auto" w:fill="D8E8EF"/>
          </w:tcPr>
          <w:p>
            <w:pPr>
              <w:spacing w:after="0"/>
              <w:rPr>
                <w:sz w:val="6"/>
                <w:szCs w:val="6"/>
                <w:color w:val="auto"/>
              </w:rPr>
            </w:pPr>
          </w:p>
        </w:tc>
        <w:tc>
          <w:tcPr>
            <w:tcW w:w="40" w:type="dxa"/>
            <w:vAlign w:val="bottom"/>
          </w:tcPr>
          <w:p>
            <w:pPr>
              <w:spacing w:after="0"/>
              <w:rPr>
                <w:sz w:val="6"/>
                <w:szCs w:val="6"/>
                <w:color w:val="auto"/>
              </w:rPr>
            </w:pPr>
          </w:p>
        </w:tc>
      </w:tr>
      <w:tr>
        <w:trPr>
          <w:trHeight w:val="320"/>
        </w:trPr>
        <w:tc>
          <w:tcPr>
            <w:tcW w:w="2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980" w:type="dxa"/>
            <w:vAlign w:val="bottom"/>
          </w:tcPr>
          <w:p>
            <w:pPr>
              <w:ind w:left="6000"/>
              <w:spacing w:after="0"/>
              <w:rPr>
                <w:sz w:val="20"/>
                <w:szCs w:val="20"/>
                <w:color w:val="auto"/>
              </w:rPr>
            </w:pPr>
            <w:r>
              <w:rPr>
                <w:rFonts w:ascii="Arial" w:cs="Arial" w:eastAsia="Arial" w:hAnsi="Arial"/>
                <w:sz w:val="14"/>
                <w:szCs w:val="14"/>
                <w:color w:val="F75E14"/>
              </w:rPr>
              <w:t>onsemi 2022 Proxy Statement</w:t>
            </w:r>
          </w:p>
        </w:tc>
        <w:tc>
          <w:tcPr>
            <w:tcW w:w="280" w:type="dxa"/>
            <w:vAlign w:val="bottom"/>
            <w:gridSpan w:val="2"/>
          </w:tcPr>
          <w:p>
            <w:pPr>
              <w:jc w:val="right"/>
              <w:spacing w:after="0"/>
              <w:rPr>
                <w:sz w:val="20"/>
                <w:szCs w:val="20"/>
                <w:color w:val="auto"/>
              </w:rPr>
            </w:pPr>
            <w:r>
              <w:rPr>
                <w:rFonts w:ascii="Arial" w:cs="Arial" w:eastAsia="Arial" w:hAnsi="Arial"/>
                <w:sz w:val="14"/>
                <w:szCs w:val="14"/>
                <w:color w:val="F75E14"/>
              </w:rPr>
              <w:t>59</w:t>
            </w:r>
          </w:p>
        </w:tc>
      </w:tr>
    </w:tbl>
    <w:p>
      <w:pPr>
        <w:sectPr>
          <w:pgSz w:w="11900" w:h="16838" w:orient="portrait"/>
          <w:cols w:equalWidth="0" w:num="1">
            <w:col w:w="11080"/>
          </w:cols>
          <w:pgMar w:left="320" w:top="454" w:right="499" w:bottom="1440" w:gutter="0" w:footer="0" w:header="0"/>
        </w:sectPr>
      </w:pPr>
    </w:p>
    <w:bookmarkStart w:id="63" w:name="page64"/>
    <w:bookmarkEnd w:id="6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2" w:lineRule="exact"/>
        <w:rPr>
          <w:sz w:val="20"/>
          <w:szCs w:val="20"/>
          <w:color w:val="auto"/>
        </w:rPr>
      </w:pPr>
    </w:p>
    <w:p>
      <w:pPr>
        <w:ind w:left="160"/>
        <w:spacing w:after="0"/>
        <w:rPr>
          <w:sz w:val="20"/>
          <w:szCs w:val="20"/>
          <w:color w:val="auto"/>
        </w:rPr>
      </w:pPr>
      <w:r>
        <w:rPr>
          <w:rFonts w:ascii="Arial" w:cs="Arial" w:eastAsia="Arial" w:hAnsi="Arial"/>
          <w:sz w:val="18"/>
          <w:szCs w:val="18"/>
          <w:color w:val="F75E14"/>
        </w:rPr>
        <w:t>Compensation of Executive Officers</w:t>
      </w:r>
    </w:p>
    <w:p>
      <w:pPr>
        <w:spacing w:after="0" w:line="140" w:lineRule="exact"/>
        <w:rPr>
          <w:sz w:val="20"/>
          <w:szCs w:val="20"/>
          <w:color w:val="auto"/>
        </w:rPr>
      </w:pPr>
    </w:p>
    <w:tbl>
      <w:tblPr>
        <w:tblLayout w:type="fixed"/>
        <w:tblInd w:w="250" w:type="dxa"/>
        <w:tblCellMar>
          <w:top w:w="0" w:type="dxa"/>
          <w:left w:w="0" w:type="dxa"/>
          <w:bottom w:w="0" w:type="dxa"/>
          <w:right w:w="0" w:type="dxa"/>
        </w:tblCellMar>
      </w:tblPr>
      <w:tr>
        <w:trPr>
          <w:trHeight w:val="240"/>
        </w:trPr>
        <w:tc>
          <w:tcPr>
            <w:tcW w:w="2380" w:type="dxa"/>
            <w:vAlign w:val="bottom"/>
            <w:tcBorders>
              <w:top w:val="single" w:sz="8" w:color="auto"/>
              <w:left w:val="single" w:sz="8" w:color="auto"/>
              <w:right w:val="single" w:sz="8" w:color="auto"/>
            </w:tcBorders>
            <w:shd w:val="clear" w:color="auto" w:fill="F75E14"/>
          </w:tcPr>
          <w:p>
            <w:pPr>
              <w:spacing w:after="0"/>
              <w:rPr>
                <w:sz w:val="20"/>
                <w:szCs w:val="20"/>
                <w:color w:val="auto"/>
              </w:rPr>
            </w:pPr>
          </w:p>
        </w:tc>
        <w:tc>
          <w:tcPr>
            <w:tcW w:w="8420" w:type="dxa"/>
            <w:vAlign w:val="bottom"/>
            <w:tcBorders>
              <w:top w:val="single" w:sz="8" w:color="auto"/>
              <w:right w:val="single" w:sz="8" w:color="auto"/>
            </w:tcBorders>
            <w:shd w:val="clear" w:color="auto" w:fill="F75E14"/>
          </w:tcPr>
          <w:p>
            <w:pPr>
              <w:ind w:left="2320"/>
              <w:spacing w:after="0"/>
              <w:rPr>
                <w:sz w:val="20"/>
                <w:szCs w:val="20"/>
                <w:color w:val="auto"/>
              </w:rPr>
            </w:pPr>
            <w:r>
              <w:rPr>
                <w:rFonts w:ascii="Arial" w:cs="Arial" w:eastAsia="Arial" w:hAnsi="Arial"/>
                <w:sz w:val="16"/>
                <w:szCs w:val="16"/>
                <w:b w:val="1"/>
                <w:bCs w:val="1"/>
                <w:color w:val="FFFFFF"/>
              </w:rPr>
              <w:t>Obligations in Connection with Death or Disability</w:t>
            </w:r>
          </w:p>
        </w:tc>
      </w:tr>
      <w:tr>
        <w:trPr>
          <w:trHeight w:val="221"/>
        </w:trPr>
        <w:tc>
          <w:tcPr>
            <w:tcW w:w="2380" w:type="dxa"/>
            <w:vAlign w:val="bottom"/>
            <w:tcBorders>
              <w:left w:val="single" w:sz="8" w:color="auto"/>
              <w:right w:val="single" w:sz="8" w:color="auto"/>
            </w:tcBorders>
            <w:shd w:val="clear" w:color="auto" w:fill="F75E14"/>
          </w:tcPr>
          <w:p>
            <w:pPr>
              <w:spacing w:after="0"/>
              <w:rPr>
                <w:sz w:val="19"/>
                <w:szCs w:val="19"/>
                <w:color w:val="auto"/>
              </w:rPr>
            </w:pPr>
          </w:p>
        </w:tc>
        <w:tc>
          <w:tcPr>
            <w:tcW w:w="8420" w:type="dxa"/>
            <w:vAlign w:val="bottom"/>
            <w:tcBorders>
              <w:right w:val="single" w:sz="8" w:color="auto"/>
            </w:tcBorders>
            <w:shd w:val="clear" w:color="auto" w:fill="F75E14"/>
          </w:tcPr>
          <w:p>
            <w:pPr>
              <w:ind w:left="2860"/>
              <w:spacing w:after="0"/>
              <w:rPr>
                <w:sz w:val="20"/>
                <w:szCs w:val="20"/>
                <w:color w:val="auto"/>
              </w:rPr>
            </w:pPr>
            <w:r>
              <w:rPr>
                <w:rFonts w:ascii="Arial" w:cs="Arial" w:eastAsia="Arial" w:hAnsi="Arial"/>
                <w:sz w:val="16"/>
                <w:szCs w:val="16"/>
                <w:b w:val="1"/>
                <w:bCs w:val="1"/>
                <w:color w:val="FFFFFF"/>
              </w:rPr>
              <w:t>(to be paid to the NEO or his estate)</w:t>
            </w:r>
          </w:p>
        </w:tc>
      </w:tr>
      <w:tr>
        <w:trPr>
          <w:trHeight w:val="60"/>
        </w:trPr>
        <w:tc>
          <w:tcPr>
            <w:tcW w:w="2380" w:type="dxa"/>
            <w:vAlign w:val="bottom"/>
            <w:tcBorders>
              <w:left w:val="single" w:sz="8" w:color="auto"/>
              <w:bottom w:val="single" w:sz="8" w:color="auto"/>
              <w:right w:val="single" w:sz="8" w:color="auto"/>
            </w:tcBorders>
            <w:shd w:val="clear" w:color="auto" w:fill="F75E14"/>
          </w:tcPr>
          <w:p>
            <w:pPr>
              <w:spacing w:after="0"/>
              <w:rPr>
                <w:sz w:val="5"/>
                <w:szCs w:val="5"/>
                <w:color w:val="auto"/>
              </w:rPr>
            </w:pPr>
          </w:p>
        </w:tc>
        <w:tc>
          <w:tcPr>
            <w:tcW w:w="8420" w:type="dxa"/>
            <w:vAlign w:val="bottom"/>
            <w:tcBorders>
              <w:bottom w:val="single" w:sz="8" w:color="auto"/>
              <w:right w:val="single" w:sz="8" w:color="auto"/>
            </w:tcBorders>
            <w:shd w:val="clear" w:color="auto" w:fill="F75E14"/>
          </w:tcPr>
          <w:p>
            <w:pPr>
              <w:spacing w:after="0"/>
              <w:rPr>
                <w:sz w:val="5"/>
                <w:szCs w:val="5"/>
                <w:color w:val="auto"/>
              </w:rPr>
            </w:pPr>
          </w:p>
        </w:tc>
      </w:tr>
      <w:tr>
        <w:trPr>
          <w:trHeight w:val="220"/>
        </w:trPr>
        <w:tc>
          <w:tcPr>
            <w:tcW w:w="2380" w:type="dxa"/>
            <w:vAlign w:val="bottom"/>
            <w:tcBorders>
              <w:left w:val="single" w:sz="8" w:color="auto"/>
              <w:right w:val="single" w:sz="8" w:color="auto"/>
            </w:tcBorders>
            <w:shd w:val="clear" w:color="auto" w:fill="D8E8EF"/>
          </w:tcPr>
          <w:p>
            <w:pPr>
              <w:ind w:left="200"/>
              <w:spacing w:after="0"/>
              <w:rPr>
                <w:sz w:val="20"/>
                <w:szCs w:val="20"/>
                <w:color w:val="auto"/>
              </w:rPr>
            </w:pPr>
            <w:r>
              <w:rPr>
                <w:rFonts w:ascii="Arial" w:cs="Arial" w:eastAsia="Arial" w:hAnsi="Arial"/>
                <w:sz w:val="16"/>
                <w:szCs w:val="16"/>
                <w:b w:val="1"/>
                <w:bCs w:val="1"/>
                <w:color w:val="auto"/>
              </w:rPr>
              <w:t>Hassane El-Khoury</w:t>
            </w:r>
          </w:p>
        </w:tc>
        <w:tc>
          <w:tcPr>
            <w:tcW w:w="8420" w:type="dxa"/>
            <w:vAlign w:val="bottom"/>
            <w:tcBorders>
              <w:right w:val="single" w:sz="8" w:color="auto"/>
            </w:tcBorders>
            <w:shd w:val="clear" w:color="auto" w:fill="D8E8EF"/>
          </w:tcPr>
          <w:p>
            <w:pPr>
              <w:ind w:left="100"/>
              <w:spacing w:after="0"/>
              <w:rPr>
                <w:sz w:val="20"/>
                <w:szCs w:val="20"/>
                <w:color w:val="auto"/>
              </w:rPr>
            </w:pPr>
            <w:r>
              <w:rPr>
                <w:rFonts w:ascii="Arial" w:cs="Arial" w:eastAsia="Arial" w:hAnsi="Arial"/>
                <w:sz w:val="16"/>
                <w:szCs w:val="16"/>
                <w:color w:val="auto"/>
              </w:rPr>
              <w:t>• Any unpaid base salary through the date of termination</w:t>
            </w:r>
          </w:p>
        </w:tc>
      </w:tr>
      <w:tr>
        <w:trPr>
          <w:trHeight w:val="187"/>
        </w:trPr>
        <w:tc>
          <w:tcPr>
            <w:tcW w:w="2380" w:type="dxa"/>
            <w:vAlign w:val="bottom"/>
            <w:tcBorders>
              <w:left w:val="single" w:sz="8" w:color="auto"/>
              <w:right w:val="single" w:sz="8" w:color="auto"/>
            </w:tcBorders>
            <w:shd w:val="clear" w:color="auto" w:fill="D8E8EF"/>
          </w:tcPr>
          <w:p>
            <w:pPr>
              <w:ind w:left="200"/>
              <w:spacing w:after="0"/>
              <w:rPr>
                <w:sz w:val="20"/>
                <w:szCs w:val="20"/>
                <w:color w:val="auto"/>
              </w:rPr>
            </w:pPr>
            <w:r>
              <w:rPr>
                <w:rFonts w:ascii="Arial" w:cs="Arial" w:eastAsia="Arial" w:hAnsi="Arial"/>
                <w:sz w:val="16"/>
                <w:szCs w:val="16"/>
                <w:b w:val="1"/>
                <w:bCs w:val="1"/>
                <w:color w:val="auto"/>
              </w:rPr>
              <w:t>and Thad Trent</w:t>
            </w:r>
          </w:p>
        </w:tc>
        <w:tc>
          <w:tcPr>
            <w:tcW w:w="8420" w:type="dxa"/>
            <w:vAlign w:val="bottom"/>
            <w:tcBorders>
              <w:right w:val="single" w:sz="8" w:color="auto"/>
            </w:tcBorders>
            <w:shd w:val="clear" w:color="auto" w:fill="D8E8EF"/>
          </w:tcPr>
          <w:p>
            <w:pPr>
              <w:ind w:left="100"/>
              <w:spacing w:after="0"/>
              <w:rPr>
                <w:sz w:val="20"/>
                <w:szCs w:val="20"/>
                <w:color w:val="auto"/>
              </w:rPr>
            </w:pPr>
            <w:r>
              <w:rPr>
                <w:rFonts w:ascii="Arial" w:cs="Arial" w:eastAsia="Arial" w:hAnsi="Arial"/>
                <w:sz w:val="16"/>
                <w:szCs w:val="16"/>
                <w:color w:val="auto"/>
              </w:rPr>
              <w:t>• Any earned but unpaid bonus earned in respect of the performance cycle that had a performance period that</w:t>
            </w:r>
          </w:p>
        </w:tc>
      </w:tr>
      <w:tr>
        <w:trPr>
          <w:trHeight w:val="187"/>
        </w:trPr>
        <w:tc>
          <w:tcPr>
            <w:tcW w:w="2380" w:type="dxa"/>
            <w:vAlign w:val="bottom"/>
            <w:tcBorders>
              <w:left w:val="single" w:sz="8" w:color="auto"/>
              <w:right w:val="single" w:sz="8" w:color="auto"/>
            </w:tcBorders>
            <w:shd w:val="clear" w:color="auto" w:fill="D8E8EF"/>
          </w:tcPr>
          <w:p>
            <w:pPr>
              <w:spacing w:after="0"/>
              <w:rPr>
                <w:sz w:val="16"/>
                <w:szCs w:val="16"/>
                <w:color w:val="auto"/>
              </w:rPr>
            </w:pPr>
          </w:p>
        </w:tc>
        <w:tc>
          <w:tcPr>
            <w:tcW w:w="8420" w:type="dxa"/>
            <w:vAlign w:val="bottom"/>
            <w:tcBorders>
              <w:right w:val="single" w:sz="8" w:color="auto"/>
            </w:tcBorders>
            <w:shd w:val="clear" w:color="auto" w:fill="D8E8EF"/>
          </w:tcPr>
          <w:p>
            <w:pPr>
              <w:ind w:left="260"/>
              <w:spacing w:after="0"/>
              <w:rPr>
                <w:sz w:val="20"/>
                <w:szCs w:val="20"/>
                <w:color w:val="auto"/>
              </w:rPr>
            </w:pPr>
            <w:r>
              <w:rPr>
                <w:rFonts w:ascii="Arial" w:cs="Arial" w:eastAsia="Arial" w:hAnsi="Arial"/>
                <w:sz w:val="16"/>
                <w:szCs w:val="16"/>
                <w:color w:val="auto"/>
              </w:rPr>
              <w:t>ended before the termination date</w:t>
            </w:r>
          </w:p>
        </w:tc>
      </w:tr>
      <w:tr>
        <w:trPr>
          <w:trHeight w:val="187"/>
        </w:trPr>
        <w:tc>
          <w:tcPr>
            <w:tcW w:w="2380" w:type="dxa"/>
            <w:vAlign w:val="bottom"/>
            <w:tcBorders>
              <w:left w:val="single" w:sz="8" w:color="auto"/>
              <w:right w:val="single" w:sz="8" w:color="auto"/>
            </w:tcBorders>
            <w:shd w:val="clear" w:color="auto" w:fill="D8E8EF"/>
          </w:tcPr>
          <w:p>
            <w:pPr>
              <w:spacing w:after="0"/>
              <w:rPr>
                <w:sz w:val="16"/>
                <w:szCs w:val="16"/>
                <w:color w:val="auto"/>
              </w:rPr>
            </w:pPr>
          </w:p>
        </w:tc>
        <w:tc>
          <w:tcPr>
            <w:tcW w:w="8420" w:type="dxa"/>
            <w:vAlign w:val="bottom"/>
            <w:tcBorders>
              <w:right w:val="single" w:sz="8" w:color="auto"/>
            </w:tcBorders>
            <w:shd w:val="clear" w:color="auto" w:fill="D8E8EF"/>
          </w:tcPr>
          <w:p>
            <w:pPr>
              <w:ind w:left="100"/>
              <w:spacing w:after="0"/>
              <w:rPr>
                <w:sz w:val="20"/>
                <w:szCs w:val="20"/>
                <w:color w:val="auto"/>
              </w:rPr>
            </w:pPr>
            <w:r>
              <w:rPr>
                <w:rFonts w:ascii="Arial" w:cs="Arial" w:eastAsia="Arial" w:hAnsi="Arial"/>
                <w:sz w:val="16"/>
                <w:szCs w:val="16"/>
                <w:color w:val="auto"/>
              </w:rPr>
              <w:t>• An amount equal to the product of (x) the bonus earned in the year immediately preceding the date of termination,</w:t>
            </w:r>
          </w:p>
        </w:tc>
      </w:tr>
      <w:tr>
        <w:trPr>
          <w:trHeight w:val="187"/>
        </w:trPr>
        <w:tc>
          <w:tcPr>
            <w:tcW w:w="2380" w:type="dxa"/>
            <w:vAlign w:val="bottom"/>
            <w:tcBorders>
              <w:left w:val="single" w:sz="8" w:color="auto"/>
              <w:right w:val="single" w:sz="8" w:color="auto"/>
            </w:tcBorders>
            <w:shd w:val="clear" w:color="auto" w:fill="D8E8EF"/>
          </w:tcPr>
          <w:p>
            <w:pPr>
              <w:spacing w:after="0"/>
              <w:rPr>
                <w:sz w:val="16"/>
                <w:szCs w:val="16"/>
                <w:color w:val="auto"/>
              </w:rPr>
            </w:pPr>
          </w:p>
        </w:tc>
        <w:tc>
          <w:tcPr>
            <w:tcW w:w="8420" w:type="dxa"/>
            <w:vAlign w:val="bottom"/>
            <w:tcBorders>
              <w:right w:val="single" w:sz="8" w:color="auto"/>
            </w:tcBorders>
            <w:shd w:val="clear" w:color="auto" w:fill="D8E8EF"/>
          </w:tcPr>
          <w:p>
            <w:pPr>
              <w:ind w:left="260"/>
              <w:spacing w:after="0"/>
              <w:rPr>
                <w:sz w:val="20"/>
                <w:szCs w:val="20"/>
                <w:color w:val="auto"/>
              </w:rPr>
            </w:pPr>
            <w:r>
              <w:rPr>
                <w:rFonts w:ascii="Arial" w:cs="Arial" w:eastAsia="Arial" w:hAnsi="Arial"/>
                <w:sz w:val="16"/>
                <w:szCs w:val="16"/>
                <w:color w:val="auto"/>
              </w:rPr>
              <w:t>and (y) a fraction, the numerator of which is the number of days in the Company’s fiscal year in which the date of</w:t>
            </w:r>
          </w:p>
        </w:tc>
      </w:tr>
      <w:tr>
        <w:trPr>
          <w:trHeight w:val="211"/>
        </w:trPr>
        <w:tc>
          <w:tcPr>
            <w:tcW w:w="2380" w:type="dxa"/>
            <w:vAlign w:val="bottom"/>
            <w:tcBorders>
              <w:left w:val="single" w:sz="8" w:color="auto"/>
              <w:right w:val="single" w:sz="8" w:color="auto"/>
            </w:tcBorders>
            <w:shd w:val="clear" w:color="auto" w:fill="D8E8EF"/>
          </w:tcPr>
          <w:p>
            <w:pPr>
              <w:spacing w:after="0"/>
              <w:rPr>
                <w:sz w:val="18"/>
                <w:szCs w:val="18"/>
                <w:color w:val="auto"/>
              </w:rPr>
            </w:pPr>
          </w:p>
        </w:tc>
        <w:tc>
          <w:tcPr>
            <w:tcW w:w="8420" w:type="dxa"/>
            <w:vAlign w:val="bottom"/>
            <w:tcBorders>
              <w:right w:val="single" w:sz="8" w:color="auto"/>
            </w:tcBorders>
            <w:shd w:val="clear" w:color="auto" w:fill="D8E8EF"/>
          </w:tcPr>
          <w:p>
            <w:pPr>
              <w:ind w:left="260"/>
              <w:spacing w:after="0"/>
              <w:rPr>
                <w:sz w:val="20"/>
                <w:szCs w:val="20"/>
                <w:color w:val="auto"/>
              </w:rPr>
            </w:pPr>
            <w:r>
              <w:rPr>
                <w:rFonts w:ascii="Arial" w:cs="Arial" w:eastAsia="Arial" w:hAnsi="Arial"/>
                <w:sz w:val="16"/>
                <w:szCs w:val="16"/>
                <w:color w:val="auto"/>
              </w:rPr>
              <w:t>termination occurs which are prior to the date of termination and the denominator of which is 365</w:t>
            </w:r>
          </w:p>
        </w:tc>
      </w:tr>
      <w:tr>
        <w:trPr>
          <w:trHeight w:val="70"/>
        </w:trPr>
        <w:tc>
          <w:tcPr>
            <w:tcW w:w="2380" w:type="dxa"/>
            <w:vAlign w:val="bottom"/>
            <w:tcBorders>
              <w:left w:val="single" w:sz="8" w:color="auto"/>
              <w:bottom w:val="single" w:sz="8" w:color="auto"/>
              <w:right w:val="single" w:sz="8" w:color="auto"/>
            </w:tcBorders>
            <w:shd w:val="clear" w:color="auto" w:fill="D8E8EF"/>
          </w:tcPr>
          <w:p>
            <w:pPr>
              <w:spacing w:after="0"/>
              <w:rPr>
                <w:sz w:val="6"/>
                <w:szCs w:val="6"/>
                <w:color w:val="auto"/>
              </w:rPr>
            </w:pPr>
          </w:p>
        </w:tc>
        <w:tc>
          <w:tcPr>
            <w:tcW w:w="8420" w:type="dxa"/>
            <w:vAlign w:val="bottom"/>
            <w:tcBorders>
              <w:bottom w:val="single" w:sz="8" w:color="auto"/>
              <w:right w:val="single" w:sz="8" w:color="auto"/>
            </w:tcBorders>
            <w:shd w:val="clear" w:color="auto" w:fill="D8E8EF"/>
          </w:tcPr>
          <w:p>
            <w:pPr>
              <w:spacing w:after="0"/>
              <w:rPr>
                <w:sz w:val="6"/>
                <w:szCs w:val="6"/>
                <w:color w:val="auto"/>
              </w:rPr>
            </w:pPr>
          </w:p>
        </w:tc>
      </w:tr>
      <w:tr>
        <w:trPr>
          <w:trHeight w:val="220"/>
        </w:trPr>
        <w:tc>
          <w:tcPr>
            <w:tcW w:w="2380" w:type="dxa"/>
            <w:vAlign w:val="bottom"/>
            <w:tcBorders>
              <w:left w:val="single" w:sz="8" w:color="auto"/>
              <w:right w:val="single" w:sz="8" w:color="auto"/>
            </w:tcBorders>
          </w:tcPr>
          <w:p>
            <w:pPr>
              <w:ind w:left="200"/>
              <w:spacing w:after="0"/>
              <w:rPr>
                <w:sz w:val="20"/>
                <w:szCs w:val="20"/>
                <w:color w:val="auto"/>
              </w:rPr>
            </w:pPr>
            <w:r>
              <w:rPr>
                <w:rFonts w:ascii="Arial" w:cs="Arial" w:eastAsia="Arial" w:hAnsi="Arial"/>
                <w:sz w:val="16"/>
                <w:szCs w:val="16"/>
                <w:b w:val="1"/>
                <w:bCs w:val="1"/>
                <w:color w:val="auto"/>
              </w:rPr>
              <w:t>Vincent C. Hopkin,</w:t>
            </w:r>
          </w:p>
        </w:tc>
        <w:tc>
          <w:tcPr>
            <w:tcW w:w="84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 Any accrued but unused vacation</w:t>
            </w:r>
          </w:p>
        </w:tc>
      </w:tr>
      <w:tr>
        <w:trPr>
          <w:trHeight w:val="187"/>
        </w:trPr>
        <w:tc>
          <w:tcPr>
            <w:tcW w:w="2380" w:type="dxa"/>
            <w:vAlign w:val="bottom"/>
            <w:tcBorders>
              <w:left w:val="single" w:sz="8" w:color="auto"/>
              <w:right w:val="single" w:sz="8" w:color="auto"/>
            </w:tcBorders>
          </w:tcPr>
          <w:p>
            <w:pPr>
              <w:ind w:left="200"/>
              <w:spacing w:after="0"/>
              <w:rPr>
                <w:sz w:val="20"/>
                <w:szCs w:val="20"/>
                <w:color w:val="auto"/>
              </w:rPr>
            </w:pPr>
            <w:r>
              <w:rPr>
                <w:rFonts w:ascii="Arial" w:cs="Arial" w:eastAsia="Arial" w:hAnsi="Arial"/>
                <w:sz w:val="16"/>
                <w:szCs w:val="16"/>
                <w:b w:val="1"/>
                <w:bCs w:val="1"/>
                <w:color w:val="auto"/>
              </w:rPr>
              <w:t>Simon Keeton,</w:t>
            </w:r>
          </w:p>
        </w:tc>
        <w:tc>
          <w:tcPr>
            <w:tcW w:w="84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 Unpaid base salary through the date of termination</w:t>
            </w:r>
          </w:p>
        </w:tc>
      </w:tr>
      <w:tr>
        <w:trPr>
          <w:trHeight w:val="187"/>
        </w:trPr>
        <w:tc>
          <w:tcPr>
            <w:tcW w:w="2380" w:type="dxa"/>
            <w:vAlign w:val="bottom"/>
            <w:tcBorders>
              <w:left w:val="single" w:sz="8" w:color="auto"/>
              <w:right w:val="single" w:sz="8" w:color="auto"/>
            </w:tcBorders>
          </w:tcPr>
          <w:p>
            <w:pPr>
              <w:ind w:left="200"/>
              <w:spacing w:after="0"/>
              <w:rPr>
                <w:sz w:val="20"/>
                <w:szCs w:val="20"/>
                <w:color w:val="auto"/>
              </w:rPr>
            </w:pPr>
            <w:r>
              <w:rPr>
                <w:rFonts w:ascii="Arial" w:cs="Arial" w:eastAsia="Arial" w:hAnsi="Arial"/>
                <w:sz w:val="16"/>
                <w:szCs w:val="16"/>
                <w:b w:val="1"/>
                <w:bCs w:val="1"/>
                <w:color w:val="auto"/>
              </w:rPr>
              <w:t>Ross F. Jatou and</w:t>
            </w:r>
          </w:p>
        </w:tc>
        <w:tc>
          <w:tcPr>
            <w:tcW w:w="8420" w:type="dxa"/>
            <w:vAlign w:val="bottom"/>
            <w:tcBorders>
              <w:right w:val="single" w:sz="8" w:color="auto"/>
            </w:tcBorders>
          </w:tcPr>
          <w:p>
            <w:pPr>
              <w:spacing w:after="0"/>
              <w:rPr>
                <w:sz w:val="16"/>
                <w:szCs w:val="16"/>
                <w:color w:val="auto"/>
              </w:rPr>
            </w:pPr>
          </w:p>
        </w:tc>
      </w:tr>
      <w:tr>
        <w:trPr>
          <w:trHeight w:val="221"/>
        </w:trPr>
        <w:tc>
          <w:tcPr>
            <w:tcW w:w="2380" w:type="dxa"/>
            <w:vAlign w:val="bottom"/>
            <w:tcBorders>
              <w:left w:val="single" w:sz="8" w:color="auto"/>
              <w:right w:val="single" w:sz="8" w:color="auto"/>
            </w:tcBorders>
          </w:tcPr>
          <w:p>
            <w:pPr>
              <w:ind w:left="200"/>
              <w:spacing w:after="0"/>
              <w:rPr>
                <w:sz w:val="20"/>
                <w:szCs w:val="20"/>
                <w:color w:val="auto"/>
              </w:rPr>
            </w:pPr>
            <w:r>
              <w:rPr>
                <w:rFonts w:ascii="Arial" w:cs="Arial" w:eastAsia="Arial" w:hAnsi="Arial"/>
                <w:sz w:val="16"/>
                <w:szCs w:val="16"/>
                <w:b w:val="1"/>
                <w:bCs w:val="1"/>
                <w:color w:val="auto"/>
              </w:rPr>
              <w:t>George H. Cave</w:t>
            </w:r>
          </w:p>
        </w:tc>
        <w:tc>
          <w:tcPr>
            <w:tcW w:w="8420" w:type="dxa"/>
            <w:vAlign w:val="bottom"/>
            <w:tcBorders>
              <w:right w:val="single" w:sz="8" w:color="auto"/>
            </w:tcBorders>
          </w:tcPr>
          <w:p>
            <w:pPr>
              <w:spacing w:after="0"/>
              <w:rPr>
                <w:sz w:val="19"/>
                <w:szCs w:val="19"/>
                <w:color w:val="auto"/>
              </w:rPr>
            </w:pPr>
          </w:p>
        </w:tc>
      </w:tr>
      <w:tr>
        <w:trPr>
          <w:trHeight w:val="60"/>
        </w:trPr>
        <w:tc>
          <w:tcPr>
            <w:tcW w:w="2380" w:type="dxa"/>
            <w:vAlign w:val="bottom"/>
            <w:tcBorders>
              <w:left w:val="single" w:sz="8" w:color="auto"/>
              <w:bottom w:val="single" w:sz="8" w:color="auto"/>
              <w:right w:val="single" w:sz="8" w:color="auto"/>
            </w:tcBorders>
          </w:tcPr>
          <w:p>
            <w:pPr>
              <w:spacing w:after="0"/>
              <w:rPr>
                <w:sz w:val="5"/>
                <w:szCs w:val="5"/>
                <w:color w:val="auto"/>
              </w:rPr>
            </w:pPr>
          </w:p>
        </w:tc>
        <w:tc>
          <w:tcPr>
            <w:tcW w:w="8420" w:type="dxa"/>
            <w:vAlign w:val="bottom"/>
            <w:tcBorders>
              <w:bottom w:val="single" w:sz="8" w:color="auto"/>
              <w:right w:val="single" w:sz="8" w:color="auto"/>
            </w:tcBorders>
          </w:tcPr>
          <w:p>
            <w:pPr>
              <w:spacing w:after="0"/>
              <w:rPr>
                <w:sz w:val="5"/>
                <w:szCs w:val="5"/>
                <w:color w:val="auto"/>
              </w:rPr>
            </w:pPr>
          </w:p>
        </w:tc>
      </w:tr>
    </w:tbl>
    <w:p>
      <w:pPr>
        <w:spacing w:after="0" w:line="195" w:lineRule="exact"/>
        <w:rPr>
          <w:sz w:val="20"/>
          <w:szCs w:val="20"/>
          <w:color w:val="auto"/>
        </w:rPr>
      </w:pPr>
    </w:p>
    <w:p>
      <w:pPr>
        <w:jc w:val="both"/>
        <w:ind w:left="160"/>
        <w:spacing w:after="0" w:line="265" w:lineRule="auto"/>
        <w:rPr>
          <w:sz w:val="20"/>
          <w:szCs w:val="20"/>
          <w:color w:val="auto"/>
        </w:rPr>
      </w:pPr>
      <w:r>
        <w:rPr>
          <w:rFonts w:ascii="Arial" w:cs="Arial" w:eastAsia="Arial" w:hAnsi="Arial"/>
          <w:sz w:val="18"/>
          <w:szCs w:val="18"/>
          <w:b w:val="1"/>
          <w:bCs w:val="1"/>
          <w:i w:val="1"/>
          <w:iCs w:val="1"/>
          <w:color w:val="auto"/>
        </w:rPr>
        <w:t>General Release and Restrictive Covenants</w:t>
      </w:r>
      <w:r>
        <w:rPr>
          <w:rFonts w:ascii="Arial" w:cs="Arial" w:eastAsia="Arial" w:hAnsi="Arial"/>
          <w:sz w:val="18"/>
          <w:szCs w:val="18"/>
          <w:color w:val="auto"/>
        </w:rPr>
        <w:t>. The payment of all severance benefits to any NEO is subject to him signing (and not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revoking) a general release and waiver and his compliance with the following covenants:</w:t>
      </w:r>
    </w:p>
    <w:p>
      <w:pPr>
        <w:spacing w:after="0" w:line="184" w:lineRule="exact"/>
        <w:rPr>
          <w:sz w:val="20"/>
          <w:szCs w:val="20"/>
          <w:color w:val="auto"/>
        </w:rPr>
      </w:pPr>
    </w:p>
    <w:tbl>
      <w:tblPr>
        <w:tblLayout w:type="fixed"/>
        <w:tblInd w:w="250" w:type="dxa"/>
        <w:tblCellMar>
          <w:top w:w="0" w:type="dxa"/>
          <w:left w:w="0" w:type="dxa"/>
          <w:bottom w:w="0" w:type="dxa"/>
          <w:right w:w="0" w:type="dxa"/>
        </w:tblCellMar>
      </w:tblPr>
      <w:tr>
        <w:trPr>
          <w:trHeight w:val="218"/>
        </w:trPr>
        <w:tc>
          <w:tcPr>
            <w:tcW w:w="2380" w:type="dxa"/>
            <w:vAlign w:val="bottom"/>
            <w:tcBorders>
              <w:top w:val="single" w:sz="8" w:color="auto"/>
              <w:left w:val="single" w:sz="8" w:color="auto"/>
              <w:right w:val="single" w:sz="8" w:color="auto"/>
            </w:tcBorders>
            <w:shd w:val="clear" w:color="auto" w:fill="F75E14"/>
          </w:tcPr>
          <w:p>
            <w:pPr>
              <w:spacing w:after="0"/>
              <w:rPr>
                <w:sz w:val="18"/>
                <w:szCs w:val="18"/>
                <w:color w:val="auto"/>
              </w:rPr>
            </w:pPr>
          </w:p>
        </w:tc>
        <w:tc>
          <w:tcPr>
            <w:tcW w:w="2820" w:type="dxa"/>
            <w:vAlign w:val="bottom"/>
            <w:tcBorders>
              <w:top w:val="single" w:sz="8" w:color="auto"/>
              <w:right w:val="single" w:sz="8" w:color="auto"/>
            </w:tcBorders>
            <w:shd w:val="clear" w:color="auto" w:fill="F75E14"/>
          </w:tcPr>
          <w:p>
            <w:pPr>
              <w:spacing w:after="0"/>
              <w:rPr>
                <w:sz w:val="18"/>
                <w:szCs w:val="18"/>
                <w:color w:val="auto"/>
              </w:rPr>
            </w:pPr>
          </w:p>
        </w:tc>
        <w:tc>
          <w:tcPr>
            <w:tcW w:w="1840" w:type="dxa"/>
            <w:vAlign w:val="bottom"/>
            <w:tcBorders>
              <w:top w:val="single" w:sz="8" w:color="auto"/>
            </w:tcBorders>
            <w:shd w:val="clear" w:color="auto" w:fill="F75E14"/>
          </w:tcPr>
          <w:p>
            <w:pPr>
              <w:spacing w:after="0"/>
              <w:rPr>
                <w:sz w:val="18"/>
                <w:szCs w:val="18"/>
                <w:color w:val="auto"/>
              </w:rPr>
            </w:pPr>
          </w:p>
        </w:tc>
        <w:tc>
          <w:tcPr>
            <w:tcW w:w="960" w:type="dxa"/>
            <w:vAlign w:val="bottom"/>
            <w:tcBorders>
              <w:top w:val="single" w:sz="8" w:color="auto"/>
              <w:right w:val="single" w:sz="8" w:color="auto"/>
            </w:tcBorders>
            <w:shd w:val="clear" w:color="auto" w:fill="F75E14"/>
          </w:tcPr>
          <w:p>
            <w:pPr>
              <w:spacing w:after="0"/>
              <w:rPr>
                <w:sz w:val="18"/>
                <w:szCs w:val="18"/>
                <w:color w:val="auto"/>
              </w:rPr>
            </w:pPr>
          </w:p>
        </w:tc>
        <w:tc>
          <w:tcPr>
            <w:tcW w:w="580" w:type="dxa"/>
            <w:vAlign w:val="bottom"/>
            <w:tcBorders>
              <w:top w:val="single" w:sz="8" w:color="auto"/>
            </w:tcBorders>
            <w:shd w:val="clear" w:color="auto" w:fill="F75E14"/>
          </w:tcPr>
          <w:p>
            <w:pPr>
              <w:spacing w:after="0"/>
              <w:rPr>
                <w:sz w:val="18"/>
                <w:szCs w:val="18"/>
                <w:color w:val="auto"/>
              </w:rPr>
            </w:pPr>
          </w:p>
        </w:tc>
        <w:tc>
          <w:tcPr>
            <w:tcW w:w="1560" w:type="dxa"/>
            <w:vAlign w:val="bottom"/>
            <w:tcBorders>
              <w:top w:val="single" w:sz="8" w:color="auto"/>
            </w:tcBorders>
            <w:gridSpan w:val="2"/>
            <w:shd w:val="clear" w:color="auto" w:fill="F75E14"/>
          </w:tcPr>
          <w:p>
            <w:pPr>
              <w:ind w:left="200"/>
              <w:spacing w:after="0"/>
              <w:rPr>
                <w:sz w:val="20"/>
                <w:szCs w:val="20"/>
                <w:color w:val="auto"/>
              </w:rPr>
            </w:pPr>
            <w:r>
              <w:rPr>
                <w:rFonts w:ascii="Arial" w:cs="Arial" w:eastAsia="Arial" w:hAnsi="Arial"/>
                <w:sz w:val="14"/>
                <w:szCs w:val="14"/>
                <w:b w:val="1"/>
                <w:bCs w:val="1"/>
                <w:color w:val="FFFFFF"/>
              </w:rPr>
              <w:t>Confidentiality and</w:t>
            </w:r>
          </w:p>
        </w:tc>
        <w:tc>
          <w:tcPr>
            <w:tcW w:w="660" w:type="dxa"/>
            <w:vAlign w:val="bottom"/>
            <w:tcBorders>
              <w:top w:val="single" w:sz="8" w:color="auto"/>
              <w:right w:val="single" w:sz="8" w:color="auto"/>
            </w:tcBorders>
            <w:shd w:val="clear" w:color="auto" w:fill="F75E14"/>
          </w:tcPr>
          <w:p>
            <w:pPr>
              <w:spacing w:after="0"/>
              <w:rPr>
                <w:sz w:val="18"/>
                <w:szCs w:val="18"/>
                <w:color w:val="auto"/>
              </w:rPr>
            </w:pPr>
          </w:p>
        </w:tc>
      </w:tr>
      <w:tr>
        <w:trPr>
          <w:trHeight w:val="170"/>
        </w:trPr>
        <w:tc>
          <w:tcPr>
            <w:tcW w:w="2380" w:type="dxa"/>
            <w:vAlign w:val="bottom"/>
            <w:tcBorders>
              <w:left w:val="single" w:sz="8" w:color="auto"/>
              <w:bottom w:val="single" w:sz="8" w:color="auto"/>
              <w:right w:val="single" w:sz="8" w:color="auto"/>
            </w:tcBorders>
            <w:shd w:val="clear" w:color="auto" w:fill="F75E14"/>
          </w:tcPr>
          <w:p>
            <w:pPr>
              <w:spacing w:after="0"/>
              <w:rPr>
                <w:sz w:val="14"/>
                <w:szCs w:val="14"/>
                <w:color w:val="auto"/>
              </w:rPr>
            </w:pPr>
          </w:p>
        </w:tc>
        <w:tc>
          <w:tcPr>
            <w:tcW w:w="2820" w:type="dxa"/>
            <w:vAlign w:val="bottom"/>
            <w:tcBorders>
              <w:bottom w:val="single" w:sz="8" w:color="auto"/>
              <w:right w:val="single" w:sz="8" w:color="auto"/>
            </w:tcBorders>
            <w:shd w:val="clear" w:color="auto" w:fill="F75E14"/>
          </w:tcPr>
          <w:p>
            <w:pPr>
              <w:ind w:left="540"/>
              <w:spacing w:after="0"/>
              <w:rPr>
                <w:sz w:val="20"/>
                <w:szCs w:val="20"/>
                <w:color w:val="auto"/>
              </w:rPr>
            </w:pPr>
            <w:r>
              <w:rPr>
                <w:rFonts w:ascii="Arial" w:cs="Arial" w:eastAsia="Arial" w:hAnsi="Arial"/>
                <w:sz w:val="14"/>
                <w:szCs w:val="14"/>
                <w:b w:val="1"/>
                <w:bCs w:val="1"/>
                <w:color w:val="FFFFFF"/>
              </w:rPr>
              <w:t>Non-Solicitation Covenant</w:t>
            </w:r>
          </w:p>
        </w:tc>
        <w:tc>
          <w:tcPr>
            <w:tcW w:w="2800" w:type="dxa"/>
            <w:vAlign w:val="bottom"/>
            <w:tcBorders>
              <w:bottom w:val="single" w:sz="8" w:color="auto"/>
              <w:right w:val="single" w:sz="8" w:color="auto"/>
            </w:tcBorders>
            <w:gridSpan w:val="2"/>
            <w:shd w:val="clear" w:color="auto" w:fill="F75E14"/>
          </w:tcPr>
          <w:p>
            <w:pPr>
              <w:ind w:left="620"/>
              <w:spacing w:after="0"/>
              <w:rPr>
                <w:sz w:val="20"/>
                <w:szCs w:val="20"/>
                <w:color w:val="auto"/>
              </w:rPr>
            </w:pPr>
            <w:r>
              <w:rPr>
                <w:rFonts w:ascii="Arial" w:cs="Arial" w:eastAsia="Arial" w:hAnsi="Arial"/>
                <w:sz w:val="14"/>
                <w:szCs w:val="14"/>
                <w:b w:val="1"/>
                <w:bCs w:val="1"/>
                <w:color w:val="FFFFFF"/>
              </w:rPr>
              <w:t>Non-Compete Covenant</w:t>
            </w:r>
          </w:p>
        </w:tc>
        <w:tc>
          <w:tcPr>
            <w:tcW w:w="2800" w:type="dxa"/>
            <w:vAlign w:val="bottom"/>
            <w:tcBorders>
              <w:bottom w:val="single" w:sz="8" w:color="auto"/>
              <w:right w:val="single" w:sz="8" w:color="auto"/>
            </w:tcBorders>
            <w:gridSpan w:val="4"/>
            <w:shd w:val="clear" w:color="auto" w:fill="F75E14"/>
          </w:tcPr>
          <w:p>
            <w:pPr>
              <w:ind w:left="360"/>
              <w:spacing w:after="0"/>
              <w:rPr>
                <w:sz w:val="20"/>
                <w:szCs w:val="20"/>
                <w:color w:val="auto"/>
              </w:rPr>
            </w:pPr>
            <w:r>
              <w:rPr>
                <w:rFonts w:ascii="Arial" w:cs="Arial" w:eastAsia="Arial" w:hAnsi="Arial"/>
                <w:sz w:val="14"/>
                <w:szCs w:val="14"/>
                <w:b w:val="1"/>
                <w:bCs w:val="1"/>
                <w:color w:val="FFFFFF"/>
              </w:rPr>
              <w:t>Non-Disparagement Covenants</w:t>
            </w:r>
          </w:p>
        </w:tc>
      </w:tr>
      <w:tr>
        <w:trPr>
          <w:trHeight w:val="180"/>
        </w:trPr>
        <w:tc>
          <w:tcPr>
            <w:tcW w:w="2380" w:type="dxa"/>
            <w:vAlign w:val="bottom"/>
            <w:tcBorders>
              <w:left w:val="single" w:sz="8" w:color="auto"/>
              <w:right w:val="single" w:sz="8" w:color="auto"/>
            </w:tcBorders>
            <w:shd w:val="clear" w:color="auto" w:fill="D8E8EF"/>
          </w:tcPr>
          <w:p>
            <w:pPr>
              <w:ind w:left="200"/>
              <w:spacing w:after="0" w:line="180" w:lineRule="exact"/>
              <w:rPr>
                <w:sz w:val="20"/>
                <w:szCs w:val="20"/>
                <w:color w:val="auto"/>
              </w:rPr>
            </w:pPr>
            <w:r>
              <w:rPr>
                <w:rFonts w:ascii="Arial" w:cs="Arial" w:eastAsia="Arial" w:hAnsi="Arial"/>
                <w:sz w:val="16"/>
                <w:szCs w:val="16"/>
                <w:b w:val="1"/>
                <w:bCs w:val="1"/>
                <w:color w:val="auto"/>
              </w:rPr>
              <w:t>Hassane El-Khoury</w:t>
            </w:r>
          </w:p>
        </w:tc>
        <w:tc>
          <w:tcPr>
            <w:tcW w:w="2820" w:type="dxa"/>
            <w:vAlign w:val="bottom"/>
            <w:tcBorders>
              <w:right w:val="single" w:sz="8" w:color="auto"/>
            </w:tcBorders>
            <w:shd w:val="clear" w:color="auto" w:fill="D8E8EF"/>
          </w:tcPr>
          <w:p>
            <w:pPr>
              <w:ind w:left="100"/>
              <w:spacing w:after="0" w:line="180" w:lineRule="exact"/>
              <w:rPr>
                <w:sz w:val="20"/>
                <w:szCs w:val="20"/>
                <w:color w:val="auto"/>
              </w:rPr>
            </w:pPr>
            <w:r>
              <w:rPr>
                <w:rFonts w:ascii="Arial" w:cs="Arial" w:eastAsia="Arial" w:hAnsi="Arial"/>
                <w:sz w:val="16"/>
                <w:szCs w:val="16"/>
                <w:color w:val="auto"/>
              </w:rPr>
              <w:t>During term of employment and for</w:t>
            </w:r>
          </w:p>
        </w:tc>
        <w:tc>
          <w:tcPr>
            <w:tcW w:w="2800" w:type="dxa"/>
            <w:vAlign w:val="bottom"/>
            <w:tcBorders>
              <w:right w:val="single" w:sz="8" w:color="auto"/>
            </w:tcBorders>
            <w:gridSpan w:val="2"/>
            <w:shd w:val="clear" w:color="auto" w:fill="D8E8EF"/>
          </w:tcPr>
          <w:p>
            <w:pPr>
              <w:ind w:left="80"/>
              <w:spacing w:after="0" w:line="180" w:lineRule="exact"/>
              <w:rPr>
                <w:sz w:val="20"/>
                <w:szCs w:val="20"/>
                <w:color w:val="auto"/>
              </w:rPr>
            </w:pPr>
            <w:r>
              <w:rPr>
                <w:rFonts w:ascii="Arial" w:cs="Arial" w:eastAsia="Arial" w:hAnsi="Arial"/>
                <w:sz w:val="16"/>
                <w:szCs w:val="16"/>
                <w:color w:val="auto"/>
              </w:rPr>
              <w:t>During term of employment and for</w:t>
            </w:r>
          </w:p>
        </w:tc>
        <w:tc>
          <w:tcPr>
            <w:tcW w:w="2800" w:type="dxa"/>
            <w:vAlign w:val="bottom"/>
            <w:tcBorders>
              <w:right w:val="single" w:sz="8" w:color="auto"/>
            </w:tcBorders>
            <w:gridSpan w:val="4"/>
            <w:shd w:val="clear" w:color="auto" w:fill="D8E8EF"/>
          </w:tcPr>
          <w:p>
            <w:pPr>
              <w:ind w:left="100"/>
              <w:spacing w:after="0" w:line="180" w:lineRule="exact"/>
              <w:rPr>
                <w:sz w:val="20"/>
                <w:szCs w:val="20"/>
                <w:color w:val="auto"/>
              </w:rPr>
            </w:pPr>
            <w:r>
              <w:rPr>
                <w:rFonts w:ascii="Arial" w:cs="Arial" w:eastAsia="Arial" w:hAnsi="Arial"/>
                <w:sz w:val="16"/>
                <w:szCs w:val="16"/>
                <w:color w:val="auto"/>
              </w:rPr>
              <w:t>For an indefinite period, the NEO</w:t>
            </w:r>
          </w:p>
        </w:tc>
      </w:tr>
      <w:tr>
        <w:trPr>
          <w:trHeight w:val="187"/>
        </w:trPr>
        <w:tc>
          <w:tcPr>
            <w:tcW w:w="2380" w:type="dxa"/>
            <w:vAlign w:val="bottom"/>
            <w:tcBorders>
              <w:left w:val="single" w:sz="8" w:color="auto"/>
              <w:right w:val="single" w:sz="8" w:color="auto"/>
            </w:tcBorders>
            <w:shd w:val="clear" w:color="auto" w:fill="D8E8EF"/>
          </w:tcPr>
          <w:p>
            <w:pPr>
              <w:ind w:left="200"/>
              <w:spacing w:after="0"/>
              <w:rPr>
                <w:sz w:val="20"/>
                <w:szCs w:val="20"/>
                <w:color w:val="auto"/>
              </w:rPr>
            </w:pPr>
            <w:r>
              <w:rPr>
                <w:rFonts w:ascii="Arial" w:cs="Arial" w:eastAsia="Arial" w:hAnsi="Arial"/>
                <w:sz w:val="16"/>
                <w:szCs w:val="16"/>
                <w:b w:val="1"/>
                <w:bCs w:val="1"/>
                <w:color w:val="auto"/>
              </w:rPr>
              <w:t>and Thad Trent</w:t>
            </w:r>
          </w:p>
        </w:tc>
        <w:tc>
          <w:tcPr>
            <w:tcW w:w="2820" w:type="dxa"/>
            <w:vAlign w:val="bottom"/>
            <w:tcBorders>
              <w:right w:val="single" w:sz="8" w:color="auto"/>
            </w:tcBorders>
            <w:shd w:val="clear" w:color="auto" w:fill="D8E8EF"/>
          </w:tcPr>
          <w:p>
            <w:pPr>
              <w:ind w:left="100"/>
              <w:spacing w:after="0"/>
              <w:rPr>
                <w:sz w:val="20"/>
                <w:szCs w:val="20"/>
                <w:color w:val="auto"/>
              </w:rPr>
            </w:pPr>
            <w:r>
              <w:rPr>
                <w:rFonts w:ascii="Arial" w:cs="Arial" w:eastAsia="Arial" w:hAnsi="Arial"/>
                <w:sz w:val="16"/>
                <w:szCs w:val="16"/>
                <w:color w:val="auto"/>
              </w:rPr>
              <w:t>two  years  after  termination  of</w:t>
            </w:r>
          </w:p>
        </w:tc>
        <w:tc>
          <w:tcPr>
            <w:tcW w:w="2800" w:type="dxa"/>
            <w:vAlign w:val="bottom"/>
            <w:tcBorders>
              <w:right w:val="single" w:sz="8" w:color="auto"/>
            </w:tcBorders>
            <w:gridSpan w:val="2"/>
            <w:shd w:val="clear" w:color="auto" w:fill="D8E8EF"/>
          </w:tcPr>
          <w:p>
            <w:pPr>
              <w:ind w:left="80"/>
              <w:spacing w:after="0"/>
              <w:rPr>
                <w:sz w:val="20"/>
                <w:szCs w:val="20"/>
                <w:color w:val="auto"/>
              </w:rPr>
            </w:pPr>
            <w:r>
              <w:rPr>
                <w:rFonts w:ascii="Arial" w:cs="Arial" w:eastAsia="Arial" w:hAnsi="Arial"/>
                <w:sz w:val="16"/>
                <w:szCs w:val="16"/>
                <w:color w:val="auto"/>
              </w:rPr>
              <w:t>two  years  after  termination  of</w:t>
            </w:r>
          </w:p>
        </w:tc>
        <w:tc>
          <w:tcPr>
            <w:tcW w:w="580" w:type="dxa"/>
            <w:vAlign w:val="bottom"/>
            <w:shd w:val="clear" w:color="auto" w:fill="D8E8EF"/>
          </w:tcPr>
          <w:p>
            <w:pPr>
              <w:ind w:left="100"/>
              <w:spacing w:after="0"/>
              <w:rPr>
                <w:sz w:val="20"/>
                <w:szCs w:val="20"/>
                <w:color w:val="auto"/>
              </w:rPr>
            </w:pPr>
            <w:r>
              <w:rPr>
                <w:rFonts w:ascii="Arial" w:cs="Arial" w:eastAsia="Arial" w:hAnsi="Arial"/>
                <w:sz w:val="16"/>
                <w:szCs w:val="16"/>
                <w:color w:val="auto"/>
              </w:rPr>
              <w:t>may</w:t>
            </w:r>
          </w:p>
        </w:tc>
        <w:tc>
          <w:tcPr>
            <w:tcW w:w="580" w:type="dxa"/>
            <w:vAlign w:val="bottom"/>
            <w:shd w:val="clear" w:color="auto" w:fill="D8E8EF"/>
          </w:tcPr>
          <w:p>
            <w:pPr>
              <w:ind w:left="180"/>
              <w:spacing w:after="0"/>
              <w:rPr>
                <w:sz w:val="20"/>
                <w:szCs w:val="20"/>
                <w:color w:val="auto"/>
              </w:rPr>
            </w:pPr>
            <w:r>
              <w:rPr>
                <w:rFonts w:ascii="Arial" w:cs="Arial" w:eastAsia="Arial" w:hAnsi="Arial"/>
                <w:sz w:val="16"/>
                <w:szCs w:val="16"/>
                <w:color w:val="auto"/>
              </w:rPr>
              <w:t>not</w:t>
            </w:r>
          </w:p>
        </w:tc>
        <w:tc>
          <w:tcPr>
            <w:tcW w:w="980" w:type="dxa"/>
            <w:vAlign w:val="bottom"/>
            <w:shd w:val="clear" w:color="auto" w:fill="D8E8EF"/>
          </w:tcPr>
          <w:p>
            <w:pPr>
              <w:ind w:left="180"/>
              <w:spacing w:after="0"/>
              <w:rPr>
                <w:sz w:val="20"/>
                <w:szCs w:val="20"/>
                <w:color w:val="auto"/>
              </w:rPr>
            </w:pPr>
            <w:r>
              <w:rPr>
                <w:rFonts w:ascii="Arial" w:cs="Arial" w:eastAsia="Arial" w:hAnsi="Arial"/>
                <w:sz w:val="16"/>
                <w:szCs w:val="16"/>
                <w:color w:val="auto"/>
              </w:rPr>
              <w:t>breach</w:t>
            </w:r>
          </w:p>
        </w:tc>
        <w:tc>
          <w:tcPr>
            <w:tcW w:w="660" w:type="dxa"/>
            <w:vAlign w:val="bottom"/>
            <w:tcBorders>
              <w:right w:val="single" w:sz="8" w:color="auto"/>
            </w:tcBorders>
            <w:shd w:val="clear" w:color="auto" w:fill="D8E8EF"/>
          </w:tcPr>
          <w:p>
            <w:pPr>
              <w:ind w:left="60"/>
              <w:spacing w:after="0"/>
              <w:rPr>
                <w:sz w:val="20"/>
                <w:szCs w:val="20"/>
                <w:color w:val="auto"/>
              </w:rPr>
            </w:pPr>
            <w:r>
              <w:rPr>
                <w:rFonts w:ascii="Arial" w:cs="Arial" w:eastAsia="Arial" w:hAnsi="Arial"/>
                <w:sz w:val="16"/>
                <w:szCs w:val="16"/>
                <w:color w:val="auto"/>
              </w:rPr>
              <w:t>certain</w:t>
            </w:r>
          </w:p>
        </w:tc>
      </w:tr>
      <w:tr>
        <w:trPr>
          <w:trHeight w:val="187"/>
        </w:trPr>
        <w:tc>
          <w:tcPr>
            <w:tcW w:w="2380" w:type="dxa"/>
            <w:vAlign w:val="bottom"/>
            <w:tcBorders>
              <w:left w:val="single" w:sz="8" w:color="auto"/>
              <w:right w:val="single" w:sz="8" w:color="auto"/>
            </w:tcBorders>
            <w:shd w:val="clear" w:color="auto" w:fill="D8E8EF"/>
          </w:tcPr>
          <w:p>
            <w:pPr>
              <w:spacing w:after="0"/>
              <w:rPr>
                <w:sz w:val="16"/>
                <w:szCs w:val="16"/>
                <w:color w:val="auto"/>
              </w:rPr>
            </w:pPr>
          </w:p>
        </w:tc>
        <w:tc>
          <w:tcPr>
            <w:tcW w:w="2820" w:type="dxa"/>
            <w:vAlign w:val="bottom"/>
            <w:tcBorders>
              <w:right w:val="single" w:sz="8" w:color="auto"/>
            </w:tcBorders>
            <w:shd w:val="clear" w:color="auto" w:fill="D8E8EF"/>
          </w:tcPr>
          <w:p>
            <w:pPr>
              <w:ind w:left="100"/>
              <w:spacing w:after="0"/>
              <w:rPr>
                <w:sz w:val="20"/>
                <w:szCs w:val="20"/>
                <w:color w:val="auto"/>
              </w:rPr>
            </w:pPr>
            <w:r>
              <w:rPr>
                <w:rFonts w:ascii="Arial" w:cs="Arial" w:eastAsia="Arial" w:hAnsi="Arial"/>
                <w:sz w:val="16"/>
                <w:szCs w:val="16"/>
                <w:color w:val="auto"/>
              </w:rPr>
              <w:t>employment,  the  NEO  may  not</w:t>
            </w:r>
          </w:p>
        </w:tc>
        <w:tc>
          <w:tcPr>
            <w:tcW w:w="2800" w:type="dxa"/>
            <w:vAlign w:val="bottom"/>
            <w:tcBorders>
              <w:right w:val="single" w:sz="8" w:color="auto"/>
            </w:tcBorders>
            <w:gridSpan w:val="2"/>
            <w:shd w:val="clear" w:color="auto" w:fill="D8E8EF"/>
          </w:tcPr>
          <w:p>
            <w:pPr>
              <w:ind w:left="80"/>
              <w:spacing w:after="0"/>
              <w:rPr>
                <w:sz w:val="20"/>
                <w:szCs w:val="20"/>
                <w:color w:val="auto"/>
              </w:rPr>
            </w:pPr>
            <w:r>
              <w:rPr>
                <w:rFonts w:ascii="Arial" w:cs="Arial" w:eastAsia="Arial" w:hAnsi="Arial"/>
                <w:sz w:val="16"/>
                <w:szCs w:val="16"/>
                <w:color w:val="auto"/>
              </w:rPr>
              <w:t>employment,  the  NEO  may  not</w:t>
            </w:r>
          </w:p>
        </w:tc>
        <w:tc>
          <w:tcPr>
            <w:tcW w:w="2140" w:type="dxa"/>
            <w:vAlign w:val="bottom"/>
            <w:gridSpan w:val="3"/>
            <w:shd w:val="clear" w:color="auto" w:fill="D8E8EF"/>
          </w:tcPr>
          <w:p>
            <w:pPr>
              <w:ind w:left="100"/>
              <w:spacing w:after="0"/>
              <w:rPr>
                <w:sz w:val="20"/>
                <w:szCs w:val="20"/>
                <w:color w:val="auto"/>
              </w:rPr>
            </w:pPr>
            <w:r>
              <w:rPr>
                <w:rFonts w:ascii="Arial" w:cs="Arial" w:eastAsia="Arial" w:hAnsi="Arial"/>
                <w:sz w:val="16"/>
                <w:szCs w:val="16"/>
                <w:color w:val="auto"/>
              </w:rPr>
              <w:t>confidentiality and non-</w:t>
            </w:r>
          </w:p>
        </w:tc>
        <w:tc>
          <w:tcPr>
            <w:tcW w:w="660" w:type="dxa"/>
            <w:vAlign w:val="bottom"/>
            <w:tcBorders>
              <w:right w:val="single" w:sz="8" w:color="auto"/>
            </w:tcBorders>
            <w:shd w:val="clear" w:color="auto" w:fill="D8E8EF"/>
          </w:tcPr>
          <w:p>
            <w:pPr>
              <w:spacing w:after="0"/>
              <w:rPr>
                <w:sz w:val="16"/>
                <w:szCs w:val="16"/>
                <w:color w:val="auto"/>
              </w:rPr>
            </w:pPr>
          </w:p>
        </w:tc>
      </w:tr>
      <w:tr>
        <w:trPr>
          <w:trHeight w:val="187"/>
        </w:trPr>
        <w:tc>
          <w:tcPr>
            <w:tcW w:w="2380" w:type="dxa"/>
            <w:vAlign w:val="bottom"/>
            <w:tcBorders>
              <w:left w:val="single" w:sz="8" w:color="auto"/>
              <w:right w:val="single" w:sz="8" w:color="auto"/>
            </w:tcBorders>
            <w:shd w:val="clear" w:color="auto" w:fill="D8E8EF"/>
          </w:tcPr>
          <w:p>
            <w:pPr>
              <w:spacing w:after="0"/>
              <w:rPr>
                <w:sz w:val="16"/>
                <w:szCs w:val="16"/>
                <w:color w:val="auto"/>
              </w:rPr>
            </w:pPr>
          </w:p>
        </w:tc>
        <w:tc>
          <w:tcPr>
            <w:tcW w:w="2820" w:type="dxa"/>
            <w:vAlign w:val="bottom"/>
            <w:tcBorders>
              <w:right w:val="single" w:sz="8" w:color="auto"/>
            </w:tcBorders>
            <w:shd w:val="clear" w:color="auto" w:fill="D8E8EF"/>
          </w:tcPr>
          <w:p>
            <w:pPr>
              <w:ind w:left="100"/>
              <w:spacing w:after="0"/>
              <w:rPr>
                <w:sz w:val="20"/>
                <w:szCs w:val="20"/>
                <w:color w:val="auto"/>
              </w:rPr>
            </w:pPr>
            <w:r>
              <w:rPr>
                <w:rFonts w:ascii="Arial" w:cs="Arial" w:eastAsia="Arial" w:hAnsi="Arial"/>
                <w:sz w:val="16"/>
                <w:szCs w:val="16"/>
                <w:color w:val="auto"/>
              </w:rPr>
              <w:t>solicit any employee of the Company</w:t>
            </w:r>
          </w:p>
        </w:tc>
        <w:tc>
          <w:tcPr>
            <w:tcW w:w="2800" w:type="dxa"/>
            <w:vAlign w:val="bottom"/>
            <w:tcBorders>
              <w:right w:val="single" w:sz="8" w:color="auto"/>
            </w:tcBorders>
            <w:gridSpan w:val="2"/>
            <w:shd w:val="clear" w:color="auto" w:fill="D8E8EF"/>
          </w:tcPr>
          <w:p>
            <w:pPr>
              <w:ind w:left="80"/>
              <w:spacing w:after="0"/>
              <w:rPr>
                <w:sz w:val="20"/>
                <w:szCs w:val="20"/>
                <w:color w:val="auto"/>
              </w:rPr>
            </w:pPr>
            <w:r>
              <w:rPr>
                <w:rFonts w:ascii="Arial" w:cs="Arial" w:eastAsia="Arial" w:hAnsi="Arial"/>
                <w:sz w:val="16"/>
                <w:szCs w:val="16"/>
                <w:color w:val="auto"/>
              </w:rPr>
              <w:t>compete  with  the  Company  by</w:t>
            </w:r>
          </w:p>
        </w:tc>
        <w:tc>
          <w:tcPr>
            <w:tcW w:w="2140" w:type="dxa"/>
            <w:vAlign w:val="bottom"/>
            <w:gridSpan w:val="3"/>
            <w:shd w:val="clear" w:color="auto" w:fill="D8E8EF"/>
          </w:tcPr>
          <w:p>
            <w:pPr>
              <w:ind w:left="100"/>
              <w:spacing w:after="0"/>
              <w:rPr>
                <w:sz w:val="20"/>
                <w:szCs w:val="20"/>
                <w:color w:val="auto"/>
              </w:rPr>
            </w:pPr>
            <w:r>
              <w:rPr>
                <w:rFonts w:ascii="Arial" w:cs="Arial" w:eastAsia="Arial" w:hAnsi="Arial"/>
                <w:sz w:val="16"/>
                <w:szCs w:val="16"/>
                <w:color w:val="auto"/>
              </w:rPr>
              <w:t>disparagement covenants</w:t>
            </w:r>
          </w:p>
        </w:tc>
        <w:tc>
          <w:tcPr>
            <w:tcW w:w="660" w:type="dxa"/>
            <w:vAlign w:val="bottom"/>
            <w:tcBorders>
              <w:right w:val="single" w:sz="8" w:color="auto"/>
            </w:tcBorders>
            <w:shd w:val="clear" w:color="auto" w:fill="D8E8EF"/>
          </w:tcPr>
          <w:p>
            <w:pPr>
              <w:spacing w:after="0"/>
              <w:rPr>
                <w:sz w:val="16"/>
                <w:szCs w:val="16"/>
                <w:color w:val="auto"/>
              </w:rPr>
            </w:pPr>
          </w:p>
        </w:tc>
      </w:tr>
      <w:tr>
        <w:trPr>
          <w:trHeight w:val="187"/>
        </w:trPr>
        <w:tc>
          <w:tcPr>
            <w:tcW w:w="2380" w:type="dxa"/>
            <w:vAlign w:val="bottom"/>
            <w:tcBorders>
              <w:left w:val="single" w:sz="8" w:color="auto"/>
              <w:right w:val="single" w:sz="8" w:color="auto"/>
            </w:tcBorders>
            <w:shd w:val="clear" w:color="auto" w:fill="D8E8EF"/>
          </w:tcPr>
          <w:p>
            <w:pPr>
              <w:spacing w:after="0"/>
              <w:rPr>
                <w:sz w:val="16"/>
                <w:szCs w:val="16"/>
                <w:color w:val="auto"/>
              </w:rPr>
            </w:pPr>
          </w:p>
        </w:tc>
        <w:tc>
          <w:tcPr>
            <w:tcW w:w="2820" w:type="dxa"/>
            <w:vAlign w:val="bottom"/>
            <w:tcBorders>
              <w:right w:val="single" w:sz="8" w:color="auto"/>
            </w:tcBorders>
            <w:shd w:val="clear" w:color="auto" w:fill="D8E8EF"/>
          </w:tcPr>
          <w:p>
            <w:pPr>
              <w:ind w:left="100"/>
              <w:spacing w:after="0"/>
              <w:rPr>
                <w:sz w:val="20"/>
                <w:szCs w:val="20"/>
                <w:color w:val="auto"/>
              </w:rPr>
            </w:pPr>
            <w:r>
              <w:rPr>
                <w:rFonts w:ascii="Arial" w:cs="Arial" w:eastAsia="Arial" w:hAnsi="Arial"/>
                <w:sz w:val="16"/>
                <w:szCs w:val="16"/>
                <w:color w:val="auto"/>
              </w:rPr>
              <w:t>or attempt to induce any employee</w:t>
            </w:r>
          </w:p>
        </w:tc>
        <w:tc>
          <w:tcPr>
            <w:tcW w:w="1840" w:type="dxa"/>
            <w:vAlign w:val="bottom"/>
            <w:shd w:val="clear" w:color="auto" w:fill="D8E8EF"/>
          </w:tcPr>
          <w:p>
            <w:pPr>
              <w:ind w:left="80"/>
              <w:spacing w:after="0"/>
              <w:rPr>
                <w:sz w:val="20"/>
                <w:szCs w:val="20"/>
                <w:color w:val="auto"/>
              </w:rPr>
            </w:pPr>
            <w:r>
              <w:rPr>
                <w:rFonts w:ascii="Arial" w:cs="Arial" w:eastAsia="Arial" w:hAnsi="Arial"/>
                <w:sz w:val="16"/>
                <w:szCs w:val="16"/>
                <w:color w:val="auto"/>
              </w:rPr>
              <w:t>providing   services</w:t>
            </w:r>
          </w:p>
        </w:tc>
        <w:tc>
          <w:tcPr>
            <w:tcW w:w="960" w:type="dxa"/>
            <w:vAlign w:val="bottom"/>
            <w:tcBorders>
              <w:right w:val="single" w:sz="8" w:color="auto"/>
            </w:tcBorders>
            <w:shd w:val="clear" w:color="auto" w:fill="D8E8EF"/>
          </w:tcPr>
          <w:p>
            <w:pPr>
              <w:spacing w:after="0"/>
              <w:rPr>
                <w:sz w:val="20"/>
                <w:szCs w:val="20"/>
                <w:color w:val="auto"/>
              </w:rPr>
            </w:pPr>
            <w:r>
              <w:rPr>
                <w:rFonts w:ascii="Arial" w:cs="Arial" w:eastAsia="Arial" w:hAnsi="Arial"/>
                <w:sz w:val="16"/>
                <w:szCs w:val="16"/>
                <w:color w:val="auto"/>
              </w:rPr>
              <w:t>to   certain</w:t>
            </w:r>
          </w:p>
        </w:tc>
        <w:tc>
          <w:tcPr>
            <w:tcW w:w="580" w:type="dxa"/>
            <w:vAlign w:val="bottom"/>
            <w:shd w:val="clear" w:color="auto" w:fill="D8E8EF"/>
          </w:tcPr>
          <w:p>
            <w:pPr>
              <w:spacing w:after="0"/>
              <w:rPr>
                <w:sz w:val="16"/>
                <w:szCs w:val="16"/>
                <w:color w:val="auto"/>
              </w:rPr>
            </w:pPr>
          </w:p>
        </w:tc>
        <w:tc>
          <w:tcPr>
            <w:tcW w:w="580" w:type="dxa"/>
            <w:vAlign w:val="bottom"/>
            <w:shd w:val="clear" w:color="auto" w:fill="D8E8EF"/>
          </w:tcPr>
          <w:p>
            <w:pPr>
              <w:spacing w:after="0"/>
              <w:rPr>
                <w:sz w:val="16"/>
                <w:szCs w:val="16"/>
                <w:color w:val="auto"/>
              </w:rPr>
            </w:pPr>
          </w:p>
        </w:tc>
        <w:tc>
          <w:tcPr>
            <w:tcW w:w="980" w:type="dxa"/>
            <w:vAlign w:val="bottom"/>
            <w:shd w:val="clear" w:color="auto" w:fill="D8E8EF"/>
          </w:tcPr>
          <w:p>
            <w:pPr>
              <w:spacing w:after="0"/>
              <w:rPr>
                <w:sz w:val="16"/>
                <w:szCs w:val="16"/>
                <w:color w:val="auto"/>
              </w:rPr>
            </w:pPr>
          </w:p>
        </w:tc>
        <w:tc>
          <w:tcPr>
            <w:tcW w:w="660" w:type="dxa"/>
            <w:vAlign w:val="bottom"/>
            <w:tcBorders>
              <w:right w:val="single" w:sz="8" w:color="auto"/>
            </w:tcBorders>
            <w:shd w:val="clear" w:color="auto" w:fill="D8E8EF"/>
          </w:tcPr>
          <w:p>
            <w:pPr>
              <w:spacing w:after="0"/>
              <w:rPr>
                <w:sz w:val="16"/>
                <w:szCs w:val="16"/>
                <w:color w:val="auto"/>
              </w:rPr>
            </w:pPr>
          </w:p>
        </w:tc>
      </w:tr>
      <w:tr>
        <w:trPr>
          <w:trHeight w:val="187"/>
        </w:trPr>
        <w:tc>
          <w:tcPr>
            <w:tcW w:w="2380" w:type="dxa"/>
            <w:vAlign w:val="bottom"/>
            <w:tcBorders>
              <w:left w:val="single" w:sz="8" w:color="auto"/>
              <w:right w:val="single" w:sz="8" w:color="auto"/>
            </w:tcBorders>
            <w:shd w:val="clear" w:color="auto" w:fill="D8E8EF"/>
          </w:tcPr>
          <w:p>
            <w:pPr>
              <w:spacing w:after="0"/>
              <w:rPr>
                <w:sz w:val="16"/>
                <w:szCs w:val="16"/>
                <w:color w:val="auto"/>
              </w:rPr>
            </w:pPr>
          </w:p>
        </w:tc>
        <w:tc>
          <w:tcPr>
            <w:tcW w:w="2820" w:type="dxa"/>
            <w:vAlign w:val="bottom"/>
            <w:tcBorders>
              <w:right w:val="single" w:sz="8" w:color="auto"/>
            </w:tcBorders>
            <w:shd w:val="clear" w:color="auto" w:fill="D8E8EF"/>
          </w:tcPr>
          <w:p>
            <w:pPr>
              <w:ind w:left="100"/>
              <w:spacing w:after="0"/>
              <w:rPr>
                <w:sz w:val="20"/>
                <w:szCs w:val="20"/>
                <w:color w:val="auto"/>
              </w:rPr>
            </w:pPr>
            <w:r>
              <w:rPr>
                <w:rFonts w:ascii="Arial" w:cs="Arial" w:eastAsia="Arial" w:hAnsi="Arial"/>
                <w:sz w:val="16"/>
                <w:szCs w:val="16"/>
                <w:color w:val="auto"/>
              </w:rPr>
              <w:t>of  the  Company  to  leave  the</w:t>
            </w:r>
          </w:p>
        </w:tc>
        <w:tc>
          <w:tcPr>
            <w:tcW w:w="2800" w:type="dxa"/>
            <w:vAlign w:val="bottom"/>
            <w:tcBorders>
              <w:right w:val="single" w:sz="8" w:color="auto"/>
            </w:tcBorders>
            <w:gridSpan w:val="2"/>
            <w:shd w:val="clear" w:color="auto" w:fill="D8E8EF"/>
          </w:tcPr>
          <w:p>
            <w:pPr>
              <w:ind w:left="80"/>
              <w:spacing w:after="0"/>
              <w:rPr>
                <w:sz w:val="20"/>
                <w:szCs w:val="20"/>
                <w:color w:val="auto"/>
              </w:rPr>
            </w:pPr>
            <w:r>
              <w:rPr>
                <w:rFonts w:ascii="Arial" w:cs="Arial" w:eastAsia="Arial" w:hAnsi="Arial"/>
                <w:sz w:val="16"/>
                <w:szCs w:val="16"/>
                <w:color w:val="auto"/>
              </w:rPr>
              <w:t>companies on a specified competitor</w:t>
            </w:r>
          </w:p>
        </w:tc>
        <w:tc>
          <w:tcPr>
            <w:tcW w:w="580" w:type="dxa"/>
            <w:vAlign w:val="bottom"/>
            <w:shd w:val="clear" w:color="auto" w:fill="D8E8EF"/>
          </w:tcPr>
          <w:p>
            <w:pPr>
              <w:spacing w:after="0"/>
              <w:rPr>
                <w:sz w:val="16"/>
                <w:szCs w:val="16"/>
                <w:color w:val="auto"/>
              </w:rPr>
            </w:pPr>
          </w:p>
        </w:tc>
        <w:tc>
          <w:tcPr>
            <w:tcW w:w="580" w:type="dxa"/>
            <w:vAlign w:val="bottom"/>
            <w:shd w:val="clear" w:color="auto" w:fill="D8E8EF"/>
          </w:tcPr>
          <w:p>
            <w:pPr>
              <w:spacing w:after="0"/>
              <w:rPr>
                <w:sz w:val="16"/>
                <w:szCs w:val="16"/>
                <w:color w:val="auto"/>
              </w:rPr>
            </w:pPr>
          </w:p>
        </w:tc>
        <w:tc>
          <w:tcPr>
            <w:tcW w:w="980" w:type="dxa"/>
            <w:vAlign w:val="bottom"/>
            <w:shd w:val="clear" w:color="auto" w:fill="D8E8EF"/>
          </w:tcPr>
          <w:p>
            <w:pPr>
              <w:spacing w:after="0"/>
              <w:rPr>
                <w:sz w:val="16"/>
                <w:szCs w:val="16"/>
                <w:color w:val="auto"/>
              </w:rPr>
            </w:pPr>
          </w:p>
        </w:tc>
        <w:tc>
          <w:tcPr>
            <w:tcW w:w="660" w:type="dxa"/>
            <w:vAlign w:val="bottom"/>
            <w:tcBorders>
              <w:right w:val="single" w:sz="8" w:color="auto"/>
            </w:tcBorders>
            <w:shd w:val="clear" w:color="auto" w:fill="D8E8EF"/>
          </w:tcPr>
          <w:p>
            <w:pPr>
              <w:spacing w:after="0"/>
              <w:rPr>
                <w:sz w:val="16"/>
                <w:szCs w:val="16"/>
                <w:color w:val="auto"/>
              </w:rPr>
            </w:pPr>
          </w:p>
        </w:tc>
      </w:tr>
      <w:tr>
        <w:trPr>
          <w:trHeight w:val="273"/>
        </w:trPr>
        <w:tc>
          <w:tcPr>
            <w:tcW w:w="2380" w:type="dxa"/>
            <w:vAlign w:val="bottom"/>
            <w:tcBorders>
              <w:left w:val="single" w:sz="8" w:color="auto"/>
              <w:bottom w:val="single" w:sz="8" w:color="D8E8EF"/>
              <w:right w:val="single" w:sz="8" w:color="auto"/>
            </w:tcBorders>
            <w:shd w:val="clear" w:color="auto" w:fill="D8E8EF"/>
          </w:tcPr>
          <w:p>
            <w:pPr>
              <w:spacing w:after="0"/>
              <w:rPr>
                <w:sz w:val="23"/>
                <w:szCs w:val="23"/>
                <w:color w:val="auto"/>
              </w:rPr>
            </w:pPr>
          </w:p>
        </w:tc>
        <w:tc>
          <w:tcPr>
            <w:tcW w:w="2820" w:type="dxa"/>
            <w:vAlign w:val="bottom"/>
            <w:tcBorders>
              <w:bottom w:val="single" w:sz="8" w:color="D8E8EF"/>
              <w:right w:val="single" w:sz="8" w:color="auto"/>
            </w:tcBorders>
            <w:shd w:val="clear" w:color="auto" w:fill="D8E8EF"/>
          </w:tcPr>
          <w:p>
            <w:pPr>
              <w:ind w:left="100"/>
              <w:spacing w:after="0"/>
              <w:rPr>
                <w:sz w:val="20"/>
                <w:szCs w:val="20"/>
                <w:color w:val="auto"/>
              </w:rPr>
            </w:pPr>
            <w:r>
              <w:rPr>
                <w:rFonts w:ascii="Arial" w:cs="Arial" w:eastAsia="Arial" w:hAnsi="Arial"/>
                <w:sz w:val="16"/>
                <w:szCs w:val="16"/>
                <w:color w:val="auto"/>
              </w:rPr>
              <w:t>Company</w:t>
            </w:r>
          </w:p>
        </w:tc>
        <w:tc>
          <w:tcPr>
            <w:tcW w:w="1840" w:type="dxa"/>
            <w:vAlign w:val="bottom"/>
            <w:tcBorders>
              <w:bottom w:val="single" w:sz="8" w:color="D8E8EF"/>
            </w:tcBorders>
            <w:shd w:val="clear" w:color="auto" w:fill="D8E8EF"/>
          </w:tcPr>
          <w:p>
            <w:pPr>
              <w:ind w:left="80"/>
              <w:spacing w:after="0"/>
              <w:rPr>
                <w:sz w:val="20"/>
                <w:szCs w:val="20"/>
                <w:color w:val="auto"/>
              </w:rPr>
            </w:pPr>
            <w:r>
              <w:rPr>
                <w:rFonts w:ascii="Arial" w:cs="Arial" w:eastAsia="Arial" w:hAnsi="Arial"/>
                <w:sz w:val="16"/>
                <w:szCs w:val="16"/>
                <w:color w:val="auto"/>
              </w:rPr>
              <w:t>list</w:t>
            </w:r>
          </w:p>
        </w:tc>
        <w:tc>
          <w:tcPr>
            <w:tcW w:w="960" w:type="dxa"/>
            <w:vAlign w:val="bottom"/>
            <w:tcBorders>
              <w:bottom w:val="single" w:sz="8" w:color="D8E8EF"/>
              <w:right w:val="single" w:sz="8" w:color="auto"/>
            </w:tcBorders>
            <w:shd w:val="clear" w:color="auto" w:fill="D8E8EF"/>
          </w:tcPr>
          <w:p>
            <w:pPr>
              <w:spacing w:after="0"/>
              <w:rPr>
                <w:sz w:val="23"/>
                <w:szCs w:val="23"/>
                <w:color w:val="auto"/>
              </w:rPr>
            </w:pPr>
          </w:p>
        </w:tc>
        <w:tc>
          <w:tcPr>
            <w:tcW w:w="580" w:type="dxa"/>
            <w:vAlign w:val="bottom"/>
            <w:tcBorders>
              <w:bottom w:val="single" w:sz="8" w:color="D8E8EF"/>
            </w:tcBorders>
            <w:shd w:val="clear" w:color="auto" w:fill="D8E8EF"/>
          </w:tcPr>
          <w:p>
            <w:pPr>
              <w:spacing w:after="0"/>
              <w:rPr>
                <w:sz w:val="23"/>
                <w:szCs w:val="23"/>
                <w:color w:val="auto"/>
              </w:rPr>
            </w:pPr>
          </w:p>
        </w:tc>
        <w:tc>
          <w:tcPr>
            <w:tcW w:w="580" w:type="dxa"/>
            <w:vAlign w:val="bottom"/>
            <w:tcBorders>
              <w:bottom w:val="single" w:sz="8" w:color="D8E8EF"/>
            </w:tcBorders>
            <w:shd w:val="clear" w:color="auto" w:fill="D8E8EF"/>
          </w:tcPr>
          <w:p>
            <w:pPr>
              <w:spacing w:after="0"/>
              <w:rPr>
                <w:sz w:val="23"/>
                <w:szCs w:val="23"/>
                <w:color w:val="auto"/>
              </w:rPr>
            </w:pPr>
          </w:p>
        </w:tc>
        <w:tc>
          <w:tcPr>
            <w:tcW w:w="980" w:type="dxa"/>
            <w:vAlign w:val="bottom"/>
            <w:tcBorders>
              <w:bottom w:val="single" w:sz="8" w:color="D8E8EF"/>
            </w:tcBorders>
            <w:shd w:val="clear" w:color="auto" w:fill="D8E8EF"/>
          </w:tcPr>
          <w:p>
            <w:pPr>
              <w:spacing w:after="0"/>
              <w:rPr>
                <w:sz w:val="23"/>
                <w:szCs w:val="23"/>
                <w:color w:val="auto"/>
              </w:rPr>
            </w:pPr>
          </w:p>
        </w:tc>
        <w:tc>
          <w:tcPr>
            <w:tcW w:w="660" w:type="dxa"/>
            <w:vAlign w:val="bottom"/>
            <w:tcBorders>
              <w:bottom w:val="single" w:sz="8" w:color="D8E8EF"/>
              <w:right w:val="single" w:sz="8" w:color="auto"/>
            </w:tcBorders>
            <w:shd w:val="clear" w:color="auto" w:fill="D8E8EF"/>
          </w:tcPr>
          <w:p>
            <w:pPr>
              <w:spacing w:after="0"/>
              <w:rPr>
                <w:sz w:val="23"/>
                <w:szCs w:val="23"/>
                <w:color w:val="auto"/>
              </w:rPr>
            </w:pPr>
          </w:p>
        </w:tc>
      </w:tr>
      <w:tr>
        <w:trPr>
          <w:trHeight w:val="180"/>
        </w:trPr>
        <w:tc>
          <w:tcPr>
            <w:tcW w:w="2380" w:type="dxa"/>
            <w:vAlign w:val="bottom"/>
            <w:tcBorders>
              <w:top w:val="single" w:sz="8" w:color="auto"/>
              <w:left w:val="single" w:sz="8" w:color="auto"/>
              <w:right w:val="single" w:sz="8" w:color="auto"/>
            </w:tcBorders>
          </w:tcPr>
          <w:p>
            <w:pPr>
              <w:ind w:left="200"/>
              <w:spacing w:after="0" w:line="180" w:lineRule="exact"/>
              <w:rPr>
                <w:sz w:val="20"/>
                <w:szCs w:val="20"/>
                <w:color w:val="auto"/>
              </w:rPr>
            </w:pPr>
            <w:r>
              <w:rPr>
                <w:rFonts w:ascii="Arial" w:cs="Arial" w:eastAsia="Arial" w:hAnsi="Arial"/>
                <w:sz w:val="16"/>
                <w:szCs w:val="16"/>
                <w:b w:val="1"/>
                <w:bCs w:val="1"/>
                <w:color w:val="auto"/>
              </w:rPr>
              <w:t>Vincent C. Hopkin,</w:t>
            </w:r>
          </w:p>
        </w:tc>
        <w:tc>
          <w:tcPr>
            <w:tcW w:w="2820" w:type="dxa"/>
            <w:vAlign w:val="bottom"/>
            <w:tcBorders>
              <w:top w:val="single" w:sz="8" w:color="auto"/>
              <w:right w:val="single" w:sz="8" w:color="auto"/>
            </w:tcBorders>
          </w:tcPr>
          <w:p>
            <w:pPr>
              <w:ind w:left="100"/>
              <w:spacing w:after="0" w:line="180" w:lineRule="exact"/>
              <w:rPr>
                <w:sz w:val="20"/>
                <w:szCs w:val="20"/>
                <w:color w:val="auto"/>
              </w:rPr>
            </w:pPr>
            <w:r>
              <w:rPr>
                <w:rFonts w:ascii="Arial" w:cs="Arial" w:eastAsia="Arial" w:hAnsi="Arial"/>
                <w:sz w:val="16"/>
                <w:szCs w:val="16"/>
                <w:color w:val="auto"/>
              </w:rPr>
              <w:t>During term of employment and for</w:t>
            </w:r>
          </w:p>
        </w:tc>
        <w:tc>
          <w:tcPr>
            <w:tcW w:w="2800" w:type="dxa"/>
            <w:vAlign w:val="bottom"/>
            <w:tcBorders>
              <w:top w:val="single" w:sz="8" w:color="auto"/>
              <w:right w:val="single" w:sz="8" w:color="auto"/>
            </w:tcBorders>
            <w:gridSpan w:val="2"/>
          </w:tcPr>
          <w:p>
            <w:pPr>
              <w:ind w:left="80"/>
              <w:spacing w:after="0" w:line="180" w:lineRule="exact"/>
              <w:rPr>
                <w:sz w:val="20"/>
                <w:szCs w:val="20"/>
                <w:color w:val="auto"/>
              </w:rPr>
            </w:pPr>
            <w:r>
              <w:rPr>
                <w:rFonts w:ascii="Arial" w:cs="Arial" w:eastAsia="Arial" w:hAnsi="Arial"/>
                <w:sz w:val="16"/>
                <w:szCs w:val="16"/>
                <w:color w:val="auto"/>
              </w:rPr>
              <w:t>During term of employment and for</w:t>
            </w:r>
          </w:p>
        </w:tc>
        <w:tc>
          <w:tcPr>
            <w:tcW w:w="2800" w:type="dxa"/>
            <w:vAlign w:val="bottom"/>
            <w:tcBorders>
              <w:top w:val="single" w:sz="8" w:color="auto"/>
              <w:right w:val="single" w:sz="8" w:color="auto"/>
            </w:tcBorders>
            <w:gridSpan w:val="4"/>
          </w:tcPr>
          <w:p>
            <w:pPr>
              <w:ind w:left="100"/>
              <w:spacing w:after="0" w:line="180" w:lineRule="exact"/>
              <w:rPr>
                <w:sz w:val="20"/>
                <w:szCs w:val="20"/>
                <w:color w:val="auto"/>
              </w:rPr>
            </w:pPr>
            <w:r>
              <w:rPr>
                <w:rFonts w:ascii="Arial" w:cs="Arial" w:eastAsia="Arial" w:hAnsi="Arial"/>
                <w:sz w:val="16"/>
                <w:szCs w:val="16"/>
                <w:color w:val="auto"/>
              </w:rPr>
              <w:t>For an indefinite period, the NEO</w:t>
            </w:r>
          </w:p>
        </w:tc>
      </w:tr>
      <w:tr>
        <w:trPr>
          <w:trHeight w:val="187"/>
        </w:trPr>
        <w:tc>
          <w:tcPr>
            <w:tcW w:w="2380" w:type="dxa"/>
            <w:vAlign w:val="bottom"/>
            <w:tcBorders>
              <w:left w:val="single" w:sz="8" w:color="auto"/>
              <w:right w:val="single" w:sz="8" w:color="auto"/>
            </w:tcBorders>
          </w:tcPr>
          <w:p>
            <w:pPr>
              <w:ind w:left="200"/>
              <w:spacing w:after="0"/>
              <w:rPr>
                <w:sz w:val="20"/>
                <w:szCs w:val="20"/>
                <w:color w:val="auto"/>
              </w:rPr>
            </w:pPr>
            <w:r>
              <w:rPr>
                <w:rFonts w:ascii="Arial" w:cs="Arial" w:eastAsia="Arial" w:hAnsi="Arial"/>
                <w:sz w:val="16"/>
                <w:szCs w:val="16"/>
                <w:b w:val="1"/>
                <w:bCs w:val="1"/>
                <w:color w:val="auto"/>
              </w:rPr>
              <w:t>Simon Keeton,</w:t>
            </w:r>
          </w:p>
        </w:tc>
        <w:tc>
          <w:tcPr>
            <w:tcW w:w="28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one  year  after  termination  of</w:t>
            </w:r>
          </w:p>
        </w:tc>
        <w:tc>
          <w:tcPr>
            <w:tcW w:w="2800" w:type="dxa"/>
            <w:vAlign w:val="bottom"/>
            <w:tcBorders>
              <w:right w:val="single" w:sz="8" w:color="auto"/>
            </w:tcBorders>
            <w:gridSpan w:val="2"/>
          </w:tcPr>
          <w:p>
            <w:pPr>
              <w:ind w:left="80"/>
              <w:spacing w:after="0"/>
              <w:rPr>
                <w:sz w:val="20"/>
                <w:szCs w:val="20"/>
                <w:color w:val="auto"/>
              </w:rPr>
            </w:pPr>
            <w:r>
              <w:rPr>
                <w:rFonts w:ascii="Arial" w:cs="Arial" w:eastAsia="Arial" w:hAnsi="Arial"/>
                <w:sz w:val="16"/>
                <w:szCs w:val="16"/>
                <w:color w:val="auto"/>
              </w:rPr>
              <w:t>one  year  after  termination  of</w:t>
            </w:r>
          </w:p>
        </w:tc>
        <w:tc>
          <w:tcPr>
            <w:tcW w:w="580" w:type="dxa"/>
            <w:vAlign w:val="bottom"/>
          </w:tcPr>
          <w:p>
            <w:pPr>
              <w:ind w:left="100"/>
              <w:spacing w:after="0"/>
              <w:rPr>
                <w:sz w:val="20"/>
                <w:szCs w:val="20"/>
                <w:color w:val="auto"/>
              </w:rPr>
            </w:pPr>
            <w:r>
              <w:rPr>
                <w:rFonts w:ascii="Arial" w:cs="Arial" w:eastAsia="Arial" w:hAnsi="Arial"/>
                <w:sz w:val="16"/>
                <w:szCs w:val="16"/>
                <w:color w:val="auto"/>
              </w:rPr>
              <w:t>may</w:t>
            </w:r>
          </w:p>
        </w:tc>
        <w:tc>
          <w:tcPr>
            <w:tcW w:w="580" w:type="dxa"/>
            <w:vAlign w:val="bottom"/>
          </w:tcPr>
          <w:p>
            <w:pPr>
              <w:ind w:left="180"/>
              <w:spacing w:after="0"/>
              <w:rPr>
                <w:sz w:val="20"/>
                <w:szCs w:val="20"/>
                <w:color w:val="auto"/>
              </w:rPr>
            </w:pPr>
            <w:r>
              <w:rPr>
                <w:rFonts w:ascii="Arial" w:cs="Arial" w:eastAsia="Arial" w:hAnsi="Arial"/>
                <w:sz w:val="16"/>
                <w:szCs w:val="16"/>
                <w:color w:val="auto"/>
              </w:rPr>
              <w:t>not</w:t>
            </w:r>
          </w:p>
        </w:tc>
        <w:tc>
          <w:tcPr>
            <w:tcW w:w="980" w:type="dxa"/>
            <w:vAlign w:val="bottom"/>
          </w:tcPr>
          <w:p>
            <w:pPr>
              <w:ind w:left="180"/>
              <w:spacing w:after="0"/>
              <w:rPr>
                <w:sz w:val="20"/>
                <w:szCs w:val="20"/>
                <w:color w:val="auto"/>
              </w:rPr>
            </w:pPr>
            <w:r>
              <w:rPr>
                <w:rFonts w:ascii="Arial" w:cs="Arial" w:eastAsia="Arial" w:hAnsi="Arial"/>
                <w:sz w:val="16"/>
                <w:szCs w:val="16"/>
                <w:color w:val="auto"/>
              </w:rPr>
              <w:t>breach</w:t>
            </w:r>
          </w:p>
        </w:tc>
        <w:tc>
          <w:tcPr>
            <w:tcW w:w="66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certain</w:t>
            </w:r>
          </w:p>
        </w:tc>
      </w:tr>
      <w:tr>
        <w:trPr>
          <w:trHeight w:val="187"/>
        </w:trPr>
        <w:tc>
          <w:tcPr>
            <w:tcW w:w="2380" w:type="dxa"/>
            <w:vAlign w:val="bottom"/>
            <w:tcBorders>
              <w:left w:val="single" w:sz="8" w:color="auto"/>
              <w:right w:val="single" w:sz="8" w:color="auto"/>
            </w:tcBorders>
          </w:tcPr>
          <w:p>
            <w:pPr>
              <w:ind w:left="200"/>
              <w:spacing w:after="0"/>
              <w:rPr>
                <w:sz w:val="20"/>
                <w:szCs w:val="20"/>
                <w:color w:val="auto"/>
              </w:rPr>
            </w:pPr>
            <w:r>
              <w:rPr>
                <w:rFonts w:ascii="Arial" w:cs="Arial" w:eastAsia="Arial" w:hAnsi="Arial"/>
                <w:sz w:val="16"/>
                <w:szCs w:val="16"/>
                <w:b w:val="1"/>
                <w:bCs w:val="1"/>
                <w:color w:val="auto"/>
              </w:rPr>
              <w:t>Ross F. Jatou,</w:t>
            </w:r>
          </w:p>
        </w:tc>
        <w:tc>
          <w:tcPr>
            <w:tcW w:w="28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employment,  the  NEO  may  not</w:t>
            </w:r>
          </w:p>
        </w:tc>
        <w:tc>
          <w:tcPr>
            <w:tcW w:w="2800" w:type="dxa"/>
            <w:vAlign w:val="bottom"/>
            <w:tcBorders>
              <w:right w:val="single" w:sz="8" w:color="auto"/>
            </w:tcBorders>
            <w:gridSpan w:val="2"/>
          </w:tcPr>
          <w:p>
            <w:pPr>
              <w:ind w:left="80"/>
              <w:spacing w:after="0"/>
              <w:rPr>
                <w:sz w:val="20"/>
                <w:szCs w:val="20"/>
                <w:color w:val="auto"/>
              </w:rPr>
            </w:pPr>
            <w:r>
              <w:rPr>
                <w:rFonts w:ascii="Arial" w:cs="Arial" w:eastAsia="Arial" w:hAnsi="Arial"/>
                <w:sz w:val="16"/>
                <w:szCs w:val="16"/>
                <w:color w:val="auto"/>
              </w:rPr>
              <w:t>employment,  the  NEO  may  not</w:t>
            </w:r>
          </w:p>
        </w:tc>
        <w:tc>
          <w:tcPr>
            <w:tcW w:w="2140" w:type="dxa"/>
            <w:vAlign w:val="bottom"/>
            <w:gridSpan w:val="3"/>
          </w:tcPr>
          <w:p>
            <w:pPr>
              <w:ind w:left="100"/>
              <w:spacing w:after="0"/>
              <w:rPr>
                <w:sz w:val="20"/>
                <w:szCs w:val="20"/>
                <w:color w:val="auto"/>
              </w:rPr>
            </w:pPr>
            <w:r>
              <w:rPr>
                <w:rFonts w:ascii="Arial" w:cs="Arial" w:eastAsia="Arial" w:hAnsi="Arial"/>
                <w:sz w:val="16"/>
                <w:szCs w:val="16"/>
                <w:color w:val="auto"/>
              </w:rPr>
              <w:t>confidentiality and non-</w:t>
            </w:r>
          </w:p>
        </w:tc>
        <w:tc>
          <w:tcPr>
            <w:tcW w:w="660" w:type="dxa"/>
            <w:vAlign w:val="bottom"/>
            <w:tcBorders>
              <w:right w:val="single" w:sz="8" w:color="auto"/>
            </w:tcBorders>
          </w:tcPr>
          <w:p>
            <w:pPr>
              <w:spacing w:after="0"/>
              <w:rPr>
                <w:sz w:val="16"/>
                <w:szCs w:val="16"/>
                <w:color w:val="auto"/>
              </w:rPr>
            </w:pPr>
          </w:p>
        </w:tc>
      </w:tr>
      <w:tr>
        <w:trPr>
          <w:trHeight w:val="187"/>
        </w:trPr>
        <w:tc>
          <w:tcPr>
            <w:tcW w:w="2380" w:type="dxa"/>
            <w:vAlign w:val="bottom"/>
            <w:tcBorders>
              <w:left w:val="single" w:sz="8" w:color="auto"/>
              <w:right w:val="single" w:sz="8" w:color="auto"/>
            </w:tcBorders>
          </w:tcPr>
          <w:p>
            <w:pPr>
              <w:ind w:left="200"/>
              <w:spacing w:after="0"/>
              <w:rPr>
                <w:sz w:val="20"/>
                <w:szCs w:val="20"/>
                <w:color w:val="auto"/>
              </w:rPr>
            </w:pPr>
            <w:r>
              <w:rPr>
                <w:rFonts w:ascii="Arial" w:cs="Arial" w:eastAsia="Arial" w:hAnsi="Arial"/>
                <w:sz w:val="16"/>
                <w:szCs w:val="16"/>
                <w:b w:val="1"/>
                <w:bCs w:val="1"/>
                <w:color w:val="auto"/>
              </w:rPr>
              <w:t>George H. Cave</w:t>
            </w:r>
          </w:p>
        </w:tc>
        <w:tc>
          <w:tcPr>
            <w:tcW w:w="28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solicit any employee of the Company</w:t>
            </w:r>
          </w:p>
        </w:tc>
        <w:tc>
          <w:tcPr>
            <w:tcW w:w="2800" w:type="dxa"/>
            <w:vAlign w:val="bottom"/>
            <w:tcBorders>
              <w:right w:val="single" w:sz="8" w:color="auto"/>
            </w:tcBorders>
            <w:gridSpan w:val="2"/>
          </w:tcPr>
          <w:p>
            <w:pPr>
              <w:ind w:left="80"/>
              <w:spacing w:after="0"/>
              <w:rPr>
                <w:sz w:val="20"/>
                <w:szCs w:val="20"/>
                <w:color w:val="auto"/>
              </w:rPr>
            </w:pPr>
            <w:r>
              <w:rPr>
                <w:rFonts w:ascii="Arial" w:cs="Arial" w:eastAsia="Arial" w:hAnsi="Arial"/>
                <w:sz w:val="16"/>
                <w:szCs w:val="16"/>
                <w:color w:val="auto"/>
              </w:rPr>
              <w:t>compete  with  the  Company  by</w:t>
            </w:r>
          </w:p>
        </w:tc>
        <w:tc>
          <w:tcPr>
            <w:tcW w:w="2140" w:type="dxa"/>
            <w:vAlign w:val="bottom"/>
            <w:gridSpan w:val="3"/>
          </w:tcPr>
          <w:p>
            <w:pPr>
              <w:ind w:left="100"/>
              <w:spacing w:after="0"/>
              <w:rPr>
                <w:sz w:val="20"/>
                <w:szCs w:val="20"/>
                <w:color w:val="auto"/>
              </w:rPr>
            </w:pPr>
            <w:r>
              <w:rPr>
                <w:rFonts w:ascii="Arial" w:cs="Arial" w:eastAsia="Arial" w:hAnsi="Arial"/>
                <w:sz w:val="16"/>
                <w:szCs w:val="16"/>
                <w:color w:val="auto"/>
              </w:rPr>
              <w:t>disparagement covenants</w:t>
            </w:r>
          </w:p>
        </w:tc>
        <w:tc>
          <w:tcPr>
            <w:tcW w:w="660" w:type="dxa"/>
            <w:vAlign w:val="bottom"/>
            <w:tcBorders>
              <w:right w:val="single" w:sz="8" w:color="auto"/>
            </w:tcBorders>
          </w:tcPr>
          <w:p>
            <w:pPr>
              <w:spacing w:after="0"/>
              <w:rPr>
                <w:sz w:val="16"/>
                <w:szCs w:val="16"/>
                <w:color w:val="auto"/>
              </w:rPr>
            </w:pPr>
          </w:p>
        </w:tc>
      </w:tr>
      <w:tr>
        <w:trPr>
          <w:trHeight w:val="187"/>
        </w:trPr>
        <w:tc>
          <w:tcPr>
            <w:tcW w:w="2380" w:type="dxa"/>
            <w:vAlign w:val="bottom"/>
            <w:tcBorders>
              <w:left w:val="single" w:sz="8" w:color="auto"/>
              <w:right w:val="single" w:sz="8" w:color="auto"/>
            </w:tcBorders>
          </w:tcPr>
          <w:p>
            <w:pPr>
              <w:ind w:left="200"/>
              <w:spacing w:after="0"/>
              <w:rPr>
                <w:sz w:val="20"/>
                <w:szCs w:val="20"/>
                <w:color w:val="auto"/>
              </w:rPr>
            </w:pPr>
            <w:r>
              <w:rPr>
                <w:rFonts w:ascii="Arial" w:cs="Arial" w:eastAsia="Arial" w:hAnsi="Arial"/>
                <w:sz w:val="16"/>
                <w:szCs w:val="16"/>
                <w:b w:val="1"/>
                <w:bCs w:val="1"/>
                <w:color w:val="auto"/>
              </w:rPr>
              <w:t>and Bernard</w:t>
            </w:r>
          </w:p>
        </w:tc>
        <w:tc>
          <w:tcPr>
            <w:tcW w:w="28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or attempt to induce any employee</w:t>
            </w:r>
          </w:p>
        </w:tc>
        <w:tc>
          <w:tcPr>
            <w:tcW w:w="2800" w:type="dxa"/>
            <w:vAlign w:val="bottom"/>
            <w:tcBorders>
              <w:right w:val="single" w:sz="8" w:color="auto"/>
            </w:tcBorders>
            <w:gridSpan w:val="2"/>
          </w:tcPr>
          <w:p>
            <w:pPr>
              <w:ind w:left="80"/>
              <w:spacing w:after="0"/>
              <w:rPr>
                <w:sz w:val="20"/>
                <w:szCs w:val="20"/>
                <w:color w:val="auto"/>
              </w:rPr>
            </w:pPr>
            <w:r>
              <w:rPr>
                <w:rFonts w:ascii="Arial" w:cs="Arial" w:eastAsia="Arial" w:hAnsi="Arial"/>
                <w:sz w:val="16"/>
                <w:szCs w:val="16"/>
                <w:color w:val="auto"/>
              </w:rPr>
              <w:t>providing services to a “Competitive</w:t>
            </w:r>
          </w:p>
        </w:tc>
        <w:tc>
          <w:tcPr>
            <w:tcW w:w="5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60" w:type="dxa"/>
            <w:vAlign w:val="bottom"/>
            <w:tcBorders>
              <w:right w:val="single" w:sz="8" w:color="auto"/>
            </w:tcBorders>
          </w:tcPr>
          <w:p>
            <w:pPr>
              <w:spacing w:after="0"/>
              <w:rPr>
                <w:sz w:val="16"/>
                <w:szCs w:val="16"/>
                <w:color w:val="auto"/>
              </w:rPr>
            </w:pPr>
          </w:p>
        </w:tc>
      </w:tr>
      <w:tr>
        <w:trPr>
          <w:trHeight w:val="187"/>
        </w:trPr>
        <w:tc>
          <w:tcPr>
            <w:tcW w:w="2380" w:type="dxa"/>
            <w:vAlign w:val="bottom"/>
            <w:tcBorders>
              <w:left w:val="single" w:sz="8" w:color="auto"/>
              <w:right w:val="single" w:sz="8" w:color="auto"/>
            </w:tcBorders>
          </w:tcPr>
          <w:p>
            <w:pPr>
              <w:ind w:left="200"/>
              <w:spacing w:after="0"/>
              <w:rPr>
                <w:sz w:val="20"/>
                <w:szCs w:val="20"/>
                <w:color w:val="auto"/>
              </w:rPr>
            </w:pPr>
            <w:r>
              <w:rPr>
                <w:rFonts w:ascii="Arial" w:cs="Arial" w:eastAsia="Arial" w:hAnsi="Arial"/>
                <w:sz w:val="16"/>
                <w:szCs w:val="16"/>
                <w:b w:val="1"/>
                <w:bCs w:val="1"/>
                <w:color w:val="auto"/>
              </w:rPr>
              <w:t>Gutmann</w:t>
            </w:r>
          </w:p>
        </w:tc>
        <w:tc>
          <w:tcPr>
            <w:tcW w:w="28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of  the  Company  to  leave  the</w:t>
            </w:r>
          </w:p>
        </w:tc>
        <w:tc>
          <w:tcPr>
            <w:tcW w:w="2800" w:type="dxa"/>
            <w:vAlign w:val="bottom"/>
            <w:tcBorders>
              <w:right w:val="single" w:sz="8" w:color="auto"/>
            </w:tcBorders>
            <w:gridSpan w:val="2"/>
          </w:tcPr>
          <w:p>
            <w:pPr>
              <w:ind w:left="80"/>
              <w:spacing w:after="0"/>
              <w:rPr>
                <w:sz w:val="20"/>
                <w:szCs w:val="20"/>
                <w:color w:val="auto"/>
              </w:rPr>
            </w:pPr>
            <w:r>
              <w:rPr>
                <w:rFonts w:ascii="Arial" w:cs="Arial" w:eastAsia="Arial" w:hAnsi="Arial"/>
                <w:sz w:val="16"/>
                <w:szCs w:val="16"/>
                <w:color w:val="auto"/>
              </w:rPr>
              <w:t>Business” (as such term is defined in</w:t>
            </w:r>
          </w:p>
        </w:tc>
        <w:tc>
          <w:tcPr>
            <w:tcW w:w="5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60" w:type="dxa"/>
            <w:vAlign w:val="bottom"/>
            <w:tcBorders>
              <w:right w:val="single" w:sz="8" w:color="auto"/>
            </w:tcBorders>
          </w:tcPr>
          <w:p>
            <w:pPr>
              <w:spacing w:after="0"/>
              <w:rPr>
                <w:sz w:val="16"/>
                <w:szCs w:val="16"/>
                <w:color w:val="auto"/>
              </w:rPr>
            </w:pPr>
          </w:p>
        </w:tc>
      </w:tr>
      <w:tr>
        <w:trPr>
          <w:trHeight w:val="187"/>
        </w:trPr>
        <w:tc>
          <w:tcPr>
            <w:tcW w:w="2380" w:type="dxa"/>
            <w:vAlign w:val="bottom"/>
            <w:tcBorders>
              <w:left w:val="single" w:sz="8" w:color="auto"/>
              <w:right w:val="single" w:sz="8" w:color="auto"/>
            </w:tcBorders>
          </w:tcPr>
          <w:p>
            <w:pPr>
              <w:spacing w:after="0"/>
              <w:rPr>
                <w:sz w:val="16"/>
                <w:szCs w:val="16"/>
                <w:color w:val="auto"/>
              </w:rPr>
            </w:pPr>
          </w:p>
        </w:tc>
        <w:tc>
          <w:tcPr>
            <w:tcW w:w="28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Company</w:t>
            </w:r>
          </w:p>
        </w:tc>
        <w:tc>
          <w:tcPr>
            <w:tcW w:w="1840" w:type="dxa"/>
            <w:vAlign w:val="bottom"/>
          </w:tcPr>
          <w:p>
            <w:pPr>
              <w:ind w:left="80"/>
              <w:spacing w:after="0"/>
              <w:rPr>
                <w:sz w:val="20"/>
                <w:szCs w:val="20"/>
                <w:color w:val="auto"/>
              </w:rPr>
            </w:pPr>
            <w:r>
              <w:rPr>
                <w:rFonts w:ascii="Arial" w:cs="Arial" w:eastAsia="Arial" w:hAnsi="Arial"/>
                <w:sz w:val="16"/>
                <w:szCs w:val="16"/>
                <w:color w:val="auto"/>
              </w:rPr>
              <w:t>the  applicable  NEO’s</w:t>
            </w:r>
          </w:p>
        </w:tc>
        <w:tc>
          <w:tcPr>
            <w:tcW w:w="960" w:type="dxa"/>
            <w:vAlign w:val="bottom"/>
            <w:tcBorders>
              <w:right w:val="single" w:sz="8" w:color="auto"/>
            </w:tcBorders>
          </w:tcPr>
          <w:p>
            <w:pPr>
              <w:ind w:left="140"/>
              <w:spacing w:after="0"/>
              <w:rPr>
                <w:sz w:val="20"/>
                <w:szCs w:val="20"/>
                <w:color w:val="auto"/>
              </w:rPr>
            </w:pPr>
            <w:r>
              <w:rPr>
                <w:rFonts w:ascii="Arial" w:cs="Arial" w:eastAsia="Arial" w:hAnsi="Arial"/>
                <w:sz w:val="16"/>
                <w:szCs w:val="16"/>
                <w:color w:val="auto"/>
              </w:rPr>
              <w:t>respective</w:t>
            </w:r>
          </w:p>
        </w:tc>
        <w:tc>
          <w:tcPr>
            <w:tcW w:w="5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60" w:type="dxa"/>
            <w:vAlign w:val="bottom"/>
            <w:tcBorders>
              <w:right w:val="single" w:sz="8" w:color="auto"/>
            </w:tcBorders>
          </w:tcPr>
          <w:p>
            <w:pPr>
              <w:spacing w:after="0"/>
              <w:rPr>
                <w:sz w:val="16"/>
                <w:szCs w:val="16"/>
                <w:color w:val="auto"/>
              </w:rPr>
            </w:pPr>
          </w:p>
        </w:tc>
      </w:tr>
      <w:tr>
        <w:trPr>
          <w:trHeight w:val="187"/>
        </w:trPr>
        <w:tc>
          <w:tcPr>
            <w:tcW w:w="2380" w:type="dxa"/>
            <w:vAlign w:val="bottom"/>
            <w:tcBorders>
              <w:left w:val="single" w:sz="8" w:color="auto"/>
              <w:right w:val="single" w:sz="8" w:color="auto"/>
            </w:tcBorders>
          </w:tcPr>
          <w:p>
            <w:pPr>
              <w:spacing w:after="0"/>
              <w:rPr>
                <w:sz w:val="16"/>
                <w:szCs w:val="16"/>
                <w:color w:val="auto"/>
              </w:rPr>
            </w:pPr>
          </w:p>
        </w:tc>
        <w:tc>
          <w:tcPr>
            <w:tcW w:w="2820" w:type="dxa"/>
            <w:vAlign w:val="bottom"/>
            <w:tcBorders>
              <w:right w:val="single" w:sz="8" w:color="auto"/>
            </w:tcBorders>
          </w:tcPr>
          <w:p>
            <w:pPr>
              <w:spacing w:after="0"/>
              <w:rPr>
                <w:sz w:val="16"/>
                <w:szCs w:val="16"/>
                <w:color w:val="auto"/>
              </w:rPr>
            </w:pPr>
          </w:p>
        </w:tc>
        <w:tc>
          <w:tcPr>
            <w:tcW w:w="2800" w:type="dxa"/>
            <w:vAlign w:val="bottom"/>
            <w:tcBorders>
              <w:right w:val="single" w:sz="8" w:color="auto"/>
            </w:tcBorders>
            <w:gridSpan w:val="2"/>
          </w:tcPr>
          <w:p>
            <w:pPr>
              <w:ind w:left="80"/>
              <w:spacing w:after="0"/>
              <w:rPr>
                <w:sz w:val="20"/>
                <w:szCs w:val="20"/>
                <w:color w:val="auto"/>
              </w:rPr>
            </w:pPr>
            <w:r>
              <w:rPr>
                <w:rFonts w:ascii="Arial" w:cs="Arial" w:eastAsia="Arial" w:hAnsi="Arial"/>
                <w:sz w:val="16"/>
                <w:szCs w:val="16"/>
                <w:color w:val="auto"/>
              </w:rPr>
              <w:t>agreement)  in  or  from  the  U.S.</w:t>
            </w:r>
          </w:p>
        </w:tc>
        <w:tc>
          <w:tcPr>
            <w:tcW w:w="5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60" w:type="dxa"/>
            <w:vAlign w:val="bottom"/>
            <w:tcBorders>
              <w:right w:val="single" w:sz="8" w:color="auto"/>
            </w:tcBorders>
          </w:tcPr>
          <w:p>
            <w:pPr>
              <w:spacing w:after="0"/>
              <w:rPr>
                <w:sz w:val="16"/>
                <w:szCs w:val="16"/>
                <w:color w:val="auto"/>
              </w:rPr>
            </w:pPr>
          </w:p>
        </w:tc>
      </w:tr>
      <w:tr>
        <w:trPr>
          <w:trHeight w:val="211"/>
        </w:trPr>
        <w:tc>
          <w:tcPr>
            <w:tcW w:w="2380" w:type="dxa"/>
            <w:vAlign w:val="bottom"/>
            <w:tcBorders>
              <w:left w:val="single" w:sz="8" w:color="auto"/>
              <w:right w:val="single" w:sz="8" w:color="auto"/>
            </w:tcBorders>
          </w:tcPr>
          <w:p>
            <w:pPr>
              <w:spacing w:after="0"/>
              <w:rPr>
                <w:sz w:val="18"/>
                <w:szCs w:val="18"/>
                <w:color w:val="auto"/>
              </w:rPr>
            </w:pPr>
          </w:p>
        </w:tc>
        <w:tc>
          <w:tcPr>
            <w:tcW w:w="2820" w:type="dxa"/>
            <w:vAlign w:val="bottom"/>
            <w:tcBorders>
              <w:right w:val="single" w:sz="8" w:color="auto"/>
            </w:tcBorders>
          </w:tcPr>
          <w:p>
            <w:pPr>
              <w:spacing w:after="0"/>
              <w:rPr>
                <w:sz w:val="18"/>
                <w:szCs w:val="18"/>
                <w:color w:val="auto"/>
              </w:rPr>
            </w:pPr>
          </w:p>
        </w:tc>
        <w:tc>
          <w:tcPr>
            <w:tcW w:w="1840" w:type="dxa"/>
            <w:vAlign w:val="bottom"/>
          </w:tcPr>
          <w:p>
            <w:pPr>
              <w:ind w:left="80"/>
              <w:spacing w:after="0"/>
              <w:rPr>
                <w:sz w:val="20"/>
                <w:szCs w:val="20"/>
                <w:color w:val="auto"/>
              </w:rPr>
            </w:pPr>
            <w:r>
              <w:rPr>
                <w:rFonts w:ascii="Arial" w:cs="Arial" w:eastAsia="Arial" w:hAnsi="Arial"/>
                <w:sz w:val="16"/>
                <w:szCs w:val="16"/>
                <w:color w:val="auto"/>
              </w:rPr>
              <w:t>territory</w:t>
            </w:r>
          </w:p>
        </w:tc>
        <w:tc>
          <w:tcPr>
            <w:tcW w:w="960" w:type="dxa"/>
            <w:vAlign w:val="bottom"/>
            <w:tcBorders>
              <w:right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r>
      <w:tr>
        <w:trPr>
          <w:trHeight w:val="57"/>
        </w:trPr>
        <w:tc>
          <w:tcPr>
            <w:tcW w:w="2380" w:type="dxa"/>
            <w:vAlign w:val="bottom"/>
            <w:tcBorders>
              <w:left w:val="single" w:sz="8" w:color="auto"/>
              <w:bottom w:val="single" w:sz="8" w:color="auto"/>
              <w:right w:val="single" w:sz="8" w:color="auto"/>
            </w:tcBorders>
          </w:tcPr>
          <w:p>
            <w:pPr>
              <w:spacing w:after="0"/>
              <w:rPr>
                <w:sz w:val="4"/>
                <w:szCs w:val="4"/>
                <w:color w:val="auto"/>
              </w:rPr>
            </w:pPr>
          </w:p>
        </w:tc>
        <w:tc>
          <w:tcPr>
            <w:tcW w:w="2820" w:type="dxa"/>
            <w:vAlign w:val="bottom"/>
            <w:tcBorders>
              <w:bottom w:val="single" w:sz="8" w:color="auto"/>
              <w:right w:val="single" w:sz="8" w:color="auto"/>
            </w:tcBorders>
          </w:tcPr>
          <w:p>
            <w:pPr>
              <w:spacing w:after="0"/>
              <w:rPr>
                <w:sz w:val="4"/>
                <w:szCs w:val="4"/>
                <w:color w:val="auto"/>
              </w:rPr>
            </w:pPr>
          </w:p>
        </w:tc>
        <w:tc>
          <w:tcPr>
            <w:tcW w:w="1840" w:type="dxa"/>
            <w:vAlign w:val="bottom"/>
            <w:tcBorders>
              <w:bottom w:val="single" w:sz="8" w:color="auto"/>
            </w:tcBorders>
          </w:tcPr>
          <w:p>
            <w:pPr>
              <w:spacing w:after="0"/>
              <w:rPr>
                <w:sz w:val="4"/>
                <w:szCs w:val="4"/>
                <w:color w:val="auto"/>
              </w:rPr>
            </w:pPr>
          </w:p>
        </w:tc>
        <w:tc>
          <w:tcPr>
            <w:tcW w:w="960" w:type="dxa"/>
            <w:vAlign w:val="bottom"/>
            <w:tcBorders>
              <w:bottom w:val="single" w:sz="8" w:color="auto"/>
              <w:right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660" w:type="dxa"/>
            <w:vAlign w:val="bottom"/>
            <w:tcBorders>
              <w:bottom w:val="single" w:sz="8" w:color="auto"/>
              <w:right w:val="single" w:sz="8" w:color="auto"/>
            </w:tcBorders>
          </w:tcPr>
          <w:p>
            <w:pPr>
              <w:spacing w:after="0"/>
              <w:rPr>
                <w:sz w:val="4"/>
                <w:szCs w:val="4"/>
                <w:color w:val="auto"/>
              </w:rPr>
            </w:pPr>
          </w:p>
        </w:tc>
      </w:tr>
    </w:tbl>
    <w:p>
      <w:pPr>
        <w:spacing w:after="0" w:line="189"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2B4772"/>
        </w:rPr>
        <w:t>Potential Payments Upon Termination of Employment or Change in Control</w:t>
      </w:r>
    </w:p>
    <w:p>
      <w:pPr>
        <w:spacing w:after="0" w:line="119" w:lineRule="exact"/>
        <w:rPr>
          <w:sz w:val="20"/>
          <w:szCs w:val="20"/>
          <w:color w:val="auto"/>
        </w:rPr>
      </w:pPr>
    </w:p>
    <w:p>
      <w:pPr>
        <w:jc w:val="both"/>
        <w:ind w:left="160"/>
        <w:spacing w:after="0" w:line="239" w:lineRule="auto"/>
        <w:rPr>
          <w:sz w:val="20"/>
          <w:szCs w:val="20"/>
          <w:color w:val="auto"/>
        </w:rPr>
      </w:pPr>
      <w:r>
        <w:rPr>
          <w:rFonts w:ascii="Arial" w:cs="Arial" w:eastAsia="Arial" w:hAnsi="Arial"/>
          <w:sz w:val="18"/>
          <w:szCs w:val="18"/>
          <w:color w:val="auto"/>
        </w:rPr>
        <w:t>In the tables below, we summarize the estimated payments that will be made to each of our applicable NEOs upon a termination of employment in the various circumstances listed. The table for each applicable NEO should be read together with the description of that officer’s employment agreement above and the description below. For information concerning the material conditions applicable to the receipt of certain payments or benefits, including waivers and non-compete, non-solicitation, non-disparagement and confidentiality agreements, see the description of each such employment agreement in “Employment, Severance and Change in Control Arrangements” above.</w:t>
      </w:r>
    </w:p>
    <w:p>
      <w:pPr>
        <w:spacing w:after="0" w:line="18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Material Assumptions</w:t>
      </w:r>
    </w:p>
    <w:p>
      <w:pPr>
        <w:spacing w:after="0" w:line="20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Unless we note otherwise in the individual table, the material assumptions that we used in creating the tables are set forth directly below.</w:t>
      </w:r>
    </w:p>
    <w:p>
      <w:pPr>
        <w:spacing w:after="0" w:line="208" w:lineRule="exact"/>
        <w:rPr>
          <w:sz w:val="20"/>
          <w:szCs w:val="20"/>
          <w:color w:val="auto"/>
        </w:rPr>
      </w:pPr>
    </w:p>
    <w:p>
      <w:pPr>
        <w:jc w:val="both"/>
        <w:ind w:left="160"/>
        <w:spacing w:after="0" w:line="249" w:lineRule="auto"/>
        <w:rPr>
          <w:sz w:val="20"/>
          <w:szCs w:val="20"/>
          <w:color w:val="auto"/>
        </w:rPr>
      </w:pPr>
      <w:r>
        <w:rPr>
          <w:rFonts w:ascii="Arial" w:cs="Arial" w:eastAsia="Arial" w:hAnsi="Arial"/>
          <w:sz w:val="18"/>
          <w:szCs w:val="18"/>
          <w:b w:val="1"/>
          <w:bCs w:val="1"/>
          <w:i w:val="1"/>
          <w:iCs w:val="1"/>
          <w:color w:val="auto"/>
        </w:rPr>
        <w:t>Date of Termination</w:t>
      </w:r>
      <w:r>
        <w:rPr>
          <w:rFonts w:ascii="Arial" w:cs="Arial" w:eastAsia="Arial" w:hAnsi="Arial"/>
          <w:sz w:val="18"/>
          <w:szCs w:val="18"/>
          <w:color w:val="auto"/>
        </w:rPr>
        <w:t>. The tables assume that any triggering event (e.g., termination, resignation, Change in Control, death or disability)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took place on December 31, 2021, with base salaries in effect at the end of the 2021 fiscal year being used for purposes of any severance payout calculations.</w:t>
      </w:r>
    </w:p>
    <w:p>
      <w:pPr>
        <w:spacing w:after="0" w:line="114" w:lineRule="exact"/>
        <w:rPr>
          <w:sz w:val="20"/>
          <w:szCs w:val="20"/>
          <w:color w:val="auto"/>
        </w:rPr>
      </w:pPr>
    </w:p>
    <w:p>
      <w:pPr>
        <w:ind w:left="160"/>
        <w:spacing w:after="0"/>
        <w:tabs>
          <w:tab w:leader="none" w:pos="500" w:val="left"/>
        </w:tabs>
        <w:rPr>
          <w:sz w:val="20"/>
          <w:szCs w:val="20"/>
          <w:color w:val="auto"/>
        </w:rPr>
      </w:pPr>
      <w:r>
        <w:rPr>
          <w:rFonts w:ascii="Arial" w:cs="Arial" w:eastAsia="Arial" w:hAnsi="Arial"/>
          <w:sz w:val="14"/>
          <w:szCs w:val="14"/>
          <w:color w:val="F75E14"/>
        </w:rPr>
        <w:t>60</w:t>
        <w:tab/>
        <w:t>onsemi 2022 Proxy Statement</w:t>
      </w:r>
    </w:p>
    <w:p>
      <w:pPr>
        <w:sectPr>
          <w:pgSz w:w="11900" w:h="16838" w:orient="portrait"/>
          <w:cols w:equalWidth="0" w:num="1">
            <w:col w:w="11080"/>
          </w:cols>
          <w:pgMar w:left="320" w:top="454" w:right="499" w:bottom="1440" w:gutter="0" w:footer="0" w:header="0"/>
        </w:sectPr>
      </w:pPr>
    </w:p>
    <w:bookmarkStart w:id="64" w:name="page65"/>
    <w:bookmarkEnd w:id="6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2" w:lineRule="exact"/>
        <w:rPr>
          <w:sz w:val="20"/>
          <w:szCs w:val="20"/>
          <w:color w:val="auto"/>
        </w:rPr>
      </w:pPr>
    </w:p>
    <w:p>
      <w:pPr>
        <w:ind w:left="8260"/>
        <w:spacing w:after="0"/>
        <w:rPr>
          <w:sz w:val="20"/>
          <w:szCs w:val="20"/>
          <w:color w:val="auto"/>
        </w:rPr>
      </w:pPr>
      <w:r>
        <w:rPr>
          <w:rFonts w:ascii="Arial" w:cs="Arial" w:eastAsia="Arial" w:hAnsi="Arial"/>
          <w:sz w:val="17"/>
          <w:szCs w:val="17"/>
          <w:color w:val="F75E14"/>
        </w:rPr>
        <w:t>Compensation of Executive Officers</w:t>
      </w:r>
    </w:p>
    <w:p>
      <w:pPr>
        <w:spacing w:after="0" w:line="152" w:lineRule="exact"/>
        <w:rPr>
          <w:sz w:val="20"/>
          <w:szCs w:val="20"/>
          <w:color w:val="auto"/>
        </w:rPr>
      </w:pPr>
    </w:p>
    <w:p>
      <w:pPr>
        <w:jc w:val="both"/>
        <w:ind w:left="160"/>
        <w:spacing w:after="0" w:line="249" w:lineRule="auto"/>
        <w:rPr>
          <w:sz w:val="20"/>
          <w:szCs w:val="20"/>
          <w:color w:val="auto"/>
        </w:rPr>
      </w:pPr>
      <w:r>
        <w:rPr>
          <w:rFonts w:ascii="Arial" w:cs="Arial" w:eastAsia="Arial" w:hAnsi="Arial"/>
          <w:sz w:val="18"/>
          <w:szCs w:val="18"/>
          <w:b w:val="1"/>
          <w:bCs w:val="1"/>
          <w:i w:val="1"/>
          <w:iCs w:val="1"/>
          <w:color w:val="auto"/>
        </w:rPr>
        <w:t>Off-setting Employment</w:t>
      </w:r>
      <w:r>
        <w:rPr>
          <w:rFonts w:ascii="Arial" w:cs="Arial" w:eastAsia="Arial" w:hAnsi="Arial"/>
          <w:sz w:val="18"/>
          <w:szCs w:val="18"/>
          <w:color w:val="auto"/>
        </w:rPr>
        <w:t>. For purposes of the table, we have assumed that each applicable NEO was not able to obtain comparable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employment during the applicable period, which would off-set the Company’s severance payment obligations if such term was set forth in his employment agreement.</w:t>
      </w:r>
    </w:p>
    <w:p>
      <w:pPr>
        <w:spacing w:after="0" w:line="172" w:lineRule="exact"/>
        <w:rPr>
          <w:sz w:val="20"/>
          <w:szCs w:val="20"/>
          <w:color w:val="auto"/>
        </w:rPr>
      </w:pPr>
    </w:p>
    <w:p>
      <w:pPr>
        <w:jc w:val="both"/>
        <w:ind w:left="160" w:right="20"/>
        <w:spacing w:after="0" w:line="265" w:lineRule="auto"/>
        <w:rPr>
          <w:sz w:val="20"/>
          <w:szCs w:val="20"/>
          <w:color w:val="auto"/>
        </w:rPr>
      </w:pPr>
      <w:r>
        <w:rPr>
          <w:rFonts w:ascii="Arial" w:cs="Arial" w:eastAsia="Arial" w:hAnsi="Arial"/>
          <w:sz w:val="18"/>
          <w:szCs w:val="18"/>
          <w:b w:val="1"/>
          <w:bCs w:val="1"/>
          <w:i w:val="1"/>
          <w:iCs w:val="1"/>
          <w:color w:val="auto"/>
        </w:rPr>
        <w:t>Price Per Share of Common Stock</w:t>
      </w:r>
      <w:r>
        <w:rPr>
          <w:rFonts w:ascii="Arial" w:cs="Arial" w:eastAsia="Arial" w:hAnsi="Arial"/>
          <w:sz w:val="18"/>
          <w:szCs w:val="18"/>
          <w:color w:val="auto"/>
        </w:rPr>
        <w:t>. Calculations requiring a per share stock price are made on the basis of the closing price of $67.92</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 share of our common stock on Nasdaq on December 31, 2021.</w:t>
      </w:r>
    </w:p>
    <w:p>
      <w:pPr>
        <w:spacing w:after="0" w:line="158" w:lineRule="exact"/>
        <w:rPr>
          <w:sz w:val="20"/>
          <w:szCs w:val="20"/>
          <w:color w:val="auto"/>
        </w:rPr>
      </w:pPr>
    </w:p>
    <w:p>
      <w:pPr>
        <w:jc w:val="both"/>
        <w:ind w:left="160"/>
        <w:spacing w:after="0" w:line="243" w:lineRule="auto"/>
        <w:rPr>
          <w:sz w:val="20"/>
          <w:szCs w:val="20"/>
          <w:color w:val="auto"/>
        </w:rPr>
      </w:pPr>
      <w:r>
        <w:rPr>
          <w:rFonts w:ascii="Arial" w:cs="Arial" w:eastAsia="Arial" w:hAnsi="Arial"/>
          <w:sz w:val="18"/>
          <w:szCs w:val="18"/>
          <w:b w:val="1"/>
          <w:bCs w:val="1"/>
          <w:i w:val="1"/>
          <w:iCs w:val="1"/>
          <w:color w:val="auto"/>
        </w:rPr>
        <w:t>Cash Payment upon a Change in Control</w:t>
      </w:r>
      <w:r>
        <w:rPr>
          <w:rFonts w:ascii="Arial" w:cs="Arial" w:eastAsia="Arial" w:hAnsi="Arial"/>
          <w:sz w:val="18"/>
          <w:szCs w:val="18"/>
          <w:color w:val="auto"/>
        </w:rPr>
        <w:t>. No cash payment will be made solely because of a Change in Control. For each applicable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NEO, the cash payments described under the heading “Termination Following a Change in Control” would be triggered upon a termination without “Cause” or resignation for “Good Reason” (as those terms are defined in the applicable NEO’s employment agreement) within two years following a Change in Control.</w:t>
      </w:r>
    </w:p>
    <w:p>
      <w:pPr>
        <w:spacing w:after="0" w:line="178" w:lineRule="exact"/>
        <w:rPr>
          <w:sz w:val="20"/>
          <w:szCs w:val="20"/>
          <w:color w:val="auto"/>
        </w:rPr>
      </w:pPr>
    </w:p>
    <w:p>
      <w:pPr>
        <w:jc w:val="both"/>
        <w:ind w:left="160"/>
        <w:spacing w:after="0" w:line="239" w:lineRule="auto"/>
        <w:rPr>
          <w:sz w:val="20"/>
          <w:szCs w:val="20"/>
          <w:color w:val="auto"/>
        </w:rPr>
      </w:pPr>
      <w:r>
        <w:rPr>
          <w:rFonts w:ascii="Arial" w:cs="Arial" w:eastAsia="Arial" w:hAnsi="Arial"/>
          <w:sz w:val="18"/>
          <w:szCs w:val="18"/>
          <w:b w:val="1"/>
          <w:bCs w:val="1"/>
          <w:i w:val="1"/>
          <w:iCs w:val="1"/>
          <w:color w:val="auto"/>
        </w:rPr>
        <w:t>Equity Acceleration upon a Change in Control</w:t>
      </w:r>
      <w:r>
        <w:rPr>
          <w:rFonts w:ascii="Arial" w:cs="Arial" w:eastAsia="Arial" w:hAnsi="Arial"/>
          <w:sz w:val="18"/>
          <w:szCs w:val="18"/>
          <w:color w:val="auto"/>
        </w:rPr>
        <w:t>. Under the SIP, the HCC Committee, in its discretion, can provide for acceleration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vesting and the lapse of restrictions on all outstanding options or other awards upon a Change in Control. Under the employment agreement for each applicable NEO, certain awards granted at or prior to the time of original entry into the employment agreement will vest if the NEO’s employment is terminated without Cause or the NEO resigns for Good Reason within 24 months following a Change in Control. See “2021, 2020 and 2019 Awards of Equity” above in this proxy statement for a more detailed description of the vesting of outstanding awards of RSUs and PBRSUs upon termination following a Change in Control.</w:t>
      </w:r>
    </w:p>
    <w:p>
      <w:pPr>
        <w:spacing w:after="0" w:line="181" w:lineRule="exact"/>
        <w:rPr>
          <w:sz w:val="20"/>
          <w:szCs w:val="20"/>
          <w:color w:val="auto"/>
        </w:rPr>
      </w:pPr>
    </w:p>
    <w:p>
      <w:pPr>
        <w:jc w:val="both"/>
        <w:ind w:left="160"/>
        <w:spacing w:after="0" w:line="235" w:lineRule="auto"/>
        <w:rPr>
          <w:sz w:val="20"/>
          <w:szCs w:val="20"/>
          <w:color w:val="auto"/>
        </w:rPr>
      </w:pPr>
      <w:r>
        <w:rPr>
          <w:rFonts w:ascii="Arial" w:cs="Arial" w:eastAsia="Arial" w:hAnsi="Arial"/>
          <w:sz w:val="18"/>
          <w:szCs w:val="18"/>
          <w:b w:val="1"/>
          <w:bCs w:val="1"/>
          <w:i w:val="1"/>
          <w:iCs w:val="1"/>
          <w:color w:val="auto"/>
        </w:rPr>
        <w:t>Medical and Other Benefits</w:t>
      </w:r>
      <w:r>
        <w:rPr>
          <w:rFonts w:ascii="Arial" w:cs="Arial" w:eastAsia="Arial" w:hAnsi="Arial"/>
          <w:sz w:val="18"/>
          <w:szCs w:val="18"/>
          <w:color w:val="auto"/>
        </w:rPr>
        <w:t>. The tables below do not include certain medical, disability or outplacement services benefits that may 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payable on termination as set forth in the applicable NEOs’ employment agreements. We also do not include any amounts payable on termination that are generally available to all employees on a non-discriminatory basis. As described in their employment agreements, Messrs. Hopkin, Keeton and Jatou are generally entitled to Company-paid continuation of group health plan benefits under the Consolidated Omnibus Budget Reconciliation Act of 1985 regulations for a period of up to one year following termination without Cause or resignation for Good Reason (including circumstances involving a Change in Control). Messrs. El-Khoury and Trent are entitled to the continuation of medical benefits for a period of up to two years upon a termination without Cause or resignation for Good Reason. As of December 31, 2021, the monthly cost of such benefits for such officers ranged between approximately $558.34 to $1,796.18, depending on the medical, dental and vision elections and dependent enrollment. Finally, the tables do not include amounts (see footnote (4) to the Summary Compensation Table) payable by the Company on behalf of each applicable NEO to cover the cost of an additional $ 500,000 of life insurance, which insurance benefit is not generally available to all employees on a non-discriminatory basis and would be realized in the event of the death of the NEO. Each of the NEOs are also entitled to outplacement services following a termination without Cause or resignation for Good Reason in an amount not to exceed $25,000 for each of Messrs. El-Khoury and Trent and $5,000 for each of Messrs. Hopkin, Keeton, Jatou, Cave and Gutmann.</w:t>
      </w:r>
    </w:p>
    <w:p>
      <w:pPr>
        <w:spacing w:after="0" w:line="185" w:lineRule="exact"/>
        <w:rPr>
          <w:sz w:val="20"/>
          <w:szCs w:val="20"/>
          <w:color w:val="auto"/>
        </w:rPr>
      </w:pPr>
    </w:p>
    <w:p>
      <w:pPr>
        <w:jc w:val="both"/>
        <w:ind w:left="160"/>
        <w:spacing w:after="0"/>
        <w:rPr>
          <w:sz w:val="20"/>
          <w:szCs w:val="20"/>
          <w:color w:val="auto"/>
        </w:rPr>
      </w:pPr>
      <w:r>
        <w:rPr>
          <w:rFonts w:ascii="Arial" w:cs="Arial" w:eastAsia="Arial" w:hAnsi="Arial"/>
          <w:sz w:val="18"/>
          <w:szCs w:val="18"/>
          <w:b w:val="1"/>
          <w:bCs w:val="1"/>
          <w:i w:val="1"/>
          <w:iCs w:val="1"/>
          <w:color w:val="auto"/>
        </w:rPr>
        <w:t>Retirement</w:t>
      </w:r>
      <w:r>
        <w:rPr>
          <w:rFonts w:ascii="Arial" w:cs="Arial" w:eastAsia="Arial" w:hAnsi="Arial"/>
          <w:sz w:val="18"/>
          <w:szCs w:val="18"/>
          <w:color w:val="auto"/>
        </w:rPr>
        <w:t>. A normal retirement is treated as a resignation other than for Good Reason in the tables. Upon retirement, all other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applicable NEOs would receive earned but unpaid salary and accrued but unused vacation time. Additionally, as of December 31, 2021, each of Messrs. Hopkin, Cave and Gutmann were eligible to receive continued vesting under their applicable 2019 and 2020 RSU award agreements in the event of a qualified retirement, and, in the event of a Change in Control after the retirement date, any unvested RSUs would immediately vest as of the date of the Change in Control.</w:t>
      </w:r>
    </w:p>
    <w:p>
      <w:pPr>
        <w:spacing w:after="0" w:line="182" w:lineRule="exact"/>
        <w:rPr>
          <w:sz w:val="20"/>
          <w:szCs w:val="20"/>
          <w:color w:val="auto"/>
        </w:rPr>
      </w:pPr>
    </w:p>
    <w:p>
      <w:pPr>
        <w:jc w:val="both"/>
        <w:ind w:left="160" w:right="20"/>
        <w:spacing w:after="0" w:line="265" w:lineRule="auto"/>
        <w:rPr>
          <w:sz w:val="20"/>
          <w:szCs w:val="20"/>
          <w:color w:val="auto"/>
        </w:rPr>
      </w:pPr>
      <w:r>
        <w:rPr>
          <w:rFonts w:ascii="Arial" w:cs="Arial" w:eastAsia="Arial" w:hAnsi="Arial"/>
          <w:sz w:val="18"/>
          <w:szCs w:val="18"/>
          <w:b w:val="1"/>
          <w:bCs w:val="1"/>
          <w:i w:val="1"/>
          <w:iCs w:val="1"/>
          <w:color w:val="auto"/>
        </w:rPr>
        <w:t>Cash Incentive Program</w:t>
      </w:r>
      <w:r>
        <w:rPr>
          <w:rFonts w:ascii="Arial" w:cs="Arial" w:eastAsia="Arial" w:hAnsi="Arial"/>
          <w:sz w:val="18"/>
          <w:szCs w:val="18"/>
          <w:color w:val="auto"/>
        </w:rPr>
        <w:t>. We describe our cash incentive program in the CD&amp;A under “Elements of Our Compensation Program —</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Short-Term Cash Incentive Program.”</w:t>
      </w:r>
    </w:p>
    <w:p>
      <w:pPr>
        <w:spacing w:after="0" w:line="101" w:lineRule="exact"/>
        <w:rPr>
          <w:sz w:val="20"/>
          <w:szCs w:val="20"/>
          <w:color w:val="auto"/>
        </w:rPr>
      </w:pPr>
    </w:p>
    <w:p>
      <w:pPr>
        <w:ind w:left="8820"/>
        <w:spacing w:after="0"/>
        <w:tabs>
          <w:tab w:leader="none" w:pos="10900" w:val="left"/>
        </w:tabs>
        <w:rPr>
          <w:sz w:val="20"/>
          <w:szCs w:val="20"/>
          <w:color w:val="auto"/>
        </w:rPr>
      </w:pPr>
      <w:r>
        <w:rPr>
          <w:rFonts w:ascii="Arial" w:cs="Arial" w:eastAsia="Arial" w:hAnsi="Arial"/>
          <w:sz w:val="14"/>
          <w:szCs w:val="14"/>
          <w:color w:val="F75E14"/>
        </w:rPr>
        <w:t>onsemi 2022 Proxy Statement</w:t>
        <w:tab/>
        <w:t>61</w:t>
      </w:r>
    </w:p>
    <w:p>
      <w:pPr>
        <w:sectPr>
          <w:pgSz w:w="11900" w:h="16838" w:orient="portrait"/>
          <w:cols w:equalWidth="0" w:num="1">
            <w:col w:w="11080"/>
          </w:cols>
          <w:pgMar w:left="320" w:top="454" w:right="499" w:bottom="1440" w:gutter="0" w:footer="0" w:header="0"/>
        </w:sectPr>
      </w:pPr>
    </w:p>
    <w:bookmarkStart w:id="65" w:name="page66"/>
    <w:bookmarkEnd w:id="6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2" w:lineRule="exact"/>
        <w:rPr>
          <w:sz w:val="20"/>
          <w:szCs w:val="20"/>
          <w:color w:val="auto"/>
        </w:rPr>
      </w:pPr>
    </w:p>
    <w:p>
      <w:pPr>
        <w:ind w:left="160"/>
        <w:spacing w:after="0"/>
        <w:rPr>
          <w:sz w:val="20"/>
          <w:szCs w:val="20"/>
          <w:color w:val="auto"/>
        </w:rPr>
      </w:pPr>
      <w:r>
        <w:rPr>
          <w:rFonts w:ascii="Arial" w:cs="Arial" w:eastAsia="Arial" w:hAnsi="Arial"/>
          <w:sz w:val="18"/>
          <w:szCs w:val="18"/>
          <w:color w:val="F75E14"/>
        </w:rPr>
        <w:t>Compensation of Executive Officers</w:t>
      </w:r>
    </w:p>
    <w:p>
      <w:pPr>
        <w:spacing w:after="0" w:line="143" w:lineRule="exact"/>
        <w:rPr>
          <w:sz w:val="20"/>
          <w:szCs w:val="20"/>
          <w:color w:val="auto"/>
        </w:rPr>
      </w:pPr>
    </w:p>
    <w:p>
      <w:pPr>
        <w:ind w:left="160" w:right="20"/>
        <w:spacing w:after="0" w:line="263" w:lineRule="auto"/>
        <w:rPr>
          <w:sz w:val="20"/>
          <w:szCs w:val="20"/>
          <w:color w:val="auto"/>
        </w:rPr>
      </w:pPr>
      <w:r>
        <w:rPr>
          <w:rFonts w:ascii="Arial" w:cs="Arial" w:eastAsia="Arial" w:hAnsi="Arial"/>
          <w:sz w:val="18"/>
          <w:szCs w:val="18"/>
          <w:i w:val="1"/>
          <w:iCs w:val="1"/>
          <w:color w:val="auto"/>
        </w:rPr>
        <w:t xml:space="preserve">The following table sets forth the potential payments upon termination or a Change in Control for </w:t>
      </w:r>
      <w:r>
        <w:rPr>
          <w:rFonts w:ascii="Arial" w:cs="Arial" w:eastAsia="Arial" w:hAnsi="Arial"/>
          <w:sz w:val="18"/>
          <w:szCs w:val="18"/>
          <w:b w:val="1"/>
          <w:bCs w:val="1"/>
          <w:i w:val="1"/>
          <w:iCs w:val="1"/>
          <w:color w:val="auto"/>
        </w:rPr>
        <w:t>Hassane El-Khoury</w:t>
      </w:r>
      <w:r>
        <w:rPr>
          <w:rFonts w:ascii="Arial" w:cs="Arial" w:eastAsia="Arial" w:hAnsi="Arial"/>
          <w:sz w:val="18"/>
          <w:szCs w:val="18"/>
          <w:i w:val="1"/>
          <w:iCs w:val="1"/>
          <w:color w:val="auto"/>
        </w:rPr>
        <w:t>, our President and Chief Executive Officer.</w:t>
      </w:r>
    </w:p>
    <w:p>
      <w:pPr>
        <w:spacing w:after="0" w:line="205" w:lineRule="exact"/>
        <w:rPr>
          <w:sz w:val="20"/>
          <w:szCs w:val="20"/>
          <w:color w:val="auto"/>
        </w:rPr>
      </w:pPr>
    </w:p>
    <w:tbl>
      <w:tblPr>
        <w:tblLayout w:type="fixed"/>
        <w:tblInd w:w="160" w:type="dxa"/>
        <w:tblCellMar>
          <w:top w:w="0" w:type="dxa"/>
          <w:left w:w="0" w:type="dxa"/>
          <w:bottom w:w="0" w:type="dxa"/>
          <w:right w:w="0" w:type="dxa"/>
        </w:tblCellMar>
      </w:tblPr>
      <w:tr>
        <w:trPr>
          <w:trHeight w:val="213"/>
        </w:trPr>
        <w:tc>
          <w:tcPr>
            <w:tcW w:w="3660" w:type="dxa"/>
            <w:vAlign w:val="bottom"/>
            <w:shd w:val="clear" w:color="auto" w:fill="F75E14"/>
          </w:tcPr>
          <w:p>
            <w:pPr>
              <w:spacing w:after="0"/>
              <w:rPr>
                <w:sz w:val="18"/>
                <w:szCs w:val="18"/>
                <w:color w:val="auto"/>
              </w:rPr>
            </w:pPr>
          </w:p>
        </w:tc>
        <w:tc>
          <w:tcPr>
            <w:tcW w:w="1520" w:type="dxa"/>
            <w:vAlign w:val="bottom"/>
            <w:gridSpan w:val="2"/>
            <w:shd w:val="clear" w:color="auto" w:fill="F75E14"/>
          </w:tcPr>
          <w:p>
            <w:pPr>
              <w:jc w:val="center"/>
              <w:ind w:left="20"/>
              <w:spacing w:after="0"/>
              <w:rPr>
                <w:sz w:val="20"/>
                <w:szCs w:val="20"/>
                <w:color w:val="auto"/>
              </w:rPr>
            </w:pPr>
            <w:r>
              <w:rPr>
                <w:rFonts w:ascii="Arial" w:cs="Arial" w:eastAsia="Arial" w:hAnsi="Arial"/>
                <w:sz w:val="16"/>
                <w:szCs w:val="16"/>
                <w:b w:val="1"/>
                <w:bCs w:val="1"/>
                <w:color w:val="FFFFFF"/>
                <w:w w:val="98"/>
              </w:rPr>
              <w:t>Termination</w:t>
            </w:r>
          </w:p>
        </w:tc>
        <w:tc>
          <w:tcPr>
            <w:tcW w:w="960" w:type="dxa"/>
            <w:vAlign w:val="bottom"/>
            <w:shd w:val="clear" w:color="auto" w:fill="F75E14"/>
          </w:tcPr>
          <w:p>
            <w:pPr>
              <w:spacing w:after="0"/>
              <w:rPr>
                <w:sz w:val="18"/>
                <w:szCs w:val="18"/>
                <w:color w:val="auto"/>
              </w:rPr>
            </w:pPr>
          </w:p>
        </w:tc>
        <w:tc>
          <w:tcPr>
            <w:tcW w:w="280" w:type="dxa"/>
            <w:vAlign w:val="bottom"/>
            <w:shd w:val="clear" w:color="auto" w:fill="F75E14"/>
          </w:tcPr>
          <w:p>
            <w:pPr>
              <w:spacing w:after="0"/>
              <w:rPr>
                <w:sz w:val="18"/>
                <w:szCs w:val="18"/>
                <w:color w:val="auto"/>
              </w:rPr>
            </w:pPr>
          </w:p>
        </w:tc>
        <w:tc>
          <w:tcPr>
            <w:tcW w:w="1040" w:type="dxa"/>
            <w:vAlign w:val="bottom"/>
            <w:shd w:val="clear" w:color="auto" w:fill="F75E14"/>
          </w:tcPr>
          <w:p>
            <w:pPr>
              <w:spacing w:after="0"/>
              <w:rPr>
                <w:sz w:val="18"/>
                <w:szCs w:val="18"/>
                <w:color w:val="auto"/>
              </w:rPr>
            </w:pPr>
          </w:p>
        </w:tc>
        <w:tc>
          <w:tcPr>
            <w:tcW w:w="1180" w:type="dxa"/>
            <w:vAlign w:val="bottom"/>
            <w:shd w:val="clear" w:color="auto" w:fill="F75E14"/>
          </w:tcPr>
          <w:p>
            <w:pPr>
              <w:spacing w:after="0"/>
              <w:rPr>
                <w:sz w:val="18"/>
                <w:szCs w:val="18"/>
                <w:color w:val="auto"/>
              </w:rPr>
            </w:pPr>
          </w:p>
        </w:tc>
        <w:tc>
          <w:tcPr>
            <w:tcW w:w="1160" w:type="dxa"/>
            <w:vAlign w:val="bottom"/>
            <w:shd w:val="clear" w:color="auto" w:fill="F75E14"/>
          </w:tcPr>
          <w:p>
            <w:pPr>
              <w:spacing w:after="0"/>
              <w:rPr>
                <w:sz w:val="18"/>
                <w:szCs w:val="18"/>
                <w:color w:val="auto"/>
              </w:rPr>
            </w:pPr>
          </w:p>
        </w:tc>
        <w:tc>
          <w:tcPr>
            <w:tcW w:w="1120" w:type="dxa"/>
            <w:vAlign w:val="bottom"/>
            <w:shd w:val="clear" w:color="auto" w:fill="F75E14"/>
          </w:tcPr>
          <w:p>
            <w:pPr>
              <w:jc w:val="right"/>
              <w:ind w:right="20"/>
              <w:spacing w:after="0"/>
              <w:rPr>
                <w:sz w:val="20"/>
                <w:szCs w:val="20"/>
                <w:color w:val="auto"/>
              </w:rPr>
            </w:pPr>
            <w:r>
              <w:rPr>
                <w:rFonts w:ascii="Arial" w:cs="Arial" w:eastAsia="Arial" w:hAnsi="Arial"/>
                <w:sz w:val="16"/>
                <w:szCs w:val="16"/>
                <w:b w:val="1"/>
                <w:bCs w:val="1"/>
                <w:color w:val="FFFFFF"/>
              </w:rPr>
              <w:t>Resignation</w:t>
            </w:r>
          </w:p>
        </w:tc>
      </w:tr>
      <w:tr>
        <w:trPr>
          <w:trHeight w:val="187"/>
        </w:trPr>
        <w:tc>
          <w:tcPr>
            <w:tcW w:w="3660" w:type="dxa"/>
            <w:vAlign w:val="bottom"/>
            <w:shd w:val="clear" w:color="auto" w:fill="F75E14"/>
          </w:tcPr>
          <w:p>
            <w:pPr>
              <w:spacing w:after="0"/>
              <w:rPr>
                <w:sz w:val="16"/>
                <w:szCs w:val="16"/>
                <w:color w:val="auto"/>
              </w:rPr>
            </w:pPr>
          </w:p>
        </w:tc>
        <w:tc>
          <w:tcPr>
            <w:tcW w:w="1520" w:type="dxa"/>
            <w:vAlign w:val="bottom"/>
            <w:gridSpan w:val="2"/>
            <w:shd w:val="clear" w:color="auto" w:fill="F75E14"/>
          </w:tcPr>
          <w:p>
            <w:pPr>
              <w:jc w:val="center"/>
              <w:spacing w:after="0"/>
              <w:rPr>
                <w:sz w:val="20"/>
                <w:szCs w:val="20"/>
                <w:color w:val="auto"/>
              </w:rPr>
            </w:pPr>
            <w:r>
              <w:rPr>
                <w:rFonts w:ascii="Arial" w:cs="Arial" w:eastAsia="Arial" w:hAnsi="Arial"/>
                <w:sz w:val="16"/>
                <w:szCs w:val="16"/>
                <w:b w:val="1"/>
                <w:bCs w:val="1"/>
                <w:color w:val="FFFFFF"/>
                <w:w w:val="99"/>
              </w:rPr>
              <w:t>Without Cause</w:t>
            </w:r>
          </w:p>
        </w:tc>
        <w:tc>
          <w:tcPr>
            <w:tcW w:w="1240" w:type="dxa"/>
            <w:vAlign w:val="bottom"/>
            <w:gridSpan w:val="2"/>
            <w:shd w:val="clear" w:color="auto" w:fill="F75E14"/>
          </w:tcPr>
          <w:p>
            <w:pPr>
              <w:jc w:val="center"/>
              <w:spacing w:after="0"/>
              <w:rPr>
                <w:sz w:val="20"/>
                <w:szCs w:val="20"/>
                <w:color w:val="auto"/>
              </w:rPr>
            </w:pPr>
            <w:r>
              <w:rPr>
                <w:rFonts w:ascii="Arial" w:cs="Arial" w:eastAsia="Arial" w:hAnsi="Arial"/>
                <w:sz w:val="16"/>
                <w:szCs w:val="16"/>
                <w:b w:val="1"/>
                <w:bCs w:val="1"/>
                <w:color w:val="FFFFFF"/>
                <w:w w:val="98"/>
              </w:rPr>
              <w:t>Termination</w:t>
            </w:r>
          </w:p>
        </w:tc>
        <w:tc>
          <w:tcPr>
            <w:tcW w:w="1040" w:type="dxa"/>
            <w:vAlign w:val="bottom"/>
            <w:shd w:val="clear" w:color="auto" w:fill="F75E14"/>
          </w:tcPr>
          <w:p>
            <w:pPr>
              <w:spacing w:after="0"/>
              <w:rPr>
                <w:sz w:val="16"/>
                <w:szCs w:val="16"/>
                <w:color w:val="auto"/>
              </w:rPr>
            </w:pPr>
          </w:p>
        </w:tc>
        <w:tc>
          <w:tcPr>
            <w:tcW w:w="1180" w:type="dxa"/>
            <w:vAlign w:val="bottom"/>
            <w:shd w:val="clear" w:color="auto" w:fill="F75E14"/>
          </w:tcPr>
          <w:p>
            <w:pPr>
              <w:spacing w:after="0"/>
              <w:rPr>
                <w:sz w:val="16"/>
                <w:szCs w:val="16"/>
                <w:color w:val="auto"/>
              </w:rPr>
            </w:pPr>
          </w:p>
        </w:tc>
        <w:tc>
          <w:tcPr>
            <w:tcW w:w="1160" w:type="dxa"/>
            <w:vAlign w:val="bottom"/>
            <w:shd w:val="clear" w:color="auto" w:fill="F75E14"/>
          </w:tcPr>
          <w:p>
            <w:pPr>
              <w:spacing w:after="0"/>
              <w:rPr>
                <w:sz w:val="16"/>
                <w:szCs w:val="16"/>
                <w:color w:val="auto"/>
              </w:rPr>
            </w:pPr>
          </w:p>
        </w:tc>
        <w:tc>
          <w:tcPr>
            <w:tcW w:w="1120" w:type="dxa"/>
            <w:vAlign w:val="bottom"/>
            <w:shd w:val="clear" w:color="auto" w:fill="F75E14"/>
          </w:tcPr>
          <w:p>
            <w:pPr>
              <w:jc w:val="center"/>
              <w:spacing w:after="0"/>
              <w:rPr>
                <w:sz w:val="20"/>
                <w:szCs w:val="20"/>
                <w:color w:val="auto"/>
              </w:rPr>
            </w:pPr>
            <w:r>
              <w:rPr>
                <w:rFonts w:ascii="Arial" w:cs="Arial" w:eastAsia="Arial" w:hAnsi="Arial"/>
                <w:sz w:val="16"/>
                <w:szCs w:val="16"/>
                <w:b w:val="1"/>
                <w:bCs w:val="1"/>
                <w:color w:val="FFFFFF"/>
                <w:w w:val="99"/>
              </w:rPr>
              <w:t>other than</w:t>
            </w:r>
          </w:p>
        </w:tc>
      </w:tr>
      <w:tr>
        <w:trPr>
          <w:trHeight w:val="187"/>
        </w:trPr>
        <w:tc>
          <w:tcPr>
            <w:tcW w:w="3660" w:type="dxa"/>
            <w:vAlign w:val="bottom"/>
            <w:shd w:val="clear" w:color="auto" w:fill="F75E14"/>
          </w:tcPr>
          <w:p>
            <w:pPr>
              <w:spacing w:after="0"/>
              <w:rPr>
                <w:sz w:val="16"/>
                <w:szCs w:val="16"/>
                <w:color w:val="auto"/>
              </w:rPr>
            </w:pPr>
          </w:p>
        </w:tc>
        <w:tc>
          <w:tcPr>
            <w:tcW w:w="1520" w:type="dxa"/>
            <w:vAlign w:val="bottom"/>
            <w:gridSpan w:val="2"/>
            <w:shd w:val="clear" w:color="auto" w:fill="F75E14"/>
          </w:tcPr>
          <w:p>
            <w:pPr>
              <w:jc w:val="center"/>
              <w:spacing w:after="0"/>
              <w:rPr>
                <w:sz w:val="20"/>
                <w:szCs w:val="20"/>
                <w:color w:val="auto"/>
              </w:rPr>
            </w:pPr>
            <w:r>
              <w:rPr>
                <w:rFonts w:ascii="Arial" w:cs="Arial" w:eastAsia="Arial" w:hAnsi="Arial"/>
                <w:sz w:val="16"/>
                <w:szCs w:val="16"/>
                <w:b w:val="1"/>
                <w:bCs w:val="1"/>
                <w:color w:val="FFFFFF"/>
                <w:w w:val="99"/>
              </w:rPr>
              <w:t>or Resignation</w:t>
            </w:r>
          </w:p>
        </w:tc>
        <w:tc>
          <w:tcPr>
            <w:tcW w:w="1240" w:type="dxa"/>
            <w:vAlign w:val="bottom"/>
            <w:gridSpan w:val="2"/>
            <w:shd w:val="clear" w:color="auto" w:fill="F75E14"/>
          </w:tcPr>
          <w:p>
            <w:pPr>
              <w:jc w:val="center"/>
              <w:spacing w:after="0"/>
              <w:rPr>
                <w:sz w:val="20"/>
                <w:szCs w:val="20"/>
                <w:color w:val="auto"/>
              </w:rPr>
            </w:pPr>
            <w:r>
              <w:rPr>
                <w:rFonts w:ascii="Arial" w:cs="Arial" w:eastAsia="Arial" w:hAnsi="Arial"/>
                <w:sz w:val="16"/>
                <w:szCs w:val="16"/>
                <w:b w:val="1"/>
                <w:bCs w:val="1"/>
                <w:color w:val="FFFFFF"/>
                <w:w w:val="99"/>
              </w:rPr>
              <w:t>Following a</w:t>
            </w:r>
          </w:p>
        </w:tc>
        <w:tc>
          <w:tcPr>
            <w:tcW w:w="1040" w:type="dxa"/>
            <w:vAlign w:val="bottom"/>
            <w:shd w:val="clear" w:color="auto" w:fill="F75E14"/>
          </w:tcPr>
          <w:p>
            <w:pPr>
              <w:spacing w:after="0"/>
              <w:rPr>
                <w:sz w:val="16"/>
                <w:szCs w:val="16"/>
                <w:color w:val="auto"/>
              </w:rPr>
            </w:pPr>
          </w:p>
        </w:tc>
        <w:tc>
          <w:tcPr>
            <w:tcW w:w="1180" w:type="dxa"/>
            <w:vAlign w:val="bottom"/>
            <w:shd w:val="clear" w:color="auto" w:fill="F75E14"/>
          </w:tcPr>
          <w:p>
            <w:pPr>
              <w:jc w:val="center"/>
              <w:spacing w:after="0"/>
              <w:rPr>
                <w:sz w:val="20"/>
                <w:szCs w:val="20"/>
                <w:color w:val="auto"/>
              </w:rPr>
            </w:pPr>
            <w:r>
              <w:rPr>
                <w:rFonts w:ascii="Arial" w:cs="Arial" w:eastAsia="Arial" w:hAnsi="Arial"/>
                <w:sz w:val="16"/>
                <w:szCs w:val="16"/>
                <w:b w:val="1"/>
                <w:bCs w:val="1"/>
                <w:color w:val="FFFFFF"/>
                <w:w w:val="98"/>
              </w:rPr>
              <w:t>Death or</w:t>
            </w:r>
          </w:p>
        </w:tc>
        <w:tc>
          <w:tcPr>
            <w:tcW w:w="1160" w:type="dxa"/>
            <w:vAlign w:val="bottom"/>
            <w:shd w:val="clear" w:color="auto" w:fill="F75E14"/>
          </w:tcPr>
          <w:p>
            <w:pPr>
              <w:spacing w:after="0"/>
              <w:rPr>
                <w:sz w:val="16"/>
                <w:szCs w:val="16"/>
                <w:color w:val="auto"/>
              </w:rPr>
            </w:pPr>
          </w:p>
        </w:tc>
        <w:tc>
          <w:tcPr>
            <w:tcW w:w="1120" w:type="dxa"/>
            <w:vAlign w:val="bottom"/>
            <w:shd w:val="clear" w:color="auto" w:fill="F75E14"/>
          </w:tcPr>
          <w:p>
            <w:pPr>
              <w:jc w:val="center"/>
              <w:spacing w:after="0"/>
              <w:rPr>
                <w:sz w:val="20"/>
                <w:szCs w:val="20"/>
                <w:color w:val="auto"/>
              </w:rPr>
            </w:pPr>
            <w:r>
              <w:rPr>
                <w:rFonts w:ascii="Arial" w:cs="Arial" w:eastAsia="Arial" w:hAnsi="Arial"/>
                <w:sz w:val="16"/>
                <w:szCs w:val="16"/>
                <w:b w:val="1"/>
                <w:bCs w:val="1"/>
                <w:color w:val="FFFFFF"/>
              </w:rPr>
              <w:t>for Good</w:t>
            </w:r>
          </w:p>
        </w:tc>
      </w:tr>
      <w:tr>
        <w:trPr>
          <w:trHeight w:val="187"/>
        </w:trPr>
        <w:tc>
          <w:tcPr>
            <w:tcW w:w="3660" w:type="dxa"/>
            <w:vAlign w:val="bottom"/>
            <w:shd w:val="clear" w:color="auto" w:fill="F75E14"/>
          </w:tcPr>
          <w:p>
            <w:pPr>
              <w:ind w:left="60"/>
              <w:spacing w:after="0"/>
              <w:rPr>
                <w:sz w:val="20"/>
                <w:szCs w:val="20"/>
                <w:color w:val="auto"/>
              </w:rPr>
            </w:pPr>
            <w:r>
              <w:rPr>
                <w:rFonts w:ascii="Arial" w:cs="Arial" w:eastAsia="Arial" w:hAnsi="Arial"/>
                <w:sz w:val="16"/>
                <w:szCs w:val="16"/>
                <w:b w:val="1"/>
                <w:bCs w:val="1"/>
                <w:color w:val="FFFFFF"/>
              </w:rPr>
              <w:t>Executive Benefits and Payments</w:t>
            </w:r>
          </w:p>
        </w:tc>
        <w:tc>
          <w:tcPr>
            <w:tcW w:w="1160" w:type="dxa"/>
            <w:vAlign w:val="bottom"/>
            <w:shd w:val="clear" w:color="auto" w:fill="F75E14"/>
          </w:tcPr>
          <w:p>
            <w:pPr>
              <w:jc w:val="center"/>
              <w:ind w:left="360"/>
              <w:spacing w:after="0"/>
              <w:rPr>
                <w:sz w:val="20"/>
                <w:szCs w:val="20"/>
                <w:color w:val="auto"/>
              </w:rPr>
            </w:pPr>
            <w:r>
              <w:rPr>
                <w:rFonts w:ascii="Arial" w:cs="Arial" w:eastAsia="Arial" w:hAnsi="Arial"/>
                <w:sz w:val="16"/>
                <w:szCs w:val="16"/>
                <w:b w:val="1"/>
                <w:bCs w:val="1"/>
                <w:color w:val="FFFFFF"/>
              </w:rPr>
              <w:t>for Good</w:t>
            </w:r>
          </w:p>
        </w:tc>
        <w:tc>
          <w:tcPr>
            <w:tcW w:w="360" w:type="dxa"/>
            <w:vAlign w:val="bottom"/>
            <w:shd w:val="clear" w:color="auto" w:fill="F75E14"/>
          </w:tcPr>
          <w:p>
            <w:pPr>
              <w:spacing w:after="0"/>
              <w:rPr>
                <w:sz w:val="16"/>
                <w:szCs w:val="16"/>
                <w:color w:val="auto"/>
              </w:rPr>
            </w:pPr>
          </w:p>
        </w:tc>
        <w:tc>
          <w:tcPr>
            <w:tcW w:w="1240" w:type="dxa"/>
            <w:vAlign w:val="bottom"/>
            <w:gridSpan w:val="2"/>
            <w:shd w:val="clear" w:color="auto" w:fill="F75E14"/>
          </w:tcPr>
          <w:p>
            <w:pPr>
              <w:jc w:val="center"/>
              <w:spacing w:after="0"/>
              <w:rPr>
                <w:sz w:val="20"/>
                <w:szCs w:val="20"/>
                <w:color w:val="auto"/>
              </w:rPr>
            </w:pPr>
            <w:r>
              <w:rPr>
                <w:rFonts w:ascii="Arial" w:cs="Arial" w:eastAsia="Arial" w:hAnsi="Arial"/>
                <w:sz w:val="16"/>
                <w:szCs w:val="16"/>
                <w:b w:val="1"/>
                <w:bCs w:val="1"/>
                <w:color w:val="FFFFFF"/>
              </w:rPr>
              <w:t>Change in</w:t>
            </w:r>
          </w:p>
        </w:tc>
        <w:tc>
          <w:tcPr>
            <w:tcW w:w="1040" w:type="dxa"/>
            <w:vAlign w:val="bottom"/>
            <w:shd w:val="clear" w:color="auto" w:fill="F75E14"/>
          </w:tcPr>
          <w:p>
            <w:pPr>
              <w:jc w:val="right"/>
              <w:ind w:right="80"/>
              <w:spacing w:after="0"/>
              <w:rPr>
                <w:sz w:val="20"/>
                <w:szCs w:val="20"/>
                <w:color w:val="auto"/>
              </w:rPr>
            </w:pPr>
            <w:r>
              <w:rPr>
                <w:rFonts w:ascii="Arial" w:cs="Arial" w:eastAsia="Arial" w:hAnsi="Arial"/>
                <w:sz w:val="16"/>
                <w:szCs w:val="16"/>
                <w:b w:val="1"/>
                <w:bCs w:val="1"/>
                <w:color w:val="FFFFFF"/>
              </w:rPr>
              <w:t>Change in</w:t>
            </w:r>
          </w:p>
        </w:tc>
        <w:tc>
          <w:tcPr>
            <w:tcW w:w="1180" w:type="dxa"/>
            <w:vAlign w:val="bottom"/>
            <w:shd w:val="clear" w:color="auto" w:fill="F75E14"/>
          </w:tcPr>
          <w:p>
            <w:pPr>
              <w:jc w:val="center"/>
              <w:spacing w:after="0"/>
              <w:rPr>
                <w:sz w:val="20"/>
                <w:szCs w:val="20"/>
                <w:color w:val="auto"/>
              </w:rPr>
            </w:pPr>
            <w:r>
              <w:rPr>
                <w:rFonts w:ascii="Arial" w:cs="Arial" w:eastAsia="Arial" w:hAnsi="Arial"/>
                <w:sz w:val="16"/>
                <w:szCs w:val="16"/>
                <w:b w:val="1"/>
                <w:bCs w:val="1"/>
                <w:color w:val="FFFFFF"/>
              </w:rPr>
              <w:t>Disability</w:t>
            </w:r>
          </w:p>
        </w:tc>
        <w:tc>
          <w:tcPr>
            <w:tcW w:w="1160" w:type="dxa"/>
            <w:vAlign w:val="bottom"/>
            <w:shd w:val="clear" w:color="auto" w:fill="F75E14"/>
          </w:tcPr>
          <w:p>
            <w:pPr>
              <w:jc w:val="right"/>
              <w:ind w:right="40"/>
              <w:spacing w:after="0"/>
              <w:rPr>
                <w:sz w:val="20"/>
                <w:szCs w:val="20"/>
                <w:color w:val="auto"/>
              </w:rPr>
            </w:pPr>
            <w:r>
              <w:rPr>
                <w:rFonts w:ascii="Arial" w:cs="Arial" w:eastAsia="Arial" w:hAnsi="Arial"/>
                <w:sz w:val="16"/>
                <w:szCs w:val="16"/>
                <w:b w:val="1"/>
                <w:bCs w:val="1"/>
                <w:color w:val="FFFFFF"/>
              </w:rPr>
              <w:t>Termination</w:t>
            </w:r>
          </w:p>
        </w:tc>
        <w:tc>
          <w:tcPr>
            <w:tcW w:w="1120" w:type="dxa"/>
            <w:vAlign w:val="bottom"/>
            <w:shd w:val="clear" w:color="auto" w:fill="F75E14"/>
          </w:tcPr>
          <w:p>
            <w:pPr>
              <w:jc w:val="center"/>
              <w:spacing w:after="0"/>
              <w:rPr>
                <w:sz w:val="20"/>
                <w:szCs w:val="20"/>
                <w:color w:val="auto"/>
              </w:rPr>
            </w:pPr>
            <w:r>
              <w:rPr>
                <w:rFonts w:ascii="Arial" w:cs="Arial" w:eastAsia="Arial" w:hAnsi="Arial"/>
                <w:sz w:val="16"/>
                <w:szCs w:val="16"/>
                <w:b w:val="1"/>
                <w:bCs w:val="1"/>
                <w:color w:val="FFFFFF"/>
              </w:rPr>
              <w:t>Reason</w:t>
            </w:r>
          </w:p>
        </w:tc>
      </w:tr>
      <w:tr>
        <w:trPr>
          <w:trHeight w:val="235"/>
        </w:trPr>
        <w:tc>
          <w:tcPr>
            <w:tcW w:w="3660" w:type="dxa"/>
            <w:vAlign w:val="bottom"/>
            <w:tcBorders>
              <w:bottom w:val="single" w:sz="8" w:color="F75E14"/>
            </w:tcBorders>
            <w:shd w:val="clear" w:color="auto" w:fill="F75E14"/>
          </w:tcPr>
          <w:p>
            <w:pPr>
              <w:ind w:left="60"/>
              <w:spacing w:after="0"/>
              <w:rPr>
                <w:sz w:val="20"/>
                <w:szCs w:val="20"/>
                <w:color w:val="auto"/>
              </w:rPr>
            </w:pPr>
            <w:r>
              <w:rPr>
                <w:rFonts w:ascii="Arial" w:cs="Arial" w:eastAsia="Arial" w:hAnsi="Arial"/>
                <w:sz w:val="16"/>
                <w:szCs w:val="16"/>
                <w:b w:val="1"/>
                <w:bCs w:val="1"/>
                <w:color w:val="FFFFFF"/>
              </w:rPr>
              <w:t>Upon Termination</w:t>
            </w:r>
          </w:p>
        </w:tc>
        <w:tc>
          <w:tcPr>
            <w:tcW w:w="1520" w:type="dxa"/>
            <w:vAlign w:val="bottom"/>
            <w:tcBorders>
              <w:bottom w:val="single" w:sz="8" w:color="F75E14"/>
            </w:tcBorders>
            <w:gridSpan w:val="2"/>
            <w:shd w:val="clear" w:color="auto" w:fill="F75E14"/>
          </w:tcPr>
          <w:p>
            <w:pPr>
              <w:jc w:val="center"/>
              <w:ind w:left="20"/>
              <w:spacing w:after="0"/>
              <w:rPr>
                <w:sz w:val="20"/>
                <w:szCs w:val="20"/>
                <w:color w:val="auto"/>
              </w:rPr>
            </w:pPr>
            <w:r>
              <w:rPr>
                <w:rFonts w:ascii="Arial" w:cs="Arial" w:eastAsia="Arial" w:hAnsi="Arial"/>
                <w:sz w:val="16"/>
                <w:szCs w:val="16"/>
                <w:b w:val="1"/>
                <w:bCs w:val="1"/>
                <w:color w:val="FFFFFF"/>
              </w:rPr>
              <w:t>Reason ($)</w:t>
            </w:r>
          </w:p>
        </w:tc>
        <w:tc>
          <w:tcPr>
            <w:tcW w:w="1240" w:type="dxa"/>
            <w:vAlign w:val="bottom"/>
            <w:tcBorders>
              <w:bottom w:val="single" w:sz="8" w:color="F75E14"/>
            </w:tcBorders>
            <w:gridSpan w:val="2"/>
            <w:shd w:val="clear" w:color="auto" w:fill="F75E14"/>
          </w:tcPr>
          <w:p>
            <w:pPr>
              <w:jc w:val="center"/>
              <w:spacing w:after="0"/>
              <w:rPr>
                <w:sz w:val="20"/>
                <w:szCs w:val="20"/>
                <w:color w:val="auto"/>
              </w:rPr>
            </w:pPr>
            <w:r>
              <w:rPr>
                <w:rFonts w:ascii="Arial" w:cs="Arial" w:eastAsia="Arial" w:hAnsi="Arial"/>
                <w:sz w:val="16"/>
                <w:szCs w:val="16"/>
                <w:b w:val="1"/>
                <w:bCs w:val="1"/>
                <w:color w:val="FFFFFF"/>
              </w:rPr>
              <w:t>Control ($)</w:t>
            </w:r>
          </w:p>
        </w:tc>
        <w:tc>
          <w:tcPr>
            <w:tcW w:w="1040" w:type="dxa"/>
            <w:vAlign w:val="bottom"/>
            <w:tcBorders>
              <w:bottom w:val="single" w:sz="8" w:color="F75E14"/>
            </w:tcBorders>
            <w:shd w:val="clear" w:color="auto" w:fill="F75E14"/>
          </w:tcPr>
          <w:p>
            <w:pPr>
              <w:jc w:val="right"/>
              <w:ind w:right="80"/>
              <w:spacing w:after="0"/>
              <w:rPr>
                <w:sz w:val="20"/>
                <w:szCs w:val="20"/>
                <w:color w:val="auto"/>
              </w:rPr>
            </w:pPr>
            <w:r>
              <w:rPr>
                <w:rFonts w:ascii="Arial" w:cs="Arial" w:eastAsia="Arial" w:hAnsi="Arial"/>
                <w:sz w:val="16"/>
                <w:szCs w:val="16"/>
                <w:b w:val="1"/>
                <w:bCs w:val="1"/>
                <w:color w:val="FFFFFF"/>
              </w:rPr>
              <w:t>Control ($)</w:t>
            </w:r>
          </w:p>
        </w:tc>
        <w:tc>
          <w:tcPr>
            <w:tcW w:w="1180" w:type="dxa"/>
            <w:vAlign w:val="bottom"/>
            <w:tcBorders>
              <w:bottom w:val="single" w:sz="8" w:color="F75E14"/>
            </w:tcBorders>
            <w:shd w:val="clear" w:color="auto" w:fill="F75E14"/>
          </w:tcPr>
          <w:p>
            <w:pPr>
              <w:jc w:val="center"/>
              <w:spacing w:after="0"/>
              <w:rPr>
                <w:sz w:val="20"/>
                <w:szCs w:val="20"/>
                <w:color w:val="auto"/>
              </w:rPr>
            </w:pPr>
            <w:r>
              <w:rPr>
                <w:rFonts w:ascii="Arial" w:cs="Arial" w:eastAsia="Arial" w:hAnsi="Arial"/>
                <w:sz w:val="16"/>
                <w:szCs w:val="16"/>
                <w:b w:val="1"/>
                <w:bCs w:val="1"/>
                <w:color w:val="FFFFFF"/>
              </w:rPr>
              <w:t>($)</w:t>
            </w:r>
          </w:p>
        </w:tc>
        <w:tc>
          <w:tcPr>
            <w:tcW w:w="1160" w:type="dxa"/>
            <w:vAlign w:val="bottom"/>
            <w:tcBorders>
              <w:bottom w:val="single" w:sz="8" w:color="F75E14"/>
            </w:tcBorders>
            <w:shd w:val="clear" w:color="auto" w:fill="F75E14"/>
          </w:tcPr>
          <w:p>
            <w:pPr>
              <w:jc w:val="right"/>
              <w:spacing w:after="0"/>
              <w:rPr>
                <w:sz w:val="20"/>
                <w:szCs w:val="20"/>
                <w:color w:val="auto"/>
              </w:rPr>
            </w:pPr>
            <w:r>
              <w:rPr>
                <w:rFonts w:ascii="Arial" w:cs="Arial" w:eastAsia="Arial" w:hAnsi="Arial"/>
                <w:sz w:val="16"/>
                <w:szCs w:val="16"/>
                <w:b w:val="1"/>
                <w:bCs w:val="1"/>
                <w:color w:val="FFFFFF"/>
              </w:rPr>
              <w:t>for Cause ($)</w:t>
            </w:r>
          </w:p>
        </w:tc>
        <w:tc>
          <w:tcPr>
            <w:tcW w:w="1120" w:type="dxa"/>
            <w:vAlign w:val="bottom"/>
            <w:tcBorders>
              <w:bottom w:val="single" w:sz="8" w:color="F75E14"/>
            </w:tcBorders>
            <w:shd w:val="clear" w:color="auto" w:fill="F75E14"/>
          </w:tcPr>
          <w:p>
            <w:pPr>
              <w:jc w:val="center"/>
              <w:spacing w:after="0"/>
              <w:rPr>
                <w:sz w:val="20"/>
                <w:szCs w:val="20"/>
                <w:color w:val="auto"/>
              </w:rPr>
            </w:pPr>
            <w:r>
              <w:rPr>
                <w:rFonts w:ascii="Arial" w:cs="Arial" w:eastAsia="Arial" w:hAnsi="Arial"/>
                <w:sz w:val="16"/>
                <w:szCs w:val="16"/>
                <w:b w:val="1"/>
                <w:bCs w:val="1"/>
                <w:color w:val="FFFFFF"/>
              </w:rPr>
              <w:t>($)</w:t>
            </w:r>
          </w:p>
        </w:tc>
      </w:tr>
      <w:tr>
        <w:trPr>
          <w:trHeight w:val="274"/>
        </w:trPr>
        <w:tc>
          <w:tcPr>
            <w:tcW w:w="3660" w:type="dxa"/>
            <w:vAlign w:val="bottom"/>
            <w:shd w:val="clear" w:color="auto" w:fill="D8E8EF"/>
          </w:tcPr>
          <w:p>
            <w:pPr>
              <w:ind w:left="60"/>
              <w:spacing w:after="0"/>
              <w:rPr>
                <w:sz w:val="20"/>
                <w:szCs w:val="20"/>
                <w:color w:val="auto"/>
              </w:rPr>
            </w:pPr>
            <w:r>
              <w:rPr>
                <w:rFonts w:ascii="Arial" w:cs="Arial" w:eastAsia="Arial" w:hAnsi="Arial"/>
                <w:sz w:val="16"/>
                <w:szCs w:val="16"/>
                <w:b w:val="1"/>
                <w:bCs w:val="1"/>
                <w:color w:val="auto"/>
              </w:rPr>
              <w:t>Cash Compensation:</w:t>
            </w:r>
          </w:p>
        </w:tc>
        <w:tc>
          <w:tcPr>
            <w:tcW w:w="1160" w:type="dxa"/>
            <w:vAlign w:val="bottom"/>
            <w:shd w:val="clear" w:color="auto" w:fill="D8E8EF"/>
          </w:tcPr>
          <w:p>
            <w:pPr>
              <w:spacing w:after="0"/>
              <w:rPr>
                <w:sz w:val="23"/>
                <w:szCs w:val="23"/>
                <w:color w:val="auto"/>
              </w:rPr>
            </w:pPr>
          </w:p>
        </w:tc>
        <w:tc>
          <w:tcPr>
            <w:tcW w:w="360" w:type="dxa"/>
            <w:vAlign w:val="bottom"/>
            <w:shd w:val="clear" w:color="auto" w:fill="D8E8EF"/>
          </w:tcPr>
          <w:p>
            <w:pPr>
              <w:spacing w:after="0"/>
              <w:rPr>
                <w:sz w:val="23"/>
                <w:szCs w:val="23"/>
                <w:color w:val="auto"/>
              </w:rPr>
            </w:pPr>
          </w:p>
        </w:tc>
        <w:tc>
          <w:tcPr>
            <w:tcW w:w="960" w:type="dxa"/>
            <w:vAlign w:val="bottom"/>
            <w:shd w:val="clear" w:color="auto" w:fill="D8E8EF"/>
          </w:tcPr>
          <w:p>
            <w:pPr>
              <w:spacing w:after="0"/>
              <w:rPr>
                <w:sz w:val="23"/>
                <w:szCs w:val="23"/>
                <w:color w:val="auto"/>
              </w:rPr>
            </w:pPr>
          </w:p>
        </w:tc>
        <w:tc>
          <w:tcPr>
            <w:tcW w:w="280" w:type="dxa"/>
            <w:vAlign w:val="bottom"/>
            <w:shd w:val="clear" w:color="auto" w:fill="D8E8EF"/>
          </w:tcPr>
          <w:p>
            <w:pPr>
              <w:spacing w:after="0"/>
              <w:rPr>
                <w:sz w:val="23"/>
                <w:szCs w:val="23"/>
                <w:color w:val="auto"/>
              </w:rPr>
            </w:pPr>
          </w:p>
        </w:tc>
        <w:tc>
          <w:tcPr>
            <w:tcW w:w="1040" w:type="dxa"/>
            <w:vAlign w:val="bottom"/>
            <w:shd w:val="clear" w:color="auto" w:fill="D8E8EF"/>
          </w:tcPr>
          <w:p>
            <w:pPr>
              <w:spacing w:after="0"/>
              <w:rPr>
                <w:sz w:val="23"/>
                <w:szCs w:val="23"/>
                <w:color w:val="auto"/>
              </w:rPr>
            </w:pPr>
          </w:p>
        </w:tc>
        <w:tc>
          <w:tcPr>
            <w:tcW w:w="1180" w:type="dxa"/>
            <w:vAlign w:val="bottom"/>
            <w:shd w:val="clear" w:color="auto" w:fill="D8E8EF"/>
          </w:tcPr>
          <w:p>
            <w:pPr>
              <w:spacing w:after="0"/>
              <w:rPr>
                <w:sz w:val="23"/>
                <w:szCs w:val="23"/>
                <w:color w:val="auto"/>
              </w:rPr>
            </w:pPr>
          </w:p>
        </w:tc>
        <w:tc>
          <w:tcPr>
            <w:tcW w:w="1160" w:type="dxa"/>
            <w:vAlign w:val="bottom"/>
            <w:shd w:val="clear" w:color="auto" w:fill="D8E8EF"/>
          </w:tcPr>
          <w:p>
            <w:pPr>
              <w:spacing w:after="0"/>
              <w:rPr>
                <w:sz w:val="23"/>
                <w:szCs w:val="23"/>
                <w:color w:val="auto"/>
              </w:rPr>
            </w:pPr>
          </w:p>
        </w:tc>
        <w:tc>
          <w:tcPr>
            <w:tcW w:w="1120" w:type="dxa"/>
            <w:vAlign w:val="bottom"/>
            <w:shd w:val="clear" w:color="auto" w:fill="D8E8EF"/>
          </w:tcPr>
          <w:p>
            <w:pPr>
              <w:spacing w:after="0"/>
              <w:rPr>
                <w:sz w:val="23"/>
                <w:szCs w:val="23"/>
                <w:color w:val="auto"/>
              </w:rPr>
            </w:pPr>
          </w:p>
        </w:tc>
      </w:tr>
      <w:tr>
        <w:trPr>
          <w:trHeight w:val="60"/>
        </w:trPr>
        <w:tc>
          <w:tcPr>
            <w:tcW w:w="3660" w:type="dxa"/>
            <w:vAlign w:val="bottom"/>
            <w:shd w:val="clear" w:color="auto" w:fill="D8E8EF"/>
          </w:tcPr>
          <w:p>
            <w:pPr>
              <w:spacing w:after="0"/>
              <w:rPr>
                <w:sz w:val="5"/>
                <w:szCs w:val="5"/>
                <w:color w:val="auto"/>
              </w:rPr>
            </w:pPr>
          </w:p>
        </w:tc>
        <w:tc>
          <w:tcPr>
            <w:tcW w:w="1160" w:type="dxa"/>
            <w:vAlign w:val="bottom"/>
            <w:shd w:val="clear" w:color="auto" w:fill="D8E8EF"/>
          </w:tcPr>
          <w:p>
            <w:pPr>
              <w:spacing w:after="0"/>
              <w:rPr>
                <w:sz w:val="5"/>
                <w:szCs w:val="5"/>
                <w:color w:val="auto"/>
              </w:rPr>
            </w:pPr>
          </w:p>
        </w:tc>
        <w:tc>
          <w:tcPr>
            <w:tcW w:w="360" w:type="dxa"/>
            <w:vAlign w:val="bottom"/>
            <w:shd w:val="clear" w:color="auto" w:fill="D8E8EF"/>
          </w:tcPr>
          <w:p>
            <w:pPr>
              <w:spacing w:after="0"/>
              <w:rPr>
                <w:sz w:val="5"/>
                <w:szCs w:val="5"/>
                <w:color w:val="auto"/>
              </w:rPr>
            </w:pPr>
          </w:p>
        </w:tc>
        <w:tc>
          <w:tcPr>
            <w:tcW w:w="960" w:type="dxa"/>
            <w:vAlign w:val="bottom"/>
            <w:shd w:val="clear" w:color="auto" w:fill="D8E8EF"/>
          </w:tcPr>
          <w:p>
            <w:pPr>
              <w:spacing w:after="0"/>
              <w:rPr>
                <w:sz w:val="5"/>
                <w:szCs w:val="5"/>
                <w:color w:val="auto"/>
              </w:rPr>
            </w:pPr>
          </w:p>
        </w:tc>
        <w:tc>
          <w:tcPr>
            <w:tcW w:w="280" w:type="dxa"/>
            <w:vAlign w:val="bottom"/>
            <w:shd w:val="clear" w:color="auto" w:fill="D8E8EF"/>
          </w:tcPr>
          <w:p>
            <w:pPr>
              <w:spacing w:after="0"/>
              <w:rPr>
                <w:sz w:val="5"/>
                <w:szCs w:val="5"/>
                <w:color w:val="auto"/>
              </w:rPr>
            </w:pPr>
          </w:p>
        </w:tc>
        <w:tc>
          <w:tcPr>
            <w:tcW w:w="1040" w:type="dxa"/>
            <w:vAlign w:val="bottom"/>
            <w:shd w:val="clear" w:color="auto" w:fill="D8E8EF"/>
          </w:tcPr>
          <w:p>
            <w:pPr>
              <w:spacing w:after="0"/>
              <w:rPr>
                <w:sz w:val="5"/>
                <w:szCs w:val="5"/>
                <w:color w:val="auto"/>
              </w:rPr>
            </w:pPr>
          </w:p>
        </w:tc>
        <w:tc>
          <w:tcPr>
            <w:tcW w:w="1180" w:type="dxa"/>
            <w:vAlign w:val="bottom"/>
            <w:shd w:val="clear" w:color="auto" w:fill="D8E8EF"/>
          </w:tcPr>
          <w:p>
            <w:pPr>
              <w:spacing w:after="0"/>
              <w:rPr>
                <w:sz w:val="5"/>
                <w:szCs w:val="5"/>
                <w:color w:val="auto"/>
              </w:rPr>
            </w:pPr>
          </w:p>
        </w:tc>
        <w:tc>
          <w:tcPr>
            <w:tcW w:w="1160" w:type="dxa"/>
            <w:vAlign w:val="bottom"/>
            <w:shd w:val="clear" w:color="auto" w:fill="D8E8EF"/>
          </w:tcPr>
          <w:p>
            <w:pPr>
              <w:spacing w:after="0"/>
              <w:rPr>
                <w:sz w:val="5"/>
                <w:szCs w:val="5"/>
                <w:color w:val="auto"/>
              </w:rPr>
            </w:pPr>
          </w:p>
        </w:tc>
        <w:tc>
          <w:tcPr>
            <w:tcW w:w="1120" w:type="dxa"/>
            <w:vAlign w:val="bottom"/>
            <w:shd w:val="clear" w:color="auto" w:fill="D8E8EF"/>
          </w:tcPr>
          <w:p>
            <w:pPr>
              <w:spacing w:after="0"/>
              <w:rPr>
                <w:sz w:val="5"/>
                <w:szCs w:val="5"/>
                <w:color w:val="auto"/>
              </w:rPr>
            </w:pPr>
          </w:p>
        </w:tc>
      </w:tr>
      <w:tr>
        <w:trPr>
          <w:trHeight w:val="264"/>
        </w:trPr>
        <w:tc>
          <w:tcPr>
            <w:tcW w:w="3660" w:type="dxa"/>
            <w:vAlign w:val="bottom"/>
          </w:tcPr>
          <w:p>
            <w:pPr>
              <w:ind w:left="60"/>
              <w:spacing w:after="0"/>
              <w:rPr>
                <w:sz w:val="20"/>
                <w:szCs w:val="20"/>
                <w:color w:val="auto"/>
              </w:rPr>
            </w:pPr>
            <w:r>
              <w:rPr>
                <w:rFonts w:ascii="Arial" w:cs="Arial" w:eastAsia="Arial" w:hAnsi="Arial"/>
                <w:sz w:val="16"/>
                <w:szCs w:val="16"/>
                <w:color w:val="auto"/>
              </w:rPr>
              <w:t>Base Salary</w:t>
            </w:r>
          </w:p>
        </w:tc>
        <w:tc>
          <w:tcPr>
            <w:tcW w:w="1160" w:type="dxa"/>
            <w:vAlign w:val="bottom"/>
          </w:tcPr>
          <w:p>
            <w:pPr>
              <w:jc w:val="right"/>
              <w:spacing w:after="0"/>
              <w:rPr>
                <w:sz w:val="20"/>
                <w:szCs w:val="20"/>
                <w:color w:val="auto"/>
              </w:rPr>
            </w:pPr>
            <w:r>
              <w:rPr>
                <w:rFonts w:ascii="Arial" w:cs="Arial" w:eastAsia="Arial" w:hAnsi="Arial"/>
                <w:sz w:val="16"/>
                <w:szCs w:val="16"/>
                <w:color w:val="auto"/>
              </w:rPr>
              <w:t>950,000</w:t>
            </w:r>
          </w:p>
        </w:tc>
        <w:tc>
          <w:tcPr>
            <w:tcW w:w="360" w:type="dxa"/>
            <w:vAlign w:val="bottom"/>
          </w:tcPr>
          <w:p>
            <w:pPr>
              <w:jc w:val="right"/>
              <w:ind w:right="80"/>
              <w:spacing w:after="0"/>
              <w:rPr>
                <w:sz w:val="20"/>
                <w:szCs w:val="20"/>
                <w:color w:val="auto"/>
              </w:rPr>
            </w:pPr>
            <w:r>
              <w:rPr>
                <w:rFonts w:ascii="Arial" w:cs="Arial" w:eastAsia="Arial" w:hAnsi="Arial"/>
                <w:sz w:val="16"/>
                <w:szCs w:val="16"/>
                <w:color w:val="auto"/>
                <w:w w:val="91"/>
              </w:rPr>
              <w:t>(1)</w:t>
            </w:r>
          </w:p>
        </w:tc>
        <w:tc>
          <w:tcPr>
            <w:tcW w:w="960" w:type="dxa"/>
            <w:vAlign w:val="bottom"/>
          </w:tcPr>
          <w:p>
            <w:pPr>
              <w:jc w:val="right"/>
              <w:spacing w:after="0"/>
              <w:rPr>
                <w:sz w:val="20"/>
                <w:szCs w:val="20"/>
                <w:color w:val="auto"/>
              </w:rPr>
            </w:pPr>
            <w:r>
              <w:rPr>
                <w:rFonts w:ascii="Arial" w:cs="Arial" w:eastAsia="Arial" w:hAnsi="Arial"/>
                <w:sz w:val="16"/>
                <w:szCs w:val="16"/>
                <w:color w:val="auto"/>
              </w:rPr>
              <w:t>950,000</w:t>
            </w:r>
          </w:p>
        </w:tc>
        <w:tc>
          <w:tcPr>
            <w:tcW w:w="280" w:type="dxa"/>
            <w:vAlign w:val="bottom"/>
          </w:tcPr>
          <w:p>
            <w:pPr>
              <w:jc w:val="right"/>
              <w:spacing w:after="0"/>
              <w:rPr>
                <w:sz w:val="20"/>
                <w:szCs w:val="20"/>
                <w:color w:val="auto"/>
              </w:rPr>
            </w:pPr>
            <w:r>
              <w:rPr>
                <w:rFonts w:ascii="Arial" w:cs="Arial" w:eastAsia="Arial" w:hAnsi="Arial"/>
                <w:sz w:val="16"/>
                <w:szCs w:val="16"/>
                <w:color w:val="auto"/>
              </w:rPr>
              <w:t>(1)</w:t>
            </w:r>
          </w:p>
        </w:tc>
        <w:tc>
          <w:tcPr>
            <w:tcW w:w="1040" w:type="dxa"/>
            <w:vAlign w:val="bottom"/>
          </w:tcPr>
          <w:p>
            <w:pPr>
              <w:jc w:val="right"/>
              <w:ind w:right="60"/>
              <w:spacing w:after="0"/>
              <w:rPr>
                <w:sz w:val="20"/>
                <w:szCs w:val="20"/>
                <w:color w:val="auto"/>
              </w:rPr>
            </w:pPr>
            <w:r>
              <w:rPr>
                <w:rFonts w:ascii="Arial" w:cs="Arial" w:eastAsia="Arial" w:hAnsi="Arial"/>
                <w:sz w:val="16"/>
                <w:szCs w:val="16"/>
                <w:color w:val="auto"/>
              </w:rPr>
              <w:t>0</w:t>
            </w: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0</w:t>
            </w:r>
          </w:p>
        </w:tc>
        <w:tc>
          <w:tcPr>
            <w:tcW w:w="1160" w:type="dxa"/>
            <w:vAlign w:val="bottom"/>
          </w:tcPr>
          <w:p>
            <w:pPr>
              <w:jc w:val="right"/>
              <w:spacing w:after="0"/>
              <w:rPr>
                <w:sz w:val="20"/>
                <w:szCs w:val="20"/>
                <w:color w:val="auto"/>
              </w:rPr>
            </w:pPr>
            <w:r>
              <w:rPr>
                <w:rFonts w:ascii="Arial" w:cs="Arial" w:eastAsia="Arial" w:hAnsi="Arial"/>
                <w:sz w:val="16"/>
                <w:szCs w:val="16"/>
                <w:color w:val="auto"/>
              </w:rPr>
              <w:t>0</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0</w:t>
            </w:r>
          </w:p>
        </w:tc>
      </w:tr>
      <w:tr>
        <w:trPr>
          <w:trHeight w:val="70"/>
        </w:trPr>
        <w:tc>
          <w:tcPr>
            <w:tcW w:w="3660" w:type="dxa"/>
            <w:vAlign w:val="bottom"/>
          </w:tcPr>
          <w:p>
            <w:pPr>
              <w:spacing w:after="0"/>
              <w:rPr>
                <w:sz w:val="6"/>
                <w:szCs w:val="6"/>
                <w:color w:val="auto"/>
              </w:rPr>
            </w:pPr>
          </w:p>
        </w:tc>
        <w:tc>
          <w:tcPr>
            <w:tcW w:w="1160" w:type="dxa"/>
            <w:vAlign w:val="bottom"/>
          </w:tcPr>
          <w:p>
            <w:pPr>
              <w:spacing w:after="0"/>
              <w:rPr>
                <w:sz w:val="6"/>
                <w:szCs w:val="6"/>
                <w:color w:val="auto"/>
              </w:rPr>
            </w:pPr>
          </w:p>
        </w:tc>
        <w:tc>
          <w:tcPr>
            <w:tcW w:w="360" w:type="dxa"/>
            <w:vAlign w:val="bottom"/>
          </w:tcPr>
          <w:p>
            <w:pPr>
              <w:spacing w:after="0"/>
              <w:rPr>
                <w:sz w:val="6"/>
                <w:szCs w:val="6"/>
                <w:color w:val="auto"/>
              </w:rPr>
            </w:pPr>
          </w:p>
        </w:tc>
        <w:tc>
          <w:tcPr>
            <w:tcW w:w="9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120" w:type="dxa"/>
            <w:vAlign w:val="bottom"/>
          </w:tcPr>
          <w:p>
            <w:pPr>
              <w:spacing w:after="0"/>
              <w:rPr>
                <w:sz w:val="6"/>
                <w:szCs w:val="6"/>
                <w:color w:val="auto"/>
              </w:rPr>
            </w:pPr>
          </w:p>
        </w:tc>
      </w:tr>
      <w:tr>
        <w:trPr>
          <w:trHeight w:val="264"/>
        </w:trPr>
        <w:tc>
          <w:tcPr>
            <w:tcW w:w="3660" w:type="dxa"/>
            <w:vAlign w:val="bottom"/>
            <w:shd w:val="clear" w:color="auto" w:fill="D8E8EF"/>
          </w:tcPr>
          <w:p>
            <w:pPr>
              <w:ind w:left="60"/>
              <w:spacing w:after="0"/>
              <w:rPr>
                <w:sz w:val="20"/>
                <w:szCs w:val="20"/>
                <w:color w:val="auto"/>
              </w:rPr>
            </w:pPr>
            <w:r>
              <w:rPr>
                <w:rFonts w:ascii="Arial" w:cs="Arial" w:eastAsia="Arial" w:hAnsi="Arial"/>
                <w:sz w:val="16"/>
                <w:szCs w:val="16"/>
                <w:color w:val="auto"/>
              </w:rPr>
              <w:t>Short-Term Incentive</w:t>
            </w:r>
          </w:p>
        </w:tc>
        <w:tc>
          <w:tcPr>
            <w:tcW w:w="1160" w:type="dxa"/>
            <w:vAlign w:val="bottom"/>
            <w:shd w:val="clear" w:color="auto" w:fill="D8E8EF"/>
          </w:tcPr>
          <w:p>
            <w:pPr>
              <w:jc w:val="right"/>
              <w:spacing w:after="0"/>
              <w:rPr>
                <w:sz w:val="20"/>
                <w:szCs w:val="20"/>
                <w:color w:val="auto"/>
              </w:rPr>
            </w:pPr>
            <w:r>
              <w:rPr>
                <w:rFonts w:ascii="Arial" w:cs="Arial" w:eastAsia="Arial" w:hAnsi="Arial"/>
                <w:sz w:val="16"/>
                <w:szCs w:val="16"/>
                <w:color w:val="auto"/>
              </w:rPr>
              <w:t>2,850,000</w:t>
            </w:r>
          </w:p>
        </w:tc>
        <w:tc>
          <w:tcPr>
            <w:tcW w:w="360" w:type="dxa"/>
            <w:vAlign w:val="bottom"/>
            <w:shd w:val="clear" w:color="auto" w:fill="D8E8EF"/>
          </w:tcPr>
          <w:p>
            <w:pPr>
              <w:jc w:val="right"/>
              <w:ind w:right="80"/>
              <w:spacing w:after="0"/>
              <w:rPr>
                <w:sz w:val="20"/>
                <w:szCs w:val="20"/>
                <w:color w:val="auto"/>
              </w:rPr>
            </w:pPr>
            <w:r>
              <w:rPr>
                <w:rFonts w:ascii="Arial" w:cs="Arial" w:eastAsia="Arial" w:hAnsi="Arial"/>
                <w:sz w:val="16"/>
                <w:szCs w:val="16"/>
                <w:color w:val="auto"/>
                <w:w w:val="91"/>
              </w:rPr>
              <w:t>(2)</w:t>
            </w:r>
          </w:p>
        </w:tc>
        <w:tc>
          <w:tcPr>
            <w:tcW w:w="960" w:type="dxa"/>
            <w:vAlign w:val="bottom"/>
            <w:shd w:val="clear" w:color="auto" w:fill="D8E8EF"/>
          </w:tcPr>
          <w:p>
            <w:pPr>
              <w:jc w:val="right"/>
              <w:spacing w:after="0"/>
              <w:rPr>
                <w:sz w:val="20"/>
                <w:szCs w:val="20"/>
                <w:color w:val="auto"/>
              </w:rPr>
            </w:pPr>
            <w:r>
              <w:rPr>
                <w:rFonts w:ascii="Arial" w:cs="Arial" w:eastAsia="Arial" w:hAnsi="Arial"/>
                <w:sz w:val="16"/>
                <w:szCs w:val="16"/>
                <w:color w:val="auto"/>
              </w:rPr>
              <w:t>1,425,000</w:t>
            </w:r>
          </w:p>
        </w:tc>
        <w:tc>
          <w:tcPr>
            <w:tcW w:w="280" w:type="dxa"/>
            <w:vAlign w:val="bottom"/>
            <w:shd w:val="clear" w:color="auto" w:fill="D8E8EF"/>
          </w:tcPr>
          <w:p>
            <w:pPr>
              <w:jc w:val="right"/>
              <w:spacing w:after="0"/>
              <w:rPr>
                <w:sz w:val="20"/>
                <w:szCs w:val="20"/>
                <w:color w:val="auto"/>
              </w:rPr>
            </w:pPr>
            <w:r>
              <w:rPr>
                <w:rFonts w:ascii="Arial" w:cs="Arial" w:eastAsia="Arial" w:hAnsi="Arial"/>
                <w:sz w:val="16"/>
                <w:szCs w:val="16"/>
                <w:color w:val="auto"/>
              </w:rPr>
              <w:t>(2)</w:t>
            </w:r>
          </w:p>
        </w:tc>
        <w:tc>
          <w:tcPr>
            <w:tcW w:w="1040" w:type="dxa"/>
            <w:vAlign w:val="bottom"/>
            <w:shd w:val="clear" w:color="auto" w:fill="D8E8EF"/>
          </w:tcPr>
          <w:p>
            <w:pPr>
              <w:jc w:val="right"/>
              <w:ind w:right="60"/>
              <w:spacing w:after="0"/>
              <w:rPr>
                <w:sz w:val="20"/>
                <w:szCs w:val="20"/>
                <w:color w:val="auto"/>
              </w:rPr>
            </w:pPr>
            <w:r>
              <w:rPr>
                <w:rFonts w:ascii="Arial" w:cs="Arial" w:eastAsia="Arial" w:hAnsi="Arial"/>
                <w:sz w:val="16"/>
                <w:szCs w:val="16"/>
                <w:color w:val="auto"/>
              </w:rPr>
              <w:t>0</w:t>
            </w:r>
          </w:p>
        </w:tc>
        <w:tc>
          <w:tcPr>
            <w:tcW w:w="1180" w:type="dxa"/>
            <w:vAlign w:val="bottom"/>
            <w:shd w:val="clear" w:color="auto" w:fill="D8E8EF"/>
          </w:tcPr>
          <w:p>
            <w:pPr>
              <w:jc w:val="right"/>
              <w:ind w:right="20"/>
              <w:spacing w:after="0"/>
              <w:rPr>
                <w:sz w:val="20"/>
                <w:szCs w:val="20"/>
                <w:color w:val="auto"/>
              </w:rPr>
            </w:pPr>
            <w:r>
              <w:rPr>
                <w:rFonts w:ascii="Arial" w:cs="Arial" w:eastAsia="Arial" w:hAnsi="Arial"/>
                <w:sz w:val="16"/>
                <w:szCs w:val="16"/>
                <w:color w:val="auto"/>
              </w:rPr>
              <w:t>2,422,500 (3)</w:t>
            </w:r>
          </w:p>
        </w:tc>
        <w:tc>
          <w:tcPr>
            <w:tcW w:w="1160" w:type="dxa"/>
            <w:vAlign w:val="bottom"/>
            <w:shd w:val="clear" w:color="auto" w:fill="D8E8EF"/>
          </w:tcPr>
          <w:p>
            <w:pPr>
              <w:jc w:val="right"/>
              <w:spacing w:after="0"/>
              <w:rPr>
                <w:sz w:val="20"/>
                <w:szCs w:val="20"/>
                <w:color w:val="auto"/>
              </w:rPr>
            </w:pPr>
            <w:r>
              <w:rPr>
                <w:rFonts w:ascii="Arial" w:cs="Arial" w:eastAsia="Arial" w:hAnsi="Arial"/>
                <w:sz w:val="16"/>
                <w:szCs w:val="16"/>
                <w:color w:val="auto"/>
              </w:rPr>
              <w:t>0</w:t>
            </w:r>
          </w:p>
        </w:tc>
        <w:tc>
          <w:tcPr>
            <w:tcW w:w="1120" w:type="dxa"/>
            <w:vAlign w:val="bottom"/>
            <w:shd w:val="clear" w:color="auto" w:fill="D8E8EF"/>
          </w:tcPr>
          <w:p>
            <w:pPr>
              <w:jc w:val="right"/>
              <w:ind w:right="20"/>
              <w:spacing w:after="0"/>
              <w:rPr>
                <w:sz w:val="20"/>
                <w:szCs w:val="20"/>
                <w:color w:val="auto"/>
              </w:rPr>
            </w:pPr>
            <w:r>
              <w:rPr>
                <w:rFonts w:ascii="Arial" w:cs="Arial" w:eastAsia="Arial" w:hAnsi="Arial"/>
                <w:sz w:val="16"/>
                <w:szCs w:val="16"/>
                <w:color w:val="auto"/>
              </w:rPr>
              <w:t>0</w:t>
            </w:r>
          </w:p>
        </w:tc>
      </w:tr>
      <w:tr>
        <w:trPr>
          <w:trHeight w:val="70"/>
        </w:trPr>
        <w:tc>
          <w:tcPr>
            <w:tcW w:w="3660" w:type="dxa"/>
            <w:vAlign w:val="bottom"/>
            <w:shd w:val="clear" w:color="auto" w:fill="D8E8EF"/>
          </w:tcPr>
          <w:p>
            <w:pPr>
              <w:spacing w:after="0"/>
              <w:rPr>
                <w:sz w:val="6"/>
                <w:szCs w:val="6"/>
                <w:color w:val="auto"/>
              </w:rPr>
            </w:pPr>
          </w:p>
        </w:tc>
        <w:tc>
          <w:tcPr>
            <w:tcW w:w="1160" w:type="dxa"/>
            <w:vAlign w:val="bottom"/>
            <w:shd w:val="clear" w:color="auto" w:fill="D8E8EF"/>
          </w:tcPr>
          <w:p>
            <w:pPr>
              <w:spacing w:after="0"/>
              <w:rPr>
                <w:sz w:val="6"/>
                <w:szCs w:val="6"/>
                <w:color w:val="auto"/>
              </w:rPr>
            </w:pPr>
          </w:p>
        </w:tc>
        <w:tc>
          <w:tcPr>
            <w:tcW w:w="360" w:type="dxa"/>
            <w:vAlign w:val="bottom"/>
            <w:shd w:val="clear" w:color="auto" w:fill="D8E8EF"/>
          </w:tcPr>
          <w:p>
            <w:pPr>
              <w:spacing w:after="0"/>
              <w:rPr>
                <w:sz w:val="6"/>
                <w:szCs w:val="6"/>
                <w:color w:val="auto"/>
              </w:rPr>
            </w:pPr>
          </w:p>
        </w:tc>
        <w:tc>
          <w:tcPr>
            <w:tcW w:w="960" w:type="dxa"/>
            <w:vAlign w:val="bottom"/>
            <w:shd w:val="clear" w:color="auto" w:fill="D8E8EF"/>
          </w:tcPr>
          <w:p>
            <w:pPr>
              <w:spacing w:after="0"/>
              <w:rPr>
                <w:sz w:val="6"/>
                <w:szCs w:val="6"/>
                <w:color w:val="auto"/>
              </w:rPr>
            </w:pPr>
          </w:p>
        </w:tc>
        <w:tc>
          <w:tcPr>
            <w:tcW w:w="280" w:type="dxa"/>
            <w:vAlign w:val="bottom"/>
            <w:shd w:val="clear" w:color="auto" w:fill="D8E8EF"/>
          </w:tcPr>
          <w:p>
            <w:pPr>
              <w:spacing w:after="0"/>
              <w:rPr>
                <w:sz w:val="6"/>
                <w:szCs w:val="6"/>
                <w:color w:val="auto"/>
              </w:rPr>
            </w:pPr>
          </w:p>
        </w:tc>
        <w:tc>
          <w:tcPr>
            <w:tcW w:w="1040" w:type="dxa"/>
            <w:vAlign w:val="bottom"/>
            <w:shd w:val="clear" w:color="auto" w:fill="D8E8EF"/>
          </w:tcPr>
          <w:p>
            <w:pPr>
              <w:spacing w:after="0"/>
              <w:rPr>
                <w:sz w:val="6"/>
                <w:szCs w:val="6"/>
                <w:color w:val="auto"/>
              </w:rPr>
            </w:pPr>
          </w:p>
        </w:tc>
        <w:tc>
          <w:tcPr>
            <w:tcW w:w="1180" w:type="dxa"/>
            <w:vAlign w:val="bottom"/>
            <w:shd w:val="clear" w:color="auto" w:fill="D8E8EF"/>
          </w:tcPr>
          <w:p>
            <w:pPr>
              <w:spacing w:after="0"/>
              <w:rPr>
                <w:sz w:val="6"/>
                <w:szCs w:val="6"/>
                <w:color w:val="auto"/>
              </w:rPr>
            </w:pPr>
          </w:p>
        </w:tc>
        <w:tc>
          <w:tcPr>
            <w:tcW w:w="1160" w:type="dxa"/>
            <w:vAlign w:val="bottom"/>
            <w:shd w:val="clear" w:color="auto" w:fill="D8E8EF"/>
          </w:tcPr>
          <w:p>
            <w:pPr>
              <w:spacing w:after="0"/>
              <w:rPr>
                <w:sz w:val="6"/>
                <w:szCs w:val="6"/>
                <w:color w:val="auto"/>
              </w:rPr>
            </w:pPr>
          </w:p>
        </w:tc>
        <w:tc>
          <w:tcPr>
            <w:tcW w:w="1120" w:type="dxa"/>
            <w:vAlign w:val="bottom"/>
            <w:shd w:val="clear" w:color="auto" w:fill="D8E8EF"/>
          </w:tcPr>
          <w:p>
            <w:pPr>
              <w:spacing w:after="0"/>
              <w:rPr>
                <w:sz w:val="6"/>
                <w:szCs w:val="6"/>
                <w:color w:val="auto"/>
              </w:rPr>
            </w:pPr>
          </w:p>
        </w:tc>
      </w:tr>
      <w:tr>
        <w:trPr>
          <w:trHeight w:val="274"/>
        </w:trPr>
        <w:tc>
          <w:tcPr>
            <w:tcW w:w="3660" w:type="dxa"/>
            <w:vAlign w:val="bottom"/>
          </w:tcPr>
          <w:p>
            <w:pPr>
              <w:ind w:left="60"/>
              <w:spacing w:after="0"/>
              <w:rPr>
                <w:sz w:val="20"/>
                <w:szCs w:val="20"/>
                <w:color w:val="auto"/>
              </w:rPr>
            </w:pPr>
            <w:r>
              <w:rPr>
                <w:rFonts w:ascii="Arial" w:cs="Arial" w:eastAsia="Arial" w:hAnsi="Arial"/>
                <w:sz w:val="16"/>
                <w:szCs w:val="16"/>
                <w:b w:val="1"/>
                <w:bCs w:val="1"/>
                <w:color w:val="auto"/>
              </w:rPr>
              <w:t>Long-Term Incentives:</w:t>
            </w:r>
          </w:p>
        </w:tc>
        <w:tc>
          <w:tcPr>
            <w:tcW w:w="11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60"/>
        </w:trPr>
        <w:tc>
          <w:tcPr>
            <w:tcW w:w="3660" w:type="dxa"/>
            <w:vAlign w:val="bottom"/>
          </w:tcPr>
          <w:p>
            <w:pPr>
              <w:spacing w:after="0"/>
              <w:rPr>
                <w:sz w:val="5"/>
                <w:szCs w:val="5"/>
                <w:color w:val="auto"/>
              </w:rPr>
            </w:pPr>
          </w:p>
        </w:tc>
        <w:tc>
          <w:tcPr>
            <w:tcW w:w="1160" w:type="dxa"/>
            <w:vAlign w:val="bottom"/>
          </w:tcPr>
          <w:p>
            <w:pPr>
              <w:spacing w:after="0"/>
              <w:rPr>
                <w:sz w:val="5"/>
                <w:szCs w:val="5"/>
                <w:color w:val="auto"/>
              </w:rPr>
            </w:pPr>
          </w:p>
        </w:tc>
        <w:tc>
          <w:tcPr>
            <w:tcW w:w="360" w:type="dxa"/>
            <w:vAlign w:val="bottom"/>
          </w:tcPr>
          <w:p>
            <w:pPr>
              <w:spacing w:after="0"/>
              <w:rPr>
                <w:sz w:val="5"/>
                <w:szCs w:val="5"/>
                <w:color w:val="auto"/>
              </w:rPr>
            </w:pPr>
          </w:p>
        </w:tc>
        <w:tc>
          <w:tcPr>
            <w:tcW w:w="9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120" w:type="dxa"/>
            <w:vAlign w:val="bottom"/>
          </w:tcPr>
          <w:p>
            <w:pPr>
              <w:spacing w:after="0"/>
              <w:rPr>
                <w:sz w:val="5"/>
                <w:szCs w:val="5"/>
                <w:color w:val="auto"/>
              </w:rPr>
            </w:pPr>
          </w:p>
        </w:tc>
      </w:tr>
      <w:tr>
        <w:trPr>
          <w:trHeight w:val="240"/>
        </w:trPr>
        <w:tc>
          <w:tcPr>
            <w:tcW w:w="3660" w:type="dxa"/>
            <w:vAlign w:val="bottom"/>
            <w:shd w:val="clear" w:color="auto" w:fill="D8E8EF"/>
          </w:tcPr>
          <w:p>
            <w:pPr>
              <w:ind w:left="60"/>
              <w:spacing w:after="0"/>
              <w:rPr>
                <w:sz w:val="20"/>
                <w:szCs w:val="20"/>
                <w:color w:val="auto"/>
              </w:rPr>
            </w:pPr>
            <w:r>
              <w:rPr>
                <w:rFonts w:ascii="Arial" w:cs="Arial" w:eastAsia="Arial" w:hAnsi="Arial"/>
                <w:sz w:val="16"/>
                <w:szCs w:val="16"/>
                <w:color w:val="auto"/>
              </w:rPr>
              <w:t>Acceleration or Continued Vesting of</w:t>
            </w:r>
          </w:p>
        </w:tc>
        <w:tc>
          <w:tcPr>
            <w:tcW w:w="1160" w:type="dxa"/>
            <w:vAlign w:val="bottom"/>
            <w:shd w:val="clear" w:color="auto" w:fill="D8E8EF"/>
          </w:tcPr>
          <w:p>
            <w:pPr>
              <w:jc w:val="right"/>
              <w:spacing w:after="0"/>
              <w:rPr>
                <w:sz w:val="20"/>
                <w:szCs w:val="20"/>
                <w:color w:val="auto"/>
              </w:rPr>
            </w:pPr>
            <w:r>
              <w:rPr>
                <w:rFonts w:ascii="Arial" w:cs="Arial" w:eastAsia="Arial" w:hAnsi="Arial"/>
                <w:sz w:val="16"/>
                <w:szCs w:val="16"/>
                <w:color w:val="auto"/>
              </w:rPr>
              <w:t>12,729,090</w:t>
            </w:r>
          </w:p>
        </w:tc>
        <w:tc>
          <w:tcPr>
            <w:tcW w:w="360" w:type="dxa"/>
            <w:vAlign w:val="bottom"/>
            <w:shd w:val="clear" w:color="auto" w:fill="D8E8EF"/>
          </w:tcPr>
          <w:p>
            <w:pPr>
              <w:jc w:val="right"/>
              <w:ind w:right="80"/>
              <w:spacing w:after="0"/>
              <w:rPr>
                <w:sz w:val="20"/>
                <w:szCs w:val="20"/>
                <w:color w:val="auto"/>
              </w:rPr>
            </w:pPr>
            <w:r>
              <w:rPr>
                <w:rFonts w:ascii="Arial" w:cs="Arial" w:eastAsia="Arial" w:hAnsi="Arial"/>
                <w:sz w:val="16"/>
                <w:szCs w:val="16"/>
                <w:color w:val="auto"/>
                <w:w w:val="91"/>
              </w:rPr>
              <w:t>(4)</w:t>
            </w:r>
          </w:p>
        </w:tc>
        <w:tc>
          <w:tcPr>
            <w:tcW w:w="960" w:type="dxa"/>
            <w:vAlign w:val="bottom"/>
            <w:shd w:val="clear" w:color="auto" w:fill="D8E8EF"/>
          </w:tcPr>
          <w:p>
            <w:pPr>
              <w:jc w:val="right"/>
              <w:spacing w:after="0"/>
              <w:rPr>
                <w:sz w:val="20"/>
                <w:szCs w:val="20"/>
                <w:color w:val="auto"/>
              </w:rPr>
            </w:pPr>
            <w:r>
              <w:rPr>
                <w:rFonts w:ascii="Arial" w:cs="Arial" w:eastAsia="Arial" w:hAnsi="Arial"/>
                <w:sz w:val="16"/>
                <w:szCs w:val="16"/>
                <w:color w:val="auto"/>
              </w:rPr>
              <w:t>33,158,952</w:t>
            </w:r>
          </w:p>
        </w:tc>
        <w:tc>
          <w:tcPr>
            <w:tcW w:w="280" w:type="dxa"/>
            <w:vAlign w:val="bottom"/>
            <w:shd w:val="clear" w:color="auto" w:fill="D8E8EF"/>
          </w:tcPr>
          <w:p>
            <w:pPr>
              <w:jc w:val="right"/>
              <w:spacing w:after="0"/>
              <w:rPr>
                <w:sz w:val="20"/>
                <w:szCs w:val="20"/>
                <w:color w:val="auto"/>
              </w:rPr>
            </w:pPr>
            <w:r>
              <w:rPr>
                <w:rFonts w:ascii="Arial" w:cs="Arial" w:eastAsia="Arial" w:hAnsi="Arial"/>
                <w:sz w:val="16"/>
                <w:szCs w:val="16"/>
                <w:color w:val="auto"/>
              </w:rPr>
              <w:t>(4)</w:t>
            </w:r>
          </w:p>
        </w:tc>
        <w:tc>
          <w:tcPr>
            <w:tcW w:w="1040" w:type="dxa"/>
            <w:vAlign w:val="bottom"/>
            <w:shd w:val="clear" w:color="auto" w:fill="D8E8EF"/>
          </w:tcPr>
          <w:p>
            <w:pPr>
              <w:jc w:val="right"/>
              <w:ind w:right="60"/>
              <w:spacing w:after="0"/>
              <w:rPr>
                <w:sz w:val="20"/>
                <w:szCs w:val="20"/>
                <w:color w:val="auto"/>
              </w:rPr>
            </w:pPr>
            <w:r>
              <w:rPr>
                <w:rFonts w:ascii="Arial" w:cs="Arial" w:eastAsia="Arial" w:hAnsi="Arial"/>
                <w:sz w:val="16"/>
                <w:szCs w:val="16"/>
                <w:color w:val="auto"/>
              </w:rPr>
              <w:t>(4)</w:t>
            </w:r>
          </w:p>
        </w:tc>
        <w:tc>
          <w:tcPr>
            <w:tcW w:w="1180" w:type="dxa"/>
            <w:vAlign w:val="bottom"/>
            <w:shd w:val="clear" w:color="auto" w:fill="D8E8EF"/>
          </w:tcPr>
          <w:p>
            <w:pPr>
              <w:jc w:val="right"/>
              <w:ind w:right="20"/>
              <w:spacing w:after="0"/>
              <w:rPr>
                <w:sz w:val="20"/>
                <w:szCs w:val="20"/>
                <w:color w:val="auto"/>
              </w:rPr>
            </w:pPr>
            <w:r>
              <w:rPr>
                <w:rFonts w:ascii="Arial" w:cs="Arial" w:eastAsia="Arial" w:hAnsi="Arial"/>
                <w:sz w:val="16"/>
                <w:szCs w:val="16"/>
                <w:color w:val="auto"/>
              </w:rPr>
              <w:t>0</w:t>
            </w:r>
          </w:p>
        </w:tc>
        <w:tc>
          <w:tcPr>
            <w:tcW w:w="1160" w:type="dxa"/>
            <w:vAlign w:val="bottom"/>
            <w:shd w:val="clear" w:color="auto" w:fill="D8E8EF"/>
          </w:tcPr>
          <w:p>
            <w:pPr>
              <w:jc w:val="right"/>
              <w:spacing w:after="0"/>
              <w:rPr>
                <w:sz w:val="20"/>
                <w:szCs w:val="20"/>
                <w:color w:val="auto"/>
              </w:rPr>
            </w:pPr>
            <w:r>
              <w:rPr>
                <w:rFonts w:ascii="Arial" w:cs="Arial" w:eastAsia="Arial" w:hAnsi="Arial"/>
                <w:sz w:val="16"/>
                <w:szCs w:val="16"/>
                <w:color w:val="auto"/>
              </w:rPr>
              <w:t>0</w:t>
            </w:r>
          </w:p>
        </w:tc>
        <w:tc>
          <w:tcPr>
            <w:tcW w:w="1120" w:type="dxa"/>
            <w:vAlign w:val="bottom"/>
            <w:shd w:val="clear" w:color="auto" w:fill="D8E8EF"/>
          </w:tcPr>
          <w:p>
            <w:pPr>
              <w:jc w:val="right"/>
              <w:ind w:right="20"/>
              <w:spacing w:after="0"/>
              <w:rPr>
                <w:sz w:val="20"/>
                <w:szCs w:val="20"/>
                <w:color w:val="auto"/>
              </w:rPr>
            </w:pPr>
            <w:r>
              <w:rPr>
                <w:rFonts w:ascii="Arial" w:cs="Arial" w:eastAsia="Arial" w:hAnsi="Arial"/>
                <w:sz w:val="16"/>
                <w:szCs w:val="16"/>
                <w:color w:val="auto"/>
              </w:rPr>
              <w:t>0</w:t>
            </w:r>
          </w:p>
        </w:tc>
      </w:tr>
      <w:tr>
        <w:trPr>
          <w:trHeight w:val="211"/>
        </w:trPr>
        <w:tc>
          <w:tcPr>
            <w:tcW w:w="3660" w:type="dxa"/>
            <w:vAlign w:val="bottom"/>
            <w:shd w:val="clear" w:color="auto" w:fill="D8E8EF"/>
          </w:tcPr>
          <w:p>
            <w:pPr>
              <w:ind w:left="320"/>
              <w:spacing w:after="0"/>
              <w:rPr>
                <w:sz w:val="20"/>
                <w:szCs w:val="20"/>
                <w:color w:val="auto"/>
              </w:rPr>
            </w:pPr>
            <w:r>
              <w:rPr>
                <w:rFonts w:ascii="Arial" w:cs="Arial" w:eastAsia="Arial" w:hAnsi="Arial"/>
                <w:sz w:val="16"/>
                <w:szCs w:val="16"/>
                <w:color w:val="auto"/>
              </w:rPr>
              <w:t>Unvested Stock Options, RSUs or PBRSUs</w:t>
            </w:r>
          </w:p>
        </w:tc>
        <w:tc>
          <w:tcPr>
            <w:tcW w:w="1160" w:type="dxa"/>
            <w:vAlign w:val="bottom"/>
            <w:shd w:val="clear" w:color="auto" w:fill="D8E8EF"/>
          </w:tcPr>
          <w:p>
            <w:pPr>
              <w:spacing w:after="0"/>
              <w:rPr>
                <w:sz w:val="18"/>
                <w:szCs w:val="18"/>
                <w:color w:val="auto"/>
              </w:rPr>
            </w:pPr>
          </w:p>
        </w:tc>
        <w:tc>
          <w:tcPr>
            <w:tcW w:w="360" w:type="dxa"/>
            <w:vAlign w:val="bottom"/>
            <w:shd w:val="clear" w:color="auto" w:fill="D8E8EF"/>
          </w:tcPr>
          <w:p>
            <w:pPr>
              <w:spacing w:after="0"/>
              <w:rPr>
                <w:sz w:val="18"/>
                <w:szCs w:val="18"/>
                <w:color w:val="auto"/>
              </w:rPr>
            </w:pPr>
          </w:p>
        </w:tc>
        <w:tc>
          <w:tcPr>
            <w:tcW w:w="960" w:type="dxa"/>
            <w:vAlign w:val="bottom"/>
            <w:shd w:val="clear" w:color="auto" w:fill="D8E8EF"/>
          </w:tcPr>
          <w:p>
            <w:pPr>
              <w:spacing w:after="0"/>
              <w:rPr>
                <w:sz w:val="18"/>
                <w:szCs w:val="18"/>
                <w:color w:val="auto"/>
              </w:rPr>
            </w:pPr>
          </w:p>
        </w:tc>
        <w:tc>
          <w:tcPr>
            <w:tcW w:w="280" w:type="dxa"/>
            <w:vAlign w:val="bottom"/>
            <w:shd w:val="clear" w:color="auto" w:fill="D8E8EF"/>
          </w:tcPr>
          <w:p>
            <w:pPr>
              <w:spacing w:after="0"/>
              <w:rPr>
                <w:sz w:val="18"/>
                <w:szCs w:val="18"/>
                <w:color w:val="auto"/>
              </w:rPr>
            </w:pPr>
          </w:p>
        </w:tc>
        <w:tc>
          <w:tcPr>
            <w:tcW w:w="1040" w:type="dxa"/>
            <w:vAlign w:val="bottom"/>
            <w:shd w:val="clear" w:color="auto" w:fill="D8E8EF"/>
          </w:tcPr>
          <w:p>
            <w:pPr>
              <w:spacing w:after="0"/>
              <w:rPr>
                <w:sz w:val="18"/>
                <w:szCs w:val="18"/>
                <w:color w:val="auto"/>
              </w:rPr>
            </w:pPr>
          </w:p>
        </w:tc>
        <w:tc>
          <w:tcPr>
            <w:tcW w:w="1180" w:type="dxa"/>
            <w:vAlign w:val="bottom"/>
            <w:shd w:val="clear" w:color="auto" w:fill="D8E8EF"/>
          </w:tcPr>
          <w:p>
            <w:pPr>
              <w:spacing w:after="0"/>
              <w:rPr>
                <w:sz w:val="18"/>
                <w:szCs w:val="18"/>
                <w:color w:val="auto"/>
              </w:rPr>
            </w:pPr>
          </w:p>
        </w:tc>
        <w:tc>
          <w:tcPr>
            <w:tcW w:w="1160" w:type="dxa"/>
            <w:vAlign w:val="bottom"/>
            <w:shd w:val="clear" w:color="auto" w:fill="D8E8EF"/>
          </w:tcPr>
          <w:p>
            <w:pPr>
              <w:spacing w:after="0"/>
              <w:rPr>
                <w:sz w:val="18"/>
                <w:szCs w:val="18"/>
                <w:color w:val="auto"/>
              </w:rPr>
            </w:pPr>
          </w:p>
        </w:tc>
        <w:tc>
          <w:tcPr>
            <w:tcW w:w="1120" w:type="dxa"/>
            <w:vAlign w:val="bottom"/>
            <w:shd w:val="clear" w:color="auto" w:fill="D8E8EF"/>
          </w:tcPr>
          <w:p>
            <w:pPr>
              <w:spacing w:after="0"/>
              <w:rPr>
                <w:sz w:val="18"/>
                <w:szCs w:val="18"/>
                <w:color w:val="auto"/>
              </w:rPr>
            </w:pPr>
          </w:p>
        </w:tc>
      </w:tr>
      <w:tr>
        <w:trPr>
          <w:trHeight w:val="70"/>
        </w:trPr>
        <w:tc>
          <w:tcPr>
            <w:tcW w:w="3660" w:type="dxa"/>
            <w:vAlign w:val="bottom"/>
            <w:shd w:val="clear" w:color="auto" w:fill="D8E8EF"/>
          </w:tcPr>
          <w:p>
            <w:pPr>
              <w:spacing w:after="0"/>
              <w:rPr>
                <w:sz w:val="6"/>
                <w:szCs w:val="6"/>
                <w:color w:val="auto"/>
              </w:rPr>
            </w:pPr>
          </w:p>
        </w:tc>
        <w:tc>
          <w:tcPr>
            <w:tcW w:w="1520" w:type="dxa"/>
            <w:vAlign w:val="bottom"/>
            <w:gridSpan w:val="2"/>
            <w:shd w:val="clear" w:color="auto" w:fill="D8E8EF"/>
          </w:tcPr>
          <w:p>
            <w:pPr>
              <w:spacing w:after="0"/>
              <w:rPr>
                <w:sz w:val="6"/>
                <w:szCs w:val="6"/>
                <w:color w:val="auto"/>
              </w:rPr>
            </w:pPr>
          </w:p>
        </w:tc>
        <w:tc>
          <w:tcPr>
            <w:tcW w:w="1240" w:type="dxa"/>
            <w:vAlign w:val="bottom"/>
            <w:gridSpan w:val="2"/>
            <w:shd w:val="clear" w:color="auto" w:fill="D8E8EF"/>
          </w:tcPr>
          <w:p>
            <w:pPr>
              <w:spacing w:after="0"/>
              <w:rPr>
                <w:sz w:val="6"/>
                <w:szCs w:val="6"/>
                <w:color w:val="auto"/>
              </w:rPr>
            </w:pPr>
          </w:p>
        </w:tc>
        <w:tc>
          <w:tcPr>
            <w:tcW w:w="1040" w:type="dxa"/>
            <w:vAlign w:val="bottom"/>
            <w:shd w:val="clear" w:color="auto" w:fill="D8E8EF"/>
          </w:tcPr>
          <w:p>
            <w:pPr>
              <w:spacing w:after="0"/>
              <w:rPr>
                <w:sz w:val="6"/>
                <w:szCs w:val="6"/>
                <w:color w:val="auto"/>
              </w:rPr>
            </w:pPr>
          </w:p>
        </w:tc>
        <w:tc>
          <w:tcPr>
            <w:tcW w:w="1180" w:type="dxa"/>
            <w:vAlign w:val="bottom"/>
            <w:shd w:val="clear" w:color="auto" w:fill="D8E8EF"/>
          </w:tcPr>
          <w:p>
            <w:pPr>
              <w:spacing w:after="0"/>
              <w:rPr>
                <w:sz w:val="6"/>
                <w:szCs w:val="6"/>
                <w:color w:val="auto"/>
              </w:rPr>
            </w:pPr>
          </w:p>
        </w:tc>
        <w:tc>
          <w:tcPr>
            <w:tcW w:w="1160" w:type="dxa"/>
            <w:vAlign w:val="bottom"/>
            <w:shd w:val="clear" w:color="auto" w:fill="D8E8EF"/>
          </w:tcPr>
          <w:p>
            <w:pPr>
              <w:spacing w:after="0"/>
              <w:rPr>
                <w:sz w:val="6"/>
                <w:szCs w:val="6"/>
                <w:color w:val="auto"/>
              </w:rPr>
            </w:pPr>
          </w:p>
        </w:tc>
        <w:tc>
          <w:tcPr>
            <w:tcW w:w="1120" w:type="dxa"/>
            <w:vAlign w:val="bottom"/>
            <w:shd w:val="clear" w:color="auto" w:fill="D8E8EF"/>
          </w:tcPr>
          <w:p>
            <w:pPr>
              <w:spacing w:after="0"/>
              <w:rPr>
                <w:sz w:val="6"/>
                <w:szCs w:val="6"/>
                <w:color w:val="auto"/>
              </w:rPr>
            </w:pPr>
          </w:p>
        </w:tc>
      </w:tr>
      <w:tr>
        <w:trPr>
          <w:trHeight w:val="274"/>
        </w:trPr>
        <w:tc>
          <w:tcPr>
            <w:tcW w:w="3660" w:type="dxa"/>
            <w:vAlign w:val="bottom"/>
          </w:tcPr>
          <w:p>
            <w:pPr>
              <w:ind w:left="60"/>
              <w:spacing w:after="0"/>
              <w:rPr>
                <w:sz w:val="20"/>
                <w:szCs w:val="20"/>
                <w:color w:val="auto"/>
              </w:rPr>
            </w:pPr>
            <w:r>
              <w:rPr>
                <w:rFonts w:ascii="Arial" w:cs="Arial" w:eastAsia="Arial" w:hAnsi="Arial"/>
                <w:sz w:val="16"/>
                <w:szCs w:val="16"/>
                <w:b w:val="1"/>
                <w:bCs w:val="1"/>
                <w:i w:val="1"/>
                <w:iCs w:val="1"/>
                <w:color w:val="auto"/>
              </w:rPr>
              <w:t>Total:</w:t>
            </w:r>
          </w:p>
        </w:tc>
        <w:tc>
          <w:tcPr>
            <w:tcW w:w="1520" w:type="dxa"/>
            <w:vAlign w:val="bottom"/>
            <w:gridSpan w:val="2"/>
          </w:tcPr>
          <w:p>
            <w:pPr>
              <w:jc w:val="right"/>
              <w:ind w:right="80"/>
              <w:spacing w:after="0"/>
              <w:rPr>
                <w:sz w:val="20"/>
                <w:szCs w:val="20"/>
                <w:color w:val="auto"/>
              </w:rPr>
            </w:pPr>
            <w:r>
              <w:rPr>
                <w:rFonts w:ascii="Arial" w:cs="Arial" w:eastAsia="Arial" w:hAnsi="Arial"/>
                <w:sz w:val="16"/>
                <w:szCs w:val="16"/>
                <w:color w:val="auto"/>
              </w:rPr>
              <w:t>16,529,090</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35,533,952</w:t>
            </w:r>
          </w:p>
        </w:tc>
        <w:tc>
          <w:tcPr>
            <w:tcW w:w="1040" w:type="dxa"/>
            <w:vAlign w:val="bottom"/>
          </w:tcPr>
          <w:p>
            <w:pPr>
              <w:jc w:val="right"/>
              <w:ind w:right="60"/>
              <w:spacing w:after="0"/>
              <w:rPr>
                <w:sz w:val="20"/>
                <w:szCs w:val="20"/>
                <w:color w:val="auto"/>
              </w:rPr>
            </w:pPr>
            <w:r>
              <w:rPr>
                <w:rFonts w:ascii="Arial" w:cs="Arial" w:eastAsia="Arial" w:hAnsi="Arial"/>
                <w:sz w:val="16"/>
                <w:szCs w:val="16"/>
                <w:color w:val="auto"/>
              </w:rPr>
              <w:t>(4)</w:t>
            </w: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2,422,500</w:t>
            </w:r>
          </w:p>
        </w:tc>
        <w:tc>
          <w:tcPr>
            <w:tcW w:w="1160" w:type="dxa"/>
            <w:vAlign w:val="bottom"/>
          </w:tcPr>
          <w:p>
            <w:pPr>
              <w:jc w:val="right"/>
              <w:spacing w:after="0"/>
              <w:rPr>
                <w:sz w:val="20"/>
                <w:szCs w:val="20"/>
                <w:color w:val="auto"/>
              </w:rPr>
            </w:pPr>
            <w:r>
              <w:rPr>
                <w:rFonts w:ascii="Arial" w:cs="Arial" w:eastAsia="Arial" w:hAnsi="Arial"/>
                <w:sz w:val="16"/>
                <w:szCs w:val="16"/>
                <w:color w:val="auto"/>
              </w:rPr>
              <w:t>0</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46990</wp:posOffset>
            </wp:positionV>
            <wp:extent cx="692975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98" w:lineRule="exact"/>
        <w:rPr>
          <w:sz w:val="20"/>
          <w:szCs w:val="20"/>
          <w:color w:val="auto"/>
        </w:rPr>
      </w:pPr>
    </w:p>
    <w:p>
      <w:pPr>
        <w:jc w:val="both"/>
        <w:ind w:left="600" w:hanging="433"/>
        <w:spacing w:after="0" w:line="259" w:lineRule="auto"/>
        <w:tabs>
          <w:tab w:leader="none" w:pos="600" w:val="left"/>
        </w:tabs>
        <w:numPr>
          <w:ilvl w:val="0"/>
          <w:numId w:val="87"/>
        </w:numPr>
        <w:rPr>
          <w:rFonts w:ascii="Arial" w:cs="Arial" w:eastAsia="Arial" w:hAnsi="Arial"/>
          <w:sz w:val="14"/>
          <w:szCs w:val="14"/>
          <w:color w:val="auto"/>
        </w:rPr>
      </w:pPr>
      <w:r>
        <w:rPr>
          <w:rFonts w:ascii="Arial" w:cs="Arial" w:eastAsia="Arial" w:hAnsi="Arial"/>
          <w:sz w:val="14"/>
          <w:szCs w:val="14"/>
          <w:color w:val="auto"/>
        </w:rPr>
        <w:t>Mr. El-Khoury’s severance payment following a termination without “Cause” or a resignation for “Good Reason” (as those terms are defined in his employment agreement), whether or not following a Change in Control, is an amount equal to two years of annual base salary. Mr. El-Khoury’s base salary at the end of the 2021 fiscal year was $950,000.</w:t>
      </w:r>
    </w:p>
    <w:p>
      <w:pPr>
        <w:jc w:val="both"/>
        <w:ind w:left="600" w:hanging="433"/>
        <w:spacing w:after="0" w:line="253" w:lineRule="auto"/>
        <w:tabs>
          <w:tab w:leader="none" w:pos="600" w:val="left"/>
        </w:tabs>
        <w:numPr>
          <w:ilvl w:val="0"/>
          <w:numId w:val="87"/>
        </w:numPr>
        <w:rPr>
          <w:rFonts w:ascii="Arial" w:cs="Arial" w:eastAsia="Arial" w:hAnsi="Arial"/>
          <w:sz w:val="14"/>
          <w:szCs w:val="14"/>
          <w:color w:val="auto"/>
        </w:rPr>
      </w:pPr>
      <w:r>
        <w:rPr>
          <w:rFonts w:ascii="Arial" w:cs="Arial" w:eastAsia="Arial" w:hAnsi="Arial"/>
          <w:sz w:val="14"/>
          <w:szCs w:val="14"/>
          <w:color w:val="auto"/>
        </w:rPr>
        <w:t>Mr. El-Khoury’s cash incentive payment following a termination on December 31, 2021 without Cause or a resignation for Good Reason within 24 months following a Change in Control would have been an amount equal to two times his target bonus under the 2021 cash incentive program. Mr. El-Khoury’s cash payment following a termination on December 31, 2021 without Cause or a resignation for Good Reason in all other circumstances would have been an amount equal to his target bonus under the 2021 cash incentive program. Such target bonus for 2021 was $1,425,000.</w:t>
      </w:r>
    </w:p>
    <w:p>
      <w:pPr>
        <w:spacing w:after="0" w:line="3" w:lineRule="exact"/>
        <w:rPr>
          <w:rFonts w:ascii="Arial" w:cs="Arial" w:eastAsia="Arial" w:hAnsi="Arial"/>
          <w:sz w:val="14"/>
          <w:szCs w:val="14"/>
          <w:color w:val="auto"/>
        </w:rPr>
      </w:pPr>
    </w:p>
    <w:p>
      <w:pPr>
        <w:jc w:val="both"/>
        <w:ind w:left="600" w:hanging="433"/>
        <w:spacing w:after="0" w:line="253" w:lineRule="auto"/>
        <w:tabs>
          <w:tab w:leader="none" w:pos="600" w:val="left"/>
        </w:tabs>
        <w:numPr>
          <w:ilvl w:val="0"/>
          <w:numId w:val="87"/>
        </w:numPr>
        <w:rPr>
          <w:rFonts w:ascii="Arial" w:cs="Arial" w:eastAsia="Arial" w:hAnsi="Arial"/>
          <w:sz w:val="14"/>
          <w:szCs w:val="14"/>
          <w:color w:val="auto"/>
        </w:rPr>
      </w:pPr>
      <w:r>
        <w:rPr>
          <w:rFonts w:ascii="Arial" w:cs="Arial" w:eastAsia="Arial" w:hAnsi="Arial"/>
          <w:sz w:val="14"/>
          <w:szCs w:val="14"/>
          <w:color w:val="auto"/>
        </w:rPr>
        <w:t>In the event Mr. El-Khoury is terminated due to death or disability, Mr. El-Khoury or his estate would be entitled to a pro rata portion of his bonus based on the performance bonus achievement for a performance cycle that ended prior to his death or disability. For purposes of this column, we have assumed that Mr. El-Khoury’s death or disability was as of December 31, 2021, that the applicable performance cycle was the 2021 Bonus Program and that his bonus under the 2021 Bonus Program was earned but unpaid at that time. Mr. El-Khoury’s earned bonus for 2021 was $2,422,500.</w:t>
      </w:r>
    </w:p>
    <w:p>
      <w:pPr>
        <w:spacing w:after="0" w:line="3" w:lineRule="exact"/>
        <w:rPr>
          <w:rFonts w:ascii="Arial" w:cs="Arial" w:eastAsia="Arial" w:hAnsi="Arial"/>
          <w:sz w:val="14"/>
          <w:szCs w:val="14"/>
          <w:color w:val="auto"/>
        </w:rPr>
      </w:pPr>
    </w:p>
    <w:p>
      <w:pPr>
        <w:jc w:val="both"/>
        <w:ind w:left="600" w:hanging="433"/>
        <w:spacing w:after="0" w:line="243" w:lineRule="auto"/>
        <w:tabs>
          <w:tab w:leader="none" w:pos="600" w:val="left"/>
        </w:tabs>
        <w:numPr>
          <w:ilvl w:val="0"/>
          <w:numId w:val="87"/>
        </w:numPr>
        <w:rPr>
          <w:rFonts w:ascii="Arial" w:cs="Arial" w:eastAsia="Arial" w:hAnsi="Arial"/>
          <w:sz w:val="14"/>
          <w:szCs w:val="14"/>
          <w:color w:val="auto"/>
        </w:rPr>
      </w:pPr>
      <w:r>
        <w:rPr>
          <w:rFonts w:ascii="Arial" w:cs="Arial" w:eastAsia="Arial" w:hAnsi="Arial"/>
          <w:sz w:val="14"/>
          <w:szCs w:val="14"/>
          <w:color w:val="auto"/>
        </w:rPr>
        <w:t>Because the HCC Committee has discretion to accelerate outstanding awards of equity under the SIP notwithstanding the provisions of an officer’s employment agreement or the award agreements under which the awards were granted in the event of a Change in Control, for purposes of this disclosure, we have assumed that the HCC Committee has exercised such discretion and all outstanding equity awards have been accelerated. For a description of the actual provisions of the employment agreements and such award agreements that may otherwise impact acceleration in connection with a Change in Control, see the discussion above under “Potential Payments Upon Termination of Employment or Change in Control — Equity Acceleration upon a Change in Control.” This amount denotes the incremental difference between the market value on December 31, 2021 and the exercise price, if any, of unvested options, RSUs or PBRSUs (including any 2020 Base PBRSUs, Upside PBRSUs and 2021 PBRSUs) for which vesting might be accelerated. If we had terminated Mr. El-Khoury’s employment without Cause or Mr. El-Khoury had resigned for Good Reason on December 31, 2021 under circumstances not involving a Change in Control: (i) Mr. El-Khoury’s New Hire CEO RSUs would have fully vested; (ii) Mr. El-Khoury’s New Hire CEO PBRSUs would have vested pro rata using a truncated performance period, which was calculated based on the period of time Mr. El-Khoury was employed with the Company; (iii) all of the RSUs owed to Mr. El-Khoury pursuant to his annual grants would have vested pro rata; and (iv) a pro rata portion of the PBRSUs owed to Mr. El-Khoury pursuant to his annual grants would have vested pro rata (using actual full performance period results).</w:t>
      </w:r>
    </w:p>
    <w:p>
      <w:pPr>
        <w:spacing w:after="0" w:line="119" w:lineRule="exact"/>
        <w:rPr>
          <w:sz w:val="20"/>
          <w:szCs w:val="20"/>
          <w:color w:val="auto"/>
        </w:rPr>
      </w:pPr>
    </w:p>
    <w:p>
      <w:pPr>
        <w:ind w:left="160"/>
        <w:spacing w:after="0"/>
        <w:tabs>
          <w:tab w:leader="none" w:pos="500" w:val="left"/>
        </w:tabs>
        <w:rPr>
          <w:sz w:val="20"/>
          <w:szCs w:val="20"/>
          <w:color w:val="auto"/>
        </w:rPr>
      </w:pPr>
      <w:r>
        <w:rPr>
          <w:rFonts w:ascii="Arial" w:cs="Arial" w:eastAsia="Arial" w:hAnsi="Arial"/>
          <w:sz w:val="14"/>
          <w:szCs w:val="14"/>
          <w:color w:val="F75E14"/>
        </w:rPr>
        <w:t>62</w:t>
        <w:tab/>
        <w:t>onsemi 2022 Proxy Statement</w:t>
      </w:r>
    </w:p>
    <w:p>
      <w:pPr>
        <w:sectPr>
          <w:pgSz w:w="11900" w:h="16838" w:orient="portrait"/>
          <w:cols w:equalWidth="0" w:num="1">
            <w:col w:w="11080"/>
          </w:cols>
          <w:pgMar w:left="320" w:top="454" w:right="499" w:bottom="1440" w:gutter="0" w:footer="0" w:header="0"/>
        </w:sectPr>
      </w:pPr>
    </w:p>
    <w:bookmarkStart w:id="66" w:name="page67"/>
    <w:bookmarkEnd w:id="6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2" w:lineRule="exact"/>
        <w:rPr>
          <w:sz w:val="20"/>
          <w:szCs w:val="20"/>
          <w:color w:val="auto"/>
        </w:rPr>
      </w:pPr>
    </w:p>
    <w:p>
      <w:pPr>
        <w:ind w:left="8260"/>
        <w:spacing w:after="0"/>
        <w:rPr>
          <w:sz w:val="20"/>
          <w:szCs w:val="20"/>
          <w:color w:val="auto"/>
        </w:rPr>
      </w:pPr>
      <w:r>
        <w:rPr>
          <w:rFonts w:ascii="Arial" w:cs="Arial" w:eastAsia="Arial" w:hAnsi="Arial"/>
          <w:sz w:val="17"/>
          <w:szCs w:val="17"/>
          <w:color w:val="F75E14"/>
        </w:rPr>
        <w:t>Compensation of Executive Officers</w:t>
      </w:r>
    </w:p>
    <w:p>
      <w:pPr>
        <w:spacing w:after="0" w:line="154" w:lineRule="exact"/>
        <w:rPr>
          <w:sz w:val="20"/>
          <w:szCs w:val="20"/>
          <w:color w:val="auto"/>
        </w:rPr>
      </w:pPr>
    </w:p>
    <w:p>
      <w:pPr>
        <w:ind w:left="160"/>
        <w:spacing w:after="0" w:line="263" w:lineRule="auto"/>
        <w:rPr>
          <w:sz w:val="20"/>
          <w:szCs w:val="20"/>
          <w:color w:val="auto"/>
        </w:rPr>
      </w:pPr>
      <w:r>
        <w:rPr>
          <w:rFonts w:ascii="Arial" w:cs="Arial" w:eastAsia="Arial" w:hAnsi="Arial"/>
          <w:sz w:val="18"/>
          <w:szCs w:val="18"/>
          <w:i w:val="1"/>
          <w:iCs w:val="1"/>
          <w:color w:val="auto"/>
        </w:rPr>
        <w:t xml:space="preserve">The following table sets forth the potential payments upon termination or a Change in Control for </w:t>
      </w:r>
      <w:r>
        <w:rPr>
          <w:rFonts w:ascii="Arial" w:cs="Arial" w:eastAsia="Arial" w:hAnsi="Arial"/>
          <w:sz w:val="18"/>
          <w:szCs w:val="18"/>
          <w:b w:val="1"/>
          <w:bCs w:val="1"/>
          <w:i w:val="1"/>
          <w:iCs w:val="1"/>
          <w:color w:val="auto"/>
        </w:rPr>
        <w:t>Thad Trent</w:t>
      </w:r>
      <w:r>
        <w:rPr>
          <w:rFonts w:ascii="Arial" w:cs="Arial" w:eastAsia="Arial" w:hAnsi="Arial"/>
          <w:sz w:val="18"/>
          <w:szCs w:val="18"/>
          <w:i w:val="1"/>
          <w:iCs w:val="1"/>
          <w:color w:val="auto"/>
        </w:rPr>
        <w:t>, our Executive Vice President, Chief Financial Officer and Treasurer.</w:t>
      </w:r>
    </w:p>
    <w:p>
      <w:pPr>
        <w:spacing w:after="0" w:line="205" w:lineRule="exact"/>
        <w:rPr>
          <w:sz w:val="20"/>
          <w:szCs w:val="20"/>
          <w:color w:val="auto"/>
        </w:rPr>
      </w:pPr>
    </w:p>
    <w:tbl>
      <w:tblPr>
        <w:tblLayout w:type="fixed"/>
        <w:tblInd w:w="160" w:type="dxa"/>
        <w:tblCellMar>
          <w:top w:w="0" w:type="dxa"/>
          <w:left w:w="0" w:type="dxa"/>
          <w:bottom w:w="0" w:type="dxa"/>
          <w:right w:w="0" w:type="dxa"/>
        </w:tblCellMar>
      </w:tblPr>
      <w:tr>
        <w:trPr>
          <w:trHeight w:val="213"/>
        </w:trPr>
        <w:tc>
          <w:tcPr>
            <w:tcW w:w="3640" w:type="dxa"/>
            <w:vAlign w:val="bottom"/>
            <w:shd w:val="clear" w:color="auto" w:fill="F75E14"/>
          </w:tcPr>
          <w:p>
            <w:pPr>
              <w:spacing w:after="0"/>
              <w:rPr>
                <w:sz w:val="18"/>
                <w:szCs w:val="18"/>
                <w:color w:val="auto"/>
              </w:rPr>
            </w:pPr>
          </w:p>
        </w:tc>
        <w:tc>
          <w:tcPr>
            <w:tcW w:w="1540" w:type="dxa"/>
            <w:vAlign w:val="bottom"/>
            <w:gridSpan w:val="2"/>
            <w:shd w:val="clear" w:color="auto" w:fill="F75E14"/>
          </w:tcPr>
          <w:p>
            <w:pPr>
              <w:jc w:val="center"/>
              <w:ind w:left="40"/>
              <w:spacing w:after="0"/>
              <w:rPr>
                <w:sz w:val="20"/>
                <w:szCs w:val="20"/>
                <w:color w:val="auto"/>
              </w:rPr>
            </w:pPr>
            <w:r>
              <w:rPr>
                <w:rFonts w:ascii="Arial" w:cs="Arial" w:eastAsia="Arial" w:hAnsi="Arial"/>
                <w:sz w:val="16"/>
                <w:szCs w:val="16"/>
                <w:b w:val="1"/>
                <w:bCs w:val="1"/>
                <w:color w:val="FFFFFF"/>
                <w:w w:val="98"/>
              </w:rPr>
              <w:t>Termination</w:t>
            </w:r>
          </w:p>
        </w:tc>
        <w:tc>
          <w:tcPr>
            <w:tcW w:w="960" w:type="dxa"/>
            <w:vAlign w:val="bottom"/>
            <w:shd w:val="clear" w:color="auto" w:fill="F75E14"/>
          </w:tcPr>
          <w:p>
            <w:pPr>
              <w:spacing w:after="0"/>
              <w:rPr>
                <w:sz w:val="18"/>
                <w:szCs w:val="18"/>
                <w:color w:val="auto"/>
              </w:rPr>
            </w:pPr>
          </w:p>
        </w:tc>
        <w:tc>
          <w:tcPr>
            <w:tcW w:w="280" w:type="dxa"/>
            <w:vAlign w:val="bottom"/>
            <w:shd w:val="clear" w:color="auto" w:fill="F75E14"/>
          </w:tcPr>
          <w:p>
            <w:pPr>
              <w:spacing w:after="0"/>
              <w:rPr>
                <w:sz w:val="18"/>
                <w:szCs w:val="18"/>
                <w:color w:val="auto"/>
              </w:rPr>
            </w:pPr>
          </w:p>
        </w:tc>
        <w:tc>
          <w:tcPr>
            <w:tcW w:w="1040" w:type="dxa"/>
            <w:vAlign w:val="bottom"/>
            <w:shd w:val="clear" w:color="auto" w:fill="F75E14"/>
          </w:tcPr>
          <w:p>
            <w:pPr>
              <w:spacing w:after="0"/>
              <w:rPr>
                <w:sz w:val="18"/>
                <w:szCs w:val="18"/>
                <w:color w:val="auto"/>
              </w:rPr>
            </w:pPr>
          </w:p>
        </w:tc>
        <w:tc>
          <w:tcPr>
            <w:tcW w:w="1180" w:type="dxa"/>
            <w:vAlign w:val="bottom"/>
            <w:shd w:val="clear" w:color="auto" w:fill="F75E14"/>
          </w:tcPr>
          <w:p>
            <w:pPr>
              <w:spacing w:after="0"/>
              <w:rPr>
                <w:sz w:val="18"/>
                <w:szCs w:val="18"/>
                <w:color w:val="auto"/>
              </w:rPr>
            </w:pPr>
          </w:p>
        </w:tc>
        <w:tc>
          <w:tcPr>
            <w:tcW w:w="1160" w:type="dxa"/>
            <w:vAlign w:val="bottom"/>
            <w:shd w:val="clear" w:color="auto" w:fill="F75E14"/>
          </w:tcPr>
          <w:p>
            <w:pPr>
              <w:spacing w:after="0"/>
              <w:rPr>
                <w:sz w:val="18"/>
                <w:szCs w:val="18"/>
                <w:color w:val="auto"/>
              </w:rPr>
            </w:pPr>
          </w:p>
        </w:tc>
        <w:tc>
          <w:tcPr>
            <w:tcW w:w="1120" w:type="dxa"/>
            <w:vAlign w:val="bottom"/>
            <w:shd w:val="clear" w:color="auto" w:fill="F75E14"/>
          </w:tcPr>
          <w:p>
            <w:pPr>
              <w:jc w:val="right"/>
              <w:ind w:right="20"/>
              <w:spacing w:after="0"/>
              <w:rPr>
                <w:sz w:val="20"/>
                <w:szCs w:val="20"/>
                <w:color w:val="auto"/>
              </w:rPr>
            </w:pPr>
            <w:r>
              <w:rPr>
                <w:rFonts w:ascii="Arial" w:cs="Arial" w:eastAsia="Arial" w:hAnsi="Arial"/>
                <w:sz w:val="16"/>
                <w:szCs w:val="16"/>
                <w:b w:val="1"/>
                <w:bCs w:val="1"/>
                <w:color w:val="FFFFFF"/>
              </w:rPr>
              <w:t>Resignation</w:t>
            </w:r>
          </w:p>
        </w:tc>
      </w:tr>
      <w:tr>
        <w:trPr>
          <w:trHeight w:val="187"/>
        </w:trPr>
        <w:tc>
          <w:tcPr>
            <w:tcW w:w="3640" w:type="dxa"/>
            <w:vAlign w:val="bottom"/>
            <w:shd w:val="clear" w:color="auto" w:fill="F75E14"/>
          </w:tcPr>
          <w:p>
            <w:pPr>
              <w:spacing w:after="0"/>
              <w:rPr>
                <w:sz w:val="16"/>
                <w:szCs w:val="16"/>
                <w:color w:val="auto"/>
              </w:rPr>
            </w:pPr>
          </w:p>
        </w:tc>
        <w:tc>
          <w:tcPr>
            <w:tcW w:w="1540" w:type="dxa"/>
            <w:vAlign w:val="bottom"/>
            <w:gridSpan w:val="2"/>
            <w:shd w:val="clear" w:color="auto" w:fill="F75E14"/>
          </w:tcPr>
          <w:p>
            <w:pPr>
              <w:jc w:val="center"/>
              <w:ind w:left="20"/>
              <w:spacing w:after="0"/>
              <w:rPr>
                <w:sz w:val="20"/>
                <w:szCs w:val="20"/>
                <w:color w:val="auto"/>
              </w:rPr>
            </w:pPr>
            <w:r>
              <w:rPr>
                <w:rFonts w:ascii="Arial" w:cs="Arial" w:eastAsia="Arial" w:hAnsi="Arial"/>
                <w:sz w:val="16"/>
                <w:szCs w:val="16"/>
                <w:b w:val="1"/>
                <w:bCs w:val="1"/>
                <w:color w:val="FFFFFF"/>
                <w:w w:val="99"/>
              </w:rPr>
              <w:t>Without Cause</w:t>
            </w:r>
          </w:p>
        </w:tc>
        <w:tc>
          <w:tcPr>
            <w:tcW w:w="1240" w:type="dxa"/>
            <w:vAlign w:val="bottom"/>
            <w:gridSpan w:val="2"/>
            <w:shd w:val="clear" w:color="auto" w:fill="F75E14"/>
          </w:tcPr>
          <w:p>
            <w:pPr>
              <w:jc w:val="center"/>
              <w:spacing w:after="0"/>
              <w:rPr>
                <w:sz w:val="20"/>
                <w:szCs w:val="20"/>
                <w:color w:val="auto"/>
              </w:rPr>
            </w:pPr>
            <w:r>
              <w:rPr>
                <w:rFonts w:ascii="Arial" w:cs="Arial" w:eastAsia="Arial" w:hAnsi="Arial"/>
                <w:sz w:val="16"/>
                <w:szCs w:val="16"/>
                <w:b w:val="1"/>
                <w:bCs w:val="1"/>
                <w:color w:val="FFFFFF"/>
                <w:w w:val="98"/>
              </w:rPr>
              <w:t>Termination</w:t>
            </w:r>
          </w:p>
        </w:tc>
        <w:tc>
          <w:tcPr>
            <w:tcW w:w="1040" w:type="dxa"/>
            <w:vAlign w:val="bottom"/>
            <w:shd w:val="clear" w:color="auto" w:fill="F75E14"/>
          </w:tcPr>
          <w:p>
            <w:pPr>
              <w:spacing w:after="0"/>
              <w:rPr>
                <w:sz w:val="16"/>
                <w:szCs w:val="16"/>
                <w:color w:val="auto"/>
              </w:rPr>
            </w:pPr>
          </w:p>
        </w:tc>
        <w:tc>
          <w:tcPr>
            <w:tcW w:w="1180" w:type="dxa"/>
            <w:vAlign w:val="bottom"/>
            <w:shd w:val="clear" w:color="auto" w:fill="F75E14"/>
          </w:tcPr>
          <w:p>
            <w:pPr>
              <w:spacing w:after="0"/>
              <w:rPr>
                <w:sz w:val="16"/>
                <w:szCs w:val="16"/>
                <w:color w:val="auto"/>
              </w:rPr>
            </w:pPr>
          </w:p>
        </w:tc>
        <w:tc>
          <w:tcPr>
            <w:tcW w:w="1160" w:type="dxa"/>
            <w:vAlign w:val="bottom"/>
            <w:shd w:val="clear" w:color="auto" w:fill="F75E14"/>
          </w:tcPr>
          <w:p>
            <w:pPr>
              <w:spacing w:after="0"/>
              <w:rPr>
                <w:sz w:val="16"/>
                <w:szCs w:val="16"/>
                <w:color w:val="auto"/>
              </w:rPr>
            </w:pPr>
          </w:p>
        </w:tc>
        <w:tc>
          <w:tcPr>
            <w:tcW w:w="1120" w:type="dxa"/>
            <w:vAlign w:val="bottom"/>
            <w:shd w:val="clear" w:color="auto" w:fill="F75E14"/>
          </w:tcPr>
          <w:p>
            <w:pPr>
              <w:jc w:val="center"/>
              <w:spacing w:after="0"/>
              <w:rPr>
                <w:sz w:val="20"/>
                <w:szCs w:val="20"/>
                <w:color w:val="auto"/>
              </w:rPr>
            </w:pPr>
            <w:r>
              <w:rPr>
                <w:rFonts w:ascii="Arial" w:cs="Arial" w:eastAsia="Arial" w:hAnsi="Arial"/>
                <w:sz w:val="16"/>
                <w:szCs w:val="16"/>
                <w:b w:val="1"/>
                <w:bCs w:val="1"/>
                <w:color w:val="FFFFFF"/>
                <w:w w:val="99"/>
              </w:rPr>
              <w:t>other than</w:t>
            </w:r>
          </w:p>
        </w:tc>
      </w:tr>
      <w:tr>
        <w:trPr>
          <w:trHeight w:val="187"/>
        </w:trPr>
        <w:tc>
          <w:tcPr>
            <w:tcW w:w="3640" w:type="dxa"/>
            <w:vAlign w:val="bottom"/>
            <w:shd w:val="clear" w:color="auto" w:fill="F75E14"/>
          </w:tcPr>
          <w:p>
            <w:pPr>
              <w:spacing w:after="0"/>
              <w:rPr>
                <w:sz w:val="16"/>
                <w:szCs w:val="16"/>
                <w:color w:val="auto"/>
              </w:rPr>
            </w:pPr>
          </w:p>
        </w:tc>
        <w:tc>
          <w:tcPr>
            <w:tcW w:w="1540" w:type="dxa"/>
            <w:vAlign w:val="bottom"/>
            <w:gridSpan w:val="2"/>
            <w:shd w:val="clear" w:color="auto" w:fill="F75E14"/>
          </w:tcPr>
          <w:p>
            <w:pPr>
              <w:jc w:val="center"/>
              <w:ind w:left="20"/>
              <w:spacing w:after="0"/>
              <w:rPr>
                <w:sz w:val="20"/>
                <w:szCs w:val="20"/>
                <w:color w:val="auto"/>
              </w:rPr>
            </w:pPr>
            <w:r>
              <w:rPr>
                <w:rFonts w:ascii="Arial" w:cs="Arial" w:eastAsia="Arial" w:hAnsi="Arial"/>
                <w:sz w:val="16"/>
                <w:szCs w:val="16"/>
                <w:b w:val="1"/>
                <w:bCs w:val="1"/>
                <w:color w:val="FFFFFF"/>
                <w:w w:val="99"/>
              </w:rPr>
              <w:t>or Resignation</w:t>
            </w:r>
          </w:p>
        </w:tc>
        <w:tc>
          <w:tcPr>
            <w:tcW w:w="1240" w:type="dxa"/>
            <w:vAlign w:val="bottom"/>
            <w:gridSpan w:val="2"/>
            <w:shd w:val="clear" w:color="auto" w:fill="F75E14"/>
          </w:tcPr>
          <w:p>
            <w:pPr>
              <w:jc w:val="center"/>
              <w:spacing w:after="0"/>
              <w:rPr>
                <w:sz w:val="20"/>
                <w:szCs w:val="20"/>
                <w:color w:val="auto"/>
              </w:rPr>
            </w:pPr>
            <w:r>
              <w:rPr>
                <w:rFonts w:ascii="Arial" w:cs="Arial" w:eastAsia="Arial" w:hAnsi="Arial"/>
                <w:sz w:val="16"/>
                <w:szCs w:val="16"/>
                <w:b w:val="1"/>
                <w:bCs w:val="1"/>
                <w:color w:val="FFFFFF"/>
                <w:w w:val="99"/>
              </w:rPr>
              <w:t>Following a</w:t>
            </w:r>
          </w:p>
        </w:tc>
        <w:tc>
          <w:tcPr>
            <w:tcW w:w="1040" w:type="dxa"/>
            <w:vAlign w:val="bottom"/>
            <w:shd w:val="clear" w:color="auto" w:fill="F75E14"/>
          </w:tcPr>
          <w:p>
            <w:pPr>
              <w:spacing w:after="0"/>
              <w:rPr>
                <w:sz w:val="16"/>
                <w:szCs w:val="16"/>
                <w:color w:val="auto"/>
              </w:rPr>
            </w:pPr>
          </w:p>
        </w:tc>
        <w:tc>
          <w:tcPr>
            <w:tcW w:w="1180" w:type="dxa"/>
            <w:vAlign w:val="bottom"/>
            <w:shd w:val="clear" w:color="auto" w:fill="F75E14"/>
          </w:tcPr>
          <w:p>
            <w:pPr>
              <w:jc w:val="center"/>
              <w:spacing w:after="0"/>
              <w:rPr>
                <w:sz w:val="20"/>
                <w:szCs w:val="20"/>
                <w:color w:val="auto"/>
              </w:rPr>
            </w:pPr>
            <w:r>
              <w:rPr>
                <w:rFonts w:ascii="Arial" w:cs="Arial" w:eastAsia="Arial" w:hAnsi="Arial"/>
                <w:sz w:val="16"/>
                <w:szCs w:val="16"/>
                <w:b w:val="1"/>
                <w:bCs w:val="1"/>
                <w:color w:val="FFFFFF"/>
                <w:w w:val="98"/>
              </w:rPr>
              <w:t>Death or</w:t>
            </w:r>
          </w:p>
        </w:tc>
        <w:tc>
          <w:tcPr>
            <w:tcW w:w="1160" w:type="dxa"/>
            <w:vAlign w:val="bottom"/>
            <w:shd w:val="clear" w:color="auto" w:fill="F75E14"/>
          </w:tcPr>
          <w:p>
            <w:pPr>
              <w:spacing w:after="0"/>
              <w:rPr>
                <w:sz w:val="16"/>
                <w:szCs w:val="16"/>
                <w:color w:val="auto"/>
              </w:rPr>
            </w:pPr>
          </w:p>
        </w:tc>
        <w:tc>
          <w:tcPr>
            <w:tcW w:w="1120" w:type="dxa"/>
            <w:vAlign w:val="bottom"/>
            <w:shd w:val="clear" w:color="auto" w:fill="F75E14"/>
          </w:tcPr>
          <w:p>
            <w:pPr>
              <w:jc w:val="center"/>
              <w:spacing w:after="0"/>
              <w:rPr>
                <w:sz w:val="20"/>
                <w:szCs w:val="20"/>
                <w:color w:val="auto"/>
              </w:rPr>
            </w:pPr>
            <w:r>
              <w:rPr>
                <w:rFonts w:ascii="Arial" w:cs="Arial" w:eastAsia="Arial" w:hAnsi="Arial"/>
                <w:sz w:val="16"/>
                <w:szCs w:val="16"/>
                <w:b w:val="1"/>
                <w:bCs w:val="1"/>
                <w:color w:val="FFFFFF"/>
              </w:rPr>
              <w:t>for Good</w:t>
            </w:r>
          </w:p>
        </w:tc>
      </w:tr>
      <w:tr>
        <w:trPr>
          <w:trHeight w:val="187"/>
        </w:trPr>
        <w:tc>
          <w:tcPr>
            <w:tcW w:w="3640" w:type="dxa"/>
            <w:vAlign w:val="bottom"/>
            <w:shd w:val="clear" w:color="auto" w:fill="F75E14"/>
          </w:tcPr>
          <w:p>
            <w:pPr>
              <w:ind w:left="60"/>
              <w:spacing w:after="0"/>
              <w:rPr>
                <w:sz w:val="20"/>
                <w:szCs w:val="20"/>
                <w:color w:val="auto"/>
              </w:rPr>
            </w:pPr>
            <w:r>
              <w:rPr>
                <w:rFonts w:ascii="Arial" w:cs="Arial" w:eastAsia="Arial" w:hAnsi="Arial"/>
                <w:sz w:val="16"/>
                <w:szCs w:val="16"/>
                <w:b w:val="1"/>
                <w:bCs w:val="1"/>
                <w:color w:val="FFFFFF"/>
              </w:rPr>
              <w:t>Executive Benefits and Payments</w:t>
            </w:r>
          </w:p>
        </w:tc>
        <w:tc>
          <w:tcPr>
            <w:tcW w:w="1180" w:type="dxa"/>
            <w:vAlign w:val="bottom"/>
            <w:shd w:val="clear" w:color="auto" w:fill="F75E14"/>
          </w:tcPr>
          <w:p>
            <w:pPr>
              <w:jc w:val="center"/>
              <w:ind w:left="380"/>
              <w:spacing w:after="0"/>
              <w:rPr>
                <w:sz w:val="20"/>
                <w:szCs w:val="20"/>
                <w:color w:val="auto"/>
              </w:rPr>
            </w:pPr>
            <w:r>
              <w:rPr>
                <w:rFonts w:ascii="Arial" w:cs="Arial" w:eastAsia="Arial" w:hAnsi="Arial"/>
                <w:sz w:val="16"/>
                <w:szCs w:val="16"/>
                <w:b w:val="1"/>
                <w:bCs w:val="1"/>
                <w:color w:val="FFFFFF"/>
              </w:rPr>
              <w:t>for Good</w:t>
            </w:r>
          </w:p>
        </w:tc>
        <w:tc>
          <w:tcPr>
            <w:tcW w:w="360" w:type="dxa"/>
            <w:vAlign w:val="bottom"/>
            <w:shd w:val="clear" w:color="auto" w:fill="F75E14"/>
          </w:tcPr>
          <w:p>
            <w:pPr>
              <w:spacing w:after="0"/>
              <w:rPr>
                <w:sz w:val="16"/>
                <w:szCs w:val="16"/>
                <w:color w:val="auto"/>
              </w:rPr>
            </w:pPr>
          </w:p>
        </w:tc>
        <w:tc>
          <w:tcPr>
            <w:tcW w:w="1240" w:type="dxa"/>
            <w:vAlign w:val="bottom"/>
            <w:gridSpan w:val="2"/>
            <w:shd w:val="clear" w:color="auto" w:fill="F75E14"/>
          </w:tcPr>
          <w:p>
            <w:pPr>
              <w:jc w:val="center"/>
              <w:spacing w:after="0"/>
              <w:rPr>
                <w:sz w:val="20"/>
                <w:szCs w:val="20"/>
                <w:color w:val="auto"/>
              </w:rPr>
            </w:pPr>
            <w:r>
              <w:rPr>
                <w:rFonts w:ascii="Arial" w:cs="Arial" w:eastAsia="Arial" w:hAnsi="Arial"/>
                <w:sz w:val="16"/>
                <w:szCs w:val="16"/>
                <w:b w:val="1"/>
                <w:bCs w:val="1"/>
                <w:color w:val="FFFFFF"/>
              </w:rPr>
              <w:t>Change in</w:t>
            </w:r>
          </w:p>
        </w:tc>
        <w:tc>
          <w:tcPr>
            <w:tcW w:w="1040" w:type="dxa"/>
            <w:vAlign w:val="bottom"/>
            <w:shd w:val="clear" w:color="auto" w:fill="F75E14"/>
          </w:tcPr>
          <w:p>
            <w:pPr>
              <w:jc w:val="right"/>
              <w:ind w:right="80"/>
              <w:spacing w:after="0"/>
              <w:rPr>
                <w:sz w:val="20"/>
                <w:szCs w:val="20"/>
                <w:color w:val="auto"/>
              </w:rPr>
            </w:pPr>
            <w:r>
              <w:rPr>
                <w:rFonts w:ascii="Arial" w:cs="Arial" w:eastAsia="Arial" w:hAnsi="Arial"/>
                <w:sz w:val="16"/>
                <w:szCs w:val="16"/>
                <w:b w:val="1"/>
                <w:bCs w:val="1"/>
                <w:color w:val="FFFFFF"/>
              </w:rPr>
              <w:t>Change in</w:t>
            </w:r>
          </w:p>
        </w:tc>
        <w:tc>
          <w:tcPr>
            <w:tcW w:w="1180" w:type="dxa"/>
            <w:vAlign w:val="bottom"/>
            <w:shd w:val="clear" w:color="auto" w:fill="F75E14"/>
          </w:tcPr>
          <w:p>
            <w:pPr>
              <w:jc w:val="center"/>
              <w:spacing w:after="0"/>
              <w:rPr>
                <w:sz w:val="20"/>
                <w:szCs w:val="20"/>
                <w:color w:val="auto"/>
              </w:rPr>
            </w:pPr>
            <w:r>
              <w:rPr>
                <w:rFonts w:ascii="Arial" w:cs="Arial" w:eastAsia="Arial" w:hAnsi="Arial"/>
                <w:sz w:val="16"/>
                <w:szCs w:val="16"/>
                <w:b w:val="1"/>
                <w:bCs w:val="1"/>
                <w:color w:val="FFFFFF"/>
              </w:rPr>
              <w:t>Disability</w:t>
            </w:r>
          </w:p>
        </w:tc>
        <w:tc>
          <w:tcPr>
            <w:tcW w:w="1160" w:type="dxa"/>
            <w:vAlign w:val="bottom"/>
            <w:shd w:val="clear" w:color="auto" w:fill="F75E14"/>
          </w:tcPr>
          <w:p>
            <w:pPr>
              <w:jc w:val="right"/>
              <w:ind w:right="40"/>
              <w:spacing w:after="0"/>
              <w:rPr>
                <w:sz w:val="20"/>
                <w:szCs w:val="20"/>
                <w:color w:val="auto"/>
              </w:rPr>
            </w:pPr>
            <w:r>
              <w:rPr>
                <w:rFonts w:ascii="Arial" w:cs="Arial" w:eastAsia="Arial" w:hAnsi="Arial"/>
                <w:sz w:val="16"/>
                <w:szCs w:val="16"/>
                <w:b w:val="1"/>
                <w:bCs w:val="1"/>
                <w:color w:val="FFFFFF"/>
              </w:rPr>
              <w:t>Termination</w:t>
            </w:r>
          </w:p>
        </w:tc>
        <w:tc>
          <w:tcPr>
            <w:tcW w:w="1120" w:type="dxa"/>
            <w:vAlign w:val="bottom"/>
            <w:shd w:val="clear" w:color="auto" w:fill="F75E14"/>
          </w:tcPr>
          <w:p>
            <w:pPr>
              <w:jc w:val="center"/>
              <w:spacing w:after="0"/>
              <w:rPr>
                <w:sz w:val="20"/>
                <w:szCs w:val="20"/>
                <w:color w:val="auto"/>
              </w:rPr>
            </w:pPr>
            <w:r>
              <w:rPr>
                <w:rFonts w:ascii="Arial" w:cs="Arial" w:eastAsia="Arial" w:hAnsi="Arial"/>
                <w:sz w:val="16"/>
                <w:szCs w:val="16"/>
                <w:b w:val="1"/>
                <w:bCs w:val="1"/>
                <w:color w:val="FFFFFF"/>
              </w:rPr>
              <w:t>Reason</w:t>
            </w:r>
          </w:p>
        </w:tc>
      </w:tr>
      <w:tr>
        <w:trPr>
          <w:trHeight w:val="235"/>
        </w:trPr>
        <w:tc>
          <w:tcPr>
            <w:tcW w:w="3640" w:type="dxa"/>
            <w:vAlign w:val="bottom"/>
            <w:tcBorders>
              <w:bottom w:val="single" w:sz="8" w:color="F75E14"/>
            </w:tcBorders>
            <w:shd w:val="clear" w:color="auto" w:fill="F75E14"/>
          </w:tcPr>
          <w:p>
            <w:pPr>
              <w:ind w:left="60"/>
              <w:spacing w:after="0"/>
              <w:rPr>
                <w:sz w:val="20"/>
                <w:szCs w:val="20"/>
                <w:color w:val="auto"/>
              </w:rPr>
            </w:pPr>
            <w:r>
              <w:rPr>
                <w:rFonts w:ascii="Arial" w:cs="Arial" w:eastAsia="Arial" w:hAnsi="Arial"/>
                <w:sz w:val="16"/>
                <w:szCs w:val="16"/>
                <w:b w:val="1"/>
                <w:bCs w:val="1"/>
                <w:color w:val="FFFFFF"/>
              </w:rPr>
              <w:t>Upon Termination</w:t>
            </w:r>
          </w:p>
        </w:tc>
        <w:tc>
          <w:tcPr>
            <w:tcW w:w="1540" w:type="dxa"/>
            <w:vAlign w:val="bottom"/>
            <w:tcBorders>
              <w:bottom w:val="single" w:sz="8" w:color="F75E14"/>
            </w:tcBorders>
            <w:gridSpan w:val="2"/>
            <w:shd w:val="clear" w:color="auto" w:fill="F75E14"/>
          </w:tcPr>
          <w:p>
            <w:pPr>
              <w:jc w:val="center"/>
              <w:ind w:left="40"/>
              <w:spacing w:after="0"/>
              <w:rPr>
                <w:sz w:val="20"/>
                <w:szCs w:val="20"/>
                <w:color w:val="auto"/>
              </w:rPr>
            </w:pPr>
            <w:r>
              <w:rPr>
                <w:rFonts w:ascii="Arial" w:cs="Arial" w:eastAsia="Arial" w:hAnsi="Arial"/>
                <w:sz w:val="16"/>
                <w:szCs w:val="16"/>
                <w:b w:val="1"/>
                <w:bCs w:val="1"/>
                <w:color w:val="FFFFFF"/>
              </w:rPr>
              <w:t>Reason ($)</w:t>
            </w:r>
          </w:p>
        </w:tc>
        <w:tc>
          <w:tcPr>
            <w:tcW w:w="1240" w:type="dxa"/>
            <w:vAlign w:val="bottom"/>
            <w:tcBorders>
              <w:bottom w:val="single" w:sz="8" w:color="F75E14"/>
            </w:tcBorders>
            <w:gridSpan w:val="2"/>
            <w:shd w:val="clear" w:color="auto" w:fill="F75E14"/>
          </w:tcPr>
          <w:p>
            <w:pPr>
              <w:jc w:val="center"/>
              <w:spacing w:after="0"/>
              <w:rPr>
                <w:sz w:val="20"/>
                <w:szCs w:val="20"/>
                <w:color w:val="auto"/>
              </w:rPr>
            </w:pPr>
            <w:r>
              <w:rPr>
                <w:rFonts w:ascii="Arial" w:cs="Arial" w:eastAsia="Arial" w:hAnsi="Arial"/>
                <w:sz w:val="16"/>
                <w:szCs w:val="16"/>
                <w:b w:val="1"/>
                <w:bCs w:val="1"/>
                <w:color w:val="FFFFFF"/>
              </w:rPr>
              <w:t>Control ($)</w:t>
            </w:r>
          </w:p>
        </w:tc>
        <w:tc>
          <w:tcPr>
            <w:tcW w:w="1040" w:type="dxa"/>
            <w:vAlign w:val="bottom"/>
            <w:tcBorders>
              <w:bottom w:val="single" w:sz="8" w:color="F75E14"/>
            </w:tcBorders>
            <w:shd w:val="clear" w:color="auto" w:fill="F75E14"/>
          </w:tcPr>
          <w:p>
            <w:pPr>
              <w:jc w:val="right"/>
              <w:ind w:right="80"/>
              <w:spacing w:after="0"/>
              <w:rPr>
                <w:sz w:val="20"/>
                <w:szCs w:val="20"/>
                <w:color w:val="auto"/>
              </w:rPr>
            </w:pPr>
            <w:r>
              <w:rPr>
                <w:rFonts w:ascii="Arial" w:cs="Arial" w:eastAsia="Arial" w:hAnsi="Arial"/>
                <w:sz w:val="16"/>
                <w:szCs w:val="16"/>
                <w:b w:val="1"/>
                <w:bCs w:val="1"/>
                <w:color w:val="FFFFFF"/>
              </w:rPr>
              <w:t>Control ($)</w:t>
            </w:r>
          </w:p>
        </w:tc>
        <w:tc>
          <w:tcPr>
            <w:tcW w:w="1180" w:type="dxa"/>
            <w:vAlign w:val="bottom"/>
            <w:tcBorders>
              <w:bottom w:val="single" w:sz="8" w:color="F75E14"/>
            </w:tcBorders>
            <w:shd w:val="clear" w:color="auto" w:fill="F75E14"/>
          </w:tcPr>
          <w:p>
            <w:pPr>
              <w:jc w:val="center"/>
              <w:spacing w:after="0"/>
              <w:rPr>
                <w:sz w:val="20"/>
                <w:szCs w:val="20"/>
                <w:color w:val="auto"/>
              </w:rPr>
            </w:pPr>
            <w:r>
              <w:rPr>
                <w:rFonts w:ascii="Arial" w:cs="Arial" w:eastAsia="Arial" w:hAnsi="Arial"/>
                <w:sz w:val="16"/>
                <w:szCs w:val="16"/>
                <w:b w:val="1"/>
                <w:bCs w:val="1"/>
                <w:color w:val="FFFFFF"/>
              </w:rPr>
              <w:t>($)</w:t>
            </w:r>
          </w:p>
        </w:tc>
        <w:tc>
          <w:tcPr>
            <w:tcW w:w="1160" w:type="dxa"/>
            <w:vAlign w:val="bottom"/>
            <w:tcBorders>
              <w:bottom w:val="single" w:sz="8" w:color="F75E14"/>
            </w:tcBorders>
            <w:shd w:val="clear" w:color="auto" w:fill="F75E14"/>
          </w:tcPr>
          <w:p>
            <w:pPr>
              <w:jc w:val="right"/>
              <w:spacing w:after="0"/>
              <w:rPr>
                <w:sz w:val="20"/>
                <w:szCs w:val="20"/>
                <w:color w:val="auto"/>
              </w:rPr>
            </w:pPr>
            <w:r>
              <w:rPr>
                <w:rFonts w:ascii="Arial" w:cs="Arial" w:eastAsia="Arial" w:hAnsi="Arial"/>
                <w:sz w:val="16"/>
                <w:szCs w:val="16"/>
                <w:b w:val="1"/>
                <w:bCs w:val="1"/>
                <w:color w:val="FFFFFF"/>
              </w:rPr>
              <w:t>for Cause ($)</w:t>
            </w:r>
          </w:p>
        </w:tc>
        <w:tc>
          <w:tcPr>
            <w:tcW w:w="1120" w:type="dxa"/>
            <w:vAlign w:val="bottom"/>
            <w:tcBorders>
              <w:bottom w:val="single" w:sz="8" w:color="F75E14"/>
            </w:tcBorders>
            <w:shd w:val="clear" w:color="auto" w:fill="F75E14"/>
          </w:tcPr>
          <w:p>
            <w:pPr>
              <w:jc w:val="center"/>
              <w:spacing w:after="0"/>
              <w:rPr>
                <w:sz w:val="20"/>
                <w:szCs w:val="20"/>
                <w:color w:val="auto"/>
              </w:rPr>
            </w:pPr>
            <w:r>
              <w:rPr>
                <w:rFonts w:ascii="Arial" w:cs="Arial" w:eastAsia="Arial" w:hAnsi="Arial"/>
                <w:sz w:val="16"/>
                <w:szCs w:val="16"/>
                <w:b w:val="1"/>
                <w:bCs w:val="1"/>
                <w:color w:val="FFFFFF"/>
              </w:rPr>
              <w:t>($)</w:t>
            </w:r>
          </w:p>
        </w:tc>
      </w:tr>
      <w:tr>
        <w:trPr>
          <w:trHeight w:val="274"/>
        </w:trPr>
        <w:tc>
          <w:tcPr>
            <w:tcW w:w="3640" w:type="dxa"/>
            <w:vAlign w:val="bottom"/>
            <w:shd w:val="clear" w:color="auto" w:fill="D8E8EF"/>
          </w:tcPr>
          <w:p>
            <w:pPr>
              <w:ind w:left="60"/>
              <w:spacing w:after="0"/>
              <w:rPr>
                <w:sz w:val="20"/>
                <w:szCs w:val="20"/>
                <w:color w:val="auto"/>
              </w:rPr>
            </w:pPr>
            <w:r>
              <w:rPr>
                <w:rFonts w:ascii="Arial" w:cs="Arial" w:eastAsia="Arial" w:hAnsi="Arial"/>
                <w:sz w:val="16"/>
                <w:szCs w:val="16"/>
                <w:b w:val="1"/>
                <w:bCs w:val="1"/>
                <w:color w:val="auto"/>
              </w:rPr>
              <w:t>Cash Compensation:</w:t>
            </w:r>
          </w:p>
        </w:tc>
        <w:tc>
          <w:tcPr>
            <w:tcW w:w="1180" w:type="dxa"/>
            <w:vAlign w:val="bottom"/>
            <w:shd w:val="clear" w:color="auto" w:fill="D8E8EF"/>
          </w:tcPr>
          <w:p>
            <w:pPr>
              <w:spacing w:after="0"/>
              <w:rPr>
                <w:sz w:val="23"/>
                <w:szCs w:val="23"/>
                <w:color w:val="auto"/>
              </w:rPr>
            </w:pPr>
          </w:p>
        </w:tc>
        <w:tc>
          <w:tcPr>
            <w:tcW w:w="360" w:type="dxa"/>
            <w:vAlign w:val="bottom"/>
            <w:shd w:val="clear" w:color="auto" w:fill="D8E8EF"/>
          </w:tcPr>
          <w:p>
            <w:pPr>
              <w:spacing w:after="0"/>
              <w:rPr>
                <w:sz w:val="23"/>
                <w:szCs w:val="23"/>
                <w:color w:val="auto"/>
              </w:rPr>
            </w:pPr>
          </w:p>
        </w:tc>
        <w:tc>
          <w:tcPr>
            <w:tcW w:w="960" w:type="dxa"/>
            <w:vAlign w:val="bottom"/>
            <w:shd w:val="clear" w:color="auto" w:fill="D8E8EF"/>
          </w:tcPr>
          <w:p>
            <w:pPr>
              <w:spacing w:after="0"/>
              <w:rPr>
                <w:sz w:val="23"/>
                <w:szCs w:val="23"/>
                <w:color w:val="auto"/>
              </w:rPr>
            </w:pPr>
          </w:p>
        </w:tc>
        <w:tc>
          <w:tcPr>
            <w:tcW w:w="280" w:type="dxa"/>
            <w:vAlign w:val="bottom"/>
            <w:shd w:val="clear" w:color="auto" w:fill="D8E8EF"/>
          </w:tcPr>
          <w:p>
            <w:pPr>
              <w:spacing w:after="0"/>
              <w:rPr>
                <w:sz w:val="23"/>
                <w:szCs w:val="23"/>
                <w:color w:val="auto"/>
              </w:rPr>
            </w:pPr>
          </w:p>
        </w:tc>
        <w:tc>
          <w:tcPr>
            <w:tcW w:w="1040" w:type="dxa"/>
            <w:vAlign w:val="bottom"/>
            <w:shd w:val="clear" w:color="auto" w:fill="D8E8EF"/>
          </w:tcPr>
          <w:p>
            <w:pPr>
              <w:spacing w:after="0"/>
              <w:rPr>
                <w:sz w:val="23"/>
                <w:szCs w:val="23"/>
                <w:color w:val="auto"/>
              </w:rPr>
            </w:pPr>
          </w:p>
        </w:tc>
        <w:tc>
          <w:tcPr>
            <w:tcW w:w="1180" w:type="dxa"/>
            <w:vAlign w:val="bottom"/>
            <w:shd w:val="clear" w:color="auto" w:fill="D8E8EF"/>
          </w:tcPr>
          <w:p>
            <w:pPr>
              <w:spacing w:after="0"/>
              <w:rPr>
                <w:sz w:val="23"/>
                <w:szCs w:val="23"/>
                <w:color w:val="auto"/>
              </w:rPr>
            </w:pPr>
          </w:p>
        </w:tc>
        <w:tc>
          <w:tcPr>
            <w:tcW w:w="1160" w:type="dxa"/>
            <w:vAlign w:val="bottom"/>
            <w:shd w:val="clear" w:color="auto" w:fill="D8E8EF"/>
          </w:tcPr>
          <w:p>
            <w:pPr>
              <w:spacing w:after="0"/>
              <w:rPr>
                <w:sz w:val="23"/>
                <w:szCs w:val="23"/>
                <w:color w:val="auto"/>
              </w:rPr>
            </w:pPr>
          </w:p>
        </w:tc>
        <w:tc>
          <w:tcPr>
            <w:tcW w:w="1120" w:type="dxa"/>
            <w:vAlign w:val="bottom"/>
            <w:shd w:val="clear" w:color="auto" w:fill="D8E8EF"/>
          </w:tcPr>
          <w:p>
            <w:pPr>
              <w:spacing w:after="0"/>
              <w:rPr>
                <w:sz w:val="23"/>
                <w:szCs w:val="23"/>
                <w:color w:val="auto"/>
              </w:rPr>
            </w:pPr>
          </w:p>
        </w:tc>
      </w:tr>
      <w:tr>
        <w:trPr>
          <w:trHeight w:val="60"/>
        </w:trPr>
        <w:tc>
          <w:tcPr>
            <w:tcW w:w="3640" w:type="dxa"/>
            <w:vAlign w:val="bottom"/>
            <w:shd w:val="clear" w:color="auto" w:fill="D8E8EF"/>
          </w:tcPr>
          <w:p>
            <w:pPr>
              <w:spacing w:after="0"/>
              <w:rPr>
                <w:sz w:val="5"/>
                <w:szCs w:val="5"/>
                <w:color w:val="auto"/>
              </w:rPr>
            </w:pPr>
          </w:p>
        </w:tc>
        <w:tc>
          <w:tcPr>
            <w:tcW w:w="1180" w:type="dxa"/>
            <w:vAlign w:val="bottom"/>
            <w:shd w:val="clear" w:color="auto" w:fill="D8E8EF"/>
          </w:tcPr>
          <w:p>
            <w:pPr>
              <w:spacing w:after="0"/>
              <w:rPr>
                <w:sz w:val="5"/>
                <w:szCs w:val="5"/>
                <w:color w:val="auto"/>
              </w:rPr>
            </w:pPr>
          </w:p>
        </w:tc>
        <w:tc>
          <w:tcPr>
            <w:tcW w:w="360" w:type="dxa"/>
            <w:vAlign w:val="bottom"/>
            <w:shd w:val="clear" w:color="auto" w:fill="D8E8EF"/>
          </w:tcPr>
          <w:p>
            <w:pPr>
              <w:spacing w:after="0"/>
              <w:rPr>
                <w:sz w:val="5"/>
                <w:szCs w:val="5"/>
                <w:color w:val="auto"/>
              </w:rPr>
            </w:pPr>
          </w:p>
        </w:tc>
        <w:tc>
          <w:tcPr>
            <w:tcW w:w="960" w:type="dxa"/>
            <w:vAlign w:val="bottom"/>
            <w:shd w:val="clear" w:color="auto" w:fill="D8E8EF"/>
          </w:tcPr>
          <w:p>
            <w:pPr>
              <w:spacing w:after="0"/>
              <w:rPr>
                <w:sz w:val="5"/>
                <w:szCs w:val="5"/>
                <w:color w:val="auto"/>
              </w:rPr>
            </w:pPr>
          </w:p>
        </w:tc>
        <w:tc>
          <w:tcPr>
            <w:tcW w:w="280" w:type="dxa"/>
            <w:vAlign w:val="bottom"/>
            <w:shd w:val="clear" w:color="auto" w:fill="D8E8EF"/>
          </w:tcPr>
          <w:p>
            <w:pPr>
              <w:spacing w:after="0"/>
              <w:rPr>
                <w:sz w:val="5"/>
                <w:szCs w:val="5"/>
                <w:color w:val="auto"/>
              </w:rPr>
            </w:pPr>
          </w:p>
        </w:tc>
        <w:tc>
          <w:tcPr>
            <w:tcW w:w="1040" w:type="dxa"/>
            <w:vAlign w:val="bottom"/>
            <w:shd w:val="clear" w:color="auto" w:fill="D8E8EF"/>
          </w:tcPr>
          <w:p>
            <w:pPr>
              <w:spacing w:after="0"/>
              <w:rPr>
                <w:sz w:val="5"/>
                <w:szCs w:val="5"/>
                <w:color w:val="auto"/>
              </w:rPr>
            </w:pPr>
          </w:p>
        </w:tc>
        <w:tc>
          <w:tcPr>
            <w:tcW w:w="1180" w:type="dxa"/>
            <w:vAlign w:val="bottom"/>
            <w:shd w:val="clear" w:color="auto" w:fill="D8E8EF"/>
          </w:tcPr>
          <w:p>
            <w:pPr>
              <w:spacing w:after="0"/>
              <w:rPr>
                <w:sz w:val="5"/>
                <w:szCs w:val="5"/>
                <w:color w:val="auto"/>
              </w:rPr>
            </w:pPr>
          </w:p>
        </w:tc>
        <w:tc>
          <w:tcPr>
            <w:tcW w:w="1160" w:type="dxa"/>
            <w:vAlign w:val="bottom"/>
            <w:shd w:val="clear" w:color="auto" w:fill="D8E8EF"/>
          </w:tcPr>
          <w:p>
            <w:pPr>
              <w:spacing w:after="0"/>
              <w:rPr>
                <w:sz w:val="5"/>
                <w:szCs w:val="5"/>
                <w:color w:val="auto"/>
              </w:rPr>
            </w:pPr>
          </w:p>
        </w:tc>
        <w:tc>
          <w:tcPr>
            <w:tcW w:w="1120" w:type="dxa"/>
            <w:vAlign w:val="bottom"/>
            <w:shd w:val="clear" w:color="auto" w:fill="D8E8EF"/>
          </w:tcPr>
          <w:p>
            <w:pPr>
              <w:spacing w:after="0"/>
              <w:rPr>
                <w:sz w:val="5"/>
                <w:szCs w:val="5"/>
                <w:color w:val="auto"/>
              </w:rPr>
            </w:pPr>
          </w:p>
        </w:tc>
      </w:tr>
      <w:tr>
        <w:trPr>
          <w:trHeight w:val="264"/>
        </w:trPr>
        <w:tc>
          <w:tcPr>
            <w:tcW w:w="3640" w:type="dxa"/>
            <w:vAlign w:val="bottom"/>
          </w:tcPr>
          <w:p>
            <w:pPr>
              <w:ind w:left="60"/>
              <w:spacing w:after="0"/>
              <w:rPr>
                <w:sz w:val="20"/>
                <w:szCs w:val="20"/>
                <w:color w:val="auto"/>
              </w:rPr>
            </w:pPr>
            <w:r>
              <w:rPr>
                <w:rFonts w:ascii="Arial" w:cs="Arial" w:eastAsia="Arial" w:hAnsi="Arial"/>
                <w:sz w:val="16"/>
                <w:szCs w:val="16"/>
                <w:color w:val="auto"/>
              </w:rPr>
              <w:t>Base Salary</w:t>
            </w:r>
          </w:p>
        </w:tc>
        <w:tc>
          <w:tcPr>
            <w:tcW w:w="1180" w:type="dxa"/>
            <w:vAlign w:val="bottom"/>
          </w:tcPr>
          <w:p>
            <w:pPr>
              <w:jc w:val="right"/>
              <w:spacing w:after="0"/>
              <w:rPr>
                <w:sz w:val="20"/>
                <w:szCs w:val="20"/>
                <w:color w:val="auto"/>
              </w:rPr>
            </w:pPr>
            <w:r>
              <w:rPr>
                <w:rFonts w:ascii="Arial" w:cs="Arial" w:eastAsia="Arial" w:hAnsi="Arial"/>
                <w:sz w:val="16"/>
                <w:szCs w:val="16"/>
                <w:color w:val="auto"/>
              </w:rPr>
              <w:t>600,000</w:t>
            </w:r>
          </w:p>
        </w:tc>
        <w:tc>
          <w:tcPr>
            <w:tcW w:w="360" w:type="dxa"/>
            <w:vAlign w:val="bottom"/>
          </w:tcPr>
          <w:p>
            <w:pPr>
              <w:jc w:val="right"/>
              <w:ind w:right="80"/>
              <w:spacing w:after="0"/>
              <w:rPr>
                <w:sz w:val="20"/>
                <w:szCs w:val="20"/>
                <w:color w:val="auto"/>
              </w:rPr>
            </w:pPr>
            <w:r>
              <w:rPr>
                <w:rFonts w:ascii="Arial" w:cs="Arial" w:eastAsia="Arial" w:hAnsi="Arial"/>
                <w:sz w:val="16"/>
                <w:szCs w:val="16"/>
                <w:color w:val="auto"/>
                <w:w w:val="91"/>
              </w:rPr>
              <w:t>(1)</w:t>
            </w:r>
          </w:p>
        </w:tc>
        <w:tc>
          <w:tcPr>
            <w:tcW w:w="960" w:type="dxa"/>
            <w:vAlign w:val="bottom"/>
          </w:tcPr>
          <w:p>
            <w:pPr>
              <w:jc w:val="right"/>
              <w:spacing w:after="0"/>
              <w:rPr>
                <w:sz w:val="20"/>
                <w:szCs w:val="20"/>
                <w:color w:val="auto"/>
              </w:rPr>
            </w:pPr>
            <w:r>
              <w:rPr>
                <w:rFonts w:ascii="Arial" w:cs="Arial" w:eastAsia="Arial" w:hAnsi="Arial"/>
                <w:sz w:val="16"/>
                <w:szCs w:val="16"/>
                <w:color w:val="auto"/>
              </w:rPr>
              <w:t>600,000</w:t>
            </w:r>
          </w:p>
        </w:tc>
        <w:tc>
          <w:tcPr>
            <w:tcW w:w="280" w:type="dxa"/>
            <w:vAlign w:val="bottom"/>
          </w:tcPr>
          <w:p>
            <w:pPr>
              <w:jc w:val="right"/>
              <w:spacing w:after="0"/>
              <w:rPr>
                <w:sz w:val="20"/>
                <w:szCs w:val="20"/>
                <w:color w:val="auto"/>
              </w:rPr>
            </w:pPr>
            <w:r>
              <w:rPr>
                <w:rFonts w:ascii="Arial" w:cs="Arial" w:eastAsia="Arial" w:hAnsi="Arial"/>
                <w:sz w:val="16"/>
                <w:szCs w:val="16"/>
                <w:color w:val="auto"/>
              </w:rPr>
              <w:t>(1)</w:t>
            </w:r>
          </w:p>
        </w:tc>
        <w:tc>
          <w:tcPr>
            <w:tcW w:w="1040" w:type="dxa"/>
            <w:vAlign w:val="bottom"/>
          </w:tcPr>
          <w:p>
            <w:pPr>
              <w:jc w:val="right"/>
              <w:ind w:right="60"/>
              <w:spacing w:after="0"/>
              <w:rPr>
                <w:sz w:val="20"/>
                <w:szCs w:val="20"/>
                <w:color w:val="auto"/>
              </w:rPr>
            </w:pPr>
            <w:r>
              <w:rPr>
                <w:rFonts w:ascii="Arial" w:cs="Arial" w:eastAsia="Arial" w:hAnsi="Arial"/>
                <w:sz w:val="16"/>
                <w:szCs w:val="16"/>
                <w:color w:val="auto"/>
              </w:rPr>
              <w:t>0</w:t>
            </w: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0</w:t>
            </w:r>
          </w:p>
        </w:tc>
        <w:tc>
          <w:tcPr>
            <w:tcW w:w="1160" w:type="dxa"/>
            <w:vAlign w:val="bottom"/>
          </w:tcPr>
          <w:p>
            <w:pPr>
              <w:jc w:val="right"/>
              <w:spacing w:after="0"/>
              <w:rPr>
                <w:sz w:val="20"/>
                <w:szCs w:val="20"/>
                <w:color w:val="auto"/>
              </w:rPr>
            </w:pPr>
            <w:r>
              <w:rPr>
                <w:rFonts w:ascii="Arial" w:cs="Arial" w:eastAsia="Arial" w:hAnsi="Arial"/>
                <w:sz w:val="16"/>
                <w:szCs w:val="16"/>
                <w:color w:val="auto"/>
              </w:rPr>
              <w:t>0</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0</w:t>
            </w:r>
          </w:p>
        </w:tc>
      </w:tr>
      <w:tr>
        <w:trPr>
          <w:trHeight w:val="70"/>
        </w:trPr>
        <w:tc>
          <w:tcPr>
            <w:tcW w:w="3640" w:type="dxa"/>
            <w:vAlign w:val="bottom"/>
          </w:tcPr>
          <w:p>
            <w:pPr>
              <w:spacing w:after="0"/>
              <w:rPr>
                <w:sz w:val="6"/>
                <w:szCs w:val="6"/>
                <w:color w:val="auto"/>
              </w:rPr>
            </w:pPr>
          </w:p>
        </w:tc>
        <w:tc>
          <w:tcPr>
            <w:tcW w:w="1180" w:type="dxa"/>
            <w:vAlign w:val="bottom"/>
          </w:tcPr>
          <w:p>
            <w:pPr>
              <w:spacing w:after="0"/>
              <w:rPr>
                <w:sz w:val="6"/>
                <w:szCs w:val="6"/>
                <w:color w:val="auto"/>
              </w:rPr>
            </w:pPr>
          </w:p>
        </w:tc>
        <w:tc>
          <w:tcPr>
            <w:tcW w:w="360" w:type="dxa"/>
            <w:vAlign w:val="bottom"/>
          </w:tcPr>
          <w:p>
            <w:pPr>
              <w:spacing w:after="0"/>
              <w:rPr>
                <w:sz w:val="6"/>
                <w:szCs w:val="6"/>
                <w:color w:val="auto"/>
              </w:rPr>
            </w:pPr>
          </w:p>
        </w:tc>
        <w:tc>
          <w:tcPr>
            <w:tcW w:w="9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120" w:type="dxa"/>
            <w:vAlign w:val="bottom"/>
          </w:tcPr>
          <w:p>
            <w:pPr>
              <w:spacing w:after="0"/>
              <w:rPr>
                <w:sz w:val="6"/>
                <w:szCs w:val="6"/>
                <w:color w:val="auto"/>
              </w:rPr>
            </w:pPr>
          </w:p>
        </w:tc>
      </w:tr>
      <w:tr>
        <w:trPr>
          <w:trHeight w:val="264"/>
        </w:trPr>
        <w:tc>
          <w:tcPr>
            <w:tcW w:w="3640" w:type="dxa"/>
            <w:vAlign w:val="bottom"/>
            <w:shd w:val="clear" w:color="auto" w:fill="D8E8EF"/>
          </w:tcPr>
          <w:p>
            <w:pPr>
              <w:ind w:left="60"/>
              <w:spacing w:after="0"/>
              <w:rPr>
                <w:sz w:val="20"/>
                <w:szCs w:val="20"/>
                <w:color w:val="auto"/>
              </w:rPr>
            </w:pPr>
            <w:r>
              <w:rPr>
                <w:rFonts w:ascii="Arial" w:cs="Arial" w:eastAsia="Arial" w:hAnsi="Arial"/>
                <w:sz w:val="16"/>
                <w:szCs w:val="16"/>
                <w:color w:val="auto"/>
              </w:rPr>
              <w:t>Short-Term Incentive</w:t>
            </w:r>
          </w:p>
        </w:tc>
        <w:tc>
          <w:tcPr>
            <w:tcW w:w="1180" w:type="dxa"/>
            <w:vAlign w:val="bottom"/>
            <w:shd w:val="clear" w:color="auto" w:fill="D8E8EF"/>
          </w:tcPr>
          <w:p>
            <w:pPr>
              <w:jc w:val="right"/>
              <w:spacing w:after="0"/>
              <w:rPr>
                <w:sz w:val="20"/>
                <w:szCs w:val="20"/>
                <w:color w:val="auto"/>
              </w:rPr>
            </w:pPr>
            <w:r>
              <w:rPr>
                <w:rFonts w:ascii="Arial" w:cs="Arial" w:eastAsia="Arial" w:hAnsi="Arial"/>
                <w:sz w:val="16"/>
                <w:szCs w:val="16"/>
                <w:color w:val="auto"/>
              </w:rPr>
              <w:t>859,154</w:t>
            </w:r>
          </w:p>
        </w:tc>
        <w:tc>
          <w:tcPr>
            <w:tcW w:w="360" w:type="dxa"/>
            <w:vAlign w:val="bottom"/>
            <w:shd w:val="clear" w:color="auto" w:fill="D8E8EF"/>
          </w:tcPr>
          <w:p>
            <w:pPr>
              <w:jc w:val="right"/>
              <w:ind w:right="80"/>
              <w:spacing w:after="0"/>
              <w:rPr>
                <w:sz w:val="20"/>
                <w:szCs w:val="20"/>
                <w:color w:val="auto"/>
              </w:rPr>
            </w:pPr>
            <w:r>
              <w:rPr>
                <w:rFonts w:ascii="Arial" w:cs="Arial" w:eastAsia="Arial" w:hAnsi="Arial"/>
                <w:sz w:val="16"/>
                <w:szCs w:val="16"/>
                <w:color w:val="auto"/>
                <w:w w:val="91"/>
              </w:rPr>
              <w:t>(2)</w:t>
            </w:r>
          </w:p>
        </w:tc>
        <w:tc>
          <w:tcPr>
            <w:tcW w:w="960" w:type="dxa"/>
            <w:vAlign w:val="bottom"/>
            <w:shd w:val="clear" w:color="auto" w:fill="D8E8EF"/>
          </w:tcPr>
          <w:p>
            <w:pPr>
              <w:jc w:val="right"/>
              <w:spacing w:after="0"/>
              <w:rPr>
                <w:sz w:val="20"/>
                <w:szCs w:val="20"/>
                <w:color w:val="auto"/>
              </w:rPr>
            </w:pPr>
            <w:r>
              <w:rPr>
                <w:rFonts w:ascii="Arial" w:cs="Arial" w:eastAsia="Arial" w:hAnsi="Arial"/>
                <w:sz w:val="16"/>
                <w:szCs w:val="16"/>
                <w:color w:val="auto"/>
              </w:rPr>
              <w:t>600,000</w:t>
            </w:r>
          </w:p>
        </w:tc>
        <w:tc>
          <w:tcPr>
            <w:tcW w:w="280" w:type="dxa"/>
            <w:vAlign w:val="bottom"/>
            <w:shd w:val="clear" w:color="auto" w:fill="D8E8EF"/>
          </w:tcPr>
          <w:p>
            <w:pPr>
              <w:jc w:val="right"/>
              <w:spacing w:after="0"/>
              <w:rPr>
                <w:sz w:val="20"/>
                <w:szCs w:val="20"/>
                <w:color w:val="auto"/>
              </w:rPr>
            </w:pPr>
            <w:r>
              <w:rPr>
                <w:rFonts w:ascii="Arial" w:cs="Arial" w:eastAsia="Arial" w:hAnsi="Arial"/>
                <w:sz w:val="16"/>
                <w:szCs w:val="16"/>
                <w:color w:val="auto"/>
              </w:rPr>
              <w:t>(2)</w:t>
            </w:r>
          </w:p>
        </w:tc>
        <w:tc>
          <w:tcPr>
            <w:tcW w:w="1040" w:type="dxa"/>
            <w:vAlign w:val="bottom"/>
            <w:shd w:val="clear" w:color="auto" w:fill="D8E8EF"/>
          </w:tcPr>
          <w:p>
            <w:pPr>
              <w:jc w:val="right"/>
              <w:ind w:right="60"/>
              <w:spacing w:after="0"/>
              <w:rPr>
                <w:sz w:val="20"/>
                <w:szCs w:val="20"/>
                <w:color w:val="auto"/>
              </w:rPr>
            </w:pPr>
            <w:r>
              <w:rPr>
                <w:rFonts w:ascii="Arial" w:cs="Arial" w:eastAsia="Arial" w:hAnsi="Arial"/>
                <w:sz w:val="16"/>
                <w:szCs w:val="16"/>
                <w:color w:val="auto"/>
              </w:rPr>
              <w:t>0</w:t>
            </w:r>
          </w:p>
        </w:tc>
        <w:tc>
          <w:tcPr>
            <w:tcW w:w="1180" w:type="dxa"/>
            <w:vAlign w:val="bottom"/>
            <w:shd w:val="clear" w:color="auto" w:fill="D8E8EF"/>
          </w:tcPr>
          <w:p>
            <w:pPr>
              <w:jc w:val="right"/>
              <w:ind w:right="20"/>
              <w:spacing w:after="0"/>
              <w:rPr>
                <w:sz w:val="20"/>
                <w:szCs w:val="20"/>
                <w:color w:val="auto"/>
              </w:rPr>
            </w:pPr>
            <w:r>
              <w:rPr>
                <w:rFonts w:ascii="Arial" w:cs="Arial" w:eastAsia="Arial" w:hAnsi="Arial"/>
                <w:sz w:val="16"/>
                <w:szCs w:val="16"/>
                <w:color w:val="auto"/>
              </w:rPr>
              <w:t>1,020,000 (3)</w:t>
            </w:r>
          </w:p>
        </w:tc>
        <w:tc>
          <w:tcPr>
            <w:tcW w:w="1160" w:type="dxa"/>
            <w:vAlign w:val="bottom"/>
            <w:shd w:val="clear" w:color="auto" w:fill="D8E8EF"/>
          </w:tcPr>
          <w:p>
            <w:pPr>
              <w:jc w:val="right"/>
              <w:spacing w:after="0"/>
              <w:rPr>
                <w:sz w:val="20"/>
                <w:szCs w:val="20"/>
                <w:color w:val="auto"/>
              </w:rPr>
            </w:pPr>
            <w:r>
              <w:rPr>
                <w:rFonts w:ascii="Arial" w:cs="Arial" w:eastAsia="Arial" w:hAnsi="Arial"/>
                <w:sz w:val="16"/>
                <w:szCs w:val="16"/>
                <w:color w:val="auto"/>
              </w:rPr>
              <w:t>0</w:t>
            </w:r>
          </w:p>
        </w:tc>
        <w:tc>
          <w:tcPr>
            <w:tcW w:w="1120" w:type="dxa"/>
            <w:vAlign w:val="bottom"/>
            <w:shd w:val="clear" w:color="auto" w:fill="D8E8EF"/>
          </w:tcPr>
          <w:p>
            <w:pPr>
              <w:jc w:val="right"/>
              <w:ind w:right="20"/>
              <w:spacing w:after="0"/>
              <w:rPr>
                <w:sz w:val="20"/>
                <w:szCs w:val="20"/>
                <w:color w:val="auto"/>
              </w:rPr>
            </w:pPr>
            <w:r>
              <w:rPr>
                <w:rFonts w:ascii="Arial" w:cs="Arial" w:eastAsia="Arial" w:hAnsi="Arial"/>
                <w:sz w:val="16"/>
                <w:szCs w:val="16"/>
                <w:color w:val="auto"/>
              </w:rPr>
              <w:t>0</w:t>
            </w:r>
          </w:p>
        </w:tc>
      </w:tr>
      <w:tr>
        <w:trPr>
          <w:trHeight w:val="70"/>
        </w:trPr>
        <w:tc>
          <w:tcPr>
            <w:tcW w:w="3640" w:type="dxa"/>
            <w:vAlign w:val="bottom"/>
            <w:shd w:val="clear" w:color="auto" w:fill="D8E8EF"/>
          </w:tcPr>
          <w:p>
            <w:pPr>
              <w:spacing w:after="0"/>
              <w:rPr>
                <w:sz w:val="6"/>
                <w:szCs w:val="6"/>
                <w:color w:val="auto"/>
              </w:rPr>
            </w:pPr>
          </w:p>
        </w:tc>
        <w:tc>
          <w:tcPr>
            <w:tcW w:w="1180" w:type="dxa"/>
            <w:vAlign w:val="bottom"/>
            <w:shd w:val="clear" w:color="auto" w:fill="D8E8EF"/>
          </w:tcPr>
          <w:p>
            <w:pPr>
              <w:spacing w:after="0"/>
              <w:rPr>
                <w:sz w:val="6"/>
                <w:szCs w:val="6"/>
                <w:color w:val="auto"/>
              </w:rPr>
            </w:pPr>
          </w:p>
        </w:tc>
        <w:tc>
          <w:tcPr>
            <w:tcW w:w="360" w:type="dxa"/>
            <w:vAlign w:val="bottom"/>
            <w:shd w:val="clear" w:color="auto" w:fill="D8E8EF"/>
          </w:tcPr>
          <w:p>
            <w:pPr>
              <w:spacing w:after="0"/>
              <w:rPr>
                <w:sz w:val="6"/>
                <w:szCs w:val="6"/>
                <w:color w:val="auto"/>
              </w:rPr>
            </w:pPr>
          </w:p>
        </w:tc>
        <w:tc>
          <w:tcPr>
            <w:tcW w:w="960" w:type="dxa"/>
            <w:vAlign w:val="bottom"/>
            <w:shd w:val="clear" w:color="auto" w:fill="D8E8EF"/>
          </w:tcPr>
          <w:p>
            <w:pPr>
              <w:spacing w:after="0"/>
              <w:rPr>
                <w:sz w:val="6"/>
                <w:szCs w:val="6"/>
                <w:color w:val="auto"/>
              </w:rPr>
            </w:pPr>
          </w:p>
        </w:tc>
        <w:tc>
          <w:tcPr>
            <w:tcW w:w="280" w:type="dxa"/>
            <w:vAlign w:val="bottom"/>
            <w:shd w:val="clear" w:color="auto" w:fill="D8E8EF"/>
          </w:tcPr>
          <w:p>
            <w:pPr>
              <w:spacing w:after="0"/>
              <w:rPr>
                <w:sz w:val="6"/>
                <w:szCs w:val="6"/>
                <w:color w:val="auto"/>
              </w:rPr>
            </w:pPr>
          </w:p>
        </w:tc>
        <w:tc>
          <w:tcPr>
            <w:tcW w:w="1040" w:type="dxa"/>
            <w:vAlign w:val="bottom"/>
            <w:shd w:val="clear" w:color="auto" w:fill="D8E8EF"/>
          </w:tcPr>
          <w:p>
            <w:pPr>
              <w:spacing w:after="0"/>
              <w:rPr>
                <w:sz w:val="6"/>
                <w:szCs w:val="6"/>
                <w:color w:val="auto"/>
              </w:rPr>
            </w:pPr>
          </w:p>
        </w:tc>
        <w:tc>
          <w:tcPr>
            <w:tcW w:w="1180" w:type="dxa"/>
            <w:vAlign w:val="bottom"/>
            <w:shd w:val="clear" w:color="auto" w:fill="D8E8EF"/>
          </w:tcPr>
          <w:p>
            <w:pPr>
              <w:spacing w:after="0"/>
              <w:rPr>
                <w:sz w:val="6"/>
                <w:szCs w:val="6"/>
                <w:color w:val="auto"/>
              </w:rPr>
            </w:pPr>
          </w:p>
        </w:tc>
        <w:tc>
          <w:tcPr>
            <w:tcW w:w="1160" w:type="dxa"/>
            <w:vAlign w:val="bottom"/>
            <w:shd w:val="clear" w:color="auto" w:fill="D8E8EF"/>
          </w:tcPr>
          <w:p>
            <w:pPr>
              <w:spacing w:after="0"/>
              <w:rPr>
                <w:sz w:val="6"/>
                <w:szCs w:val="6"/>
                <w:color w:val="auto"/>
              </w:rPr>
            </w:pPr>
          </w:p>
        </w:tc>
        <w:tc>
          <w:tcPr>
            <w:tcW w:w="1120" w:type="dxa"/>
            <w:vAlign w:val="bottom"/>
            <w:shd w:val="clear" w:color="auto" w:fill="D8E8EF"/>
          </w:tcPr>
          <w:p>
            <w:pPr>
              <w:spacing w:after="0"/>
              <w:rPr>
                <w:sz w:val="6"/>
                <w:szCs w:val="6"/>
                <w:color w:val="auto"/>
              </w:rPr>
            </w:pPr>
          </w:p>
        </w:tc>
      </w:tr>
      <w:tr>
        <w:trPr>
          <w:trHeight w:val="274"/>
        </w:trPr>
        <w:tc>
          <w:tcPr>
            <w:tcW w:w="3640" w:type="dxa"/>
            <w:vAlign w:val="bottom"/>
          </w:tcPr>
          <w:p>
            <w:pPr>
              <w:ind w:left="60"/>
              <w:spacing w:after="0"/>
              <w:rPr>
                <w:sz w:val="20"/>
                <w:szCs w:val="20"/>
                <w:color w:val="auto"/>
              </w:rPr>
            </w:pPr>
            <w:r>
              <w:rPr>
                <w:rFonts w:ascii="Arial" w:cs="Arial" w:eastAsia="Arial" w:hAnsi="Arial"/>
                <w:sz w:val="16"/>
                <w:szCs w:val="16"/>
                <w:b w:val="1"/>
                <w:bCs w:val="1"/>
                <w:color w:val="auto"/>
              </w:rPr>
              <w:t>Long-Term Incentives:</w:t>
            </w:r>
          </w:p>
        </w:tc>
        <w:tc>
          <w:tcPr>
            <w:tcW w:w="11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60"/>
        </w:trPr>
        <w:tc>
          <w:tcPr>
            <w:tcW w:w="3640" w:type="dxa"/>
            <w:vAlign w:val="bottom"/>
          </w:tcPr>
          <w:p>
            <w:pPr>
              <w:spacing w:after="0"/>
              <w:rPr>
                <w:sz w:val="5"/>
                <w:szCs w:val="5"/>
                <w:color w:val="auto"/>
              </w:rPr>
            </w:pPr>
          </w:p>
        </w:tc>
        <w:tc>
          <w:tcPr>
            <w:tcW w:w="1180" w:type="dxa"/>
            <w:vAlign w:val="bottom"/>
          </w:tcPr>
          <w:p>
            <w:pPr>
              <w:spacing w:after="0"/>
              <w:rPr>
                <w:sz w:val="5"/>
                <w:szCs w:val="5"/>
                <w:color w:val="auto"/>
              </w:rPr>
            </w:pPr>
          </w:p>
        </w:tc>
        <w:tc>
          <w:tcPr>
            <w:tcW w:w="360" w:type="dxa"/>
            <w:vAlign w:val="bottom"/>
          </w:tcPr>
          <w:p>
            <w:pPr>
              <w:spacing w:after="0"/>
              <w:rPr>
                <w:sz w:val="5"/>
                <w:szCs w:val="5"/>
                <w:color w:val="auto"/>
              </w:rPr>
            </w:pPr>
          </w:p>
        </w:tc>
        <w:tc>
          <w:tcPr>
            <w:tcW w:w="9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120" w:type="dxa"/>
            <w:vAlign w:val="bottom"/>
          </w:tcPr>
          <w:p>
            <w:pPr>
              <w:spacing w:after="0"/>
              <w:rPr>
                <w:sz w:val="5"/>
                <w:szCs w:val="5"/>
                <w:color w:val="auto"/>
              </w:rPr>
            </w:pPr>
          </w:p>
        </w:tc>
      </w:tr>
      <w:tr>
        <w:trPr>
          <w:trHeight w:val="240"/>
        </w:trPr>
        <w:tc>
          <w:tcPr>
            <w:tcW w:w="3640" w:type="dxa"/>
            <w:vAlign w:val="bottom"/>
            <w:shd w:val="clear" w:color="auto" w:fill="D8E8EF"/>
          </w:tcPr>
          <w:p>
            <w:pPr>
              <w:ind w:left="60"/>
              <w:spacing w:after="0"/>
              <w:rPr>
                <w:sz w:val="20"/>
                <w:szCs w:val="20"/>
                <w:color w:val="auto"/>
              </w:rPr>
            </w:pPr>
            <w:r>
              <w:rPr>
                <w:rFonts w:ascii="Arial" w:cs="Arial" w:eastAsia="Arial" w:hAnsi="Arial"/>
                <w:sz w:val="16"/>
                <w:szCs w:val="16"/>
                <w:color w:val="auto"/>
              </w:rPr>
              <w:t>Acceleration or Continued Vesting of Unvested</w:t>
            </w:r>
          </w:p>
        </w:tc>
        <w:tc>
          <w:tcPr>
            <w:tcW w:w="1180" w:type="dxa"/>
            <w:vAlign w:val="bottom"/>
            <w:shd w:val="clear" w:color="auto" w:fill="D8E8EF"/>
          </w:tcPr>
          <w:p>
            <w:pPr>
              <w:jc w:val="right"/>
              <w:spacing w:after="0"/>
              <w:rPr>
                <w:sz w:val="20"/>
                <w:szCs w:val="20"/>
                <w:color w:val="auto"/>
              </w:rPr>
            </w:pPr>
            <w:r>
              <w:rPr>
                <w:rFonts w:ascii="Arial" w:cs="Arial" w:eastAsia="Arial" w:hAnsi="Arial"/>
                <w:sz w:val="16"/>
                <w:szCs w:val="16"/>
                <w:color w:val="auto"/>
              </w:rPr>
              <w:t>5,408,333</w:t>
            </w:r>
          </w:p>
        </w:tc>
        <w:tc>
          <w:tcPr>
            <w:tcW w:w="360" w:type="dxa"/>
            <w:vAlign w:val="bottom"/>
            <w:shd w:val="clear" w:color="auto" w:fill="D8E8EF"/>
          </w:tcPr>
          <w:p>
            <w:pPr>
              <w:jc w:val="right"/>
              <w:ind w:right="80"/>
              <w:spacing w:after="0"/>
              <w:rPr>
                <w:sz w:val="20"/>
                <w:szCs w:val="20"/>
                <w:color w:val="auto"/>
              </w:rPr>
            </w:pPr>
            <w:r>
              <w:rPr>
                <w:rFonts w:ascii="Arial" w:cs="Arial" w:eastAsia="Arial" w:hAnsi="Arial"/>
                <w:sz w:val="16"/>
                <w:szCs w:val="16"/>
                <w:color w:val="auto"/>
                <w:w w:val="91"/>
              </w:rPr>
              <w:t>(4)</w:t>
            </w:r>
          </w:p>
        </w:tc>
        <w:tc>
          <w:tcPr>
            <w:tcW w:w="960" w:type="dxa"/>
            <w:vAlign w:val="bottom"/>
            <w:shd w:val="clear" w:color="auto" w:fill="D8E8EF"/>
          </w:tcPr>
          <w:p>
            <w:pPr>
              <w:jc w:val="right"/>
              <w:spacing w:after="0"/>
              <w:rPr>
                <w:sz w:val="20"/>
                <w:szCs w:val="20"/>
                <w:color w:val="auto"/>
              </w:rPr>
            </w:pPr>
            <w:r>
              <w:rPr>
                <w:rFonts w:ascii="Arial" w:cs="Arial" w:eastAsia="Arial" w:hAnsi="Arial"/>
                <w:sz w:val="16"/>
                <w:szCs w:val="16"/>
                <w:color w:val="auto"/>
              </w:rPr>
              <w:t>15,418,044</w:t>
            </w:r>
          </w:p>
        </w:tc>
        <w:tc>
          <w:tcPr>
            <w:tcW w:w="280" w:type="dxa"/>
            <w:vAlign w:val="bottom"/>
            <w:shd w:val="clear" w:color="auto" w:fill="D8E8EF"/>
          </w:tcPr>
          <w:p>
            <w:pPr>
              <w:jc w:val="right"/>
              <w:spacing w:after="0"/>
              <w:rPr>
                <w:sz w:val="20"/>
                <w:szCs w:val="20"/>
                <w:color w:val="auto"/>
              </w:rPr>
            </w:pPr>
            <w:r>
              <w:rPr>
                <w:rFonts w:ascii="Arial" w:cs="Arial" w:eastAsia="Arial" w:hAnsi="Arial"/>
                <w:sz w:val="16"/>
                <w:szCs w:val="16"/>
                <w:color w:val="auto"/>
              </w:rPr>
              <w:t>(4)</w:t>
            </w:r>
          </w:p>
        </w:tc>
        <w:tc>
          <w:tcPr>
            <w:tcW w:w="1040" w:type="dxa"/>
            <w:vAlign w:val="bottom"/>
            <w:shd w:val="clear" w:color="auto" w:fill="D8E8EF"/>
          </w:tcPr>
          <w:p>
            <w:pPr>
              <w:jc w:val="right"/>
              <w:ind w:right="60"/>
              <w:spacing w:after="0"/>
              <w:rPr>
                <w:sz w:val="20"/>
                <w:szCs w:val="20"/>
                <w:color w:val="auto"/>
              </w:rPr>
            </w:pPr>
            <w:r>
              <w:rPr>
                <w:rFonts w:ascii="Arial" w:cs="Arial" w:eastAsia="Arial" w:hAnsi="Arial"/>
                <w:sz w:val="16"/>
                <w:szCs w:val="16"/>
                <w:color w:val="auto"/>
              </w:rPr>
              <w:t>(4)</w:t>
            </w:r>
          </w:p>
        </w:tc>
        <w:tc>
          <w:tcPr>
            <w:tcW w:w="1180" w:type="dxa"/>
            <w:vAlign w:val="bottom"/>
            <w:shd w:val="clear" w:color="auto" w:fill="D8E8EF"/>
          </w:tcPr>
          <w:p>
            <w:pPr>
              <w:jc w:val="right"/>
              <w:ind w:right="20"/>
              <w:spacing w:after="0"/>
              <w:rPr>
                <w:sz w:val="20"/>
                <w:szCs w:val="20"/>
                <w:color w:val="auto"/>
              </w:rPr>
            </w:pPr>
            <w:r>
              <w:rPr>
                <w:rFonts w:ascii="Arial" w:cs="Arial" w:eastAsia="Arial" w:hAnsi="Arial"/>
                <w:sz w:val="16"/>
                <w:szCs w:val="16"/>
                <w:color w:val="auto"/>
              </w:rPr>
              <w:t>0</w:t>
            </w:r>
          </w:p>
        </w:tc>
        <w:tc>
          <w:tcPr>
            <w:tcW w:w="1160" w:type="dxa"/>
            <w:vAlign w:val="bottom"/>
            <w:shd w:val="clear" w:color="auto" w:fill="D8E8EF"/>
          </w:tcPr>
          <w:p>
            <w:pPr>
              <w:jc w:val="right"/>
              <w:spacing w:after="0"/>
              <w:rPr>
                <w:sz w:val="20"/>
                <w:szCs w:val="20"/>
                <w:color w:val="auto"/>
              </w:rPr>
            </w:pPr>
            <w:r>
              <w:rPr>
                <w:rFonts w:ascii="Arial" w:cs="Arial" w:eastAsia="Arial" w:hAnsi="Arial"/>
                <w:sz w:val="16"/>
                <w:szCs w:val="16"/>
                <w:color w:val="auto"/>
              </w:rPr>
              <w:t>0</w:t>
            </w:r>
          </w:p>
        </w:tc>
        <w:tc>
          <w:tcPr>
            <w:tcW w:w="1120" w:type="dxa"/>
            <w:vAlign w:val="bottom"/>
            <w:shd w:val="clear" w:color="auto" w:fill="D8E8EF"/>
          </w:tcPr>
          <w:p>
            <w:pPr>
              <w:jc w:val="right"/>
              <w:ind w:right="20"/>
              <w:spacing w:after="0"/>
              <w:rPr>
                <w:sz w:val="20"/>
                <w:szCs w:val="20"/>
                <w:color w:val="auto"/>
              </w:rPr>
            </w:pPr>
            <w:r>
              <w:rPr>
                <w:rFonts w:ascii="Arial" w:cs="Arial" w:eastAsia="Arial" w:hAnsi="Arial"/>
                <w:sz w:val="16"/>
                <w:szCs w:val="16"/>
                <w:color w:val="auto"/>
              </w:rPr>
              <w:t>0</w:t>
            </w:r>
          </w:p>
        </w:tc>
      </w:tr>
      <w:tr>
        <w:trPr>
          <w:trHeight w:val="211"/>
        </w:trPr>
        <w:tc>
          <w:tcPr>
            <w:tcW w:w="3640" w:type="dxa"/>
            <w:vAlign w:val="bottom"/>
            <w:shd w:val="clear" w:color="auto" w:fill="D8E8EF"/>
          </w:tcPr>
          <w:p>
            <w:pPr>
              <w:ind w:left="320"/>
              <w:spacing w:after="0"/>
              <w:rPr>
                <w:sz w:val="20"/>
                <w:szCs w:val="20"/>
                <w:color w:val="auto"/>
              </w:rPr>
            </w:pPr>
            <w:r>
              <w:rPr>
                <w:rFonts w:ascii="Arial" w:cs="Arial" w:eastAsia="Arial" w:hAnsi="Arial"/>
                <w:sz w:val="16"/>
                <w:szCs w:val="16"/>
                <w:color w:val="auto"/>
              </w:rPr>
              <w:t>Stock Options, RSUs or PBRSUs</w:t>
            </w:r>
          </w:p>
        </w:tc>
        <w:tc>
          <w:tcPr>
            <w:tcW w:w="1180" w:type="dxa"/>
            <w:vAlign w:val="bottom"/>
            <w:shd w:val="clear" w:color="auto" w:fill="D8E8EF"/>
          </w:tcPr>
          <w:p>
            <w:pPr>
              <w:spacing w:after="0"/>
              <w:rPr>
                <w:sz w:val="18"/>
                <w:szCs w:val="18"/>
                <w:color w:val="auto"/>
              </w:rPr>
            </w:pPr>
          </w:p>
        </w:tc>
        <w:tc>
          <w:tcPr>
            <w:tcW w:w="360" w:type="dxa"/>
            <w:vAlign w:val="bottom"/>
            <w:shd w:val="clear" w:color="auto" w:fill="D8E8EF"/>
          </w:tcPr>
          <w:p>
            <w:pPr>
              <w:spacing w:after="0"/>
              <w:rPr>
                <w:sz w:val="18"/>
                <w:szCs w:val="18"/>
                <w:color w:val="auto"/>
              </w:rPr>
            </w:pPr>
          </w:p>
        </w:tc>
        <w:tc>
          <w:tcPr>
            <w:tcW w:w="960" w:type="dxa"/>
            <w:vAlign w:val="bottom"/>
            <w:shd w:val="clear" w:color="auto" w:fill="D8E8EF"/>
          </w:tcPr>
          <w:p>
            <w:pPr>
              <w:spacing w:after="0"/>
              <w:rPr>
                <w:sz w:val="18"/>
                <w:szCs w:val="18"/>
                <w:color w:val="auto"/>
              </w:rPr>
            </w:pPr>
          </w:p>
        </w:tc>
        <w:tc>
          <w:tcPr>
            <w:tcW w:w="280" w:type="dxa"/>
            <w:vAlign w:val="bottom"/>
            <w:shd w:val="clear" w:color="auto" w:fill="D8E8EF"/>
          </w:tcPr>
          <w:p>
            <w:pPr>
              <w:spacing w:after="0"/>
              <w:rPr>
                <w:sz w:val="18"/>
                <w:szCs w:val="18"/>
                <w:color w:val="auto"/>
              </w:rPr>
            </w:pPr>
          </w:p>
        </w:tc>
        <w:tc>
          <w:tcPr>
            <w:tcW w:w="1040" w:type="dxa"/>
            <w:vAlign w:val="bottom"/>
            <w:shd w:val="clear" w:color="auto" w:fill="D8E8EF"/>
          </w:tcPr>
          <w:p>
            <w:pPr>
              <w:spacing w:after="0"/>
              <w:rPr>
                <w:sz w:val="18"/>
                <w:szCs w:val="18"/>
                <w:color w:val="auto"/>
              </w:rPr>
            </w:pPr>
          </w:p>
        </w:tc>
        <w:tc>
          <w:tcPr>
            <w:tcW w:w="1180" w:type="dxa"/>
            <w:vAlign w:val="bottom"/>
            <w:shd w:val="clear" w:color="auto" w:fill="D8E8EF"/>
          </w:tcPr>
          <w:p>
            <w:pPr>
              <w:spacing w:after="0"/>
              <w:rPr>
                <w:sz w:val="18"/>
                <w:szCs w:val="18"/>
                <w:color w:val="auto"/>
              </w:rPr>
            </w:pPr>
          </w:p>
        </w:tc>
        <w:tc>
          <w:tcPr>
            <w:tcW w:w="1160" w:type="dxa"/>
            <w:vAlign w:val="bottom"/>
            <w:shd w:val="clear" w:color="auto" w:fill="D8E8EF"/>
          </w:tcPr>
          <w:p>
            <w:pPr>
              <w:spacing w:after="0"/>
              <w:rPr>
                <w:sz w:val="18"/>
                <w:szCs w:val="18"/>
                <w:color w:val="auto"/>
              </w:rPr>
            </w:pPr>
          </w:p>
        </w:tc>
        <w:tc>
          <w:tcPr>
            <w:tcW w:w="1120" w:type="dxa"/>
            <w:vAlign w:val="bottom"/>
            <w:shd w:val="clear" w:color="auto" w:fill="D8E8EF"/>
          </w:tcPr>
          <w:p>
            <w:pPr>
              <w:spacing w:after="0"/>
              <w:rPr>
                <w:sz w:val="18"/>
                <w:szCs w:val="18"/>
                <w:color w:val="auto"/>
              </w:rPr>
            </w:pPr>
          </w:p>
        </w:tc>
      </w:tr>
      <w:tr>
        <w:trPr>
          <w:trHeight w:val="70"/>
        </w:trPr>
        <w:tc>
          <w:tcPr>
            <w:tcW w:w="3640" w:type="dxa"/>
            <w:vAlign w:val="bottom"/>
            <w:shd w:val="clear" w:color="auto" w:fill="D8E8EF"/>
          </w:tcPr>
          <w:p>
            <w:pPr>
              <w:spacing w:after="0"/>
              <w:rPr>
                <w:sz w:val="6"/>
                <w:szCs w:val="6"/>
                <w:color w:val="auto"/>
              </w:rPr>
            </w:pPr>
          </w:p>
        </w:tc>
        <w:tc>
          <w:tcPr>
            <w:tcW w:w="1540" w:type="dxa"/>
            <w:vAlign w:val="bottom"/>
            <w:gridSpan w:val="2"/>
            <w:shd w:val="clear" w:color="auto" w:fill="D8E8EF"/>
          </w:tcPr>
          <w:p>
            <w:pPr>
              <w:spacing w:after="0"/>
              <w:rPr>
                <w:sz w:val="6"/>
                <w:szCs w:val="6"/>
                <w:color w:val="auto"/>
              </w:rPr>
            </w:pPr>
          </w:p>
        </w:tc>
        <w:tc>
          <w:tcPr>
            <w:tcW w:w="1240" w:type="dxa"/>
            <w:vAlign w:val="bottom"/>
            <w:gridSpan w:val="2"/>
            <w:shd w:val="clear" w:color="auto" w:fill="D8E8EF"/>
          </w:tcPr>
          <w:p>
            <w:pPr>
              <w:spacing w:after="0"/>
              <w:rPr>
                <w:sz w:val="6"/>
                <w:szCs w:val="6"/>
                <w:color w:val="auto"/>
              </w:rPr>
            </w:pPr>
          </w:p>
        </w:tc>
        <w:tc>
          <w:tcPr>
            <w:tcW w:w="1040" w:type="dxa"/>
            <w:vAlign w:val="bottom"/>
            <w:shd w:val="clear" w:color="auto" w:fill="D8E8EF"/>
          </w:tcPr>
          <w:p>
            <w:pPr>
              <w:spacing w:after="0"/>
              <w:rPr>
                <w:sz w:val="6"/>
                <w:szCs w:val="6"/>
                <w:color w:val="auto"/>
              </w:rPr>
            </w:pPr>
          </w:p>
        </w:tc>
        <w:tc>
          <w:tcPr>
            <w:tcW w:w="1180" w:type="dxa"/>
            <w:vAlign w:val="bottom"/>
            <w:shd w:val="clear" w:color="auto" w:fill="D8E8EF"/>
          </w:tcPr>
          <w:p>
            <w:pPr>
              <w:spacing w:after="0"/>
              <w:rPr>
                <w:sz w:val="6"/>
                <w:szCs w:val="6"/>
                <w:color w:val="auto"/>
              </w:rPr>
            </w:pPr>
          </w:p>
        </w:tc>
        <w:tc>
          <w:tcPr>
            <w:tcW w:w="1160" w:type="dxa"/>
            <w:vAlign w:val="bottom"/>
            <w:shd w:val="clear" w:color="auto" w:fill="D8E8EF"/>
          </w:tcPr>
          <w:p>
            <w:pPr>
              <w:spacing w:after="0"/>
              <w:rPr>
                <w:sz w:val="6"/>
                <w:szCs w:val="6"/>
                <w:color w:val="auto"/>
              </w:rPr>
            </w:pPr>
          </w:p>
        </w:tc>
        <w:tc>
          <w:tcPr>
            <w:tcW w:w="1120" w:type="dxa"/>
            <w:vAlign w:val="bottom"/>
            <w:shd w:val="clear" w:color="auto" w:fill="D8E8EF"/>
          </w:tcPr>
          <w:p>
            <w:pPr>
              <w:spacing w:after="0"/>
              <w:rPr>
                <w:sz w:val="6"/>
                <w:szCs w:val="6"/>
                <w:color w:val="auto"/>
              </w:rPr>
            </w:pPr>
          </w:p>
        </w:tc>
      </w:tr>
      <w:tr>
        <w:trPr>
          <w:trHeight w:val="274"/>
        </w:trPr>
        <w:tc>
          <w:tcPr>
            <w:tcW w:w="3640" w:type="dxa"/>
            <w:vAlign w:val="bottom"/>
          </w:tcPr>
          <w:p>
            <w:pPr>
              <w:ind w:left="60"/>
              <w:spacing w:after="0"/>
              <w:rPr>
                <w:sz w:val="20"/>
                <w:szCs w:val="20"/>
                <w:color w:val="auto"/>
              </w:rPr>
            </w:pPr>
            <w:r>
              <w:rPr>
                <w:rFonts w:ascii="Arial" w:cs="Arial" w:eastAsia="Arial" w:hAnsi="Arial"/>
                <w:sz w:val="16"/>
                <w:szCs w:val="16"/>
                <w:b w:val="1"/>
                <w:bCs w:val="1"/>
                <w:i w:val="1"/>
                <w:iCs w:val="1"/>
                <w:color w:val="auto"/>
              </w:rPr>
              <w:t>Total:</w:t>
            </w:r>
          </w:p>
        </w:tc>
        <w:tc>
          <w:tcPr>
            <w:tcW w:w="1540" w:type="dxa"/>
            <w:vAlign w:val="bottom"/>
            <w:gridSpan w:val="2"/>
          </w:tcPr>
          <w:p>
            <w:pPr>
              <w:jc w:val="right"/>
              <w:ind w:right="80"/>
              <w:spacing w:after="0"/>
              <w:rPr>
                <w:sz w:val="20"/>
                <w:szCs w:val="20"/>
                <w:color w:val="auto"/>
              </w:rPr>
            </w:pPr>
            <w:r>
              <w:rPr>
                <w:rFonts w:ascii="Arial" w:cs="Arial" w:eastAsia="Arial" w:hAnsi="Arial"/>
                <w:sz w:val="16"/>
                <w:szCs w:val="16"/>
                <w:color w:val="auto"/>
              </w:rPr>
              <w:t>6,867,487</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16,618,044</w:t>
            </w:r>
          </w:p>
        </w:tc>
        <w:tc>
          <w:tcPr>
            <w:tcW w:w="1040" w:type="dxa"/>
            <w:vAlign w:val="bottom"/>
          </w:tcPr>
          <w:p>
            <w:pPr>
              <w:jc w:val="right"/>
              <w:ind w:right="60"/>
              <w:spacing w:after="0"/>
              <w:rPr>
                <w:sz w:val="20"/>
                <w:szCs w:val="20"/>
                <w:color w:val="auto"/>
              </w:rPr>
            </w:pPr>
            <w:r>
              <w:rPr>
                <w:rFonts w:ascii="Arial" w:cs="Arial" w:eastAsia="Arial" w:hAnsi="Arial"/>
                <w:sz w:val="16"/>
                <w:szCs w:val="16"/>
                <w:color w:val="auto"/>
              </w:rPr>
              <w:t>(4)</w:t>
            </w: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1,020,000</w:t>
            </w:r>
          </w:p>
        </w:tc>
        <w:tc>
          <w:tcPr>
            <w:tcW w:w="1160" w:type="dxa"/>
            <w:vAlign w:val="bottom"/>
          </w:tcPr>
          <w:p>
            <w:pPr>
              <w:jc w:val="right"/>
              <w:spacing w:after="0"/>
              <w:rPr>
                <w:sz w:val="20"/>
                <w:szCs w:val="20"/>
                <w:color w:val="auto"/>
              </w:rPr>
            </w:pPr>
            <w:r>
              <w:rPr>
                <w:rFonts w:ascii="Arial" w:cs="Arial" w:eastAsia="Arial" w:hAnsi="Arial"/>
                <w:sz w:val="16"/>
                <w:szCs w:val="16"/>
                <w:color w:val="auto"/>
              </w:rPr>
              <w:t>0</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46990</wp:posOffset>
            </wp:positionV>
            <wp:extent cx="692975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98" w:lineRule="exact"/>
        <w:rPr>
          <w:sz w:val="20"/>
          <w:szCs w:val="20"/>
          <w:color w:val="auto"/>
        </w:rPr>
      </w:pPr>
    </w:p>
    <w:p>
      <w:pPr>
        <w:jc w:val="both"/>
        <w:ind w:left="600" w:hanging="433"/>
        <w:spacing w:after="0" w:line="259" w:lineRule="auto"/>
        <w:tabs>
          <w:tab w:leader="none" w:pos="600" w:val="left"/>
        </w:tabs>
        <w:numPr>
          <w:ilvl w:val="0"/>
          <w:numId w:val="88"/>
        </w:numPr>
        <w:rPr>
          <w:rFonts w:ascii="Arial" w:cs="Arial" w:eastAsia="Arial" w:hAnsi="Arial"/>
          <w:sz w:val="14"/>
          <w:szCs w:val="14"/>
          <w:color w:val="auto"/>
        </w:rPr>
      </w:pPr>
      <w:r>
        <w:rPr>
          <w:rFonts w:ascii="Arial" w:cs="Arial" w:eastAsia="Arial" w:hAnsi="Arial"/>
          <w:sz w:val="14"/>
          <w:szCs w:val="14"/>
          <w:color w:val="auto"/>
        </w:rPr>
        <w:t>Mr. Trent’s severance payment following a termination on December 31, 2021 without “Cause” or a resignation for “Good Reason” (as those terms are defined in his employment agreement), whether or not following a Change in Control, is equal to one year of annual base salary. Mr. Trent’s base salary at the end of the 2021 fiscal year was $600,000.</w:t>
      </w:r>
    </w:p>
    <w:p>
      <w:pPr>
        <w:jc w:val="both"/>
        <w:ind w:left="600" w:hanging="433"/>
        <w:spacing w:after="0" w:line="253" w:lineRule="auto"/>
        <w:tabs>
          <w:tab w:leader="none" w:pos="600" w:val="left"/>
        </w:tabs>
        <w:numPr>
          <w:ilvl w:val="0"/>
          <w:numId w:val="88"/>
        </w:numPr>
        <w:rPr>
          <w:rFonts w:ascii="Arial" w:cs="Arial" w:eastAsia="Arial" w:hAnsi="Arial"/>
          <w:sz w:val="14"/>
          <w:szCs w:val="14"/>
          <w:color w:val="auto"/>
        </w:rPr>
      </w:pPr>
      <w:r>
        <w:rPr>
          <w:rFonts w:ascii="Arial" w:cs="Arial" w:eastAsia="Arial" w:hAnsi="Arial"/>
          <w:sz w:val="14"/>
          <w:szCs w:val="14"/>
          <w:color w:val="auto"/>
        </w:rPr>
        <w:t>Mr. Trent’s cash incentive payment following a termination on December 31, 2021 without Cause or a resignation for Good Reason within 24 months following a Change in Control would have been an amount equal to 1.5 times his target bonus under the 2021 cash incentive program. Mr. Trent’s cash payment following a termination on December 31, 2021 without Cause or a resignation for Good Reason in all other circumstances would have been an amount equal to his target bonus under the 2021 cash incentive program. Such target bonus for 2021 was $1,020,000.</w:t>
      </w:r>
    </w:p>
    <w:p>
      <w:pPr>
        <w:spacing w:after="0" w:line="3" w:lineRule="exact"/>
        <w:rPr>
          <w:rFonts w:ascii="Arial" w:cs="Arial" w:eastAsia="Arial" w:hAnsi="Arial"/>
          <w:sz w:val="14"/>
          <w:szCs w:val="14"/>
          <w:color w:val="auto"/>
        </w:rPr>
      </w:pPr>
    </w:p>
    <w:p>
      <w:pPr>
        <w:jc w:val="both"/>
        <w:ind w:left="600" w:hanging="433"/>
        <w:spacing w:after="0" w:line="253" w:lineRule="auto"/>
        <w:tabs>
          <w:tab w:leader="none" w:pos="600" w:val="left"/>
        </w:tabs>
        <w:numPr>
          <w:ilvl w:val="0"/>
          <w:numId w:val="88"/>
        </w:numPr>
        <w:rPr>
          <w:rFonts w:ascii="Arial" w:cs="Arial" w:eastAsia="Arial" w:hAnsi="Arial"/>
          <w:sz w:val="14"/>
          <w:szCs w:val="14"/>
          <w:color w:val="auto"/>
        </w:rPr>
      </w:pPr>
      <w:r>
        <w:rPr>
          <w:rFonts w:ascii="Arial" w:cs="Arial" w:eastAsia="Arial" w:hAnsi="Arial"/>
          <w:sz w:val="14"/>
          <w:szCs w:val="14"/>
          <w:color w:val="auto"/>
        </w:rPr>
        <w:t>In the event Mr. Trent is terminated due to death or disability, Mr. Trent or his estate would be entitled to a pro rata portion of his bonus based on the performance bonus achievement for a performance cycle that ended prior to his death or disability. For purposes of this column, we have assumed that Mr. Trent’s death or disability was as of December 31, 2021, that the applicable performance cycle was the 2021 Bonus Program and that his bonus under the 2021 Bonus Program was earned but unpaid at that time. Mr. Trent’s earned bonus for 2021 was $1,020,000.</w:t>
      </w:r>
    </w:p>
    <w:p>
      <w:pPr>
        <w:spacing w:after="0" w:line="3" w:lineRule="exact"/>
        <w:rPr>
          <w:rFonts w:ascii="Arial" w:cs="Arial" w:eastAsia="Arial" w:hAnsi="Arial"/>
          <w:sz w:val="14"/>
          <w:szCs w:val="14"/>
          <w:color w:val="auto"/>
        </w:rPr>
      </w:pPr>
    </w:p>
    <w:p>
      <w:pPr>
        <w:jc w:val="both"/>
        <w:ind w:left="600" w:hanging="433"/>
        <w:spacing w:after="0" w:line="243" w:lineRule="auto"/>
        <w:tabs>
          <w:tab w:leader="none" w:pos="600" w:val="left"/>
        </w:tabs>
        <w:numPr>
          <w:ilvl w:val="0"/>
          <w:numId w:val="88"/>
        </w:numPr>
        <w:rPr>
          <w:rFonts w:ascii="Arial" w:cs="Arial" w:eastAsia="Arial" w:hAnsi="Arial"/>
          <w:sz w:val="14"/>
          <w:szCs w:val="14"/>
          <w:color w:val="auto"/>
        </w:rPr>
      </w:pPr>
      <w:r>
        <w:rPr>
          <w:rFonts w:ascii="Arial" w:cs="Arial" w:eastAsia="Arial" w:hAnsi="Arial"/>
          <w:sz w:val="14"/>
          <w:szCs w:val="14"/>
          <w:color w:val="auto"/>
        </w:rPr>
        <w:t>Because the HCC Committee has discretion to accelerate outstanding awards of equity under the SIP notwithstanding the provisions of an officer’s employment agreement or the award agreements under which the awards were granted in the event of a Change in Control, for purposes of this disclosure, we have assumed that the HCC Committee has exercised such discretion and all outstanding equity awards have been accelerated. For a description of the actual provisions of the employment agreements and such award agreements that may otherwise impact acceleration in connection with a Change in Control, see the discussion above under “Potential Payments Upon Termination of Employment or Change in Control — Equity Acceleration upon a Change in Control.” This amount denotes the incremental difference between the market value on December 31, 2021 and the exercise price, if any, of unvested options, RSUs or PBRSUs (including any 2021 PBRSUs) for which vesting might be accelerated. If we had terminated Mr. Trent’s employment without Cause or Mr. Trent had resigned for Good Reason on December 31, 2021 under circumstances not involving a Change in Control: (i) Mr. Trent’s New Hire CFO RSUs would have fully vested; and (ii) Mr. Trent’s New Hire CFO PBRSUs would have vested pro rata using a truncated performance period, which was calculated based on the period of time Mr. Trent was employed with the Company; and (iii) a pro rata portion of the PBRSUs owed to Mr. Trent pursuant to his annual grants would have vested pro rata (using actual full performance period results).</w:t>
      </w:r>
    </w:p>
    <w:p>
      <w:pPr>
        <w:spacing w:after="0" w:line="122" w:lineRule="exact"/>
        <w:rPr>
          <w:sz w:val="20"/>
          <w:szCs w:val="20"/>
          <w:color w:val="auto"/>
        </w:rPr>
      </w:pPr>
    </w:p>
    <w:p>
      <w:pPr>
        <w:ind w:left="8820"/>
        <w:spacing w:after="0"/>
        <w:tabs>
          <w:tab w:leader="none" w:pos="10900" w:val="left"/>
        </w:tabs>
        <w:rPr>
          <w:sz w:val="20"/>
          <w:szCs w:val="20"/>
          <w:color w:val="auto"/>
        </w:rPr>
      </w:pPr>
      <w:r>
        <w:rPr>
          <w:rFonts w:ascii="Arial" w:cs="Arial" w:eastAsia="Arial" w:hAnsi="Arial"/>
          <w:sz w:val="14"/>
          <w:szCs w:val="14"/>
          <w:color w:val="F75E14"/>
        </w:rPr>
        <w:t>onsemi 2022 Proxy Statement</w:t>
        <w:tab/>
        <w:t>63</w:t>
      </w:r>
    </w:p>
    <w:p>
      <w:pPr>
        <w:sectPr>
          <w:pgSz w:w="11900" w:h="16838" w:orient="portrait"/>
          <w:cols w:equalWidth="0" w:num="1">
            <w:col w:w="11080"/>
          </w:cols>
          <w:pgMar w:left="320" w:top="454" w:right="499" w:bottom="1440" w:gutter="0" w:footer="0" w:header="0"/>
        </w:sectPr>
      </w:pPr>
    </w:p>
    <w:bookmarkStart w:id="67" w:name="page68"/>
    <w:bookmarkEnd w:id="6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2" w:lineRule="exact"/>
        <w:rPr>
          <w:sz w:val="20"/>
          <w:szCs w:val="20"/>
          <w:color w:val="auto"/>
        </w:rPr>
      </w:pPr>
    </w:p>
    <w:p>
      <w:pPr>
        <w:ind w:left="160"/>
        <w:spacing w:after="0"/>
        <w:rPr>
          <w:sz w:val="20"/>
          <w:szCs w:val="20"/>
          <w:color w:val="auto"/>
        </w:rPr>
      </w:pPr>
      <w:r>
        <w:rPr>
          <w:rFonts w:ascii="Arial" w:cs="Arial" w:eastAsia="Arial" w:hAnsi="Arial"/>
          <w:sz w:val="18"/>
          <w:szCs w:val="18"/>
          <w:color w:val="F75E14"/>
        </w:rPr>
        <w:t>Compensation of Executive Officers</w:t>
      </w:r>
    </w:p>
    <w:p>
      <w:pPr>
        <w:spacing w:after="0" w:line="143" w:lineRule="exact"/>
        <w:rPr>
          <w:sz w:val="20"/>
          <w:szCs w:val="20"/>
          <w:color w:val="auto"/>
        </w:rPr>
      </w:pPr>
    </w:p>
    <w:p>
      <w:pPr>
        <w:ind w:left="160"/>
        <w:spacing w:after="0" w:line="263" w:lineRule="auto"/>
        <w:rPr>
          <w:sz w:val="20"/>
          <w:szCs w:val="20"/>
          <w:color w:val="auto"/>
        </w:rPr>
      </w:pPr>
      <w:r>
        <w:rPr>
          <w:rFonts w:ascii="Arial" w:cs="Arial" w:eastAsia="Arial" w:hAnsi="Arial"/>
          <w:sz w:val="18"/>
          <w:szCs w:val="18"/>
          <w:i w:val="1"/>
          <w:iCs w:val="1"/>
          <w:color w:val="auto"/>
        </w:rPr>
        <w:t xml:space="preserve">The following table sets forth the potential payments upon termination or a Change in Control for </w:t>
      </w:r>
      <w:r>
        <w:rPr>
          <w:rFonts w:ascii="Arial" w:cs="Arial" w:eastAsia="Arial" w:hAnsi="Arial"/>
          <w:sz w:val="18"/>
          <w:szCs w:val="18"/>
          <w:b w:val="1"/>
          <w:bCs w:val="1"/>
          <w:i w:val="1"/>
          <w:iCs w:val="1"/>
          <w:color w:val="auto"/>
        </w:rPr>
        <w:t>Vincent C. Hopkin</w:t>
      </w:r>
      <w:r>
        <w:rPr>
          <w:rFonts w:ascii="Arial" w:cs="Arial" w:eastAsia="Arial" w:hAnsi="Arial"/>
          <w:sz w:val="18"/>
          <w:szCs w:val="18"/>
          <w:i w:val="1"/>
          <w:iCs w:val="1"/>
          <w:color w:val="auto"/>
        </w:rPr>
        <w:t>, our Executive Vice President and General Manager, Advanced Solutions Group.</w:t>
      </w:r>
    </w:p>
    <w:p>
      <w:pPr>
        <w:spacing w:after="0" w:line="205" w:lineRule="exact"/>
        <w:rPr>
          <w:sz w:val="20"/>
          <w:szCs w:val="20"/>
          <w:color w:val="auto"/>
        </w:rPr>
      </w:pPr>
    </w:p>
    <w:tbl>
      <w:tblPr>
        <w:tblLayout w:type="fixed"/>
        <w:tblInd w:w="160" w:type="dxa"/>
        <w:tblCellMar>
          <w:top w:w="0" w:type="dxa"/>
          <w:left w:w="0" w:type="dxa"/>
          <w:bottom w:w="0" w:type="dxa"/>
          <w:right w:w="0" w:type="dxa"/>
        </w:tblCellMar>
      </w:tblPr>
      <w:tr>
        <w:trPr>
          <w:trHeight w:val="213"/>
        </w:trPr>
        <w:tc>
          <w:tcPr>
            <w:tcW w:w="3660" w:type="dxa"/>
            <w:vAlign w:val="bottom"/>
            <w:shd w:val="clear" w:color="auto" w:fill="F75E14"/>
          </w:tcPr>
          <w:p>
            <w:pPr>
              <w:spacing w:after="0"/>
              <w:rPr>
                <w:sz w:val="18"/>
                <w:szCs w:val="18"/>
                <w:color w:val="auto"/>
              </w:rPr>
            </w:pPr>
          </w:p>
        </w:tc>
        <w:tc>
          <w:tcPr>
            <w:tcW w:w="1560" w:type="dxa"/>
            <w:vAlign w:val="bottom"/>
            <w:shd w:val="clear" w:color="auto" w:fill="F75E14"/>
          </w:tcPr>
          <w:p>
            <w:pPr>
              <w:jc w:val="center"/>
              <w:ind w:left="20"/>
              <w:spacing w:after="0"/>
              <w:rPr>
                <w:sz w:val="20"/>
                <w:szCs w:val="20"/>
                <w:color w:val="auto"/>
              </w:rPr>
            </w:pPr>
            <w:r>
              <w:rPr>
                <w:rFonts w:ascii="Arial" w:cs="Arial" w:eastAsia="Arial" w:hAnsi="Arial"/>
                <w:sz w:val="16"/>
                <w:szCs w:val="16"/>
                <w:b w:val="1"/>
                <w:bCs w:val="1"/>
                <w:color w:val="FFFFFF"/>
                <w:w w:val="98"/>
              </w:rPr>
              <w:t>Termination</w:t>
            </w:r>
          </w:p>
        </w:tc>
        <w:tc>
          <w:tcPr>
            <w:tcW w:w="980" w:type="dxa"/>
            <w:vAlign w:val="bottom"/>
            <w:shd w:val="clear" w:color="auto" w:fill="F75E14"/>
          </w:tcPr>
          <w:p>
            <w:pPr>
              <w:spacing w:after="0"/>
              <w:rPr>
                <w:sz w:val="18"/>
                <w:szCs w:val="18"/>
                <w:color w:val="auto"/>
              </w:rPr>
            </w:pPr>
          </w:p>
        </w:tc>
        <w:tc>
          <w:tcPr>
            <w:tcW w:w="320" w:type="dxa"/>
            <w:vAlign w:val="bottom"/>
            <w:shd w:val="clear" w:color="auto" w:fill="F75E14"/>
          </w:tcPr>
          <w:p>
            <w:pPr>
              <w:spacing w:after="0"/>
              <w:rPr>
                <w:sz w:val="18"/>
                <w:szCs w:val="18"/>
                <w:color w:val="auto"/>
              </w:rPr>
            </w:pPr>
          </w:p>
        </w:tc>
        <w:tc>
          <w:tcPr>
            <w:tcW w:w="1040" w:type="dxa"/>
            <w:vAlign w:val="bottom"/>
            <w:shd w:val="clear" w:color="auto" w:fill="F75E14"/>
          </w:tcPr>
          <w:p>
            <w:pPr>
              <w:spacing w:after="0"/>
              <w:rPr>
                <w:sz w:val="18"/>
                <w:szCs w:val="18"/>
                <w:color w:val="auto"/>
              </w:rPr>
            </w:pPr>
          </w:p>
        </w:tc>
        <w:tc>
          <w:tcPr>
            <w:tcW w:w="960" w:type="dxa"/>
            <w:vAlign w:val="bottom"/>
            <w:shd w:val="clear" w:color="auto" w:fill="F75E14"/>
          </w:tcPr>
          <w:p>
            <w:pPr>
              <w:spacing w:after="0"/>
              <w:rPr>
                <w:sz w:val="18"/>
                <w:szCs w:val="18"/>
                <w:color w:val="auto"/>
              </w:rPr>
            </w:pPr>
          </w:p>
        </w:tc>
        <w:tc>
          <w:tcPr>
            <w:tcW w:w="1220" w:type="dxa"/>
            <w:vAlign w:val="bottom"/>
            <w:shd w:val="clear" w:color="auto" w:fill="F75E14"/>
          </w:tcPr>
          <w:p>
            <w:pPr>
              <w:spacing w:after="0"/>
              <w:rPr>
                <w:sz w:val="18"/>
                <w:szCs w:val="18"/>
                <w:color w:val="auto"/>
              </w:rPr>
            </w:pPr>
          </w:p>
        </w:tc>
        <w:tc>
          <w:tcPr>
            <w:tcW w:w="1180" w:type="dxa"/>
            <w:vAlign w:val="bottom"/>
            <w:shd w:val="clear" w:color="auto" w:fill="F75E14"/>
          </w:tcPr>
          <w:p>
            <w:pPr>
              <w:jc w:val="center"/>
              <w:spacing w:after="0"/>
              <w:rPr>
                <w:sz w:val="20"/>
                <w:szCs w:val="20"/>
                <w:color w:val="auto"/>
              </w:rPr>
            </w:pPr>
            <w:r>
              <w:rPr>
                <w:rFonts w:ascii="Arial" w:cs="Arial" w:eastAsia="Arial" w:hAnsi="Arial"/>
                <w:sz w:val="16"/>
                <w:szCs w:val="16"/>
                <w:b w:val="1"/>
                <w:bCs w:val="1"/>
                <w:color w:val="FFFFFF"/>
              </w:rPr>
              <w:t>Resignation</w:t>
            </w:r>
          </w:p>
        </w:tc>
      </w:tr>
      <w:tr>
        <w:trPr>
          <w:trHeight w:val="187"/>
        </w:trPr>
        <w:tc>
          <w:tcPr>
            <w:tcW w:w="3660" w:type="dxa"/>
            <w:vAlign w:val="bottom"/>
            <w:shd w:val="clear" w:color="auto" w:fill="F75E14"/>
          </w:tcPr>
          <w:p>
            <w:pPr>
              <w:spacing w:after="0"/>
              <w:rPr>
                <w:sz w:val="16"/>
                <w:szCs w:val="16"/>
                <w:color w:val="auto"/>
              </w:rPr>
            </w:pPr>
          </w:p>
        </w:tc>
        <w:tc>
          <w:tcPr>
            <w:tcW w:w="1560" w:type="dxa"/>
            <w:vAlign w:val="bottom"/>
            <w:shd w:val="clear" w:color="auto" w:fill="F75E14"/>
          </w:tcPr>
          <w:p>
            <w:pPr>
              <w:jc w:val="center"/>
              <w:ind w:left="20"/>
              <w:spacing w:after="0"/>
              <w:rPr>
                <w:sz w:val="20"/>
                <w:szCs w:val="20"/>
                <w:color w:val="auto"/>
              </w:rPr>
            </w:pPr>
            <w:r>
              <w:rPr>
                <w:rFonts w:ascii="Arial" w:cs="Arial" w:eastAsia="Arial" w:hAnsi="Arial"/>
                <w:sz w:val="16"/>
                <w:szCs w:val="16"/>
                <w:b w:val="1"/>
                <w:bCs w:val="1"/>
                <w:color w:val="FFFFFF"/>
              </w:rPr>
              <w:t>Without Cause</w:t>
            </w:r>
          </w:p>
        </w:tc>
        <w:tc>
          <w:tcPr>
            <w:tcW w:w="1300" w:type="dxa"/>
            <w:vAlign w:val="bottom"/>
            <w:gridSpan w:val="2"/>
            <w:shd w:val="clear" w:color="auto" w:fill="F75E14"/>
          </w:tcPr>
          <w:p>
            <w:pPr>
              <w:jc w:val="center"/>
              <w:spacing w:after="0"/>
              <w:rPr>
                <w:sz w:val="20"/>
                <w:szCs w:val="20"/>
                <w:color w:val="auto"/>
              </w:rPr>
            </w:pPr>
            <w:r>
              <w:rPr>
                <w:rFonts w:ascii="Arial" w:cs="Arial" w:eastAsia="Arial" w:hAnsi="Arial"/>
                <w:sz w:val="16"/>
                <w:szCs w:val="16"/>
                <w:b w:val="1"/>
                <w:bCs w:val="1"/>
                <w:color w:val="FFFFFF"/>
                <w:w w:val="98"/>
              </w:rPr>
              <w:t>Termination</w:t>
            </w:r>
          </w:p>
        </w:tc>
        <w:tc>
          <w:tcPr>
            <w:tcW w:w="1040" w:type="dxa"/>
            <w:vAlign w:val="bottom"/>
            <w:shd w:val="clear" w:color="auto" w:fill="F75E14"/>
          </w:tcPr>
          <w:p>
            <w:pPr>
              <w:spacing w:after="0"/>
              <w:rPr>
                <w:sz w:val="16"/>
                <w:szCs w:val="16"/>
                <w:color w:val="auto"/>
              </w:rPr>
            </w:pPr>
          </w:p>
        </w:tc>
        <w:tc>
          <w:tcPr>
            <w:tcW w:w="960" w:type="dxa"/>
            <w:vAlign w:val="bottom"/>
            <w:shd w:val="clear" w:color="auto" w:fill="F75E14"/>
          </w:tcPr>
          <w:p>
            <w:pPr>
              <w:spacing w:after="0"/>
              <w:rPr>
                <w:sz w:val="16"/>
                <w:szCs w:val="16"/>
                <w:color w:val="auto"/>
              </w:rPr>
            </w:pPr>
          </w:p>
        </w:tc>
        <w:tc>
          <w:tcPr>
            <w:tcW w:w="1220" w:type="dxa"/>
            <w:vAlign w:val="bottom"/>
            <w:shd w:val="clear" w:color="auto" w:fill="F75E14"/>
          </w:tcPr>
          <w:p>
            <w:pPr>
              <w:spacing w:after="0"/>
              <w:rPr>
                <w:sz w:val="16"/>
                <w:szCs w:val="16"/>
                <w:color w:val="auto"/>
              </w:rPr>
            </w:pPr>
          </w:p>
        </w:tc>
        <w:tc>
          <w:tcPr>
            <w:tcW w:w="1180" w:type="dxa"/>
            <w:vAlign w:val="bottom"/>
            <w:shd w:val="clear" w:color="auto" w:fill="F75E14"/>
          </w:tcPr>
          <w:p>
            <w:pPr>
              <w:jc w:val="center"/>
              <w:spacing w:after="0"/>
              <w:rPr>
                <w:sz w:val="20"/>
                <w:szCs w:val="20"/>
                <w:color w:val="auto"/>
              </w:rPr>
            </w:pPr>
            <w:r>
              <w:rPr>
                <w:rFonts w:ascii="Arial" w:cs="Arial" w:eastAsia="Arial" w:hAnsi="Arial"/>
                <w:sz w:val="16"/>
                <w:szCs w:val="16"/>
                <w:b w:val="1"/>
                <w:bCs w:val="1"/>
                <w:color w:val="FFFFFF"/>
                <w:w w:val="99"/>
              </w:rPr>
              <w:t>other than</w:t>
            </w:r>
          </w:p>
        </w:tc>
      </w:tr>
      <w:tr>
        <w:trPr>
          <w:trHeight w:val="187"/>
        </w:trPr>
        <w:tc>
          <w:tcPr>
            <w:tcW w:w="3660" w:type="dxa"/>
            <w:vAlign w:val="bottom"/>
            <w:shd w:val="clear" w:color="auto" w:fill="F75E14"/>
          </w:tcPr>
          <w:p>
            <w:pPr>
              <w:spacing w:after="0"/>
              <w:rPr>
                <w:sz w:val="16"/>
                <w:szCs w:val="16"/>
                <w:color w:val="auto"/>
              </w:rPr>
            </w:pPr>
          </w:p>
        </w:tc>
        <w:tc>
          <w:tcPr>
            <w:tcW w:w="1560" w:type="dxa"/>
            <w:vAlign w:val="bottom"/>
            <w:shd w:val="clear" w:color="auto" w:fill="F75E14"/>
          </w:tcPr>
          <w:p>
            <w:pPr>
              <w:jc w:val="center"/>
              <w:ind w:left="20"/>
              <w:spacing w:after="0"/>
              <w:rPr>
                <w:sz w:val="20"/>
                <w:szCs w:val="20"/>
                <w:color w:val="auto"/>
              </w:rPr>
            </w:pPr>
            <w:r>
              <w:rPr>
                <w:rFonts w:ascii="Arial" w:cs="Arial" w:eastAsia="Arial" w:hAnsi="Arial"/>
                <w:sz w:val="16"/>
                <w:szCs w:val="16"/>
                <w:b w:val="1"/>
                <w:bCs w:val="1"/>
                <w:color w:val="FFFFFF"/>
              </w:rPr>
              <w:t>or Resignation</w:t>
            </w:r>
          </w:p>
        </w:tc>
        <w:tc>
          <w:tcPr>
            <w:tcW w:w="1300" w:type="dxa"/>
            <w:vAlign w:val="bottom"/>
            <w:gridSpan w:val="2"/>
            <w:shd w:val="clear" w:color="auto" w:fill="F75E14"/>
          </w:tcPr>
          <w:p>
            <w:pPr>
              <w:jc w:val="center"/>
              <w:spacing w:after="0"/>
              <w:rPr>
                <w:sz w:val="20"/>
                <w:szCs w:val="20"/>
                <w:color w:val="auto"/>
              </w:rPr>
            </w:pPr>
            <w:r>
              <w:rPr>
                <w:rFonts w:ascii="Arial" w:cs="Arial" w:eastAsia="Arial" w:hAnsi="Arial"/>
                <w:sz w:val="16"/>
                <w:szCs w:val="16"/>
                <w:b w:val="1"/>
                <w:bCs w:val="1"/>
                <w:color w:val="FFFFFF"/>
                <w:w w:val="99"/>
              </w:rPr>
              <w:t>Following a</w:t>
            </w:r>
          </w:p>
        </w:tc>
        <w:tc>
          <w:tcPr>
            <w:tcW w:w="1040" w:type="dxa"/>
            <w:vAlign w:val="bottom"/>
            <w:shd w:val="clear" w:color="auto" w:fill="F75E14"/>
          </w:tcPr>
          <w:p>
            <w:pPr>
              <w:spacing w:after="0"/>
              <w:rPr>
                <w:sz w:val="16"/>
                <w:szCs w:val="16"/>
                <w:color w:val="auto"/>
              </w:rPr>
            </w:pPr>
          </w:p>
        </w:tc>
        <w:tc>
          <w:tcPr>
            <w:tcW w:w="960" w:type="dxa"/>
            <w:vAlign w:val="bottom"/>
            <w:shd w:val="clear" w:color="auto" w:fill="F75E14"/>
          </w:tcPr>
          <w:p>
            <w:pPr>
              <w:jc w:val="right"/>
              <w:ind w:right="80"/>
              <w:spacing w:after="0"/>
              <w:rPr>
                <w:sz w:val="20"/>
                <w:szCs w:val="20"/>
                <w:color w:val="auto"/>
              </w:rPr>
            </w:pPr>
            <w:r>
              <w:rPr>
                <w:rFonts w:ascii="Arial" w:cs="Arial" w:eastAsia="Arial" w:hAnsi="Arial"/>
                <w:sz w:val="16"/>
                <w:szCs w:val="16"/>
                <w:b w:val="1"/>
                <w:bCs w:val="1"/>
                <w:color w:val="FFFFFF"/>
              </w:rPr>
              <w:t>Death or</w:t>
            </w:r>
          </w:p>
        </w:tc>
        <w:tc>
          <w:tcPr>
            <w:tcW w:w="1220" w:type="dxa"/>
            <w:vAlign w:val="bottom"/>
            <w:shd w:val="clear" w:color="auto" w:fill="F75E14"/>
          </w:tcPr>
          <w:p>
            <w:pPr>
              <w:spacing w:after="0"/>
              <w:rPr>
                <w:sz w:val="16"/>
                <w:szCs w:val="16"/>
                <w:color w:val="auto"/>
              </w:rPr>
            </w:pPr>
          </w:p>
        </w:tc>
        <w:tc>
          <w:tcPr>
            <w:tcW w:w="1180" w:type="dxa"/>
            <w:vAlign w:val="bottom"/>
            <w:shd w:val="clear" w:color="auto" w:fill="F75E14"/>
          </w:tcPr>
          <w:p>
            <w:pPr>
              <w:jc w:val="center"/>
              <w:spacing w:after="0"/>
              <w:rPr>
                <w:sz w:val="20"/>
                <w:szCs w:val="20"/>
                <w:color w:val="auto"/>
              </w:rPr>
            </w:pPr>
            <w:r>
              <w:rPr>
                <w:rFonts w:ascii="Arial" w:cs="Arial" w:eastAsia="Arial" w:hAnsi="Arial"/>
                <w:sz w:val="16"/>
                <w:szCs w:val="16"/>
                <w:b w:val="1"/>
                <w:bCs w:val="1"/>
                <w:color w:val="FFFFFF"/>
              </w:rPr>
              <w:t>for Good</w:t>
            </w:r>
          </w:p>
        </w:tc>
      </w:tr>
      <w:tr>
        <w:trPr>
          <w:trHeight w:val="187"/>
        </w:trPr>
        <w:tc>
          <w:tcPr>
            <w:tcW w:w="3660" w:type="dxa"/>
            <w:vAlign w:val="bottom"/>
            <w:shd w:val="clear" w:color="auto" w:fill="F75E14"/>
          </w:tcPr>
          <w:p>
            <w:pPr>
              <w:ind w:left="60"/>
              <w:spacing w:after="0"/>
              <w:rPr>
                <w:sz w:val="20"/>
                <w:szCs w:val="20"/>
                <w:color w:val="auto"/>
              </w:rPr>
            </w:pPr>
            <w:r>
              <w:rPr>
                <w:rFonts w:ascii="Arial" w:cs="Arial" w:eastAsia="Arial" w:hAnsi="Arial"/>
                <w:sz w:val="16"/>
                <w:szCs w:val="16"/>
                <w:b w:val="1"/>
                <w:bCs w:val="1"/>
                <w:color w:val="FFFFFF"/>
              </w:rPr>
              <w:t>Executive Benefits and Payments</w:t>
            </w:r>
          </w:p>
        </w:tc>
        <w:tc>
          <w:tcPr>
            <w:tcW w:w="1560" w:type="dxa"/>
            <w:vAlign w:val="bottom"/>
            <w:shd w:val="clear" w:color="auto" w:fill="F75E14"/>
          </w:tcPr>
          <w:p>
            <w:pPr>
              <w:jc w:val="center"/>
              <w:ind w:left="20"/>
              <w:spacing w:after="0"/>
              <w:rPr>
                <w:sz w:val="20"/>
                <w:szCs w:val="20"/>
                <w:color w:val="auto"/>
              </w:rPr>
            </w:pPr>
            <w:r>
              <w:rPr>
                <w:rFonts w:ascii="Arial" w:cs="Arial" w:eastAsia="Arial" w:hAnsi="Arial"/>
                <w:sz w:val="16"/>
                <w:szCs w:val="16"/>
                <w:b w:val="1"/>
                <w:bCs w:val="1"/>
                <w:color w:val="FFFFFF"/>
                <w:w w:val="97"/>
              </w:rPr>
              <w:t>for Good</w:t>
            </w:r>
          </w:p>
        </w:tc>
        <w:tc>
          <w:tcPr>
            <w:tcW w:w="1300" w:type="dxa"/>
            <w:vAlign w:val="bottom"/>
            <w:gridSpan w:val="2"/>
            <w:shd w:val="clear" w:color="auto" w:fill="F75E14"/>
          </w:tcPr>
          <w:p>
            <w:pPr>
              <w:jc w:val="center"/>
              <w:spacing w:after="0"/>
              <w:rPr>
                <w:sz w:val="20"/>
                <w:szCs w:val="20"/>
                <w:color w:val="auto"/>
              </w:rPr>
            </w:pPr>
            <w:r>
              <w:rPr>
                <w:rFonts w:ascii="Arial" w:cs="Arial" w:eastAsia="Arial" w:hAnsi="Arial"/>
                <w:sz w:val="16"/>
                <w:szCs w:val="16"/>
                <w:b w:val="1"/>
                <w:bCs w:val="1"/>
                <w:color w:val="FFFFFF"/>
              </w:rPr>
              <w:t>Change in</w:t>
            </w:r>
          </w:p>
        </w:tc>
        <w:tc>
          <w:tcPr>
            <w:tcW w:w="1040" w:type="dxa"/>
            <w:vAlign w:val="bottom"/>
            <w:shd w:val="clear" w:color="auto" w:fill="F75E14"/>
          </w:tcPr>
          <w:p>
            <w:pPr>
              <w:jc w:val="right"/>
              <w:ind w:right="80"/>
              <w:spacing w:after="0"/>
              <w:rPr>
                <w:sz w:val="20"/>
                <w:szCs w:val="20"/>
                <w:color w:val="auto"/>
              </w:rPr>
            </w:pPr>
            <w:r>
              <w:rPr>
                <w:rFonts w:ascii="Arial" w:cs="Arial" w:eastAsia="Arial" w:hAnsi="Arial"/>
                <w:sz w:val="16"/>
                <w:szCs w:val="16"/>
                <w:b w:val="1"/>
                <w:bCs w:val="1"/>
                <w:color w:val="FFFFFF"/>
              </w:rPr>
              <w:t>Change in</w:t>
            </w:r>
          </w:p>
        </w:tc>
        <w:tc>
          <w:tcPr>
            <w:tcW w:w="960" w:type="dxa"/>
            <w:vAlign w:val="bottom"/>
            <w:shd w:val="clear" w:color="auto" w:fill="F75E14"/>
          </w:tcPr>
          <w:p>
            <w:pPr>
              <w:jc w:val="right"/>
              <w:ind w:right="40"/>
              <w:spacing w:after="0"/>
              <w:rPr>
                <w:sz w:val="20"/>
                <w:szCs w:val="20"/>
                <w:color w:val="auto"/>
              </w:rPr>
            </w:pPr>
            <w:r>
              <w:rPr>
                <w:rFonts w:ascii="Arial" w:cs="Arial" w:eastAsia="Arial" w:hAnsi="Arial"/>
                <w:sz w:val="16"/>
                <w:szCs w:val="16"/>
                <w:b w:val="1"/>
                <w:bCs w:val="1"/>
                <w:color w:val="FFFFFF"/>
              </w:rPr>
              <w:t>Disability</w:t>
            </w:r>
          </w:p>
        </w:tc>
        <w:tc>
          <w:tcPr>
            <w:tcW w:w="1220" w:type="dxa"/>
            <w:vAlign w:val="bottom"/>
            <w:shd w:val="clear" w:color="auto" w:fill="F75E14"/>
          </w:tcPr>
          <w:p>
            <w:pPr>
              <w:jc w:val="right"/>
              <w:ind w:right="100"/>
              <w:spacing w:after="0"/>
              <w:rPr>
                <w:sz w:val="20"/>
                <w:szCs w:val="20"/>
                <w:color w:val="auto"/>
              </w:rPr>
            </w:pPr>
            <w:r>
              <w:rPr>
                <w:rFonts w:ascii="Arial" w:cs="Arial" w:eastAsia="Arial" w:hAnsi="Arial"/>
                <w:sz w:val="16"/>
                <w:szCs w:val="16"/>
                <w:b w:val="1"/>
                <w:bCs w:val="1"/>
                <w:color w:val="FFFFFF"/>
              </w:rPr>
              <w:t>Termination</w:t>
            </w:r>
          </w:p>
        </w:tc>
        <w:tc>
          <w:tcPr>
            <w:tcW w:w="1180" w:type="dxa"/>
            <w:vAlign w:val="bottom"/>
            <w:shd w:val="clear" w:color="auto" w:fill="F75E14"/>
          </w:tcPr>
          <w:p>
            <w:pPr>
              <w:jc w:val="center"/>
              <w:spacing w:after="0"/>
              <w:rPr>
                <w:sz w:val="20"/>
                <w:szCs w:val="20"/>
                <w:color w:val="auto"/>
              </w:rPr>
            </w:pPr>
            <w:r>
              <w:rPr>
                <w:rFonts w:ascii="Arial" w:cs="Arial" w:eastAsia="Arial" w:hAnsi="Arial"/>
                <w:sz w:val="16"/>
                <w:szCs w:val="16"/>
                <w:b w:val="1"/>
                <w:bCs w:val="1"/>
                <w:color w:val="FFFFFF"/>
              </w:rPr>
              <w:t>Reason</w:t>
            </w:r>
          </w:p>
        </w:tc>
      </w:tr>
      <w:tr>
        <w:trPr>
          <w:trHeight w:val="235"/>
        </w:trPr>
        <w:tc>
          <w:tcPr>
            <w:tcW w:w="3660" w:type="dxa"/>
            <w:vAlign w:val="bottom"/>
            <w:tcBorders>
              <w:bottom w:val="single" w:sz="8" w:color="F75E14"/>
            </w:tcBorders>
            <w:shd w:val="clear" w:color="auto" w:fill="F75E14"/>
          </w:tcPr>
          <w:p>
            <w:pPr>
              <w:ind w:left="60"/>
              <w:spacing w:after="0"/>
              <w:rPr>
                <w:sz w:val="20"/>
                <w:szCs w:val="20"/>
                <w:color w:val="auto"/>
              </w:rPr>
            </w:pPr>
            <w:r>
              <w:rPr>
                <w:rFonts w:ascii="Arial" w:cs="Arial" w:eastAsia="Arial" w:hAnsi="Arial"/>
                <w:sz w:val="16"/>
                <w:szCs w:val="16"/>
                <w:b w:val="1"/>
                <w:bCs w:val="1"/>
                <w:color w:val="FFFFFF"/>
              </w:rPr>
              <w:t>Upon Termination</w:t>
            </w:r>
          </w:p>
        </w:tc>
        <w:tc>
          <w:tcPr>
            <w:tcW w:w="1560" w:type="dxa"/>
            <w:vAlign w:val="bottom"/>
            <w:tcBorders>
              <w:bottom w:val="single" w:sz="8" w:color="F75E14"/>
            </w:tcBorders>
            <w:shd w:val="clear" w:color="auto" w:fill="F75E14"/>
          </w:tcPr>
          <w:p>
            <w:pPr>
              <w:jc w:val="center"/>
              <w:ind w:left="20"/>
              <w:spacing w:after="0"/>
              <w:rPr>
                <w:sz w:val="20"/>
                <w:szCs w:val="20"/>
                <w:color w:val="auto"/>
              </w:rPr>
            </w:pPr>
            <w:r>
              <w:rPr>
                <w:rFonts w:ascii="Arial" w:cs="Arial" w:eastAsia="Arial" w:hAnsi="Arial"/>
                <w:sz w:val="16"/>
                <w:szCs w:val="16"/>
                <w:b w:val="1"/>
                <w:bCs w:val="1"/>
                <w:color w:val="FFFFFF"/>
              </w:rPr>
              <w:t>Reason ($)</w:t>
            </w:r>
          </w:p>
        </w:tc>
        <w:tc>
          <w:tcPr>
            <w:tcW w:w="1300" w:type="dxa"/>
            <w:vAlign w:val="bottom"/>
            <w:tcBorders>
              <w:bottom w:val="single" w:sz="8" w:color="F75E14"/>
            </w:tcBorders>
            <w:gridSpan w:val="2"/>
            <w:shd w:val="clear" w:color="auto" w:fill="F75E14"/>
          </w:tcPr>
          <w:p>
            <w:pPr>
              <w:jc w:val="center"/>
              <w:spacing w:after="0"/>
              <w:rPr>
                <w:sz w:val="20"/>
                <w:szCs w:val="20"/>
                <w:color w:val="auto"/>
              </w:rPr>
            </w:pPr>
            <w:r>
              <w:rPr>
                <w:rFonts w:ascii="Arial" w:cs="Arial" w:eastAsia="Arial" w:hAnsi="Arial"/>
                <w:sz w:val="16"/>
                <w:szCs w:val="16"/>
                <w:b w:val="1"/>
                <w:bCs w:val="1"/>
                <w:color w:val="FFFFFF"/>
              </w:rPr>
              <w:t>Control ($)</w:t>
            </w:r>
          </w:p>
        </w:tc>
        <w:tc>
          <w:tcPr>
            <w:tcW w:w="1040" w:type="dxa"/>
            <w:vAlign w:val="bottom"/>
            <w:tcBorders>
              <w:bottom w:val="single" w:sz="8" w:color="F75E14"/>
            </w:tcBorders>
            <w:shd w:val="clear" w:color="auto" w:fill="F75E14"/>
          </w:tcPr>
          <w:p>
            <w:pPr>
              <w:jc w:val="right"/>
              <w:ind w:right="60"/>
              <w:spacing w:after="0"/>
              <w:rPr>
                <w:sz w:val="20"/>
                <w:szCs w:val="20"/>
                <w:color w:val="auto"/>
              </w:rPr>
            </w:pPr>
            <w:r>
              <w:rPr>
                <w:rFonts w:ascii="Arial" w:cs="Arial" w:eastAsia="Arial" w:hAnsi="Arial"/>
                <w:sz w:val="16"/>
                <w:szCs w:val="16"/>
                <w:b w:val="1"/>
                <w:bCs w:val="1"/>
                <w:color w:val="FFFFFF"/>
              </w:rPr>
              <w:t>Control ($)</w:t>
            </w:r>
          </w:p>
        </w:tc>
        <w:tc>
          <w:tcPr>
            <w:tcW w:w="960" w:type="dxa"/>
            <w:vAlign w:val="bottom"/>
            <w:tcBorders>
              <w:bottom w:val="single" w:sz="8" w:color="F75E14"/>
            </w:tcBorders>
            <w:shd w:val="clear" w:color="auto" w:fill="F75E14"/>
          </w:tcPr>
          <w:p>
            <w:pPr>
              <w:jc w:val="right"/>
              <w:ind w:right="300"/>
              <w:spacing w:after="0"/>
              <w:rPr>
                <w:sz w:val="20"/>
                <w:szCs w:val="20"/>
                <w:color w:val="auto"/>
              </w:rPr>
            </w:pPr>
            <w:r>
              <w:rPr>
                <w:rFonts w:ascii="Arial" w:cs="Arial" w:eastAsia="Arial" w:hAnsi="Arial"/>
                <w:sz w:val="16"/>
                <w:szCs w:val="16"/>
                <w:b w:val="1"/>
                <w:bCs w:val="1"/>
                <w:color w:val="FFFFFF"/>
              </w:rPr>
              <w:t>($)</w:t>
            </w:r>
          </w:p>
        </w:tc>
        <w:tc>
          <w:tcPr>
            <w:tcW w:w="1220" w:type="dxa"/>
            <w:vAlign w:val="bottom"/>
            <w:tcBorders>
              <w:bottom w:val="single" w:sz="8" w:color="F75E14"/>
            </w:tcBorders>
            <w:shd w:val="clear" w:color="auto" w:fill="F75E14"/>
          </w:tcPr>
          <w:p>
            <w:pPr>
              <w:jc w:val="right"/>
              <w:ind w:right="60"/>
              <w:spacing w:after="0"/>
              <w:rPr>
                <w:sz w:val="20"/>
                <w:szCs w:val="20"/>
                <w:color w:val="auto"/>
              </w:rPr>
            </w:pPr>
            <w:r>
              <w:rPr>
                <w:rFonts w:ascii="Arial" w:cs="Arial" w:eastAsia="Arial" w:hAnsi="Arial"/>
                <w:sz w:val="16"/>
                <w:szCs w:val="16"/>
                <w:b w:val="1"/>
                <w:bCs w:val="1"/>
                <w:color w:val="FFFFFF"/>
              </w:rPr>
              <w:t>for Cause ($)</w:t>
            </w:r>
          </w:p>
        </w:tc>
        <w:tc>
          <w:tcPr>
            <w:tcW w:w="1180" w:type="dxa"/>
            <w:vAlign w:val="bottom"/>
            <w:tcBorders>
              <w:bottom w:val="single" w:sz="8" w:color="F75E14"/>
            </w:tcBorders>
            <w:shd w:val="clear" w:color="auto" w:fill="F75E14"/>
          </w:tcPr>
          <w:p>
            <w:pPr>
              <w:jc w:val="center"/>
              <w:spacing w:after="0"/>
              <w:rPr>
                <w:sz w:val="20"/>
                <w:szCs w:val="20"/>
                <w:color w:val="auto"/>
              </w:rPr>
            </w:pPr>
            <w:r>
              <w:rPr>
                <w:rFonts w:ascii="Arial" w:cs="Arial" w:eastAsia="Arial" w:hAnsi="Arial"/>
                <w:sz w:val="16"/>
                <w:szCs w:val="16"/>
                <w:b w:val="1"/>
                <w:bCs w:val="1"/>
                <w:color w:val="FFFFFF"/>
              </w:rPr>
              <w:t>($)</w:t>
            </w:r>
          </w:p>
        </w:tc>
      </w:tr>
      <w:tr>
        <w:trPr>
          <w:trHeight w:val="274"/>
        </w:trPr>
        <w:tc>
          <w:tcPr>
            <w:tcW w:w="3660" w:type="dxa"/>
            <w:vAlign w:val="bottom"/>
            <w:shd w:val="clear" w:color="auto" w:fill="D8E8EF"/>
          </w:tcPr>
          <w:p>
            <w:pPr>
              <w:ind w:left="60"/>
              <w:spacing w:after="0"/>
              <w:rPr>
                <w:sz w:val="20"/>
                <w:szCs w:val="20"/>
                <w:color w:val="auto"/>
              </w:rPr>
            </w:pPr>
            <w:r>
              <w:rPr>
                <w:rFonts w:ascii="Arial" w:cs="Arial" w:eastAsia="Arial" w:hAnsi="Arial"/>
                <w:sz w:val="16"/>
                <w:szCs w:val="16"/>
                <w:b w:val="1"/>
                <w:bCs w:val="1"/>
                <w:color w:val="auto"/>
              </w:rPr>
              <w:t>Cash Compensation:</w:t>
            </w:r>
          </w:p>
        </w:tc>
        <w:tc>
          <w:tcPr>
            <w:tcW w:w="1560" w:type="dxa"/>
            <w:vAlign w:val="bottom"/>
            <w:shd w:val="clear" w:color="auto" w:fill="D8E8EF"/>
          </w:tcPr>
          <w:p>
            <w:pPr>
              <w:spacing w:after="0"/>
              <w:rPr>
                <w:sz w:val="23"/>
                <w:szCs w:val="23"/>
                <w:color w:val="auto"/>
              </w:rPr>
            </w:pPr>
          </w:p>
        </w:tc>
        <w:tc>
          <w:tcPr>
            <w:tcW w:w="980" w:type="dxa"/>
            <w:vAlign w:val="bottom"/>
            <w:shd w:val="clear" w:color="auto" w:fill="D8E8EF"/>
          </w:tcPr>
          <w:p>
            <w:pPr>
              <w:spacing w:after="0"/>
              <w:rPr>
                <w:sz w:val="23"/>
                <w:szCs w:val="23"/>
                <w:color w:val="auto"/>
              </w:rPr>
            </w:pPr>
          </w:p>
        </w:tc>
        <w:tc>
          <w:tcPr>
            <w:tcW w:w="320" w:type="dxa"/>
            <w:vAlign w:val="bottom"/>
            <w:shd w:val="clear" w:color="auto" w:fill="D8E8EF"/>
          </w:tcPr>
          <w:p>
            <w:pPr>
              <w:spacing w:after="0"/>
              <w:rPr>
                <w:sz w:val="23"/>
                <w:szCs w:val="23"/>
                <w:color w:val="auto"/>
              </w:rPr>
            </w:pPr>
          </w:p>
        </w:tc>
        <w:tc>
          <w:tcPr>
            <w:tcW w:w="1040" w:type="dxa"/>
            <w:vAlign w:val="bottom"/>
            <w:shd w:val="clear" w:color="auto" w:fill="D8E8EF"/>
          </w:tcPr>
          <w:p>
            <w:pPr>
              <w:spacing w:after="0"/>
              <w:rPr>
                <w:sz w:val="23"/>
                <w:szCs w:val="23"/>
                <w:color w:val="auto"/>
              </w:rPr>
            </w:pPr>
          </w:p>
        </w:tc>
        <w:tc>
          <w:tcPr>
            <w:tcW w:w="960" w:type="dxa"/>
            <w:vAlign w:val="bottom"/>
            <w:shd w:val="clear" w:color="auto" w:fill="D8E8EF"/>
          </w:tcPr>
          <w:p>
            <w:pPr>
              <w:spacing w:after="0"/>
              <w:rPr>
                <w:sz w:val="23"/>
                <w:szCs w:val="23"/>
                <w:color w:val="auto"/>
              </w:rPr>
            </w:pPr>
          </w:p>
        </w:tc>
        <w:tc>
          <w:tcPr>
            <w:tcW w:w="1220" w:type="dxa"/>
            <w:vAlign w:val="bottom"/>
            <w:shd w:val="clear" w:color="auto" w:fill="D8E8EF"/>
          </w:tcPr>
          <w:p>
            <w:pPr>
              <w:spacing w:after="0"/>
              <w:rPr>
                <w:sz w:val="23"/>
                <w:szCs w:val="23"/>
                <w:color w:val="auto"/>
              </w:rPr>
            </w:pPr>
          </w:p>
        </w:tc>
        <w:tc>
          <w:tcPr>
            <w:tcW w:w="1180" w:type="dxa"/>
            <w:vAlign w:val="bottom"/>
            <w:shd w:val="clear" w:color="auto" w:fill="D8E8EF"/>
          </w:tcPr>
          <w:p>
            <w:pPr>
              <w:spacing w:after="0"/>
              <w:rPr>
                <w:sz w:val="23"/>
                <w:szCs w:val="23"/>
                <w:color w:val="auto"/>
              </w:rPr>
            </w:pPr>
          </w:p>
        </w:tc>
      </w:tr>
      <w:tr>
        <w:trPr>
          <w:trHeight w:val="60"/>
        </w:trPr>
        <w:tc>
          <w:tcPr>
            <w:tcW w:w="3660" w:type="dxa"/>
            <w:vAlign w:val="bottom"/>
            <w:shd w:val="clear" w:color="auto" w:fill="D8E8EF"/>
          </w:tcPr>
          <w:p>
            <w:pPr>
              <w:spacing w:after="0"/>
              <w:rPr>
                <w:sz w:val="5"/>
                <w:szCs w:val="5"/>
                <w:color w:val="auto"/>
              </w:rPr>
            </w:pPr>
          </w:p>
        </w:tc>
        <w:tc>
          <w:tcPr>
            <w:tcW w:w="1560" w:type="dxa"/>
            <w:vAlign w:val="bottom"/>
            <w:shd w:val="clear" w:color="auto" w:fill="D8E8EF"/>
          </w:tcPr>
          <w:p>
            <w:pPr>
              <w:spacing w:after="0"/>
              <w:rPr>
                <w:sz w:val="5"/>
                <w:szCs w:val="5"/>
                <w:color w:val="auto"/>
              </w:rPr>
            </w:pPr>
          </w:p>
        </w:tc>
        <w:tc>
          <w:tcPr>
            <w:tcW w:w="980" w:type="dxa"/>
            <w:vAlign w:val="bottom"/>
            <w:shd w:val="clear" w:color="auto" w:fill="D8E8EF"/>
          </w:tcPr>
          <w:p>
            <w:pPr>
              <w:spacing w:after="0"/>
              <w:rPr>
                <w:sz w:val="5"/>
                <w:szCs w:val="5"/>
                <w:color w:val="auto"/>
              </w:rPr>
            </w:pPr>
          </w:p>
        </w:tc>
        <w:tc>
          <w:tcPr>
            <w:tcW w:w="320" w:type="dxa"/>
            <w:vAlign w:val="bottom"/>
            <w:shd w:val="clear" w:color="auto" w:fill="D8E8EF"/>
          </w:tcPr>
          <w:p>
            <w:pPr>
              <w:spacing w:after="0"/>
              <w:rPr>
                <w:sz w:val="5"/>
                <w:szCs w:val="5"/>
                <w:color w:val="auto"/>
              </w:rPr>
            </w:pPr>
          </w:p>
        </w:tc>
        <w:tc>
          <w:tcPr>
            <w:tcW w:w="1040" w:type="dxa"/>
            <w:vAlign w:val="bottom"/>
            <w:shd w:val="clear" w:color="auto" w:fill="D8E8EF"/>
          </w:tcPr>
          <w:p>
            <w:pPr>
              <w:spacing w:after="0"/>
              <w:rPr>
                <w:sz w:val="5"/>
                <w:szCs w:val="5"/>
                <w:color w:val="auto"/>
              </w:rPr>
            </w:pPr>
          </w:p>
        </w:tc>
        <w:tc>
          <w:tcPr>
            <w:tcW w:w="960" w:type="dxa"/>
            <w:vAlign w:val="bottom"/>
            <w:shd w:val="clear" w:color="auto" w:fill="D8E8EF"/>
          </w:tcPr>
          <w:p>
            <w:pPr>
              <w:spacing w:after="0"/>
              <w:rPr>
                <w:sz w:val="5"/>
                <w:szCs w:val="5"/>
                <w:color w:val="auto"/>
              </w:rPr>
            </w:pPr>
          </w:p>
        </w:tc>
        <w:tc>
          <w:tcPr>
            <w:tcW w:w="1220" w:type="dxa"/>
            <w:vAlign w:val="bottom"/>
            <w:shd w:val="clear" w:color="auto" w:fill="D8E8EF"/>
          </w:tcPr>
          <w:p>
            <w:pPr>
              <w:spacing w:after="0"/>
              <w:rPr>
                <w:sz w:val="5"/>
                <w:szCs w:val="5"/>
                <w:color w:val="auto"/>
              </w:rPr>
            </w:pPr>
          </w:p>
        </w:tc>
        <w:tc>
          <w:tcPr>
            <w:tcW w:w="1180" w:type="dxa"/>
            <w:vAlign w:val="bottom"/>
            <w:shd w:val="clear" w:color="auto" w:fill="D8E8EF"/>
          </w:tcPr>
          <w:p>
            <w:pPr>
              <w:spacing w:after="0"/>
              <w:rPr>
                <w:sz w:val="5"/>
                <w:szCs w:val="5"/>
                <w:color w:val="auto"/>
              </w:rPr>
            </w:pPr>
          </w:p>
        </w:tc>
      </w:tr>
      <w:tr>
        <w:trPr>
          <w:trHeight w:val="264"/>
        </w:trPr>
        <w:tc>
          <w:tcPr>
            <w:tcW w:w="3660" w:type="dxa"/>
            <w:vAlign w:val="bottom"/>
          </w:tcPr>
          <w:p>
            <w:pPr>
              <w:ind w:left="60"/>
              <w:spacing w:after="0"/>
              <w:rPr>
                <w:sz w:val="20"/>
                <w:szCs w:val="20"/>
                <w:color w:val="auto"/>
              </w:rPr>
            </w:pPr>
            <w:r>
              <w:rPr>
                <w:rFonts w:ascii="Arial" w:cs="Arial" w:eastAsia="Arial" w:hAnsi="Arial"/>
                <w:sz w:val="16"/>
                <w:szCs w:val="16"/>
                <w:color w:val="auto"/>
              </w:rPr>
              <w:t>Base Salary</w:t>
            </w:r>
          </w:p>
        </w:tc>
        <w:tc>
          <w:tcPr>
            <w:tcW w:w="1560" w:type="dxa"/>
            <w:vAlign w:val="bottom"/>
          </w:tcPr>
          <w:p>
            <w:pPr>
              <w:jc w:val="right"/>
              <w:ind w:right="80"/>
              <w:spacing w:after="0"/>
              <w:rPr>
                <w:sz w:val="20"/>
                <w:szCs w:val="20"/>
                <w:color w:val="auto"/>
              </w:rPr>
            </w:pPr>
            <w:r>
              <w:rPr>
                <w:rFonts w:ascii="Arial" w:cs="Arial" w:eastAsia="Arial" w:hAnsi="Arial"/>
                <w:sz w:val="16"/>
                <w:szCs w:val="16"/>
                <w:color w:val="auto"/>
              </w:rPr>
              <w:t>500,000 (1)</w:t>
            </w:r>
          </w:p>
        </w:tc>
        <w:tc>
          <w:tcPr>
            <w:tcW w:w="980" w:type="dxa"/>
            <w:vAlign w:val="bottom"/>
          </w:tcPr>
          <w:p>
            <w:pPr>
              <w:jc w:val="right"/>
              <w:spacing w:after="0"/>
              <w:rPr>
                <w:sz w:val="20"/>
                <w:szCs w:val="20"/>
                <w:color w:val="auto"/>
              </w:rPr>
            </w:pPr>
            <w:r>
              <w:rPr>
                <w:rFonts w:ascii="Arial" w:cs="Arial" w:eastAsia="Arial" w:hAnsi="Arial"/>
                <w:sz w:val="16"/>
                <w:szCs w:val="16"/>
                <w:color w:val="auto"/>
              </w:rPr>
              <w:t>500,000</w:t>
            </w:r>
          </w:p>
        </w:tc>
        <w:tc>
          <w:tcPr>
            <w:tcW w:w="320" w:type="dxa"/>
            <w:vAlign w:val="bottom"/>
          </w:tcPr>
          <w:p>
            <w:pPr>
              <w:jc w:val="right"/>
              <w:ind w:right="20"/>
              <w:spacing w:after="0"/>
              <w:rPr>
                <w:sz w:val="20"/>
                <w:szCs w:val="20"/>
                <w:color w:val="auto"/>
              </w:rPr>
            </w:pPr>
            <w:r>
              <w:rPr>
                <w:rFonts w:ascii="Arial" w:cs="Arial" w:eastAsia="Arial" w:hAnsi="Arial"/>
                <w:sz w:val="16"/>
                <w:szCs w:val="16"/>
                <w:color w:val="auto"/>
              </w:rPr>
              <w:t>(1)</w:t>
            </w:r>
          </w:p>
        </w:tc>
        <w:tc>
          <w:tcPr>
            <w:tcW w:w="1040" w:type="dxa"/>
            <w:vAlign w:val="bottom"/>
          </w:tcPr>
          <w:p>
            <w:pPr>
              <w:jc w:val="right"/>
              <w:ind w:right="60"/>
              <w:spacing w:after="0"/>
              <w:rPr>
                <w:sz w:val="20"/>
                <w:szCs w:val="20"/>
                <w:color w:val="auto"/>
              </w:rPr>
            </w:pPr>
            <w:r>
              <w:rPr>
                <w:rFonts w:ascii="Arial" w:cs="Arial" w:eastAsia="Arial" w:hAnsi="Arial"/>
                <w:sz w:val="16"/>
                <w:szCs w:val="16"/>
                <w:color w:val="auto"/>
              </w:rPr>
              <w:t>0</w:t>
            </w: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0</w:t>
            </w:r>
          </w:p>
        </w:tc>
        <w:tc>
          <w:tcPr>
            <w:tcW w:w="1220" w:type="dxa"/>
            <w:vAlign w:val="bottom"/>
          </w:tcPr>
          <w:p>
            <w:pPr>
              <w:jc w:val="right"/>
              <w:ind w:right="60"/>
              <w:spacing w:after="0"/>
              <w:rPr>
                <w:sz w:val="20"/>
                <w:szCs w:val="20"/>
                <w:color w:val="auto"/>
              </w:rPr>
            </w:pPr>
            <w:r>
              <w:rPr>
                <w:rFonts w:ascii="Arial" w:cs="Arial" w:eastAsia="Arial" w:hAnsi="Arial"/>
                <w:sz w:val="16"/>
                <w:szCs w:val="16"/>
                <w:color w:val="auto"/>
              </w:rPr>
              <w:t>0</w:t>
            </w: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0</w:t>
            </w:r>
          </w:p>
        </w:tc>
      </w:tr>
      <w:tr>
        <w:trPr>
          <w:trHeight w:val="70"/>
        </w:trPr>
        <w:tc>
          <w:tcPr>
            <w:tcW w:w="3660" w:type="dxa"/>
            <w:vAlign w:val="bottom"/>
          </w:tcPr>
          <w:p>
            <w:pPr>
              <w:spacing w:after="0"/>
              <w:rPr>
                <w:sz w:val="6"/>
                <w:szCs w:val="6"/>
                <w:color w:val="auto"/>
              </w:rPr>
            </w:pPr>
          </w:p>
        </w:tc>
        <w:tc>
          <w:tcPr>
            <w:tcW w:w="1560" w:type="dxa"/>
            <w:vAlign w:val="bottom"/>
          </w:tcPr>
          <w:p>
            <w:pPr>
              <w:spacing w:after="0"/>
              <w:rPr>
                <w:sz w:val="6"/>
                <w:szCs w:val="6"/>
                <w:color w:val="auto"/>
              </w:rPr>
            </w:pPr>
          </w:p>
        </w:tc>
        <w:tc>
          <w:tcPr>
            <w:tcW w:w="9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96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180" w:type="dxa"/>
            <w:vAlign w:val="bottom"/>
          </w:tcPr>
          <w:p>
            <w:pPr>
              <w:spacing w:after="0"/>
              <w:rPr>
                <w:sz w:val="6"/>
                <w:szCs w:val="6"/>
                <w:color w:val="auto"/>
              </w:rPr>
            </w:pPr>
          </w:p>
        </w:tc>
      </w:tr>
      <w:tr>
        <w:trPr>
          <w:trHeight w:val="264"/>
        </w:trPr>
        <w:tc>
          <w:tcPr>
            <w:tcW w:w="3660" w:type="dxa"/>
            <w:vAlign w:val="bottom"/>
            <w:shd w:val="clear" w:color="auto" w:fill="D8E8EF"/>
          </w:tcPr>
          <w:p>
            <w:pPr>
              <w:ind w:left="60"/>
              <w:spacing w:after="0"/>
              <w:rPr>
                <w:sz w:val="20"/>
                <w:szCs w:val="20"/>
                <w:color w:val="auto"/>
              </w:rPr>
            </w:pPr>
            <w:r>
              <w:rPr>
                <w:rFonts w:ascii="Arial" w:cs="Arial" w:eastAsia="Arial" w:hAnsi="Arial"/>
                <w:sz w:val="16"/>
                <w:szCs w:val="16"/>
                <w:color w:val="auto"/>
              </w:rPr>
              <w:t>Short-Term Incentive</w:t>
            </w:r>
          </w:p>
        </w:tc>
        <w:tc>
          <w:tcPr>
            <w:tcW w:w="1560" w:type="dxa"/>
            <w:vAlign w:val="bottom"/>
            <w:shd w:val="clear" w:color="auto" w:fill="D8E8EF"/>
          </w:tcPr>
          <w:p>
            <w:pPr>
              <w:jc w:val="right"/>
              <w:ind w:right="80"/>
              <w:spacing w:after="0"/>
              <w:rPr>
                <w:sz w:val="20"/>
                <w:szCs w:val="20"/>
                <w:color w:val="auto"/>
              </w:rPr>
            </w:pPr>
            <w:r>
              <w:rPr>
                <w:rFonts w:ascii="Arial" w:cs="Arial" w:eastAsia="Arial" w:hAnsi="Arial"/>
                <w:sz w:val="16"/>
                <w:szCs w:val="16"/>
                <w:color w:val="auto"/>
              </w:rPr>
              <w:t>664,030 (2)</w:t>
            </w:r>
          </w:p>
        </w:tc>
        <w:tc>
          <w:tcPr>
            <w:tcW w:w="980" w:type="dxa"/>
            <w:vAlign w:val="bottom"/>
            <w:shd w:val="clear" w:color="auto" w:fill="D8E8EF"/>
          </w:tcPr>
          <w:p>
            <w:pPr>
              <w:jc w:val="right"/>
              <w:spacing w:after="0"/>
              <w:rPr>
                <w:sz w:val="20"/>
                <w:szCs w:val="20"/>
                <w:color w:val="auto"/>
              </w:rPr>
            </w:pPr>
            <w:r>
              <w:rPr>
                <w:rFonts w:ascii="Arial" w:cs="Arial" w:eastAsia="Arial" w:hAnsi="Arial"/>
                <w:sz w:val="16"/>
                <w:szCs w:val="16"/>
                <w:color w:val="auto"/>
              </w:rPr>
              <w:t>425,000</w:t>
            </w:r>
          </w:p>
        </w:tc>
        <w:tc>
          <w:tcPr>
            <w:tcW w:w="320" w:type="dxa"/>
            <w:vAlign w:val="bottom"/>
            <w:shd w:val="clear" w:color="auto" w:fill="D8E8EF"/>
          </w:tcPr>
          <w:p>
            <w:pPr>
              <w:jc w:val="right"/>
              <w:ind w:right="20"/>
              <w:spacing w:after="0"/>
              <w:rPr>
                <w:sz w:val="20"/>
                <w:szCs w:val="20"/>
                <w:color w:val="auto"/>
              </w:rPr>
            </w:pPr>
            <w:r>
              <w:rPr>
                <w:rFonts w:ascii="Arial" w:cs="Arial" w:eastAsia="Arial" w:hAnsi="Arial"/>
                <w:sz w:val="16"/>
                <w:szCs w:val="16"/>
                <w:color w:val="auto"/>
              </w:rPr>
              <w:t>(2)</w:t>
            </w:r>
          </w:p>
        </w:tc>
        <w:tc>
          <w:tcPr>
            <w:tcW w:w="1040" w:type="dxa"/>
            <w:vAlign w:val="bottom"/>
            <w:shd w:val="clear" w:color="auto" w:fill="D8E8EF"/>
          </w:tcPr>
          <w:p>
            <w:pPr>
              <w:jc w:val="right"/>
              <w:ind w:right="60"/>
              <w:spacing w:after="0"/>
              <w:rPr>
                <w:sz w:val="20"/>
                <w:szCs w:val="20"/>
                <w:color w:val="auto"/>
              </w:rPr>
            </w:pPr>
            <w:r>
              <w:rPr>
                <w:rFonts w:ascii="Arial" w:cs="Arial" w:eastAsia="Arial" w:hAnsi="Arial"/>
                <w:sz w:val="16"/>
                <w:szCs w:val="16"/>
                <w:color w:val="auto"/>
              </w:rPr>
              <w:t>0</w:t>
            </w:r>
          </w:p>
        </w:tc>
        <w:tc>
          <w:tcPr>
            <w:tcW w:w="960" w:type="dxa"/>
            <w:vAlign w:val="bottom"/>
            <w:shd w:val="clear" w:color="auto" w:fill="D8E8EF"/>
          </w:tcPr>
          <w:p>
            <w:pPr>
              <w:jc w:val="right"/>
              <w:ind w:right="40"/>
              <w:spacing w:after="0"/>
              <w:rPr>
                <w:sz w:val="20"/>
                <w:szCs w:val="20"/>
                <w:color w:val="auto"/>
              </w:rPr>
            </w:pPr>
            <w:r>
              <w:rPr>
                <w:rFonts w:ascii="Arial" w:cs="Arial" w:eastAsia="Arial" w:hAnsi="Arial"/>
                <w:sz w:val="16"/>
                <w:szCs w:val="16"/>
                <w:color w:val="auto"/>
              </w:rPr>
              <w:t>0</w:t>
            </w:r>
          </w:p>
        </w:tc>
        <w:tc>
          <w:tcPr>
            <w:tcW w:w="1220" w:type="dxa"/>
            <w:vAlign w:val="bottom"/>
            <w:shd w:val="clear" w:color="auto" w:fill="D8E8EF"/>
          </w:tcPr>
          <w:p>
            <w:pPr>
              <w:jc w:val="right"/>
              <w:ind w:right="60"/>
              <w:spacing w:after="0"/>
              <w:rPr>
                <w:sz w:val="20"/>
                <w:szCs w:val="20"/>
                <w:color w:val="auto"/>
              </w:rPr>
            </w:pPr>
            <w:r>
              <w:rPr>
                <w:rFonts w:ascii="Arial" w:cs="Arial" w:eastAsia="Arial" w:hAnsi="Arial"/>
                <w:sz w:val="16"/>
                <w:szCs w:val="16"/>
                <w:color w:val="auto"/>
              </w:rPr>
              <w:t>0</w:t>
            </w:r>
          </w:p>
        </w:tc>
        <w:tc>
          <w:tcPr>
            <w:tcW w:w="1180" w:type="dxa"/>
            <w:vAlign w:val="bottom"/>
            <w:shd w:val="clear" w:color="auto" w:fill="D8E8EF"/>
          </w:tcPr>
          <w:p>
            <w:pPr>
              <w:jc w:val="right"/>
              <w:ind w:right="20"/>
              <w:spacing w:after="0"/>
              <w:rPr>
                <w:sz w:val="20"/>
                <w:szCs w:val="20"/>
                <w:color w:val="auto"/>
              </w:rPr>
            </w:pPr>
            <w:r>
              <w:rPr>
                <w:rFonts w:ascii="Arial" w:cs="Arial" w:eastAsia="Arial" w:hAnsi="Arial"/>
                <w:sz w:val="16"/>
                <w:szCs w:val="16"/>
                <w:color w:val="auto"/>
              </w:rPr>
              <w:t>0</w:t>
            </w:r>
          </w:p>
        </w:tc>
      </w:tr>
      <w:tr>
        <w:trPr>
          <w:trHeight w:val="70"/>
        </w:trPr>
        <w:tc>
          <w:tcPr>
            <w:tcW w:w="3660" w:type="dxa"/>
            <w:vAlign w:val="bottom"/>
            <w:shd w:val="clear" w:color="auto" w:fill="D8E8EF"/>
          </w:tcPr>
          <w:p>
            <w:pPr>
              <w:spacing w:after="0"/>
              <w:rPr>
                <w:sz w:val="6"/>
                <w:szCs w:val="6"/>
                <w:color w:val="auto"/>
              </w:rPr>
            </w:pPr>
          </w:p>
        </w:tc>
        <w:tc>
          <w:tcPr>
            <w:tcW w:w="1560" w:type="dxa"/>
            <w:vAlign w:val="bottom"/>
            <w:shd w:val="clear" w:color="auto" w:fill="D8E8EF"/>
          </w:tcPr>
          <w:p>
            <w:pPr>
              <w:spacing w:after="0"/>
              <w:rPr>
                <w:sz w:val="6"/>
                <w:szCs w:val="6"/>
                <w:color w:val="auto"/>
              </w:rPr>
            </w:pPr>
          </w:p>
        </w:tc>
        <w:tc>
          <w:tcPr>
            <w:tcW w:w="980" w:type="dxa"/>
            <w:vAlign w:val="bottom"/>
            <w:shd w:val="clear" w:color="auto" w:fill="D8E8EF"/>
          </w:tcPr>
          <w:p>
            <w:pPr>
              <w:spacing w:after="0"/>
              <w:rPr>
                <w:sz w:val="6"/>
                <w:szCs w:val="6"/>
                <w:color w:val="auto"/>
              </w:rPr>
            </w:pPr>
          </w:p>
        </w:tc>
        <w:tc>
          <w:tcPr>
            <w:tcW w:w="320" w:type="dxa"/>
            <w:vAlign w:val="bottom"/>
            <w:shd w:val="clear" w:color="auto" w:fill="D8E8EF"/>
          </w:tcPr>
          <w:p>
            <w:pPr>
              <w:spacing w:after="0"/>
              <w:rPr>
                <w:sz w:val="6"/>
                <w:szCs w:val="6"/>
                <w:color w:val="auto"/>
              </w:rPr>
            </w:pPr>
          </w:p>
        </w:tc>
        <w:tc>
          <w:tcPr>
            <w:tcW w:w="1040" w:type="dxa"/>
            <w:vAlign w:val="bottom"/>
            <w:shd w:val="clear" w:color="auto" w:fill="D8E8EF"/>
          </w:tcPr>
          <w:p>
            <w:pPr>
              <w:spacing w:after="0"/>
              <w:rPr>
                <w:sz w:val="6"/>
                <w:szCs w:val="6"/>
                <w:color w:val="auto"/>
              </w:rPr>
            </w:pPr>
          </w:p>
        </w:tc>
        <w:tc>
          <w:tcPr>
            <w:tcW w:w="960" w:type="dxa"/>
            <w:vAlign w:val="bottom"/>
            <w:shd w:val="clear" w:color="auto" w:fill="D8E8EF"/>
          </w:tcPr>
          <w:p>
            <w:pPr>
              <w:spacing w:after="0"/>
              <w:rPr>
                <w:sz w:val="6"/>
                <w:szCs w:val="6"/>
                <w:color w:val="auto"/>
              </w:rPr>
            </w:pPr>
          </w:p>
        </w:tc>
        <w:tc>
          <w:tcPr>
            <w:tcW w:w="1220" w:type="dxa"/>
            <w:vAlign w:val="bottom"/>
            <w:shd w:val="clear" w:color="auto" w:fill="D8E8EF"/>
          </w:tcPr>
          <w:p>
            <w:pPr>
              <w:spacing w:after="0"/>
              <w:rPr>
                <w:sz w:val="6"/>
                <w:szCs w:val="6"/>
                <w:color w:val="auto"/>
              </w:rPr>
            </w:pPr>
          </w:p>
        </w:tc>
        <w:tc>
          <w:tcPr>
            <w:tcW w:w="1180" w:type="dxa"/>
            <w:vAlign w:val="bottom"/>
            <w:shd w:val="clear" w:color="auto" w:fill="D8E8EF"/>
          </w:tcPr>
          <w:p>
            <w:pPr>
              <w:spacing w:after="0"/>
              <w:rPr>
                <w:sz w:val="6"/>
                <w:szCs w:val="6"/>
                <w:color w:val="auto"/>
              </w:rPr>
            </w:pPr>
          </w:p>
        </w:tc>
      </w:tr>
      <w:tr>
        <w:trPr>
          <w:trHeight w:val="274"/>
        </w:trPr>
        <w:tc>
          <w:tcPr>
            <w:tcW w:w="3660" w:type="dxa"/>
            <w:vAlign w:val="bottom"/>
          </w:tcPr>
          <w:p>
            <w:pPr>
              <w:ind w:left="60"/>
              <w:spacing w:after="0"/>
              <w:rPr>
                <w:sz w:val="20"/>
                <w:szCs w:val="20"/>
                <w:color w:val="auto"/>
              </w:rPr>
            </w:pPr>
            <w:r>
              <w:rPr>
                <w:rFonts w:ascii="Arial" w:cs="Arial" w:eastAsia="Arial" w:hAnsi="Arial"/>
                <w:sz w:val="16"/>
                <w:szCs w:val="16"/>
                <w:b w:val="1"/>
                <w:bCs w:val="1"/>
                <w:color w:val="auto"/>
              </w:rPr>
              <w:t>Long-Term Incentives:</w:t>
            </w:r>
          </w:p>
        </w:tc>
        <w:tc>
          <w:tcPr>
            <w:tcW w:w="15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180" w:type="dxa"/>
            <w:vAlign w:val="bottom"/>
          </w:tcPr>
          <w:p>
            <w:pPr>
              <w:spacing w:after="0"/>
              <w:rPr>
                <w:sz w:val="23"/>
                <w:szCs w:val="23"/>
                <w:color w:val="auto"/>
              </w:rPr>
            </w:pPr>
          </w:p>
        </w:tc>
      </w:tr>
      <w:tr>
        <w:trPr>
          <w:trHeight w:val="60"/>
        </w:trPr>
        <w:tc>
          <w:tcPr>
            <w:tcW w:w="3660" w:type="dxa"/>
            <w:vAlign w:val="bottom"/>
          </w:tcPr>
          <w:p>
            <w:pPr>
              <w:spacing w:after="0"/>
              <w:rPr>
                <w:sz w:val="5"/>
                <w:szCs w:val="5"/>
                <w:color w:val="auto"/>
              </w:rPr>
            </w:pPr>
          </w:p>
        </w:tc>
        <w:tc>
          <w:tcPr>
            <w:tcW w:w="1560" w:type="dxa"/>
            <w:vAlign w:val="bottom"/>
          </w:tcPr>
          <w:p>
            <w:pPr>
              <w:spacing w:after="0"/>
              <w:rPr>
                <w:sz w:val="5"/>
                <w:szCs w:val="5"/>
                <w:color w:val="auto"/>
              </w:rPr>
            </w:pPr>
          </w:p>
        </w:tc>
        <w:tc>
          <w:tcPr>
            <w:tcW w:w="9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96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180" w:type="dxa"/>
            <w:vAlign w:val="bottom"/>
          </w:tcPr>
          <w:p>
            <w:pPr>
              <w:spacing w:after="0"/>
              <w:rPr>
                <w:sz w:val="5"/>
                <w:szCs w:val="5"/>
                <w:color w:val="auto"/>
              </w:rPr>
            </w:pPr>
          </w:p>
        </w:tc>
      </w:tr>
      <w:tr>
        <w:trPr>
          <w:trHeight w:val="240"/>
        </w:trPr>
        <w:tc>
          <w:tcPr>
            <w:tcW w:w="3660" w:type="dxa"/>
            <w:vAlign w:val="bottom"/>
            <w:shd w:val="clear" w:color="auto" w:fill="D8E8EF"/>
          </w:tcPr>
          <w:p>
            <w:pPr>
              <w:ind w:left="60"/>
              <w:spacing w:after="0"/>
              <w:rPr>
                <w:sz w:val="20"/>
                <w:szCs w:val="20"/>
                <w:color w:val="auto"/>
              </w:rPr>
            </w:pPr>
            <w:r>
              <w:rPr>
                <w:rFonts w:ascii="Arial" w:cs="Arial" w:eastAsia="Arial" w:hAnsi="Arial"/>
                <w:sz w:val="16"/>
                <w:szCs w:val="16"/>
                <w:color w:val="auto"/>
              </w:rPr>
              <w:t>Acceleration or Continued Vesting of Unvested</w:t>
            </w:r>
          </w:p>
        </w:tc>
        <w:tc>
          <w:tcPr>
            <w:tcW w:w="1560" w:type="dxa"/>
            <w:vAlign w:val="bottom"/>
            <w:shd w:val="clear" w:color="auto" w:fill="D8E8EF"/>
          </w:tcPr>
          <w:p>
            <w:pPr>
              <w:jc w:val="right"/>
              <w:ind w:right="80"/>
              <w:spacing w:after="0"/>
              <w:rPr>
                <w:sz w:val="20"/>
                <w:szCs w:val="20"/>
                <w:color w:val="auto"/>
              </w:rPr>
            </w:pPr>
            <w:r>
              <w:rPr>
                <w:rFonts w:ascii="Arial" w:cs="Arial" w:eastAsia="Arial" w:hAnsi="Arial"/>
                <w:sz w:val="16"/>
                <w:szCs w:val="16"/>
                <w:color w:val="auto"/>
              </w:rPr>
              <w:t>0</w:t>
            </w:r>
          </w:p>
        </w:tc>
        <w:tc>
          <w:tcPr>
            <w:tcW w:w="980" w:type="dxa"/>
            <w:vAlign w:val="bottom"/>
            <w:shd w:val="clear" w:color="auto" w:fill="D8E8EF"/>
          </w:tcPr>
          <w:p>
            <w:pPr>
              <w:jc w:val="right"/>
              <w:spacing w:after="0"/>
              <w:rPr>
                <w:sz w:val="20"/>
                <w:szCs w:val="20"/>
                <w:color w:val="auto"/>
              </w:rPr>
            </w:pPr>
            <w:r>
              <w:rPr>
                <w:rFonts w:ascii="Arial" w:cs="Arial" w:eastAsia="Arial" w:hAnsi="Arial"/>
                <w:sz w:val="16"/>
                <w:szCs w:val="16"/>
                <w:color w:val="auto"/>
              </w:rPr>
              <w:t>10,134,954</w:t>
            </w:r>
          </w:p>
        </w:tc>
        <w:tc>
          <w:tcPr>
            <w:tcW w:w="320" w:type="dxa"/>
            <w:vAlign w:val="bottom"/>
            <w:shd w:val="clear" w:color="auto" w:fill="D8E8EF"/>
          </w:tcPr>
          <w:p>
            <w:pPr>
              <w:jc w:val="right"/>
              <w:ind w:right="20"/>
              <w:spacing w:after="0"/>
              <w:rPr>
                <w:sz w:val="20"/>
                <w:szCs w:val="20"/>
                <w:color w:val="auto"/>
              </w:rPr>
            </w:pPr>
            <w:r>
              <w:rPr>
                <w:rFonts w:ascii="Arial" w:cs="Arial" w:eastAsia="Arial" w:hAnsi="Arial"/>
                <w:sz w:val="16"/>
                <w:szCs w:val="16"/>
                <w:color w:val="auto"/>
              </w:rPr>
              <w:t>(3)</w:t>
            </w:r>
          </w:p>
        </w:tc>
        <w:tc>
          <w:tcPr>
            <w:tcW w:w="1040" w:type="dxa"/>
            <w:vAlign w:val="bottom"/>
            <w:shd w:val="clear" w:color="auto" w:fill="D8E8EF"/>
          </w:tcPr>
          <w:p>
            <w:pPr>
              <w:jc w:val="right"/>
              <w:ind w:right="60"/>
              <w:spacing w:after="0"/>
              <w:rPr>
                <w:sz w:val="20"/>
                <w:szCs w:val="20"/>
                <w:color w:val="auto"/>
              </w:rPr>
            </w:pPr>
            <w:r>
              <w:rPr>
                <w:rFonts w:ascii="Arial" w:cs="Arial" w:eastAsia="Arial" w:hAnsi="Arial"/>
                <w:sz w:val="16"/>
                <w:szCs w:val="16"/>
                <w:color w:val="auto"/>
              </w:rPr>
              <w:t>(3)</w:t>
            </w:r>
          </w:p>
        </w:tc>
        <w:tc>
          <w:tcPr>
            <w:tcW w:w="960" w:type="dxa"/>
            <w:vAlign w:val="bottom"/>
            <w:shd w:val="clear" w:color="auto" w:fill="D8E8EF"/>
          </w:tcPr>
          <w:p>
            <w:pPr>
              <w:jc w:val="right"/>
              <w:ind w:right="40"/>
              <w:spacing w:after="0"/>
              <w:rPr>
                <w:sz w:val="20"/>
                <w:szCs w:val="20"/>
                <w:color w:val="auto"/>
              </w:rPr>
            </w:pPr>
            <w:r>
              <w:rPr>
                <w:rFonts w:ascii="Arial" w:cs="Arial" w:eastAsia="Arial" w:hAnsi="Arial"/>
                <w:sz w:val="16"/>
                <w:szCs w:val="16"/>
                <w:color w:val="auto"/>
              </w:rPr>
              <w:t>0</w:t>
            </w:r>
          </w:p>
        </w:tc>
        <w:tc>
          <w:tcPr>
            <w:tcW w:w="1220" w:type="dxa"/>
            <w:vAlign w:val="bottom"/>
            <w:shd w:val="clear" w:color="auto" w:fill="D8E8EF"/>
          </w:tcPr>
          <w:p>
            <w:pPr>
              <w:jc w:val="right"/>
              <w:ind w:right="60"/>
              <w:spacing w:after="0"/>
              <w:rPr>
                <w:sz w:val="20"/>
                <w:szCs w:val="20"/>
                <w:color w:val="auto"/>
              </w:rPr>
            </w:pPr>
            <w:r>
              <w:rPr>
                <w:rFonts w:ascii="Arial" w:cs="Arial" w:eastAsia="Arial" w:hAnsi="Arial"/>
                <w:sz w:val="16"/>
                <w:szCs w:val="16"/>
                <w:color w:val="auto"/>
              </w:rPr>
              <w:t>0</w:t>
            </w:r>
          </w:p>
        </w:tc>
        <w:tc>
          <w:tcPr>
            <w:tcW w:w="1180" w:type="dxa"/>
            <w:vAlign w:val="bottom"/>
            <w:shd w:val="clear" w:color="auto" w:fill="D8E8EF"/>
          </w:tcPr>
          <w:p>
            <w:pPr>
              <w:jc w:val="right"/>
              <w:ind w:right="20"/>
              <w:spacing w:after="0"/>
              <w:rPr>
                <w:sz w:val="20"/>
                <w:szCs w:val="20"/>
                <w:color w:val="auto"/>
              </w:rPr>
            </w:pPr>
            <w:r>
              <w:rPr>
                <w:rFonts w:ascii="Arial" w:cs="Arial" w:eastAsia="Arial" w:hAnsi="Arial"/>
                <w:sz w:val="16"/>
                <w:szCs w:val="16"/>
                <w:color w:val="auto"/>
              </w:rPr>
              <w:t>2,322,117 (4)</w:t>
            </w:r>
          </w:p>
        </w:tc>
      </w:tr>
      <w:tr>
        <w:trPr>
          <w:trHeight w:val="211"/>
        </w:trPr>
        <w:tc>
          <w:tcPr>
            <w:tcW w:w="3660" w:type="dxa"/>
            <w:vAlign w:val="bottom"/>
            <w:shd w:val="clear" w:color="auto" w:fill="D8E8EF"/>
          </w:tcPr>
          <w:p>
            <w:pPr>
              <w:ind w:left="320"/>
              <w:spacing w:after="0"/>
              <w:rPr>
                <w:sz w:val="20"/>
                <w:szCs w:val="20"/>
                <w:color w:val="auto"/>
              </w:rPr>
            </w:pPr>
            <w:r>
              <w:rPr>
                <w:rFonts w:ascii="Arial" w:cs="Arial" w:eastAsia="Arial" w:hAnsi="Arial"/>
                <w:sz w:val="16"/>
                <w:szCs w:val="16"/>
                <w:color w:val="auto"/>
              </w:rPr>
              <w:t>Stock Options, RSUs or PBRSUs</w:t>
            </w:r>
          </w:p>
        </w:tc>
        <w:tc>
          <w:tcPr>
            <w:tcW w:w="1560" w:type="dxa"/>
            <w:vAlign w:val="bottom"/>
            <w:shd w:val="clear" w:color="auto" w:fill="D8E8EF"/>
          </w:tcPr>
          <w:p>
            <w:pPr>
              <w:spacing w:after="0"/>
              <w:rPr>
                <w:sz w:val="18"/>
                <w:szCs w:val="18"/>
                <w:color w:val="auto"/>
              </w:rPr>
            </w:pPr>
          </w:p>
        </w:tc>
        <w:tc>
          <w:tcPr>
            <w:tcW w:w="980" w:type="dxa"/>
            <w:vAlign w:val="bottom"/>
            <w:shd w:val="clear" w:color="auto" w:fill="D8E8EF"/>
          </w:tcPr>
          <w:p>
            <w:pPr>
              <w:spacing w:after="0"/>
              <w:rPr>
                <w:sz w:val="18"/>
                <w:szCs w:val="18"/>
                <w:color w:val="auto"/>
              </w:rPr>
            </w:pPr>
          </w:p>
        </w:tc>
        <w:tc>
          <w:tcPr>
            <w:tcW w:w="320" w:type="dxa"/>
            <w:vAlign w:val="bottom"/>
            <w:shd w:val="clear" w:color="auto" w:fill="D8E8EF"/>
          </w:tcPr>
          <w:p>
            <w:pPr>
              <w:spacing w:after="0"/>
              <w:rPr>
                <w:sz w:val="18"/>
                <w:szCs w:val="18"/>
                <w:color w:val="auto"/>
              </w:rPr>
            </w:pPr>
          </w:p>
        </w:tc>
        <w:tc>
          <w:tcPr>
            <w:tcW w:w="1040" w:type="dxa"/>
            <w:vAlign w:val="bottom"/>
            <w:shd w:val="clear" w:color="auto" w:fill="D8E8EF"/>
          </w:tcPr>
          <w:p>
            <w:pPr>
              <w:spacing w:after="0"/>
              <w:rPr>
                <w:sz w:val="18"/>
                <w:szCs w:val="18"/>
                <w:color w:val="auto"/>
              </w:rPr>
            </w:pPr>
          </w:p>
        </w:tc>
        <w:tc>
          <w:tcPr>
            <w:tcW w:w="960" w:type="dxa"/>
            <w:vAlign w:val="bottom"/>
            <w:shd w:val="clear" w:color="auto" w:fill="D8E8EF"/>
          </w:tcPr>
          <w:p>
            <w:pPr>
              <w:spacing w:after="0"/>
              <w:rPr>
                <w:sz w:val="18"/>
                <w:szCs w:val="18"/>
                <w:color w:val="auto"/>
              </w:rPr>
            </w:pPr>
          </w:p>
        </w:tc>
        <w:tc>
          <w:tcPr>
            <w:tcW w:w="1220" w:type="dxa"/>
            <w:vAlign w:val="bottom"/>
            <w:shd w:val="clear" w:color="auto" w:fill="D8E8EF"/>
          </w:tcPr>
          <w:p>
            <w:pPr>
              <w:spacing w:after="0"/>
              <w:rPr>
                <w:sz w:val="18"/>
                <w:szCs w:val="18"/>
                <w:color w:val="auto"/>
              </w:rPr>
            </w:pPr>
          </w:p>
        </w:tc>
        <w:tc>
          <w:tcPr>
            <w:tcW w:w="1180" w:type="dxa"/>
            <w:vAlign w:val="bottom"/>
            <w:shd w:val="clear" w:color="auto" w:fill="D8E8EF"/>
          </w:tcPr>
          <w:p>
            <w:pPr>
              <w:spacing w:after="0"/>
              <w:rPr>
                <w:sz w:val="18"/>
                <w:szCs w:val="18"/>
                <w:color w:val="auto"/>
              </w:rPr>
            </w:pPr>
          </w:p>
        </w:tc>
      </w:tr>
      <w:tr>
        <w:trPr>
          <w:trHeight w:val="70"/>
        </w:trPr>
        <w:tc>
          <w:tcPr>
            <w:tcW w:w="3660" w:type="dxa"/>
            <w:vAlign w:val="bottom"/>
            <w:shd w:val="clear" w:color="auto" w:fill="D8E8EF"/>
          </w:tcPr>
          <w:p>
            <w:pPr>
              <w:spacing w:after="0"/>
              <w:rPr>
                <w:sz w:val="6"/>
                <w:szCs w:val="6"/>
                <w:color w:val="auto"/>
              </w:rPr>
            </w:pPr>
          </w:p>
        </w:tc>
        <w:tc>
          <w:tcPr>
            <w:tcW w:w="1560" w:type="dxa"/>
            <w:vAlign w:val="bottom"/>
            <w:shd w:val="clear" w:color="auto" w:fill="D8E8EF"/>
          </w:tcPr>
          <w:p>
            <w:pPr>
              <w:spacing w:after="0"/>
              <w:rPr>
                <w:sz w:val="6"/>
                <w:szCs w:val="6"/>
                <w:color w:val="auto"/>
              </w:rPr>
            </w:pPr>
          </w:p>
        </w:tc>
        <w:tc>
          <w:tcPr>
            <w:tcW w:w="1300" w:type="dxa"/>
            <w:vAlign w:val="bottom"/>
            <w:gridSpan w:val="2"/>
            <w:shd w:val="clear" w:color="auto" w:fill="D8E8EF"/>
          </w:tcPr>
          <w:p>
            <w:pPr>
              <w:spacing w:after="0"/>
              <w:rPr>
                <w:sz w:val="6"/>
                <w:szCs w:val="6"/>
                <w:color w:val="auto"/>
              </w:rPr>
            </w:pPr>
          </w:p>
        </w:tc>
        <w:tc>
          <w:tcPr>
            <w:tcW w:w="1040" w:type="dxa"/>
            <w:vAlign w:val="bottom"/>
            <w:shd w:val="clear" w:color="auto" w:fill="D8E8EF"/>
          </w:tcPr>
          <w:p>
            <w:pPr>
              <w:spacing w:after="0"/>
              <w:rPr>
                <w:sz w:val="6"/>
                <w:szCs w:val="6"/>
                <w:color w:val="auto"/>
              </w:rPr>
            </w:pPr>
          </w:p>
        </w:tc>
        <w:tc>
          <w:tcPr>
            <w:tcW w:w="960" w:type="dxa"/>
            <w:vAlign w:val="bottom"/>
            <w:shd w:val="clear" w:color="auto" w:fill="D8E8EF"/>
          </w:tcPr>
          <w:p>
            <w:pPr>
              <w:spacing w:after="0"/>
              <w:rPr>
                <w:sz w:val="6"/>
                <w:szCs w:val="6"/>
                <w:color w:val="auto"/>
              </w:rPr>
            </w:pPr>
          </w:p>
        </w:tc>
        <w:tc>
          <w:tcPr>
            <w:tcW w:w="1220" w:type="dxa"/>
            <w:vAlign w:val="bottom"/>
            <w:shd w:val="clear" w:color="auto" w:fill="D8E8EF"/>
          </w:tcPr>
          <w:p>
            <w:pPr>
              <w:spacing w:after="0"/>
              <w:rPr>
                <w:sz w:val="6"/>
                <w:szCs w:val="6"/>
                <w:color w:val="auto"/>
              </w:rPr>
            </w:pPr>
          </w:p>
        </w:tc>
        <w:tc>
          <w:tcPr>
            <w:tcW w:w="1180" w:type="dxa"/>
            <w:vAlign w:val="bottom"/>
            <w:shd w:val="clear" w:color="auto" w:fill="D8E8EF"/>
          </w:tcPr>
          <w:p>
            <w:pPr>
              <w:spacing w:after="0"/>
              <w:rPr>
                <w:sz w:val="6"/>
                <w:szCs w:val="6"/>
                <w:color w:val="auto"/>
              </w:rPr>
            </w:pPr>
          </w:p>
        </w:tc>
      </w:tr>
      <w:tr>
        <w:trPr>
          <w:trHeight w:val="274"/>
        </w:trPr>
        <w:tc>
          <w:tcPr>
            <w:tcW w:w="3660" w:type="dxa"/>
            <w:vAlign w:val="bottom"/>
          </w:tcPr>
          <w:p>
            <w:pPr>
              <w:ind w:left="60"/>
              <w:spacing w:after="0"/>
              <w:rPr>
                <w:sz w:val="20"/>
                <w:szCs w:val="20"/>
                <w:color w:val="auto"/>
              </w:rPr>
            </w:pPr>
            <w:r>
              <w:rPr>
                <w:rFonts w:ascii="Arial" w:cs="Arial" w:eastAsia="Arial" w:hAnsi="Arial"/>
                <w:sz w:val="16"/>
                <w:szCs w:val="16"/>
                <w:b w:val="1"/>
                <w:bCs w:val="1"/>
                <w:i w:val="1"/>
                <w:iCs w:val="1"/>
                <w:color w:val="auto"/>
              </w:rPr>
              <w:t>Total:</w:t>
            </w:r>
          </w:p>
        </w:tc>
        <w:tc>
          <w:tcPr>
            <w:tcW w:w="1560" w:type="dxa"/>
            <w:vAlign w:val="bottom"/>
          </w:tcPr>
          <w:p>
            <w:pPr>
              <w:jc w:val="right"/>
              <w:ind w:right="80"/>
              <w:spacing w:after="0"/>
              <w:rPr>
                <w:sz w:val="20"/>
                <w:szCs w:val="20"/>
                <w:color w:val="auto"/>
              </w:rPr>
            </w:pPr>
            <w:r>
              <w:rPr>
                <w:rFonts w:ascii="Arial" w:cs="Arial" w:eastAsia="Arial" w:hAnsi="Arial"/>
                <w:sz w:val="16"/>
                <w:szCs w:val="16"/>
                <w:color w:val="auto"/>
              </w:rPr>
              <w:t>1,164,030</w:t>
            </w:r>
          </w:p>
        </w:tc>
        <w:tc>
          <w:tcPr>
            <w:tcW w:w="1300" w:type="dxa"/>
            <w:vAlign w:val="bottom"/>
            <w:gridSpan w:val="2"/>
          </w:tcPr>
          <w:p>
            <w:pPr>
              <w:jc w:val="right"/>
              <w:ind w:right="20"/>
              <w:spacing w:after="0"/>
              <w:rPr>
                <w:sz w:val="20"/>
                <w:szCs w:val="20"/>
                <w:color w:val="auto"/>
              </w:rPr>
            </w:pPr>
            <w:r>
              <w:rPr>
                <w:rFonts w:ascii="Arial" w:cs="Arial" w:eastAsia="Arial" w:hAnsi="Arial"/>
                <w:sz w:val="16"/>
                <w:szCs w:val="16"/>
                <w:color w:val="auto"/>
              </w:rPr>
              <w:t>11,059,954</w:t>
            </w:r>
          </w:p>
        </w:tc>
        <w:tc>
          <w:tcPr>
            <w:tcW w:w="1040" w:type="dxa"/>
            <w:vAlign w:val="bottom"/>
          </w:tcPr>
          <w:p>
            <w:pPr>
              <w:jc w:val="right"/>
              <w:ind w:right="60"/>
              <w:spacing w:after="0"/>
              <w:rPr>
                <w:sz w:val="20"/>
                <w:szCs w:val="20"/>
                <w:color w:val="auto"/>
              </w:rPr>
            </w:pPr>
            <w:r>
              <w:rPr>
                <w:rFonts w:ascii="Arial" w:cs="Arial" w:eastAsia="Arial" w:hAnsi="Arial"/>
                <w:sz w:val="16"/>
                <w:szCs w:val="16"/>
                <w:color w:val="auto"/>
              </w:rPr>
              <w:t>(3)</w:t>
            </w: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0</w:t>
            </w:r>
          </w:p>
        </w:tc>
        <w:tc>
          <w:tcPr>
            <w:tcW w:w="1220" w:type="dxa"/>
            <w:vAlign w:val="bottom"/>
          </w:tcPr>
          <w:p>
            <w:pPr>
              <w:jc w:val="right"/>
              <w:ind w:right="60"/>
              <w:spacing w:after="0"/>
              <w:rPr>
                <w:sz w:val="20"/>
                <w:szCs w:val="20"/>
                <w:color w:val="auto"/>
              </w:rPr>
            </w:pPr>
            <w:r>
              <w:rPr>
                <w:rFonts w:ascii="Arial" w:cs="Arial" w:eastAsia="Arial" w:hAnsi="Arial"/>
                <w:sz w:val="16"/>
                <w:szCs w:val="16"/>
                <w:color w:val="auto"/>
              </w:rPr>
              <w:t>0</w:t>
            </w: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2,322,117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46990</wp:posOffset>
            </wp:positionV>
            <wp:extent cx="692975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98" w:lineRule="exact"/>
        <w:rPr>
          <w:sz w:val="20"/>
          <w:szCs w:val="20"/>
          <w:color w:val="auto"/>
        </w:rPr>
      </w:pPr>
    </w:p>
    <w:p>
      <w:pPr>
        <w:jc w:val="both"/>
        <w:ind w:left="600" w:hanging="433"/>
        <w:spacing w:after="0" w:line="266" w:lineRule="auto"/>
        <w:tabs>
          <w:tab w:leader="none" w:pos="600" w:val="left"/>
        </w:tabs>
        <w:numPr>
          <w:ilvl w:val="0"/>
          <w:numId w:val="89"/>
        </w:numPr>
        <w:rPr>
          <w:rFonts w:ascii="Arial" w:cs="Arial" w:eastAsia="Arial" w:hAnsi="Arial"/>
          <w:sz w:val="14"/>
          <w:szCs w:val="14"/>
          <w:color w:val="auto"/>
        </w:rPr>
      </w:pPr>
      <w:r>
        <w:rPr>
          <w:rFonts w:ascii="Arial" w:cs="Arial" w:eastAsia="Arial" w:hAnsi="Arial"/>
          <w:sz w:val="14"/>
          <w:szCs w:val="14"/>
          <w:color w:val="auto"/>
        </w:rPr>
        <w:t>Mr. Hopkin’s severance payment following a termination without “Cause” or a resignation for “Good Reason” (as those terms are defined in his employment agreement), whether or not following a Change in Control, is equal to one year of annual base salary. Mr. Hopkin’s base salary at the end of the 2021 fiscal year was $500,000.</w:t>
      </w:r>
    </w:p>
    <w:p>
      <w:pPr>
        <w:spacing w:after="0" w:line="164" w:lineRule="exact"/>
        <w:rPr>
          <w:rFonts w:ascii="Arial" w:cs="Arial" w:eastAsia="Arial" w:hAnsi="Arial"/>
          <w:sz w:val="14"/>
          <w:szCs w:val="14"/>
          <w:color w:val="auto"/>
        </w:rPr>
      </w:pPr>
    </w:p>
    <w:p>
      <w:pPr>
        <w:jc w:val="both"/>
        <w:ind w:left="600" w:hanging="433"/>
        <w:spacing w:after="0" w:line="245" w:lineRule="auto"/>
        <w:tabs>
          <w:tab w:leader="none" w:pos="600" w:val="left"/>
        </w:tabs>
        <w:numPr>
          <w:ilvl w:val="0"/>
          <w:numId w:val="89"/>
        </w:numPr>
        <w:rPr>
          <w:rFonts w:ascii="Arial" w:cs="Arial" w:eastAsia="Arial" w:hAnsi="Arial"/>
          <w:sz w:val="14"/>
          <w:szCs w:val="14"/>
          <w:color w:val="auto"/>
        </w:rPr>
      </w:pPr>
      <w:r>
        <w:rPr>
          <w:rFonts w:ascii="Arial" w:cs="Arial" w:eastAsia="Arial" w:hAnsi="Arial"/>
          <w:sz w:val="14"/>
          <w:szCs w:val="14"/>
          <w:color w:val="auto"/>
        </w:rPr>
        <w:t>In the event that we terminate Mr. Hopkin’s employment without Cause, or he resigns for Good Reason, other than in connection with a Change in Control, Mr. Hopkin is entitled to any bonus earned but unpaid for the performance cycle immediately preceding the date of termination and a pro rata portion of his bonus, if any, for the then-current performance cycle based on achievement of the applicable performance criteria. For purposes of this column, we have assumed that Mr. Hopkin’s date of termination was December 31, 2021, that the applicable performance cycle for the prorated bonus entitlement was the 2021 Bonus Program and that his bonus under the 2021 cash incentive program was earned but unpaid at that time. Mr. Hopkin’s earned bonus for 2021 was $664,030. In addition to other benefits provided in his employment agreement, if Mr. Hopkin’s employment had been terminated on December 31, 2021 by the Company without Cause or by Mr. Hopkin for Good Reason within 24 months following a Change in Control, he would have been entitled to a cash payment equal to his total annual target bonus under the 2021 Bonus Program. Such target bonus for 2021 was $425,000.</w:t>
      </w:r>
    </w:p>
    <w:p>
      <w:pPr>
        <w:spacing w:after="0" w:line="9" w:lineRule="exact"/>
        <w:rPr>
          <w:rFonts w:ascii="Arial" w:cs="Arial" w:eastAsia="Arial" w:hAnsi="Arial"/>
          <w:sz w:val="14"/>
          <w:szCs w:val="14"/>
          <w:color w:val="auto"/>
        </w:rPr>
      </w:pPr>
    </w:p>
    <w:p>
      <w:pPr>
        <w:jc w:val="both"/>
        <w:ind w:left="600" w:hanging="433"/>
        <w:spacing w:after="0" w:line="246" w:lineRule="auto"/>
        <w:tabs>
          <w:tab w:leader="none" w:pos="600" w:val="left"/>
        </w:tabs>
        <w:numPr>
          <w:ilvl w:val="0"/>
          <w:numId w:val="89"/>
        </w:numPr>
        <w:rPr>
          <w:rFonts w:ascii="Arial" w:cs="Arial" w:eastAsia="Arial" w:hAnsi="Arial"/>
          <w:sz w:val="14"/>
          <w:szCs w:val="14"/>
          <w:color w:val="auto"/>
        </w:rPr>
      </w:pPr>
      <w:r>
        <w:rPr>
          <w:rFonts w:ascii="Arial" w:cs="Arial" w:eastAsia="Arial" w:hAnsi="Arial"/>
          <w:sz w:val="14"/>
          <w:szCs w:val="14"/>
          <w:color w:val="auto"/>
        </w:rPr>
        <w:t>Because the HCC Committee has discretion to accelerate outstanding awards of equity under the SIP notwithstanding the provisions of an officer’s employment agreement or the award agreements under which the awards were granted in the event of a Change in Control, for purposes of this disclosure, we have assumed that the HCC Committee has exercised such discretion and all outstanding equity awards have been accelerated. For a description of the actual provisions of the employment agreements and such award agreements that may otherwise impact acceleration in connection with a Change in Control, see the discussion above under “Potential Payments Upon Termination of Employment or Change in Control — Equity Acceleration upon a Change in Control.” This amount denotes the incremental difference between the market value on December 31, 2021 and the exercise price, if any, of unvested options, RSUs or PBRSUs (including any 2020 Base PBRSUs, Upside PBRSUs and 2021 PBRSUs) for which vesting might be accelerated.</w:t>
      </w:r>
    </w:p>
    <w:p>
      <w:pPr>
        <w:spacing w:after="0" w:line="8" w:lineRule="exact"/>
        <w:rPr>
          <w:rFonts w:ascii="Arial" w:cs="Arial" w:eastAsia="Arial" w:hAnsi="Arial"/>
          <w:sz w:val="14"/>
          <w:szCs w:val="14"/>
          <w:color w:val="auto"/>
        </w:rPr>
      </w:pPr>
    </w:p>
    <w:p>
      <w:pPr>
        <w:ind w:left="600" w:hanging="433"/>
        <w:spacing w:after="0" w:line="281" w:lineRule="auto"/>
        <w:tabs>
          <w:tab w:leader="none" w:pos="600" w:val="left"/>
        </w:tabs>
        <w:numPr>
          <w:ilvl w:val="0"/>
          <w:numId w:val="89"/>
        </w:numPr>
        <w:rPr>
          <w:rFonts w:ascii="Arial" w:cs="Arial" w:eastAsia="Arial" w:hAnsi="Arial"/>
          <w:sz w:val="14"/>
          <w:szCs w:val="14"/>
          <w:color w:val="auto"/>
        </w:rPr>
      </w:pPr>
      <w:r>
        <w:rPr>
          <w:rFonts w:ascii="Arial" w:cs="Arial" w:eastAsia="Arial" w:hAnsi="Arial"/>
          <w:sz w:val="14"/>
          <w:szCs w:val="14"/>
          <w:color w:val="auto"/>
        </w:rPr>
        <w:t>The amount shown represents the value of the RSUs, which is based on the Company’s closing stock price on December 31, 2021, that will vest upon a qualified retirement and in accordance with the vesting schedules set forth in Mr. Hopkin’s 2019 and 2020 RSU award agreements.</w:t>
      </w:r>
    </w:p>
    <w:p>
      <w:pPr>
        <w:spacing w:after="0" w:line="91" w:lineRule="exact"/>
        <w:rPr>
          <w:sz w:val="20"/>
          <w:szCs w:val="20"/>
          <w:color w:val="auto"/>
        </w:rPr>
      </w:pPr>
    </w:p>
    <w:p>
      <w:pPr>
        <w:ind w:left="160"/>
        <w:spacing w:after="0"/>
        <w:tabs>
          <w:tab w:leader="none" w:pos="500" w:val="left"/>
        </w:tabs>
        <w:rPr>
          <w:sz w:val="20"/>
          <w:szCs w:val="20"/>
          <w:color w:val="auto"/>
        </w:rPr>
      </w:pPr>
      <w:r>
        <w:rPr>
          <w:rFonts w:ascii="Arial" w:cs="Arial" w:eastAsia="Arial" w:hAnsi="Arial"/>
          <w:sz w:val="14"/>
          <w:szCs w:val="14"/>
          <w:color w:val="F75E14"/>
        </w:rPr>
        <w:t>64</w:t>
        <w:tab/>
        <w:t>onsemi 2022 Proxy Statement</w:t>
      </w:r>
    </w:p>
    <w:p>
      <w:pPr>
        <w:sectPr>
          <w:pgSz w:w="11900" w:h="16838" w:orient="portrait"/>
          <w:cols w:equalWidth="0" w:num="1">
            <w:col w:w="11080"/>
          </w:cols>
          <w:pgMar w:left="320" w:top="454" w:right="499" w:bottom="1440" w:gutter="0" w:footer="0" w:header="0"/>
        </w:sectPr>
      </w:pPr>
    </w:p>
    <w:bookmarkStart w:id="68" w:name="page69"/>
    <w:bookmarkEnd w:id="6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2" w:lineRule="exact"/>
        <w:rPr>
          <w:sz w:val="20"/>
          <w:szCs w:val="20"/>
          <w:color w:val="auto"/>
        </w:rPr>
      </w:pPr>
    </w:p>
    <w:p>
      <w:pPr>
        <w:ind w:left="8260"/>
        <w:spacing w:after="0"/>
        <w:rPr>
          <w:sz w:val="20"/>
          <w:szCs w:val="20"/>
          <w:color w:val="auto"/>
        </w:rPr>
      </w:pPr>
      <w:r>
        <w:rPr>
          <w:rFonts w:ascii="Arial" w:cs="Arial" w:eastAsia="Arial" w:hAnsi="Arial"/>
          <w:sz w:val="17"/>
          <w:szCs w:val="17"/>
          <w:color w:val="F75E14"/>
        </w:rPr>
        <w:t>Compensation of Executive Officers</w:t>
      </w:r>
    </w:p>
    <w:p>
      <w:pPr>
        <w:spacing w:after="0" w:line="154" w:lineRule="exact"/>
        <w:rPr>
          <w:sz w:val="20"/>
          <w:szCs w:val="20"/>
          <w:color w:val="auto"/>
        </w:rPr>
      </w:pPr>
    </w:p>
    <w:p>
      <w:pPr>
        <w:jc w:val="both"/>
        <w:ind w:left="160"/>
        <w:spacing w:after="0" w:line="263" w:lineRule="auto"/>
        <w:rPr>
          <w:sz w:val="20"/>
          <w:szCs w:val="20"/>
          <w:color w:val="auto"/>
        </w:rPr>
      </w:pPr>
      <w:r>
        <w:rPr>
          <w:rFonts w:ascii="Arial" w:cs="Arial" w:eastAsia="Arial" w:hAnsi="Arial"/>
          <w:sz w:val="18"/>
          <w:szCs w:val="18"/>
          <w:i w:val="1"/>
          <w:iCs w:val="1"/>
          <w:color w:val="auto"/>
        </w:rPr>
        <w:t xml:space="preserve">The following table sets forth the potential payments upon termination or a Change in Control for </w:t>
      </w:r>
      <w:r>
        <w:rPr>
          <w:rFonts w:ascii="Arial" w:cs="Arial" w:eastAsia="Arial" w:hAnsi="Arial"/>
          <w:sz w:val="18"/>
          <w:szCs w:val="18"/>
          <w:b w:val="1"/>
          <w:bCs w:val="1"/>
          <w:i w:val="1"/>
          <w:iCs w:val="1"/>
          <w:color w:val="auto"/>
        </w:rPr>
        <w:t>Simon Keeton</w:t>
      </w:r>
      <w:r>
        <w:rPr>
          <w:rFonts w:ascii="Arial" w:cs="Arial" w:eastAsia="Arial" w:hAnsi="Arial"/>
          <w:sz w:val="18"/>
          <w:szCs w:val="18"/>
          <w:i w:val="1"/>
          <w:iCs w:val="1"/>
          <w:color w:val="auto"/>
        </w:rPr>
        <w:t>, our Executive Vice President and General Manager, Power Solutions Group.</w:t>
      </w:r>
    </w:p>
    <w:p>
      <w:pPr>
        <w:spacing w:after="0" w:line="205" w:lineRule="exact"/>
        <w:rPr>
          <w:sz w:val="20"/>
          <w:szCs w:val="20"/>
          <w:color w:val="auto"/>
        </w:rPr>
      </w:pPr>
    </w:p>
    <w:tbl>
      <w:tblPr>
        <w:tblLayout w:type="fixed"/>
        <w:tblInd w:w="160" w:type="dxa"/>
        <w:tblCellMar>
          <w:top w:w="0" w:type="dxa"/>
          <w:left w:w="0" w:type="dxa"/>
          <w:bottom w:w="0" w:type="dxa"/>
          <w:right w:w="0" w:type="dxa"/>
        </w:tblCellMar>
      </w:tblPr>
      <w:tr>
        <w:trPr>
          <w:trHeight w:val="213"/>
        </w:trPr>
        <w:tc>
          <w:tcPr>
            <w:tcW w:w="3920" w:type="dxa"/>
            <w:vAlign w:val="bottom"/>
            <w:shd w:val="clear" w:color="auto" w:fill="F75E14"/>
          </w:tcPr>
          <w:p>
            <w:pPr>
              <w:spacing w:after="0"/>
              <w:rPr>
                <w:sz w:val="18"/>
                <w:szCs w:val="18"/>
                <w:color w:val="auto"/>
              </w:rPr>
            </w:pPr>
          </w:p>
        </w:tc>
        <w:tc>
          <w:tcPr>
            <w:tcW w:w="1360" w:type="dxa"/>
            <w:vAlign w:val="bottom"/>
            <w:shd w:val="clear" w:color="auto" w:fill="F75E14"/>
          </w:tcPr>
          <w:p>
            <w:pPr>
              <w:jc w:val="center"/>
              <w:spacing w:after="0"/>
              <w:rPr>
                <w:sz w:val="20"/>
                <w:szCs w:val="20"/>
                <w:color w:val="auto"/>
              </w:rPr>
            </w:pPr>
            <w:r>
              <w:rPr>
                <w:rFonts w:ascii="Arial" w:cs="Arial" w:eastAsia="Arial" w:hAnsi="Arial"/>
                <w:sz w:val="16"/>
                <w:szCs w:val="16"/>
                <w:b w:val="1"/>
                <w:bCs w:val="1"/>
                <w:color w:val="FFFFFF"/>
              </w:rPr>
              <w:t>Termination</w:t>
            </w:r>
          </w:p>
        </w:tc>
        <w:tc>
          <w:tcPr>
            <w:tcW w:w="1000" w:type="dxa"/>
            <w:vAlign w:val="bottom"/>
            <w:shd w:val="clear" w:color="auto" w:fill="F75E14"/>
          </w:tcPr>
          <w:p>
            <w:pPr>
              <w:spacing w:after="0"/>
              <w:rPr>
                <w:sz w:val="18"/>
                <w:szCs w:val="18"/>
                <w:color w:val="auto"/>
              </w:rPr>
            </w:pPr>
          </w:p>
        </w:tc>
        <w:tc>
          <w:tcPr>
            <w:tcW w:w="300" w:type="dxa"/>
            <w:vAlign w:val="bottom"/>
            <w:shd w:val="clear" w:color="auto" w:fill="F75E14"/>
          </w:tcPr>
          <w:p>
            <w:pPr>
              <w:spacing w:after="0"/>
              <w:rPr>
                <w:sz w:val="18"/>
                <w:szCs w:val="18"/>
                <w:color w:val="auto"/>
              </w:rPr>
            </w:pPr>
          </w:p>
        </w:tc>
        <w:tc>
          <w:tcPr>
            <w:tcW w:w="1040" w:type="dxa"/>
            <w:vAlign w:val="bottom"/>
            <w:shd w:val="clear" w:color="auto" w:fill="F75E14"/>
          </w:tcPr>
          <w:p>
            <w:pPr>
              <w:spacing w:after="0"/>
              <w:rPr>
                <w:sz w:val="18"/>
                <w:szCs w:val="18"/>
                <w:color w:val="auto"/>
              </w:rPr>
            </w:pPr>
          </w:p>
        </w:tc>
        <w:tc>
          <w:tcPr>
            <w:tcW w:w="960" w:type="dxa"/>
            <w:vAlign w:val="bottom"/>
            <w:shd w:val="clear" w:color="auto" w:fill="F75E14"/>
          </w:tcPr>
          <w:p>
            <w:pPr>
              <w:spacing w:after="0"/>
              <w:rPr>
                <w:sz w:val="18"/>
                <w:szCs w:val="18"/>
                <w:color w:val="auto"/>
              </w:rPr>
            </w:pPr>
          </w:p>
        </w:tc>
        <w:tc>
          <w:tcPr>
            <w:tcW w:w="1200" w:type="dxa"/>
            <w:vAlign w:val="bottom"/>
            <w:shd w:val="clear" w:color="auto" w:fill="F75E14"/>
          </w:tcPr>
          <w:p>
            <w:pPr>
              <w:spacing w:after="0"/>
              <w:rPr>
                <w:sz w:val="18"/>
                <w:szCs w:val="18"/>
                <w:color w:val="auto"/>
              </w:rPr>
            </w:pPr>
          </w:p>
        </w:tc>
        <w:tc>
          <w:tcPr>
            <w:tcW w:w="1140" w:type="dxa"/>
            <w:vAlign w:val="bottom"/>
            <w:shd w:val="clear" w:color="auto" w:fill="F75E14"/>
          </w:tcPr>
          <w:p>
            <w:pPr>
              <w:jc w:val="right"/>
              <w:ind w:right="20"/>
              <w:spacing w:after="0"/>
              <w:rPr>
                <w:sz w:val="20"/>
                <w:szCs w:val="20"/>
                <w:color w:val="auto"/>
              </w:rPr>
            </w:pPr>
            <w:r>
              <w:rPr>
                <w:rFonts w:ascii="Arial" w:cs="Arial" w:eastAsia="Arial" w:hAnsi="Arial"/>
                <w:sz w:val="16"/>
                <w:szCs w:val="16"/>
                <w:b w:val="1"/>
                <w:bCs w:val="1"/>
                <w:color w:val="FFFFFF"/>
              </w:rPr>
              <w:t>Resignation</w:t>
            </w:r>
          </w:p>
        </w:tc>
      </w:tr>
      <w:tr>
        <w:trPr>
          <w:trHeight w:val="187"/>
        </w:trPr>
        <w:tc>
          <w:tcPr>
            <w:tcW w:w="3920" w:type="dxa"/>
            <w:vAlign w:val="bottom"/>
            <w:shd w:val="clear" w:color="auto" w:fill="F75E14"/>
          </w:tcPr>
          <w:p>
            <w:pPr>
              <w:spacing w:after="0"/>
              <w:rPr>
                <w:sz w:val="16"/>
                <w:szCs w:val="16"/>
                <w:color w:val="auto"/>
              </w:rPr>
            </w:pPr>
          </w:p>
        </w:tc>
        <w:tc>
          <w:tcPr>
            <w:tcW w:w="1360" w:type="dxa"/>
            <w:vAlign w:val="bottom"/>
            <w:shd w:val="clear" w:color="auto" w:fill="F75E14"/>
          </w:tcPr>
          <w:p>
            <w:pPr>
              <w:jc w:val="center"/>
              <w:spacing w:after="0"/>
              <w:rPr>
                <w:sz w:val="20"/>
                <w:szCs w:val="20"/>
                <w:color w:val="auto"/>
              </w:rPr>
            </w:pPr>
            <w:r>
              <w:rPr>
                <w:rFonts w:ascii="Arial" w:cs="Arial" w:eastAsia="Arial" w:hAnsi="Arial"/>
                <w:sz w:val="16"/>
                <w:szCs w:val="16"/>
                <w:b w:val="1"/>
                <w:bCs w:val="1"/>
                <w:color w:val="FFFFFF"/>
                <w:w w:val="99"/>
              </w:rPr>
              <w:t>Without Cause</w:t>
            </w:r>
          </w:p>
        </w:tc>
        <w:tc>
          <w:tcPr>
            <w:tcW w:w="1300" w:type="dxa"/>
            <w:vAlign w:val="bottom"/>
            <w:gridSpan w:val="2"/>
            <w:shd w:val="clear" w:color="auto" w:fill="F75E14"/>
          </w:tcPr>
          <w:p>
            <w:pPr>
              <w:jc w:val="center"/>
              <w:spacing w:after="0"/>
              <w:rPr>
                <w:sz w:val="20"/>
                <w:szCs w:val="20"/>
                <w:color w:val="auto"/>
              </w:rPr>
            </w:pPr>
            <w:r>
              <w:rPr>
                <w:rFonts w:ascii="Arial" w:cs="Arial" w:eastAsia="Arial" w:hAnsi="Arial"/>
                <w:sz w:val="16"/>
                <w:szCs w:val="16"/>
                <w:b w:val="1"/>
                <w:bCs w:val="1"/>
                <w:color w:val="FFFFFF"/>
              </w:rPr>
              <w:t>Termination</w:t>
            </w:r>
          </w:p>
        </w:tc>
        <w:tc>
          <w:tcPr>
            <w:tcW w:w="1040" w:type="dxa"/>
            <w:vAlign w:val="bottom"/>
            <w:shd w:val="clear" w:color="auto" w:fill="F75E14"/>
          </w:tcPr>
          <w:p>
            <w:pPr>
              <w:spacing w:after="0"/>
              <w:rPr>
                <w:sz w:val="16"/>
                <w:szCs w:val="16"/>
                <w:color w:val="auto"/>
              </w:rPr>
            </w:pPr>
          </w:p>
        </w:tc>
        <w:tc>
          <w:tcPr>
            <w:tcW w:w="960" w:type="dxa"/>
            <w:vAlign w:val="bottom"/>
            <w:shd w:val="clear" w:color="auto" w:fill="F75E14"/>
          </w:tcPr>
          <w:p>
            <w:pPr>
              <w:spacing w:after="0"/>
              <w:rPr>
                <w:sz w:val="16"/>
                <w:szCs w:val="16"/>
                <w:color w:val="auto"/>
              </w:rPr>
            </w:pPr>
          </w:p>
        </w:tc>
        <w:tc>
          <w:tcPr>
            <w:tcW w:w="1200" w:type="dxa"/>
            <w:vAlign w:val="bottom"/>
            <w:shd w:val="clear" w:color="auto" w:fill="F75E14"/>
          </w:tcPr>
          <w:p>
            <w:pPr>
              <w:spacing w:after="0"/>
              <w:rPr>
                <w:sz w:val="16"/>
                <w:szCs w:val="16"/>
                <w:color w:val="auto"/>
              </w:rPr>
            </w:pPr>
          </w:p>
        </w:tc>
        <w:tc>
          <w:tcPr>
            <w:tcW w:w="1140" w:type="dxa"/>
            <w:vAlign w:val="bottom"/>
            <w:shd w:val="clear" w:color="auto" w:fill="F75E14"/>
          </w:tcPr>
          <w:p>
            <w:pPr>
              <w:jc w:val="center"/>
              <w:spacing w:after="0"/>
              <w:rPr>
                <w:sz w:val="20"/>
                <w:szCs w:val="20"/>
                <w:color w:val="auto"/>
              </w:rPr>
            </w:pPr>
            <w:r>
              <w:rPr>
                <w:rFonts w:ascii="Arial" w:cs="Arial" w:eastAsia="Arial" w:hAnsi="Arial"/>
                <w:sz w:val="16"/>
                <w:szCs w:val="16"/>
                <w:b w:val="1"/>
                <w:bCs w:val="1"/>
                <w:color w:val="FFFFFF"/>
                <w:w w:val="99"/>
              </w:rPr>
              <w:t>other than</w:t>
            </w:r>
          </w:p>
        </w:tc>
      </w:tr>
      <w:tr>
        <w:trPr>
          <w:trHeight w:val="187"/>
        </w:trPr>
        <w:tc>
          <w:tcPr>
            <w:tcW w:w="3920" w:type="dxa"/>
            <w:vAlign w:val="bottom"/>
            <w:shd w:val="clear" w:color="auto" w:fill="F75E14"/>
          </w:tcPr>
          <w:p>
            <w:pPr>
              <w:spacing w:after="0"/>
              <w:rPr>
                <w:sz w:val="16"/>
                <w:szCs w:val="16"/>
                <w:color w:val="auto"/>
              </w:rPr>
            </w:pPr>
          </w:p>
        </w:tc>
        <w:tc>
          <w:tcPr>
            <w:tcW w:w="1360" w:type="dxa"/>
            <w:vAlign w:val="bottom"/>
            <w:shd w:val="clear" w:color="auto" w:fill="F75E14"/>
          </w:tcPr>
          <w:p>
            <w:pPr>
              <w:jc w:val="center"/>
              <w:spacing w:after="0"/>
              <w:rPr>
                <w:sz w:val="20"/>
                <w:szCs w:val="20"/>
                <w:color w:val="auto"/>
              </w:rPr>
            </w:pPr>
            <w:r>
              <w:rPr>
                <w:rFonts w:ascii="Arial" w:cs="Arial" w:eastAsia="Arial" w:hAnsi="Arial"/>
                <w:sz w:val="16"/>
                <w:szCs w:val="16"/>
                <w:b w:val="1"/>
                <w:bCs w:val="1"/>
                <w:color w:val="FFFFFF"/>
                <w:w w:val="99"/>
              </w:rPr>
              <w:t>or Resignation</w:t>
            </w:r>
          </w:p>
        </w:tc>
        <w:tc>
          <w:tcPr>
            <w:tcW w:w="1300" w:type="dxa"/>
            <w:vAlign w:val="bottom"/>
            <w:gridSpan w:val="2"/>
            <w:shd w:val="clear" w:color="auto" w:fill="F75E14"/>
          </w:tcPr>
          <w:p>
            <w:pPr>
              <w:jc w:val="center"/>
              <w:spacing w:after="0"/>
              <w:rPr>
                <w:sz w:val="20"/>
                <w:szCs w:val="20"/>
                <w:color w:val="auto"/>
              </w:rPr>
            </w:pPr>
            <w:r>
              <w:rPr>
                <w:rFonts w:ascii="Arial" w:cs="Arial" w:eastAsia="Arial" w:hAnsi="Arial"/>
                <w:sz w:val="16"/>
                <w:szCs w:val="16"/>
                <w:b w:val="1"/>
                <w:bCs w:val="1"/>
                <w:color w:val="FFFFFF"/>
                <w:w w:val="99"/>
              </w:rPr>
              <w:t>Following a</w:t>
            </w:r>
          </w:p>
        </w:tc>
        <w:tc>
          <w:tcPr>
            <w:tcW w:w="1040" w:type="dxa"/>
            <w:vAlign w:val="bottom"/>
            <w:shd w:val="clear" w:color="auto" w:fill="F75E14"/>
          </w:tcPr>
          <w:p>
            <w:pPr>
              <w:spacing w:after="0"/>
              <w:rPr>
                <w:sz w:val="16"/>
                <w:szCs w:val="16"/>
                <w:color w:val="auto"/>
              </w:rPr>
            </w:pPr>
          </w:p>
        </w:tc>
        <w:tc>
          <w:tcPr>
            <w:tcW w:w="960" w:type="dxa"/>
            <w:vAlign w:val="bottom"/>
            <w:shd w:val="clear" w:color="auto" w:fill="F75E14"/>
          </w:tcPr>
          <w:p>
            <w:pPr>
              <w:jc w:val="right"/>
              <w:ind w:right="60"/>
              <w:spacing w:after="0"/>
              <w:rPr>
                <w:sz w:val="20"/>
                <w:szCs w:val="20"/>
                <w:color w:val="auto"/>
              </w:rPr>
            </w:pPr>
            <w:r>
              <w:rPr>
                <w:rFonts w:ascii="Arial" w:cs="Arial" w:eastAsia="Arial" w:hAnsi="Arial"/>
                <w:sz w:val="16"/>
                <w:szCs w:val="16"/>
                <w:b w:val="1"/>
                <w:bCs w:val="1"/>
                <w:color w:val="FFFFFF"/>
              </w:rPr>
              <w:t>Death or</w:t>
            </w:r>
          </w:p>
        </w:tc>
        <w:tc>
          <w:tcPr>
            <w:tcW w:w="1200" w:type="dxa"/>
            <w:vAlign w:val="bottom"/>
            <w:shd w:val="clear" w:color="auto" w:fill="F75E14"/>
          </w:tcPr>
          <w:p>
            <w:pPr>
              <w:spacing w:after="0"/>
              <w:rPr>
                <w:sz w:val="16"/>
                <w:szCs w:val="16"/>
                <w:color w:val="auto"/>
              </w:rPr>
            </w:pPr>
          </w:p>
        </w:tc>
        <w:tc>
          <w:tcPr>
            <w:tcW w:w="1140" w:type="dxa"/>
            <w:vAlign w:val="bottom"/>
            <w:shd w:val="clear" w:color="auto" w:fill="F75E14"/>
          </w:tcPr>
          <w:p>
            <w:pPr>
              <w:jc w:val="center"/>
              <w:spacing w:after="0"/>
              <w:rPr>
                <w:sz w:val="20"/>
                <w:szCs w:val="20"/>
                <w:color w:val="auto"/>
              </w:rPr>
            </w:pPr>
            <w:r>
              <w:rPr>
                <w:rFonts w:ascii="Arial" w:cs="Arial" w:eastAsia="Arial" w:hAnsi="Arial"/>
                <w:sz w:val="16"/>
                <w:szCs w:val="16"/>
                <w:b w:val="1"/>
                <w:bCs w:val="1"/>
                <w:color w:val="FFFFFF"/>
              </w:rPr>
              <w:t>for Good</w:t>
            </w:r>
          </w:p>
        </w:tc>
      </w:tr>
      <w:tr>
        <w:trPr>
          <w:trHeight w:val="187"/>
        </w:trPr>
        <w:tc>
          <w:tcPr>
            <w:tcW w:w="3920" w:type="dxa"/>
            <w:vAlign w:val="bottom"/>
            <w:shd w:val="clear" w:color="auto" w:fill="F75E14"/>
          </w:tcPr>
          <w:p>
            <w:pPr>
              <w:ind w:left="60"/>
              <w:spacing w:after="0"/>
              <w:rPr>
                <w:sz w:val="20"/>
                <w:szCs w:val="20"/>
                <w:color w:val="auto"/>
              </w:rPr>
            </w:pPr>
            <w:r>
              <w:rPr>
                <w:rFonts w:ascii="Arial" w:cs="Arial" w:eastAsia="Arial" w:hAnsi="Arial"/>
                <w:sz w:val="16"/>
                <w:szCs w:val="16"/>
                <w:b w:val="1"/>
                <w:bCs w:val="1"/>
                <w:color w:val="FFFFFF"/>
              </w:rPr>
              <w:t>Executive Benefits and Payments</w:t>
            </w:r>
          </w:p>
        </w:tc>
        <w:tc>
          <w:tcPr>
            <w:tcW w:w="1360" w:type="dxa"/>
            <w:vAlign w:val="bottom"/>
            <w:shd w:val="clear" w:color="auto" w:fill="F75E14"/>
          </w:tcPr>
          <w:p>
            <w:pPr>
              <w:jc w:val="center"/>
              <w:spacing w:after="0"/>
              <w:rPr>
                <w:sz w:val="20"/>
                <w:szCs w:val="20"/>
                <w:color w:val="auto"/>
              </w:rPr>
            </w:pPr>
            <w:r>
              <w:rPr>
                <w:rFonts w:ascii="Arial" w:cs="Arial" w:eastAsia="Arial" w:hAnsi="Arial"/>
                <w:sz w:val="16"/>
                <w:szCs w:val="16"/>
                <w:b w:val="1"/>
                <w:bCs w:val="1"/>
                <w:color w:val="FFFFFF"/>
              </w:rPr>
              <w:t>for Good</w:t>
            </w:r>
          </w:p>
        </w:tc>
        <w:tc>
          <w:tcPr>
            <w:tcW w:w="1300" w:type="dxa"/>
            <w:vAlign w:val="bottom"/>
            <w:gridSpan w:val="2"/>
            <w:shd w:val="clear" w:color="auto" w:fill="F75E14"/>
          </w:tcPr>
          <w:p>
            <w:pPr>
              <w:jc w:val="center"/>
              <w:spacing w:after="0"/>
              <w:rPr>
                <w:sz w:val="20"/>
                <w:szCs w:val="20"/>
                <w:color w:val="auto"/>
              </w:rPr>
            </w:pPr>
            <w:r>
              <w:rPr>
                <w:rFonts w:ascii="Arial" w:cs="Arial" w:eastAsia="Arial" w:hAnsi="Arial"/>
                <w:sz w:val="16"/>
                <w:szCs w:val="16"/>
                <w:b w:val="1"/>
                <w:bCs w:val="1"/>
                <w:color w:val="FFFFFF"/>
                <w:w w:val="98"/>
              </w:rPr>
              <w:t>Change in</w:t>
            </w:r>
          </w:p>
        </w:tc>
        <w:tc>
          <w:tcPr>
            <w:tcW w:w="1040" w:type="dxa"/>
            <w:vAlign w:val="bottom"/>
            <w:shd w:val="clear" w:color="auto" w:fill="F75E14"/>
          </w:tcPr>
          <w:p>
            <w:pPr>
              <w:jc w:val="right"/>
              <w:ind w:right="80"/>
              <w:spacing w:after="0"/>
              <w:rPr>
                <w:sz w:val="20"/>
                <w:szCs w:val="20"/>
                <w:color w:val="auto"/>
              </w:rPr>
            </w:pPr>
            <w:r>
              <w:rPr>
                <w:rFonts w:ascii="Arial" w:cs="Arial" w:eastAsia="Arial" w:hAnsi="Arial"/>
                <w:sz w:val="16"/>
                <w:szCs w:val="16"/>
                <w:b w:val="1"/>
                <w:bCs w:val="1"/>
                <w:color w:val="FFFFFF"/>
              </w:rPr>
              <w:t>Change in</w:t>
            </w:r>
          </w:p>
        </w:tc>
        <w:tc>
          <w:tcPr>
            <w:tcW w:w="960" w:type="dxa"/>
            <w:vAlign w:val="bottom"/>
            <w:shd w:val="clear" w:color="auto" w:fill="F75E14"/>
          </w:tcPr>
          <w:p>
            <w:pPr>
              <w:jc w:val="right"/>
              <w:ind w:right="40"/>
              <w:spacing w:after="0"/>
              <w:rPr>
                <w:sz w:val="20"/>
                <w:szCs w:val="20"/>
                <w:color w:val="auto"/>
              </w:rPr>
            </w:pPr>
            <w:r>
              <w:rPr>
                <w:rFonts w:ascii="Arial" w:cs="Arial" w:eastAsia="Arial" w:hAnsi="Arial"/>
                <w:sz w:val="16"/>
                <w:szCs w:val="16"/>
                <w:b w:val="1"/>
                <w:bCs w:val="1"/>
                <w:color w:val="FFFFFF"/>
              </w:rPr>
              <w:t>Disability</w:t>
            </w:r>
          </w:p>
        </w:tc>
        <w:tc>
          <w:tcPr>
            <w:tcW w:w="1200" w:type="dxa"/>
            <w:vAlign w:val="bottom"/>
            <w:shd w:val="clear" w:color="auto" w:fill="F75E14"/>
          </w:tcPr>
          <w:p>
            <w:pPr>
              <w:jc w:val="right"/>
              <w:ind w:right="60"/>
              <w:spacing w:after="0"/>
              <w:rPr>
                <w:sz w:val="20"/>
                <w:szCs w:val="20"/>
                <w:color w:val="auto"/>
              </w:rPr>
            </w:pPr>
            <w:r>
              <w:rPr>
                <w:rFonts w:ascii="Arial" w:cs="Arial" w:eastAsia="Arial" w:hAnsi="Arial"/>
                <w:sz w:val="16"/>
                <w:szCs w:val="16"/>
                <w:b w:val="1"/>
                <w:bCs w:val="1"/>
                <w:color w:val="FFFFFF"/>
              </w:rPr>
              <w:t>Termination</w:t>
            </w:r>
          </w:p>
        </w:tc>
        <w:tc>
          <w:tcPr>
            <w:tcW w:w="1140" w:type="dxa"/>
            <w:vAlign w:val="bottom"/>
            <w:shd w:val="clear" w:color="auto" w:fill="F75E14"/>
          </w:tcPr>
          <w:p>
            <w:pPr>
              <w:jc w:val="center"/>
              <w:spacing w:after="0"/>
              <w:rPr>
                <w:sz w:val="20"/>
                <w:szCs w:val="20"/>
                <w:color w:val="auto"/>
              </w:rPr>
            </w:pPr>
            <w:r>
              <w:rPr>
                <w:rFonts w:ascii="Arial" w:cs="Arial" w:eastAsia="Arial" w:hAnsi="Arial"/>
                <w:sz w:val="16"/>
                <w:szCs w:val="16"/>
                <w:b w:val="1"/>
                <w:bCs w:val="1"/>
                <w:color w:val="FFFFFF"/>
              </w:rPr>
              <w:t>Reason</w:t>
            </w:r>
          </w:p>
        </w:tc>
      </w:tr>
      <w:tr>
        <w:trPr>
          <w:trHeight w:val="235"/>
        </w:trPr>
        <w:tc>
          <w:tcPr>
            <w:tcW w:w="3920" w:type="dxa"/>
            <w:vAlign w:val="bottom"/>
            <w:tcBorders>
              <w:bottom w:val="single" w:sz="8" w:color="F75E14"/>
            </w:tcBorders>
            <w:shd w:val="clear" w:color="auto" w:fill="F75E14"/>
          </w:tcPr>
          <w:p>
            <w:pPr>
              <w:ind w:left="60"/>
              <w:spacing w:after="0"/>
              <w:rPr>
                <w:sz w:val="20"/>
                <w:szCs w:val="20"/>
                <w:color w:val="auto"/>
              </w:rPr>
            </w:pPr>
            <w:r>
              <w:rPr>
                <w:rFonts w:ascii="Arial" w:cs="Arial" w:eastAsia="Arial" w:hAnsi="Arial"/>
                <w:sz w:val="16"/>
                <w:szCs w:val="16"/>
                <w:b w:val="1"/>
                <w:bCs w:val="1"/>
                <w:color w:val="FFFFFF"/>
              </w:rPr>
              <w:t>Upon Termination</w:t>
            </w:r>
          </w:p>
        </w:tc>
        <w:tc>
          <w:tcPr>
            <w:tcW w:w="1360" w:type="dxa"/>
            <w:vAlign w:val="bottom"/>
            <w:tcBorders>
              <w:bottom w:val="single" w:sz="8" w:color="F75E14"/>
            </w:tcBorders>
            <w:shd w:val="clear" w:color="auto" w:fill="F75E14"/>
          </w:tcPr>
          <w:p>
            <w:pPr>
              <w:jc w:val="center"/>
              <w:ind w:right="20"/>
              <w:spacing w:after="0"/>
              <w:rPr>
                <w:sz w:val="20"/>
                <w:szCs w:val="20"/>
                <w:color w:val="auto"/>
              </w:rPr>
            </w:pPr>
            <w:r>
              <w:rPr>
                <w:rFonts w:ascii="Arial" w:cs="Arial" w:eastAsia="Arial" w:hAnsi="Arial"/>
                <w:sz w:val="16"/>
                <w:szCs w:val="16"/>
                <w:b w:val="1"/>
                <w:bCs w:val="1"/>
                <w:color w:val="FFFFFF"/>
              </w:rPr>
              <w:t>Reason ($)</w:t>
            </w:r>
          </w:p>
        </w:tc>
        <w:tc>
          <w:tcPr>
            <w:tcW w:w="1300" w:type="dxa"/>
            <w:vAlign w:val="bottom"/>
            <w:tcBorders>
              <w:bottom w:val="single" w:sz="8" w:color="F75E14"/>
            </w:tcBorders>
            <w:gridSpan w:val="2"/>
            <w:shd w:val="clear" w:color="auto" w:fill="F75E14"/>
          </w:tcPr>
          <w:p>
            <w:pPr>
              <w:jc w:val="center"/>
              <w:spacing w:after="0"/>
              <w:rPr>
                <w:sz w:val="20"/>
                <w:szCs w:val="20"/>
                <w:color w:val="auto"/>
              </w:rPr>
            </w:pPr>
            <w:r>
              <w:rPr>
                <w:rFonts w:ascii="Arial" w:cs="Arial" w:eastAsia="Arial" w:hAnsi="Arial"/>
                <w:sz w:val="16"/>
                <w:szCs w:val="16"/>
                <w:b w:val="1"/>
                <w:bCs w:val="1"/>
                <w:color w:val="FFFFFF"/>
                <w:w w:val="98"/>
              </w:rPr>
              <w:t>Control ($)</w:t>
            </w:r>
          </w:p>
        </w:tc>
        <w:tc>
          <w:tcPr>
            <w:tcW w:w="1040" w:type="dxa"/>
            <w:vAlign w:val="bottom"/>
            <w:tcBorders>
              <w:bottom w:val="single" w:sz="8" w:color="F75E14"/>
            </w:tcBorders>
            <w:shd w:val="clear" w:color="auto" w:fill="F75E14"/>
          </w:tcPr>
          <w:p>
            <w:pPr>
              <w:jc w:val="right"/>
              <w:ind w:right="60"/>
              <w:spacing w:after="0"/>
              <w:rPr>
                <w:sz w:val="20"/>
                <w:szCs w:val="20"/>
                <w:color w:val="auto"/>
              </w:rPr>
            </w:pPr>
            <w:r>
              <w:rPr>
                <w:rFonts w:ascii="Arial" w:cs="Arial" w:eastAsia="Arial" w:hAnsi="Arial"/>
                <w:sz w:val="16"/>
                <w:szCs w:val="16"/>
                <w:b w:val="1"/>
                <w:bCs w:val="1"/>
                <w:color w:val="FFFFFF"/>
              </w:rPr>
              <w:t>Control ($)</w:t>
            </w:r>
          </w:p>
        </w:tc>
        <w:tc>
          <w:tcPr>
            <w:tcW w:w="960" w:type="dxa"/>
            <w:vAlign w:val="bottom"/>
            <w:tcBorders>
              <w:bottom w:val="single" w:sz="8" w:color="F75E14"/>
            </w:tcBorders>
            <w:shd w:val="clear" w:color="auto" w:fill="F75E14"/>
          </w:tcPr>
          <w:p>
            <w:pPr>
              <w:jc w:val="right"/>
              <w:ind w:right="300"/>
              <w:spacing w:after="0"/>
              <w:rPr>
                <w:sz w:val="20"/>
                <w:szCs w:val="20"/>
                <w:color w:val="auto"/>
              </w:rPr>
            </w:pPr>
            <w:r>
              <w:rPr>
                <w:rFonts w:ascii="Arial" w:cs="Arial" w:eastAsia="Arial" w:hAnsi="Arial"/>
                <w:sz w:val="16"/>
                <w:szCs w:val="16"/>
                <w:b w:val="1"/>
                <w:bCs w:val="1"/>
                <w:color w:val="FFFFFF"/>
              </w:rPr>
              <w:t>($)</w:t>
            </w:r>
          </w:p>
        </w:tc>
        <w:tc>
          <w:tcPr>
            <w:tcW w:w="1200" w:type="dxa"/>
            <w:vAlign w:val="bottom"/>
            <w:tcBorders>
              <w:bottom w:val="single" w:sz="8" w:color="F75E14"/>
            </w:tcBorders>
            <w:shd w:val="clear" w:color="auto" w:fill="F75E14"/>
          </w:tcPr>
          <w:p>
            <w:pPr>
              <w:jc w:val="right"/>
              <w:ind w:right="20"/>
              <w:spacing w:after="0"/>
              <w:rPr>
                <w:sz w:val="20"/>
                <w:szCs w:val="20"/>
                <w:color w:val="auto"/>
              </w:rPr>
            </w:pPr>
            <w:r>
              <w:rPr>
                <w:rFonts w:ascii="Arial" w:cs="Arial" w:eastAsia="Arial" w:hAnsi="Arial"/>
                <w:sz w:val="16"/>
                <w:szCs w:val="16"/>
                <w:b w:val="1"/>
                <w:bCs w:val="1"/>
                <w:color w:val="FFFFFF"/>
              </w:rPr>
              <w:t>for Cause ($)</w:t>
            </w:r>
          </w:p>
        </w:tc>
        <w:tc>
          <w:tcPr>
            <w:tcW w:w="1140" w:type="dxa"/>
            <w:vAlign w:val="bottom"/>
            <w:tcBorders>
              <w:bottom w:val="single" w:sz="8" w:color="F75E14"/>
            </w:tcBorders>
            <w:shd w:val="clear" w:color="auto" w:fill="F75E14"/>
          </w:tcPr>
          <w:p>
            <w:pPr>
              <w:jc w:val="center"/>
              <w:spacing w:after="0"/>
              <w:rPr>
                <w:sz w:val="20"/>
                <w:szCs w:val="20"/>
                <w:color w:val="auto"/>
              </w:rPr>
            </w:pPr>
            <w:r>
              <w:rPr>
                <w:rFonts w:ascii="Arial" w:cs="Arial" w:eastAsia="Arial" w:hAnsi="Arial"/>
                <w:sz w:val="16"/>
                <w:szCs w:val="16"/>
                <w:b w:val="1"/>
                <w:bCs w:val="1"/>
                <w:color w:val="FFFFFF"/>
              </w:rPr>
              <w:t>($)</w:t>
            </w:r>
          </w:p>
        </w:tc>
      </w:tr>
      <w:tr>
        <w:trPr>
          <w:trHeight w:val="274"/>
        </w:trPr>
        <w:tc>
          <w:tcPr>
            <w:tcW w:w="3920" w:type="dxa"/>
            <w:vAlign w:val="bottom"/>
            <w:shd w:val="clear" w:color="auto" w:fill="D8E8EF"/>
          </w:tcPr>
          <w:p>
            <w:pPr>
              <w:ind w:left="60"/>
              <w:spacing w:after="0"/>
              <w:rPr>
                <w:sz w:val="20"/>
                <w:szCs w:val="20"/>
                <w:color w:val="auto"/>
              </w:rPr>
            </w:pPr>
            <w:r>
              <w:rPr>
                <w:rFonts w:ascii="Arial" w:cs="Arial" w:eastAsia="Arial" w:hAnsi="Arial"/>
                <w:sz w:val="16"/>
                <w:szCs w:val="16"/>
                <w:b w:val="1"/>
                <w:bCs w:val="1"/>
                <w:color w:val="auto"/>
              </w:rPr>
              <w:t>Cash Compensation:</w:t>
            </w:r>
          </w:p>
        </w:tc>
        <w:tc>
          <w:tcPr>
            <w:tcW w:w="1360" w:type="dxa"/>
            <w:vAlign w:val="bottom"/>
            <w:shd w:val="clear" w:color="auto" w:fill="D8E8EF"/>
          </w:tcPr>
          <w:p>
            <w:pPr>
              <w:spacing w:after="0"/>
              <w:rPr>
                <w:sz w:val="23"/>
                <w:szCs w:val="23"/>
                <w:color w:val="auto"/>
              </w:rPr>
            </w:pPr>
          </w:p>
        </w:tc>
        <w:tc>
          <w:tcPr>
            <w:tcW w:w="1000" w:type="dxa"/>
            <w:vAlign w:val="bottom"/>
            <w:shd w:val="clear" w:color="auto" w:fill="D8E8EF"/>
          </w:tcPr>
          <w:p>
            <w:pPr>
              <w:spacing w:after="0"/>
              <w:rPr>
                <w:sz w:val="23"/>
                <w:szCs w:val="23"/>
                <w:color w:val="auto"/>
              </w:rPr>
            </w:pPr>
          </w:p>
        </w:tc>
        <w:tc>
          <w:tcPr>
            <w:tcW w:w="300" w:type="dxa"/>
            <w:vAlign w:val="bottom"/>
            <w:shd w:val="clear" w:color="auto" w:fill="D8E8EF"/>
          </w:tcPr>
          <w:p>
            <w:pPr>
              <w:spacing w:after="0"/>
              <w:rPr>
                <w:sz w:val="23"/>
                <w:szCs w:val="23"/>
                <w:color w:val="auto"/>
              </w:rPr>
            </w:pPr>
          </w:p>
        </w:tc>
        <w:tc>
          <w:tcPr>
            <w:tcW w:w="1040" w:type="dxa"/>
            <w:vAlign w:val="bottom"/>
            <w:shd w:val="clear" w:color="auto" w:fill="D8E8EF"/>
          </w:tcPr>
          <w:p>
            <w:pPr>
              <w:spacing w:after="0"/>
              <w:rPr>
                <w:sz w:val="23"/>
                <w:szCs w:val="23"/>
                <w:color w:val="auto"/>
              </w:rPr>
            </w:pPr>
          </w:p>
        </w:tc>
        <w:tc>
          <w:tcPr>
            <w:tcW w:w="960" w:type="dxa"/>
            <w:vAlign w:val="bottom"/>
            <w:shd w:val="clear" w:color="auto" w:fill="D8E8EF"/>
          </w:tcPr>
          <w:p>
            <w:pPr>
              <w:spacing w:after="0"/>
              <w:rPr>
                <w:sz w:val="23"/>
                <w:szCs w:val="23"/>
                <w:color w:val="auto"/>
              </w:rPr>
            </w:pPr>
          </w:p>
        </w:tc>
        <w:tc>
          <w:tcPr>
            <w:tcW w:w="1200" w:type="dxa"/>
            <w:vAlign w:val="bottom"/>
            <w:shd w:val="clear" w:color="auto" w:fill="D8E8EF"/>
          </w:tcPr>
          <w:p>
            <w:pPr>
              <w:spacing w:after="0"/>
              <w:rPr>
                <w:sz w:val="23"/>
                <w:szCs w:val="23"/>
                <w:color w:val="auto"/>
              </w:rPr>
            </w:pPr>
          </w:p>
        </w:tc>
        <w:tc>
          <w:tcPr>
            <w:tcW w:w="1140" w:type="dxa"/>
            <w:vAlign w:val="bottom"/>
            <w:shd w:val="clear" w:color="auto" w:fill="D8E8EF"/>
          </w:tcPr>
          <w:p>
            <w:pPr>
              <w:spacing w:after="0"/>
              <w:rPr>
                <w:sz w:val="23"/>
                <w:szCs w:val="23"/>
                <w:color w:val="auto"/>
              </w:rPr>
            </w:pPr>
          </w:p>
        </w:tc>
      </w:tr>
      <w:tr>
        <w:trPr>
          <w:trHeight w:val="60"/>
        </w:trPr>
        <w:tc>
          <w:tcPr>
            <w:tcW w:w="3920" w:type="dxa"/>
            <w:vAlign w:val="bottom"/>
            <w:shd w:val="clear" w:color="auto" w:fill="D8E8EF"/>
          </w:tcPr>
          <w:p>
            <w:pPr>
              <w:spacing w:after="0"/>
              <w:rPr>
                <w:sz w:val="5"/>
                <w:szCs w:val="5"/>
                <w:color w:val="auto"/>
              </w:rPr>
            </w:pPr>
          </w:p>
        </w:tc>
        <w:tc>
          <w:tcPr>
            <w:tcW w:w="1360" w:type="dxa"/>
            <w:vAlign w:val="bottom"/>
            <w:shd w:val="clear" w:color="auto" w:fill="D8E8EF"/>
          </w:tcPr>
          <w:p>
            <w:pPr>
              <w:spacing w:after="0"/>
              <w:rPr>
                <w:sz w:val="5"/>
                <w:szCs w:val="5"/>
                <w:color w:val="auto"/>
              </w:rPr>
            </w:pPr>
          </w:p>
        </w:tc>
        <w:tc>
          <w:tcPr>
            <w:tcW w:w="1000" w:type="dxa"/>
            <w:vAlign w:val="bottom"/>
            <w:shd w:val="clear" w:color="auto" w:fill="D8E8EF"/>
          </w:tcPr>
          <w:p>
            <w:pPr>
              <w:spacing w:after="0"/>
              <w:rPr>
                <w:sz w:val="5"/>
                <w:szCs w:val="5"/>
                <w:color w:val="auto"/>
              </w:rPr>
            </w:pPr>
          </w:p>
        </w:tc>
        <w:tc>
          <w:tcPr>
            <w:tcW w:w="300" w:type="dxa"/>
            <w:vAlign w:val="bottom"/>
            <w:shd w:val="clear" w:color="auto" w:fill="D8E8EF"/>
          </w:tcPr>
          <w:p>
            <w:pPr>
              <w:spacing w:after="0"/>
              <w:rPr>
                <w:sz w:val="5"/>
                <w:szCs w:val="5"/>
                <w:color w:val="auto"/>
              </w:rPr>
            </w:pPr>
          </w:p>
        </w:tc>
        <w:tc>
          <w:tcPr>
            <w:tcW w:w="1040" w:type="dxa"/>
            <w:vAlign w:val="bottom"/>
            <w:shd w:val="clear" w:color="auto" w:fill="D8E8EF"/>
          </w:tcPr>
          <w:p>
            <w:pPr>
              <w:spacing w:after="0"/>
              <w:rPr>
                <w:sz w:val="5"/>
                <w:szCs w:val="5"/>
                <w:color w:val="auto"/>
              </w:rPr>
            </w:pPr>
          </w:p>
        </w:tc>
        <w:tc>
          <w:tcPr>
            <w:tcW w:w="960" w:type="dxa"/>
            <w:vAlign w:val="bottom"/>
            <w:shd w:val="clear" w:color="auto" w:fill="D8E8EF"/>
          </w:tcPr>
          <w:p>
            <w:pPr>
              <w:spacing w:after="0"/>
              <w:rPr>
                <w:sz w:val="5"/>
                <w:szCs w:val="5"/>
                <w:color w:val="auto"/>
              </w:rPr>
            </w:pPr>
          </w:p>
        </w:tc>
        <w:tc>
          <w:tcPr>
            <w:tcW w:w="1200" w:type="dxa"/>
            <w:vAlign w:val="bottom"/>
            <w:shd w:val="clear" w:color="auto" w:fill="D8E8EF"/>
          </w:tcPr>
          <w:p>
            <w:pPr>
              <w:spacing w:after="0"/>
              <w:rPr>
                <w:sz w:val="5"/>
                <w:szCs w:val="5"/>
                <w:color w:val="auto"/>
              </w:rPr>
            </w:pPr>
          </w:p>
        </w:tc>
        <w:tc>
          <w:tcPr>
            <w:tcW w:w="1140" w:type="dxa"/>
            <w:vAlign w:val="bottom"/>
            <w:shd w:val="clear" w:color="auto" w:fill="D8E8EF"/>
          </w:tcPr>
          <w:p>
            <w:pPr>
              <w:spacing w:after="0"/>
              <w:rPr>
                <w:sz w:val="5"/>
                <w:szCs w:val="5"/>
                <w:color w:val="auto"/>
              </w:rPr>
            </w:pPr>
          </w:p>
        </w:tc>
      </w:tr>
      <w:tr>
        <w:trPr>
          <w:trHeight w:val="264"/>
        </w:trPr>
        <w:tc>
          <w:tcPr>
            <w:tcW w:w="3920" w:type="dxa"/>
            <w:vAlign w:val="bottom"/>
          </w:tcPr>
          <w:p>
            <w:pPr>
              <w:ind w:left="60"/>
              <w:spacing w:after="0"/>
              <w:rPr>
                <w:sz w:val="20"/>
                <w:szCs w:val="20"/>
                <w:color w:val="auto"/>
              </w:rPr>
            </w:pPr>
            <w:r>
              <w:rPr>
                <w:rFonts w:ascii="Arial" w:cs="Arial" w:eastAsia="Arial" w:hAnsi="Arial"/>
                <w:sz w:val="16"/>
                <w:szCs w:val="16"/>
                <w:color w:val="auto"/>
              </w:rPr>
              <w:t>Base Salary</w:t>
            </w:r>
          </w:p>
        </w:tc>
        <w:tc>
          <w:tcPr>
            <w:tcW w:w="1360" w:type="dxa"/>
            <w:vAlign w:val="bottom"/>
          </w:tcPr>
          <w:p>
            <w:pPr>
              <w:jc w:val="right"/>
              <w:ind w:right="80"/>
              <w:spacing w:after="0"/>
              <w:rPr>
                <w:sz w:val="20"/>
                <w:szCs w:val="20"/>
                <w:color w:val="auto"/>
              </w:rPr>
            </w:pPr>
            <w:r>
              <w:rPr>
                <w:rFonts w:ascii="Arial" w:cs="Arial" w:eastAsia="Arial" w:hAnsi="Arial"/>
                <w:sz w:val="16"/>
                <w:szCs w:val="16"/>
                <w:color w:val="auto"/>
              </w:rPr>
              <w:t>500,000 (1)</w:t>
            </w:r>
          </w:p>
        </w:tc>
        <w:tc>
          <w:tcPr>
            <w:tcW w:w="1000" w:type="dxa"/>
            <w:vAlign w:val="bottom"/>
          </w:tcPr>
          <w:p>
            <w:pPr>
              <w:jc w:val="right"/>
              <w:spacing w:after="0"/>
              <w:rPr>
                <w:sz w:val="20"/>
                <w:szCs w:val="20"/>
                <w:color w:val="auto"/>
              </w:rPr>
            </w:pPr>
            <w:r>
              <w:rPr>
                <w:rFonts w:ascii="Arial" w:cs="Arial" w:eastAsia="Arial" w:hAnsi="Arial"/>
                <w:sz w:val="16"/>
                <w:szCs w:val="16"/>
                <w:color w:val="auto"/>
              </w:rPr>
              <w:t>500,000</w:t>
            </w:r>
          </w:p>
        </w:tc>
        <w:tc>
          <w:tcPr>
            <w:tcW w:w="300" w:type="dxa"/>
            <w:vAlign w:val="bottom"/>
          </w:tcPr>
          <w:p>
            <w:pPr>
              <w:jc w:val="right"/>
              <w:spacing w:after="0"/>
              <w:rPr>
                <w:sz w:val="20"/>
                <w:szCs w:val="20"/>
                <w:color w:val="auto"/>
              </w:rPr>
            </w:pPr>
            <w:r>
              <w:rPr>
                <w:rFonts w:ascii="Arial" w:cs="Arial" w:eastAsia="Arial" w:hAnsi="Arial"/>
                <w:sz w:val="16"/>
                <w:szCs w:val="16"/>
                <w:color w:val="auto"/>
              </w:rPr>
              <w:t>(1)</w:t>
            </w:r>
          </w:p>
        </w:tc>
        <w:tc>
          <w:tcPr>
            <w:tcW w:w="1040" w:type="dxa"/>
            <w:vAlign w:val="bottom"/>
          </w:tcPr>
          <w:p>
            <w:pPr>
              <w:jc w:val="right"/>
              <w:ind w:right="60"/>
              <w:spacing w:after="0"/>
              <w:rPr>
                <w:sz w:val="20"/>
                <w:szCs w:val="20"/>
                <w:color w:val="auto"/>
              </w:rPr>
            </w:pPr>
            <w:r>
              <w:rPr>
                <w:rFonts w:ascii="Arial" w:cs="Arial" w:eastAsia="Arial" w:hAnsi="Arial"/>
                <w:sz w:val="16"/>
                <w:szCs w:val="16"/>
                <w:color w:val="auto"/>
              </w:rPr>
              <w:t>0</w:t>
            </w: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0</w:t>
            </w: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0</w:t>
            </w: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0</w:t>
            </w:r>
          </w:p>
        </w:tc>
      </w:tr>
      <w:tr>
        <w:trPr>
          <w:trHeight w:val="70"/>
        </w:trPr>
        <w:tc>
          <w:tcPr>
            <w:tcW w:w="3920" w:type="dxa"/>
            <w:vAlign w:val="bottom"/>
          </w:tcPr>
          <w:p>
            <w:pPr>
              <w:spacing w:after="0"/>
              <w:rPr>
                <w:sz w:val="6"/>
                <w:szCs w:val="6"/>
                <w:color w:val="auto"/>
              </w:rPr>
            </w:pPr>
          </w:p>
        </w:tc>
        <w:tc>
          <w:tcPr>
            <w:tcW w:w="13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9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140" w:type="dxa"/>
            <w:vAlign w:val="bottom"/>
          </w:tcPr>
          <w:p>
            <w:pPr>
              <w:spacing w:after="0"/>
              <w:rPr>
                <w:sz w:val="6"/>
                <w:szCs w:val="6"/>
                <w:color w:val="auto"/>
              </w:rPr>
            </w:pPr>
          </w:p>
        </w:tc>
      </w:tr>
      <w:tr>
        <w:trPr>
          <w:trHeight w:val="264"/>
        </w:trPr>
        <w:tc>
          <w:tcPr>
            <w:tcW w:w="3920" w:type="dxa"/>
            <w:vAlign w:val="bottom"/>
            <w:shd w:val="clear" w:color="auto" w:fill="D8E8EF"/>
          </w:tcPr>
          <w:p>
            <w:pPr>
              <w:ind w:left="60"/>
              <w:spacing w:after="0"/>
              <w:rPr>
                <w:sz w:val="20"/>
                <w:szCs w:val="20"/>
                <w:color w:val="auto"/>
              </w:rPr>
            </w:pPr>
            <w:r>
              <w:rPr>
                <w:rFonts w:ascii="Arial" w:cs="Arial" w:eastAsia="Arial" w:hAnsi="Arial"/>
                <w:sz w:val="16"/>
                <w:szCs w:val="16"/>
                <w:color w:val="auto"/>
              </w:rPr>
              <w:t>Short-Term Incentive</w:t>
            </w:r>
          </w:p>
        </w:tc>
        <w:tc>
          <w:tcPr>
            <w:tcW w:w="1360" w:type="dxa"/>
            <w:vAlign w:val="bottom"/>
            <w:shd w:val="clear" w:color="auto" w:fill="D8E8EF"/>
          </w:tcPr>
          <w:p>
            <w:pPr>
              <w:jc w:val="right"/>
              <w:ind w:right="80"/>
              <w:spacing w:after="0"/>
              <w:rPr>
                <w:sz w:val="20"/>
                <w:szCs w:val="20"/>
                <w:color w:val="auto"/>
              </w:rPr>
            </w:pPr>
            <w:r>
              <w:rPr>
                <w:rFonts w:ascii="Arial" w:cs="Arial" w:eastAsia="Arial" w:hAnsi="Arial"/>
                <w:sz w:val="16"/>
                <w:szCs w:val="16"/>
                <w:color w:val="auto"/>
              </w:rPr>
              <w:t>684,152 (2)</w:t>
            </w:r>
          </w:p>
        </w:tc>
        <w:tc>
          <w:tcPr>
            <w:tcW w:w="1000" w:type="dxa"/>
            <w:vAlign w:val="bottom"/>
            <w:shd w:val="clear" w:color="auto" w:fill="D8E8EF"/>
          </w:tcPr>
          <w:p>
            <w:pPr>
              <w:jc w:val="right"/>
              <w:spacing w:after="0"/>
              <w:rPr>
                <w:sz w:val="20"/>
                <w:szCs w:val="20"/>
                <w:color w:val="auto"/>
              </w:rPr>
            </w:pPr>
            <w:r>
              <w:rPr>
                <w:rFonts w:ascii="Arial" w:cs="Arial" w:eastAsia="Arial" w:hAnsi="Arial"/>
                <w:sz w:val="16"/>
                <w:szCs w:val="16"/>
                <w:color w:val="auto"/>
              </w:rPr>
              <w:t>425,000</w:t>
            </w:r>
          </w:p>
        </w:tc>
        <w:tc>
          <w:tcPr>
            <w:tcW w:w="300" w:type="dxa"/>
            <w:vAlign w:val="bottom"/>
            <w:shd w:val="clear" w:color="auto" w:fill="D8E8EF"/>
          </w:tcPr>
          <w:p>
            <w:pPr>
              <w:jc w:val="right"/>
              <w:spacing w:after="0"/>
              <w:rPr>
                <w:sz w:val="20"/>
                <w:szCs w:val="20"/>
                <w:color w:val="auto"/>
              </w:rPr>
            </w:pPr>
            <w:r>
              <w:rPr>
                <w:rFonts w:ascii="Arial" w:cs="Arial" w:eastAsia="Arial" w:hAnsi="Arial"/>
                <w:sz w:val="16"/>
                <w:szCs w:val="16"/>
                <w:color w:val="auto"/>
              </w:rPr>
              <w:t>(2)</w:t>
            </w:r>
          </w:p>
        </w:tc>
        <w:tc>
          <w:tcPr>
            <w:tcW w:w="1040" w:type="dxa"/>
            <w:vAlign w:val="bottom"/>
            <w:shd w:val="clear" w:color="auto" w:fill="D8E8EF"/>
          </w:tcPr>
          <w:p>
            <w:pPr>
              <w:jc w:val="right"/>
              <w:ind w:right="60"/>
              <w:spacing w:after="0"/>
              <w:rPr>
                <w:sz w:val="20"/>
                <w:szCs w:val="20"/>
                <w:color w:val="auto"/>
              </w:rPr>
            </w:pPr>
            <w:r>
              <w:rPr>
                <w:rFonts w:ascii="Arial" w:cs="Arial" w:eastAsia="Arial" w:hAnsi="Arial"/>
                <w:sz w:val="16"/>
                <w:szCs w:val="16"/>
                <w:color w:val="auto"/>
              </w:rPr>
              <w:t>0</w:t>
            </w:r>
          </w:p>
        </w:tc>
        <w:tc>
          <w:tcPr>
            <w:tcW w:w="960" w:type="dxa"/>
            <w:vAlign w:val="bottom"/>
            <w:shd w:val="clear" w:color="auto" w:fill="D8E8EF"/>
          </w:tcPr>
          <w:p>
            <w:pPr>
              <w:jc w:val="right"/>
              <w:ind w:right="40"/>
              <w:spacing w:after="0"/>
              <w:rPr>
                <w:sz w:val="20"/>
                <w:szCs w:val="20"/>
                <w:color w:val="auto"/>
              </w:rPr>
            </w:pPr>
            <w:r>
              <w:rPr>
                <w:rFonts w:ascii="Arial" w:cs="Arial" w:eastAsia="Arial" w:hAnsi="Arial"/>
                <w:sz w:val="16"/>
                <w:szCs w:val="16"/>
                <w:color w:val="auto"/>
              </w:rPr>
              <w:t>0</w:t>
            </w:r>
          </w:p>
        </w:tc>
        <w:tc>
          <w:tcPr>
            <w:tcW w:w="1200" w:type="dxa"/>
            <w:vAlign w:val="bottom"/>
            <w:shd w:val="clear" w:color="auto" w:fill="D8E8EF"/>
          </w:tcPr>
          <w:p>
            <w:pPr>
              <w:jc w:val="right"/>
              <w:ind w:right="20"/>
              <w:spacing w:after="0"/>
              <w:rPr>
                <w:sz w:val="20"/>
                <w:szCs w:val="20"/>
                <w:color w:val="auto"/>
              </w:rPr>
            </w:pPr>
            <w:r>
              <w:rPr>
                <w:rFonts w:ascii="Arial" w:cs="Arial" w:eastAsia="Arial" w:hAnsi="Arial"/>
                <w:sz w:val="16"/>
                <w:szCs w:val="16"/>
                <w:color w:val="auto"/>
              </w:rPr>
              <w:t>0</w:t>
            </w:r>
          </w:p>
        </w:tc>
        <w:tc>
          <w:tcPr>
            <w:tcW w:w="1140" w:type="dxa"/>
            <w:vAlign w:val="bottom"/>
            <w:shd w:val="clear" w:color="auto" w:fill="D8E8EF"/>
          </w:tcPr>
          <w:p>
            <w:pPr>
              <w:jc w:val="right"/>
              <w:ind w:right="20"/>
              <w:spacing w:after="0"/>
              <w:rPr>
                <w:sz w:val="20"/>
                <w:szCs w:val="20"/>
                <w:color w:val="auto"/>
              </w:rPr>
            </w:pPr>
            <w:r>
              <w:rPr>
                <w:rFonts w:ascii="Arial" w:cs="Arial" w:eastAsia="Arial" w:hAnsi="Arial"/>
                <w:sz w:val="16"/>
                <w:szCs w:val="16"/>
                <w:color w:val="auto"/>
              </w:rPr>
              <w:t>0</w:t>
            </w:r>
          </w:p>
        </w:tc>
      </w:tr>
      <w:tr>
        <w:trPr>
          <w:trHeight w:val="70"/>
        </w:trPr>
        <w:tc>
          <w:tcPr>
            <w:tcW w:w="3920" w:type="dxa"/>
            <w:vAlign w:val="bottom"/>
            <w:shd w:val="clear" w:color="auto" w:fill="D8E8EF"/>
          </w:tcPr>
          <w:p>
            <w:pPr>
              <w:spacing w:after="0"/>
              <w:rPr>
                <w:sz w:val="6"/>
                <w:szCs w:val="6"/>
                <w:color w:val="auto"/>
              </w:rPr>
            </w:pPr>
          </w:p>
        </w:tc>
        <w:tc>
          <w:tcPr>
            <w:tcW w:w="1360" w:type="dxa"/>
            <w:vAlign w:val="bottom"/>
            <w:shd w:val="clear" w:color="auto" w:fill="D8E8EF"/>
          </w:tcPr>
          <w:p>
            <w:pPr>
              <w:spacing w:after="0"/>
              <w:rPr>
                <w:sz w:val="6"/>
                <w:szCs w:val="6"/>
                <w:color w:val="auto"/>
              </w:rPr>
            </w:pPr>
          </w:p>
        </w:tc>
        <w:tc>
          <w:tcPr>
            <w:tcW w:w="1000" w:type="dxa"/>
            <w:vAlign w:val="bottom"/>
            <w:shd w:val="clear" w:color="auto" w:fill="D8E8EF"/>
          </w:tcPr>
          <w:p>
            <w:pPr>
              <w:spacing w:after="0"/>
              <w:rPr>
                <w:sz w:val="6"/>
                <w:szCs w:val="6"/>
                <w:color w:val="auto"/>
              </w:rPr>
            </w:pPr>
          </w:p>
        </w:tc>
        <w:tc>
          <w:tcPr>
            <w:tcW w:w="300" w:type="dxa"/>
            <w:vAlign w:val="bottom"/>
            <w:shd w:val="clear" w:color="auto" w:fill="D8E8EF"/>
          </w:tcPr>
          <w:p>
            <w:pPr>
              <w:spacing w:after="0"/>
              <w:rPr>
                <w:sz w:val="6"/>
                <w:szCs w:val="6"/>
                <w:color w:val="auto"/>
              </w:rPr>
            </w:pPr>
          </w:p>
        </w:tc>
        <w:tc>
          <w:tcPr>
            <w:tcW w:w="1040" w:type="dxa"/>
            <w:vAlign w:val="bottom"/>
            <w:shd w:val="clear" w:color="auto" w:fill="D8E8EF"/>
          </w:tcPr>
          <w:p>
            <w:pPr>
              <w:spacing w:after="0"/>
              <w:rPr>
                <w:sz w:val="6"/>
                <w:szCs w:val="6"/>
                <w:color w:val="auto"/>
              </w:rPr>
            </w:pPr>
          </w:p>
        </w:tc>
        <w:tc>
          <w:tcPr>
            <w:tcW w:w="960" w:type="dxa"/>
            <w:vAlign w:val="bottom"/>
            <w:shd w:val="clear" w:color="auto" w:fill="D8E8EF"/>
          </w:tcPr>
          <w:p>
            <w:pPr>
              <w:spacing w:after="0"/>
              <w:rPr>
                <w:sz w:val="6"/>
                <w:szCs w:val="6"/>
                <w:color w:val="auto"/>
              </w:rPr>
            </w:pPr>
          </w:p>
        </w:tc>
        <w:tc>
          <w:tcPr>
            <w:tcW w:w="1200" w:type="dxa"/>
            <w:vAlign w:val="bottom"/>
            <w:shd w:val="clear" w:color="auto" w:fill="D8E8EF"/>
          </w:tcPr>
          <w:p>
            <w:pPr>
              <w:spacing w:after="0"/>
              <w:rPr>
                <w:sz w:val="6"/>
                <w:szCs w:val="6"/>
                <w:color w:val="auto"/>
              </w:rPr>
            </w:pPr>
          </w:p>
        </w:tc>
        <w:tc>
          <w:tcPr>
            <w:tcW w:w="1140" w:type="dxa"/>
            <w:vAlign w:val="bottom"/>
            <w:shd w:val="clear" w:color="auto" w:fill="D8E8EF"/>
          </w:tcPr>
          <w:p>
            <w:pPr>
              <w:spacing w:after="0"/>
              <w:rPr>
                <w:sz w:val="6"/>
                <w:szCs w:val="6"/>
                <w:color w:val="auto"/>
              </w:rPr>
            </w:pPr>
          </w:p>
        </w:tc>
      </w:tr>
      <w:tr>
        <w:trPr>
          <w:trHeight w:val="274"/>
        </w:trPr>
        <w:tc>
          <w:tcPr>
            <w:tcW w:w="3920" w:type="dxa"/>
            <w:vAlign w:val="bottom"/>
          </w:tcPr>
          <w:p>
            <w:pPr>
              <w:ind w:left="60"/>
              <w:spacing w:after="0"/>
              <w:rPr>
                <w:sz w:val="20"/>
                <w:szCs w:val="20"/>
                <w:color w:val="auto"/>
              </w:rPr>
            </w:pPr>
            <w:r>
              <w:rPr>
                <w:rFonts w:ascii="Arial" w:cs="Arial" w:eastAsia="Arial" w:hAnsi="Arial"/>
                <w:sz w:val="16"/>
                <w:szCs w:val="16"/>
                <w:b w:val="1"/>
                <w:bCs w:val="1"/>
                <w:color w:val="auto"/>
              </w:rPr>
              <w:t>Long-Term Incentives:</w:t>
            </w:r>
          </w:p>
        </w:tc>
        <w:tc>
          <w:tcPr>
            <w:tcW w:w="13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60"/>
        </w:trPr>
        <w:tc>
          <w:tcPr>
            <w:tcW w:w="3920" w:type="dxa"/>
            <w:vAlign w:val="bottom"/>
          </w:tcPr>
          <w:p>
            <w:pPr>
              <w:spacing w:after="0"/>
              <w:rPr>
                <w:sz w:val="5"/>
                <w:szCs w:val="5"/>
                <w:color w:val="auto"/>
              </w:rPr>
            </w:pPr>
          </w:p>
        </w:tc>
        <w:tc>
          <w:tcPr>
            <w:tcW w:w="13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9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140" w:type="dxa"/>
            <w:vAlign w:val="bottom"/>
          </w:tcPr>
          <w:p>
            <w:pPr>
              <w:spacing w:after="0"/>
              <w:rPr>
                <w:sz w:val="5"/>
                <w:szCs w:val="5"/>
                <w:color w:val="auto"/>
              </w:rPr>
            </w:pPr>
          </w:p>
        </w:tc>
      </w:tr>
      <w:tr>
        <w:trPr>
          <w:trHeight w:val="240"/>
        </w:trPr>
        <w:tc>
          <w:tcPr>
            <w:tcW w:w="3920" w:type="dxa"/>
            <w:vAlign w:val="bottom"/>
            <w:shd w:val="clear" w:color="auto" w:fill="D8E8EF"/>
          </w:tcPr>
          <w:p>
            <w:pPr>
              <w:ind w:left="60"/>
              <w:spacing w:after="0"/>
              <w:rPr>
                <w:sz w:val="20"/>
                <w:szCs w:val="20"/>
                <w:color w:val="auto"/>
              </w:rPr>
            </w:pPr>
            <w:r>
              <w:rPr>
                <w:rFonts w:ascii="Arial" w:cs="Arial" w:eastAsia="Arial" w:hAnsi="Arial"/>
                <w:sz w:val="16"/>
                <w:szCs w:val="16"/>
                <w:color w:val="auto"/>
              </w:rPr>
              <w:t>Acceleration or Continued Vesting of Unvested Stock</w:t>
            </w:r>
          </w:p>
        </w:tc>
        <w:tc>
          <w:tcPr>
            <w:tcW w:w="1360" w:type="dxa"/>
            <w:vAlign w:val="bottom"/>
            <w:shd w:val="clear" w:color="auto" w:fill="D8E8EF"/>
          </w:tcPr>
          <w:p>
            <w:pPr>
              <w:jc w:val="right"/>
              <w:ind w:right="80"/>
              <w:spacing w:after="0"/>
              <w:rPr>
                <w:sz w:val="20"/>
                <w:szCs w:val="20"/>
                <w:color w:val="auto"/>
              </w:rPr>
            </w:pPr>
            <w:r>
              <w:rPr>
                <w:rFonts w:ascii="Arial" w:cs="Arial" w:eastAsia="Arial" w:hAnsi="Arial"/>
                <w:sz w:val="16"/>
                <w:szCs w:val="16"/>
                <w:color w:val="auto"/>
              </w:rPr>
              <w:t>0</w:t>
            </w:r>
          </w:p>
        </w:tc>
        <w:tc>
          <w:tcPr>
            <w:tcW w:w="1000" w:type="dxa"/>
            <w:vAlign w:val="bottom"/>
            <w:shd w:val="clear" w:color="auto" w:fill="D8E8EF"/>
          </w:tcPr>
          <w:p>
            <w:pPr>
              <w:jc w:val="right"/>
              <w:spacing w:after="0"/>
              <w:rPr>
                <w:sz w:val="20"/>
                <w:szCs w:val="20"/>
                <w:color w:val="auto"/>
              </w:rPr>
            </w:pPr>
            <w:r>
              <w:rPr>
                <w:rFonts w:ascii="Arial" w:cs="Arial" w:eastAsia="Arial" w:hAnsi="Arial"/>
                <w:sz w:val="16"/>
                <w:szCs w:val="16"/>
                <w:color w:val="auto"/>
              </w:rPr>
              <w:t>12,946,163</w:t>
            </w:r>
          </w:p>
        </w:tc>
        <w:tc>
          <w:tcPr>
            <w:tcW w:w="300" w:type="dxa"/>
            <w:vAlign w:val="bottom"/>
            <w:shd w:val="clear" w:color="auto" w:fill="D8E8EF"/>
          </w:tcPr>
          <w:p>
            <w:pPr>
              <w:jc w:val="right"/>
              <w:spacing w:after="0"/>
              <w:rPr>
                <w:sz w:val="20"/>
                <w:szCs w:val="20"/>
                <w:color w:val="auto"/>
              </w:rPr>
            </w:pPr>
            <w:r>
              <w:rPr>
                <w:rFonts w:ascii="Arial" w:cs="Arial" w:eastAsia="Arial" w:hAnsi="Arial"/>
                <w:sz w:val="16"/>
                <w:szCs w:val="16"/>
                <w:color w:val="auto"/>
              </w:rPr>
              <w:t>(3)</w:t>
            </w:r>
          </w:p>
        </w:tc>
        <w:tc>
          <w:tcPr>
            <w:tcW w:w="1040" w:type="dxa"/>
            <w:vAlign w:val="bottom"/>
            <w:shd w:val="clear" w:color="auto" w:fill="D8E8EF"/>
          </w:tcPr>
          <w:p>
            <w:pPr>
              <w:jc w:val="right"/>
              <w:ind w:right="60"/>
              <w:spacing w:after="0"/>
              <w:rPr>
                <w:sz w:val="20"/>
                <w:szCs w:val="20"/>
                <w:color w:val="auto"/>
              </w:rPr>
            </w:pPr>
            <w:r>
              <w:rPr>
                <w:rFonts w:ascii="Arial" w:cs="Arial" w:eastAsia="Arial" w:hAnsi="Arial"/>
                <w:sz w:val="16"/>
                <w:szCs w:val="16"/>
                <w:color w:val="auto"/>
              </w:rPr>
              <w:t>(3)</w:t>
            </w:r>
          </w:p>
        </w:tc>
        <w:tc>
          <w:tcPr>
            <w:tcW w:w="960" w:type="dxa"/>
            <w:vAlign w:val="bottom"/>
            <w:shd w:val="clear" w:color="auto" w:fill="D8E8EF"/>
          </w:tcPr>
          <w:p>
            <w:pPr>
              <w:jc w:val="right"/>
              <w:ind w:right="40"/>
              <w:spacing w:after="0"/>
              <w:rPr>
                <w:sz w:val="20"/>
                <w:szCs w:val="20"/>
                <w:color w:val="auto"/>
              </w:rPr>
            </w:pPr>
            <w:r>
              <w:rPr>
                <w:rFonts w:ascii="Arial" w:cs="Arial" w:eastAsia="Arial" w:hAnsi="Arial"/>
                <w:sz w:val="16"/>
                <w:szCs w:val="16"/>
                <w:color w:val="auto"/>
              </w:rPr>
              <w:t>0</w:t>
            </w:r>
          </w:p>
        </w:tc>
        <w:tc>
          <w:tcPr>
            <w:tcW w:w="1200" w:type="dxa"/>
            <w:vAlign w:val="bottom"/>
            <w:shd w:val="clear" w:color="auto" w:fill="D8E8EF"/>
          </w:tcPr>
          <w:p>
            <w:pPr>
              <w:jc w:val="right"/>
              <w:ind w:right="20"/>
              <w:spacing w:after="0"/>
              <w:rPr>
                <w:sz w:val="20"/>
                <w:szCs w:val="20"/>
                <w:color w:val="auto"/>
              </w:rPr>
            </w:pPr>
            <w:r>
              <w:rPr>
                <w:rFonts w:ascii="Arial" w:cs="Arial" w:eastAsia="Arial" w:hAnsi="Arial"/>
                <w:sz w:val="16"/>
                <w:szCs w:val="16"/>
                <w:color w:val="auto"/>
              </w:rPr>
              <w:t>0</w:t>
            </w:r>
          </w:p>
        </w:tc>
        <w:tc>
          <w:tcPr>
            <w:tcW w:w="1140" w:type="dxa"/>
            <w:vAlign w:val="bottom"/>
            <w:shd w:val="clear" w:color="auto" w:fill="D8E8EF"/>
          </w:tcPr>
          <w:p>
            <w:pPr>
              <w:jc w:val="right"/>
              <w:ind w:right="20"/>
              <w:spacing w:after="0"/>
              <w:rPr>
                <w:sz w:val="20"/>
                <w:szCs w:val="20"/>
                <w:color w:val="auto"/>
              </w:rPr>
            </w:pPr>
            <w:r>
              <w:rPr>
                <w:rFonts w:ascii="Arial" w:cs="Arial" w:eastAsia="Arial" w:hAnsi="Arial"/>
                <w:sz w:val="16"/>
                <w:szCs w:val="16"/>
                <w:color w:val="auto"/>
              </w:rPr>
              <w:t>0</w:t>
            </w:r>
          </w:p>
        </w:tc>
      </w:tr>
      <w:tr>
        <w:trPr>
          <w:trHeight w:val="211"/>
        </w:trPr>
        <w:tc>
          <w:tcPr>
            <w:tcW w:w="3920" w:type="dxa"/>
            <w:vAlign w:val="bottom"/>
            <w:shd w:val="clear" w:color="auto" w:fill="D8E8EF"/>
          </w:tcPr>
          <w:p>
            <w:pPr>
              <w:ind w:left="320"/>
              <w:spacing w:after="0"/>
              <w:rPr>
                <w:sz w:val="20"/>
                <w:szCs w:val="20"/>
                <w:color w:val="auto"/>
              </w:rPr>
            </w:pPr>
            <w:r>
              <w:rPr>
                <w:rFonts w:ascii="Arial" w:cs="Arial" w:eastAsia="Arial" w:hAnsi="Arial"/>
                <w:sz w:val="16"/>
                <w:szCs w:val="16"/>
                <w:color w:val="auto"/>
              </w:rPr>
              <w:t>Options, RSUs or PBRSUs</w:t>
            </w:r>
          </w:p>
        </w:tc>
        <w:tc>
          <w:tcPr>
            <w:tcW w:w="1360" w:type="dxa"/>
            <w:vAlign w:val="bottom"/>
            <w:shd w:val="clear" w:color="auto" w:fill="D8E8EF"/>
          </w:tcPr>
          <w:p>
            <w:pPr>
              <w:spacing w:after="0"/>
              <w:rPr>
                <w:sz w:val="18"/>
                <w:szCs w:val="18"/>
                <w:color w:val="auto"/>
              </w:rPr>
            </w:pPr>
          </w:p>
        </w:tc>
        <w:tc>
          <w:tcPr>
            <w:tcW w:w="1000" w:type="dxa"/>
            <w:vAlign w:val="bottom"/>
            <w:shd w:val="clear" w:color="auto" w:fill="D8E8EF"/>
          </w:tcPr>
          <w:p>
            <w:pPr>
              <w:spacing w:after="0"/>
              <w:rPr>
                <w:sz w:val="18"/>
                <w:szCs w:val="18"/>
                <w:color w:val="auto"/>
              </w:rPr>
            </w:pPr>
          </w:p>
        </w:tc>
        <w:tc>
          <w:tcPr>
            <w:tcW w:w="300" w:type="dxa"/>
            <w:vAlign w:val="bottom"/>
            <w:shd w:val="clear" w:color="auto" w:fill="D8E8EF"/>
          </w:tcPr>
          <w:p>
            <w:pPr>
              <w:spacing w:after="0"/>
              <w:rPr>
                <w:sz w:val="18"/>
                <w:szCs w:val="18"/>
                <w:color w:val="auto"/>
              </w:rPr>
            </w:pPr>
          </w:p>
        </w:tc>
        <w:tc>
          <w:tcPr>
            <w:tcW w:w="1040" w:type="dxa"/>
            <w:vAlign w:val="bottom"/>
            <w:shd w:val="clear" w:color="auto" w:fill="D8E8EF"/>
          </w:tcPr>
          <w:p>
            <w:pPr>
              <w:spacing w:after="0"/>
              <w:rPr>
                <w:sz w:val="18"/>
                <w:szCs w:val="18"/>
                <w:color w:val="auto"/>
              </w:rPr>
            </w:pPr>
          </w:p>
        </w:tc>
        <w:tc>
          <w:tcPr>
            <w:tcW w:w="960" w:type="dxa"/>
            <w:vAlign w:val="bottom"/>
            <w:shd w:val="clear" w:color="auto" w:fill="D8E8EF"/>
          </w:tcPr>
          <w:p>
            <w:pPr>
              <w:spacing w:after="0"/>
              <w:rPr>
                <w:sz w:val="18"/>
                <w:szCs w:val="18"/>
                <w:color w:val="auto"/>
              </w:rPr>
            </w:pPr>
          </w:p>
        </w:tc>
        <w:tc>
          <w:tcPr>
            <w:tcW w:w="1200" w:type="dxa"/>
            <w:vAlign w:val="bottom"/>
            <w:shd w:val="clear" w:color="auto" w:fill="D8E8EF"/>
          </w:tcPr>
          <w:p>
            <w:pPr>
              <w:spacing w:after="0"/>
              <w:rPr>
                <w:sz w:val="18"/>
                <w:szCs w:val="18"/>
                <w:color w:val="auto"/>
              </w:rPr>
            </w:pPr>
          </w:p>
        </w:tc>
        <w:tc>
          <w:tcPr>
            <w:tcW w:w="1140" w:type="dxa"/>
            <w:vAlign w:val="bottom"/>
            <w:shd w:val="clear" w:color="auto" w:fill="D8E8EF"/>
          </w:tcPr>
          <w:p>
            <w:pPr>
              <w:spacing w:after="0"/>
              <w:rPr>
                <w:sz w:val="18"/>
                <w:szCs w:val="18"/>
                <w:color w:val="auto"/>
              </w:rPr>
            </w:pPr>
          </w:p>
        </w:tc>
      </w:tr>
      <w:tr>
        <w:trPr>
          <w:trHeight w:val="70"/>
        </w:trPr>
        <w:tc>
          <w:tcPr>
            <w:tcW w:w="3920" w:type="dxa"/>
            <w:vAlign w:val="bottom"/>
            <w:shd w:val="clear" w:color="auto" w:fill="D8E8EF"/>
          </w:tcPr>
          <w:p>
            <w:pPr>
              <w:spacing w:after="0"/>
              <w:rPr>
                <w:sz w:val="6"/>
                <w:szCs w:val="6"/>
                <w:color w:val="auto"/>
              </w:rPr>
            </w:pPr>
          </w:p>
        </w:tc>
        <w:tc>
          <w:tcPr>
            <w:tcW w:w="1360" w:type="dxa"/>
            <w:vAlign w:val="bottom"/>
            <w:shd w:val="clear" w:color="auto" w:fill="D8E8EF"/>
          </w:tcPr>
          <w:p>
            <w:pPr>
              <w:spacing w:after="0"/>
              <w:rPr>
                <w:sz w:val="6"/>
                <w:szCs w:val="6"/>
                <w:color w:val="auto"/>
              </w:rPr>
            </w:pPr>
          </w:p>
        </w:tc>
        <w:tc>
          <w:tcPr>
            <w:tcW w:w="1300" w:type="dxa"/>
            <w:vAlign w:val="bottom"/>
            <w:gridSpan w:val="2"/>
            <w:shd w:val="clear" w:color="auto" w:fill="D8E8EF"/>
          </w:tcPr>
          <w:p>
            <w:pPr>
              <w:spacing w:after="0"/>
              <w:rPr>
                <w:sz w:val="6"/>
                <w:szCs w:val="6"/>
                <w:color w:val="auto"/>
              </w:rPr>
            </w:pPr>
          </w:p>
        </w:tc>
        <w:tc>
          <w:tcPr>
            <w:tcW w:w="1040" w:type="dxa"/>
            <w:vAlign w:val="bottom"/>
            <w:shd w:val="clear" w:color="auto" w:fill="D8E8EF"/>
          </w:tcPr>
          <w:p>
            <w:pPr>
              <w:spacing w:after="0"/>
              <w:rPr>
                <w:sz w:val="6"/>
                <w:szCs w:val="6"/>
                <w:color w:val="auto"/>
              </w:rPr>
            </w:pPr>
          </w:p>
        </w:tc>
        <w:tc>
          <w:tcPr>
            <w:tcW w:w="960" w:type="dxa"/>
            <w:vAlign w:val="bottom"/>
            <w:shd w:val="clear" w:color="auto" w:fill="D8E8EF"/>
          </w:tcPr>
          <w:p>
            <w:pPr>
              <w:spacing w:after="0"/>
              <w:rPr>
                <w:sz w:val="6"/>
                <w:szCs w:val="6"/>
                <w:color w:val="auto"/>
              </w:rPr>
            </w:pPr>
          </w:p>
        </w:tc>
        <w:tc>
          <w:tcPr>
            <w:tcW w:w="1200" w:type="dxa"/>
            <w:vAlign w:val="bottom"/>
            <w:shd w:val="clear" w:color="auto" w:fill="D8E8EF"/>
          </w:tcPr>
          <w:p>
            <w:pPr>
              <w:spacing w:after="0"/>
              <w:rPr>
                <w:sz w:val="6"/>
                <w:szCs w:val="6"/>
                <w:color w:val="auto"/>
              </w:rPr>
            </w:pPr>
          </w:p>
        </w:tc>
        <w:tc>
          <w:tcPr>
            <w:tcW w:w="1140" w:type="dxa"/>
            <w:vAlign w:val="bottom"/>
            <w:shd w:val="clear" w:color="auto" w:fill="D8E8EF"/>
          </w:tcPr>
          <w:p>
            <w:pPr>
              <w:spacing w:after="0"/>
              <w:rPr>
                <w:sz w:val="6"/>
                <w:szCs w:val="6"/>
                <w:color w:val="auto"/>
              </w:rPr>
            </w:pPr>
          </w:p>
        </w:tc>
      </w:tr>
      <w:tr>
        <w:trPr>
          <w:trHeight w:val="274"/>
        </w:trPr>
        <w:tc>
          <w:tcPr>
            <w:tcW w:w="3920" w:type="dxa"/>
            <w:vAlign w:val="bottom"/>
          </w:tcPr>
          <w:p>
            <w:pPr>
              <w:ind w:left="60"/>
              <w:spacing w:after="0"/>
              <w:rPr>
                <w:sz w:val="20"/>
                <w:szCs w:val="20"/>
                <w:color w:val="auto"/>
              </w:rPr>
            </w:pPr>
            <w:r>
              <w:rPr>
                <w:rFonts w:ascii="Arial" w:cs="Arial" w:eastAsia="Arial" w:hAnsi="Arial"/>
                <w:sz w:val="16"/>
                <w:szCs w:val="16"/>
                <w:b w:val="1"/>
                <w:bCs w:val="1"/>
                <w:i w:val="1"/>
                <w:iCs w:val="1"/>
                <w:color w:val="auto"/>
              </w:rPr>
              <w:t>Total:</w:t>
            </w:r>
          </w:p>
        </w:tc>
        <w:tc>
          <w:tcPr>
            <w:tcW w:w="1360" w:type="dxa"/>
            <w:vAlign w:val="bottom"/>
          </w:tcPr>
          <w:p>
            <w:pPr>
              <w:jc w:val="right"/>
              <w:ind w:right="80"/>
              <w:spacing w:after="0"/>
              <w:rPr>
                <w:sz w:val="20"/>
                <w:szCs w:val="20"/>
                <w:color w:val="auto"/>
              </w:rPr>
            </w:pPr>
            <w:r>
              <w:rPr>
                <w:rFonts w:ascii="Arial" w:cs="Arial" w:eastAsia="Arial" w:hAnsi="Arial"/>
                <w:sz w:val="16"/>
                <w:szCs w:val="16"/>
                <w:color w:val="auto"/>
              </w:rPr>
              <w:t>1,184,152</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13,871,163</w:t>
            </w:r>
          </w:p>
        </w:tc>
        <w:tc>
          <w:tcPr>
            <w:tcW w:w="1040" w:type="dxa"/>
            <w:vAlign w:val="bottom"/>
          </w:tcPr>
          <w:p>
            <w:pPr>
              <w:jc w:val="right"/>
              <w:ind w:right="60"/>
              <w:spacing w:after="0"/>
              <w:rPr>
                <w:sz w:val="20"/>
                <w:szCs w:val="20"/>
                <w:color w:val="auto"/>
              </w:rPr>
            </w:pPr>
            <w:r>
              <w:rPr>
                <w:rFonts w:ascii="Arial" w:cs="Arial" w:eastAsia="Arial" w:hAnsi="Arial"/>
                <w:sz w:val="16"/>
                <w:szCs w:val="16"/>
                <w:color w:val="auto"/>
              </w:rPr>
              <w:t>(3)</w:t>
            </w: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0</w:t>
            </w: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0</w:t>
            </w: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46990</wp:posOffset>
            </wp:positionV>
            <wp:extent cx="692975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98" w:lineRule="exact"/>
        <w:rPr>
          <w:sz w:val="20"/>
          <w:szCs w:val="20"/>
          <w:color w:val="auto"/>
        </w:rPr>
      </w:pPr>
    </w:p>
    <w:p>
      <w:pPr>
        <w:jc w:val="both"/>
        <w:ind w:left="600" w:hanging="433"/>
        <w:spacing w:after="0" w:line="266" w:lineRule="auto"/>
        <w:tabs>
          <w:tab w:leader="none" w:pos="600" w:val="left"/>
        </w:tabs>
        <w:numPr>
          <w:ilvl w:val="0"/>
          <w:numId w:val="90"/>
        </w:numPr>
        <w:rPr>
          <w:rFonts w:ascii="Arial" w:cs="Arial" w:eastAsia="Arial" w:hAnsi="Arial"/>
          <w:sz w:val="14"/>
          <w:szCs w:val="14"/>
          <w:color w:val="auto"/>
        </w:rPr>
      </w:pPr>
      <w:r>
        <w:rPr>
          <w:rFonts w:ascii="Arial" w:cs="Arial" w:eastAsia="Arial" w:hAnsi="Arial"/>
          <w:sz w:val="14"/>
          <w:szCs w:val="14"/>
          <w:color w:val="auto"/>
        </w:rPr>
        <w:t>Mr. Keeton’s severance payment following a termination without “Cause” or a resignation for “Good Reason” (as those terms are defined in his employment agreement), whether or not following a Change in Control, is equal to one year of annual base salary. Mr. Keeton’s base salary at the end of the 2021 fiscal year was $500,000.</w:t>
      </w:r>
    </w:p>
    <w:p>
      <w:pPr>
        <w:spacing w:after="0" w:line="164" w:lineRule="exact"/>
        <w:rPr>
          <w:rFonts w:ascii="Arial" w:cs="Arial" w:eastAsia="Arial" w:hAnsi="Arial"/>
          <w:sz w:val="14"/>
          <w:szCs w:val="14"/>
          <w:color w:val="auto"/>
        </w:rPr>
      </w:pPr>
    </w:p>
    <w:p>
      <w:pPr>
        <w:jc w:val="both"/>
        <w:ind w:left="600" w:hanging="433"/>
        <w:spacing w:after="0" w:line="245" w:lineRule="auto"/>
        <w:tabs>
          <w:tab w:leader="none" w:pos="600" w:val="left"/>
        </w:tabs>
        <w:numPr>
          <w:ilvl w:val="0"/>
          <w:numId w:val="90"/>
        </w:numPr>
        <w:rPr>
          <w:rFonts w:ascii="Arial" w:cs="Arial" w:eastAsia="Arial" w:hAnsi="Arial"/>
          <w:sz w:val="14"/>
          <w:szCs w:val="14"/>
          <w:color w:val="auto"/>
        </w:rPr>
      </w:pPr>
      <w:r>
        <w:rPr>
          <w:rFonts w:ascii="Arial" w:cs="Arial" w:eastAsia="Arial" w:hAnsi="Arial"/>
          <w:sz w:val="14"/>
          <w:szCs w:val="14"/>
          <w:color w:val="auto"/>
        </w:rPr>
        <w:t>In the event that we terminate Mr. Keeton’s employment without Cause, or he resigns for Good Reason, other than in connection with a Change in Control, Mr. Keeton is entitled to any bonus earned but unpaid for the performance cycle immediately preceding the date of termination and a pro rata portion of his bonus, if any, for the then-current performance cycle based on achievement of the applicable performance criteria. For purposes of this column, we have assumed that Mr. Keeton’s date of termination was December 31, 2021, that the applicable performance cycle for the prorated bonus entitlement was the 2021 Bonus Program and that his bonus under the 2021 Bonus Program was earned but unpaid at that time. Mr. Keeton’s earned bonus for 2021 was $684,152. In addition to other benefits provided in his employment agreement, if Mr. Keeton’s employment had been terminated on December 31, 2021 by the Company without Cause or by Mr. Keeton for Good Reason within 24 months following a Change in Control, he would have been entitled to a cash payment equal to his total annual target bonus under the 2021 Bonus Program. Such target bonus for 2021 was $425,000.</w:t>
      </w:r>
    </w:p>
    <w:p>
      <w:pPr>
        <w:spacing w:after="0" w:line="9" w:lineRule="exact"/>
        <w:rPr>
          <w:rFonts w:ascii="Arial" w:cs="Arial" w:eastAsia="Arial" w:hAnsi="Arial"/>
          <w:sz w:val="14"/>
          <w:szCs w:val="14"/>
          <w:color w:val="auto"/>
        </w:rPr>
      </w:pPr>
    </w:p>
    <w:p>
      <w:pPr>
        <w:jc w:val="both"/>
        <w:ind w:left="600" w:hanging="433"/>
        <w:spacing w:after="0" w:line="246" w:lineRule="auto"/>
        <w:tabs>
          <w:tab w:leader="none" w:pos="600" w:val="left"/>
        </w:tabs>
        <w:numPr>
          <w:ilvl w:val="0"/>
          <w:numId w:val="90"/>
        </w:numPr>
        <w:rPr>
          <w:rFonts w:ascii="Arial" w:cs="Arial" w:eastAsia="Arial" w:hAnsi="Arial"/>
          <w:sz w:val="14"/>
          <w:szCs w:val="14"/>
          <w:color w:val="auto"/>
        </w:rPr>
      </w:pPr>
      <w:r>
        <w:rPr>
          <w:rFonts w:ascii="Arial" w:cs="Arial" w:eastAsia="Arial" w:hAnsi="Arial"/>
          <w:sz w:val="14"/>
          <w:szCs w:val="14"/>
          <w:color w:val="auto"/>
        </w:rPr>
        <w:t>Because the HCC Committee has discretion to accelerate outstanding awards of equity under the SIP notwithstanding the provisions of an officer’s employment agreement or the award agreements under which the awards were granted in the event of a Change in Control, for purposes of this disclosure, we have assumed that the HCC Committee has exercised such discretion and all outstanding equity awards have been accelerated. For a description of the actual provisions of the employment agreements and such award agreements that may otherwise impact acceleration in connection with a Change in Control, see the discussion above under “Potential Payments Upon Termination of Employment or Change in Control — Equity Acceleration upon a Change in Control.” This amount denotes the incremental difference between the market value on December 31, 2021 and the exercise price, if any, of unvested options, RSUs or PBRSUs (including any 2020 Base PBRSUs, Upside PBRSUs and 2021 PBRSUs) for which vesting might be accelerated.</w:t>
      </w:r>
    </w:p>
    <w:p>
      <w:pPr>
        <w:spacing w:after="0" w:line="115" w:lineRule="exact"/>
        <w:rPr>
          <w:sz w:val="20"/>
          <w:szCs w:val="20"/>
          <w:color w:val="auto"/>
        </w:rPr>
      </w:pPr>
    </w:p>
    <w:p>
      <w:pPr>
        <w:ind w:left="8820"/>
        <w:spacing w:after="0"/>
        <w:tabs>
          <w:tab w:leader="none" w:pos="10900" w:val="left"/>
        </w:tabs>
        <w:rPr>
          <w:sz w:val="20"/>
          <w:szCs w:val="20"/>
          <w:color w:val="auto"/>
        </w:rPr>
      </w:pPr>
      <w:r>
        <w:rPr>
          <w:rFonts w:ascii="Arial" w:cs="Arial" w:eastAsia="Arial" w:hAnsi="Arial"/>
          <w:sz w:val="14"/>
          <w:szCs w:val="14"/>
          <w:color w:val="F75E14"/>
        </w:rPr>
        <w:t>onsemi 2022 Proxy Statement</w:t>
        <w:tab/>
        <w:t>65</w:t>
      </w:r>
    </w:p>
    <w:p>
      <w:pPr>
        <w:sectPr>
          <w:pgSz w:w="11900" w:h="16838" w:orient="portrait"/>
          <w:cols w:equalWidth="0" w:num="1">
            <w:col w:w="11080"/>
          </w:cols>
          <w:pgMar w:left="320" w:top="454" w:right="499" w:bottom="1440" w:gutter="0" w:footer="0" w:header="0"/>
        </w:sectPr>
      </w:pPr>
    </w:p>
    <w:bookmarkStart w:id="69" w:name="page70"/>
    <w:bookmarkEnd w:id="6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2" w:lineRule="exact"/>
        <w:rPr>
          <w:sz w:val="20"/>
          <w:szCs w:val="20"/>
          <w:color w:val="auto"/>
        </w:rPr>
      </w:pPr>
    </w:p>
    <w:p>
      <w:pPr>
        <w:ind w:left="160"/>
        <w:spacing w:after="0"/>
        <w:rPr>
          <w:sz w:val="20"/>
          <w:szCs w:val="20"/>
          <w:color w:val="auto"/>
        </w:rPr>
      </w:pPr>
      <w:r>
        <w:rPr>
          <w:rFonts w:ascii="Arial" w:cs="Arial" w:eastAsia="Arial" w:hAnsi="Arial"/>
          <w:sz w:val="18"/>
          <w:szCs w:val="18"/>
          <w:color w:val="F75E14"/>
        </w:rPr>
        <w:t>Compensation of Executive Officers</w:t>
      </w:r>
    </w:p>
    <w:p>
      <w:pPr>
        <w:spacing w:after="0" w:line="143" w:lineRule="exact"/>
        <w:rPr>
          <w:sz w:val="20"/>
          <w:szCs w:val="20"/>
          <w:color w:val="auto"/>
        </w:rPr>
      </w:pPr>
    </w:p>
    <w:p>
      <w:pPr>
        <w:ind w:left="160"/>
        <w:spacing w:after="0" w:line="263" w:lineRule="auto"/>
        <w:rPr>
          <w:sz w:val="20"/>
          <w:szCs w:val="20"/>
          <w:color w:val="auto"/>
        </w:rPr>
      </w:pPr>
      <w:r>
        <w:rPr>
          <w:rFonts w:ascii="Arial" w:cs="Arial" w:eastAsia="Arial" w:hAnsi="Arial"/>
          <w:sz w:val="18"/>
          <w:szCs w:val="18"/>
          <w:i w:val="1"/>
          <w:iCs w:val="1"/>
          <w:color w:val="auto"/>
        </w:rPr>
        <w:t xml:space="preserve">The following table sets forth the potential payments upon termination or a Change in Control for </w:t>
      </w:r>
      <w:r>
        <w:rPr>
          <w:rFonts w:ascii="Arial" w:cs="Arial" w:eastAsia="Arial" w:hAnsi="Arial"/>
          <w:sz w:val="18"/>
          <w:szCs w:val="18"/>
          <w:b w:val="1"/>
          <w:bCs w:val="1"/>
          <w:i w:val="1"/>
          <w:iCs w:val="1"/>
          <w:color w:val="auto"/>
        </w:rPr>
        <w:t>Ross F. Jatou</w:t>
      </w:r>
      <w:r>
        <w:rPr>
          <w:rFonts w:ascii="Arial" w:cs="Arial" w:eastAsia="Arial" w:hAnsi="Arial"/>
          <w:sz w:val="18"/>
          <w:szCs w:val="18"/>
          <w:i w:val="1"/>
          <w:iCs w:val="1"/>
          <w:color w:val="auto"/>
        </w:rPr>
        <w:t>, our Senior Vice President and General Manager, Intelligent Sensing Group.</w:t>
      </w:r>
    </w:p>
    <w:p>
      <w:pPr>
        <w:spacing w:after="0" w:line="205" w:lineRule="exact"/>
        <w:rPr>
          <w:sz w:val="20"/>
          <w:szCs w:val="20"/>
          <w:color w:val="auto"/>
        </w:rPr>
      </w:pPr>
    </w:p>
    <w:tbl>
      <w:tblPr>
        <w:tblLayout w:type="fixed"/>
        <w:tblInd w:w="160" w:type="dxa"/>
        <w:tblCellMar>
          <w:top w:w="0" w:type="dxa"/>
          <w:left w:w="0" w:type="dxa"/>
          <w:bottom w:w="0" w:type="dxa"/>
          <w:right w:w="0" w:type="dxa"/>
        </w:tblCellMar>
      </w:tblPr>
      <w:tr>
        <w:trPr>
          <w:trHeight w:val="213"/>
        </w:trPr>
        <w:tc>
          <w:tcPr>
            <w:tcW w:w="3960" w:type="dxa"/>
            <w:vAlign w:val="bottom"/>
            <w:shd w:val="clear" w:color="auto" w:fill="F75E14"/>
          </w:tcPr>
          <w:p>
            <w:pPr>
              <w:spacing w:after="0"/>
              <w:rPr>
                <w:sz w:val="18"/>
                <w:szCs w:val="18"/>
                <w:color w:val="auto"/>
              </w:rPr>
            </w:pPr>
          </w:p>
        </w:tc>
        <w:tc>
          <w:tcPr>
            <w:tcW w:w="1420" w:type="dxa"/>
            <w:vAlign w:val="bottom"/>
            <w:shd w:val="clear" w:color="auto" w:fill="F75E14"/>
          </w:tcPr>
          <w:p>
            <w:pPr>
              <w:jc w:val="center"/>
              <w:spacing w:after="0"/>
              <w:rPr>
                <w:sz w:val="20"/>
                <w:szCs w:val="20"/>
                <w:color w:val="auto"/>
              </w:rPr>
            </w:pPr>
            <w:r>
              <w:rPr>
                <w:rFonts w:ascii="Arial" w:cs="Arial" w:eastAsia="Arial" w:hAnsi="Arial"/>
                <w:sz w:val="16"/>
                <w:szCs w:val="16"/>
                <w:b w:val="1"/>
                <w:bCs w:val="1"/>
                <w:color w:val="FFFFFF"/>
                <w:w w:val="98"/>
              </w:rPr>
              <w:t>Termination</w:t>
            </w:r>
          </w:p>
        </w:tc>
        <w:tc>
          <w:tcPr>
            <w:tcW w:w="900" w:type="dxa"/>
            <w:vAlign w:val="bottom"/>
            <w:shd w:val="clear" w:color="auto" w:fill="F75E14"/>
          </w:tcPr>
          <w:p>
            <w:pPr>
              <w:spacing w:after="0"/>
              <w:rPr>
                <w:sz w:val="18"/>
                <w:szCs w:val="18"/>
                <w:color w:val="auto"/>
              </w:rPr>
            </w:pPr>
          </w:p>
        </w:tc>
        <w:tc>
          <w:tcPr>
            <w:tcW w:w="300" w:type="dxa"/>
            <w:vAlign w:val="bottom"/>
            <w:shd w:val="clear" w:color="auto" w:fill="F75E14"/>
          </w:tcPr>
          <w:p>
            <w:pPr>
              <w:spacing w:after="0"/>
              <w:rPr>
                <w:sz w:val="18"/>
                <w:szCs w:val="18"/>
                <w:color w:val="auto"/>
              </w:rPr>
            </w:pPr>
          </w:p>
        </w:tc>
        <w:tc>
          <w:tcPr>
            <w:tcW w:w="1040" w:type="dxa"/>
            <w:vAlign w:val="bottom"/>
            <w:shd w:val="clear" w:color="auto" w:fill="F75E14"/>
          </w:tcPr>
          <w:p>
            <w:pPr>
              <w:spacing w:after="0"/>
              <w:rPr>
                <w:sz w:val="18"/>
                <w:szCs w:val="18"/>
                <w:color w:val="auto"/>
              </w:rPr>
            </w:pPr>
          </w:p>
        </w:tc>
        <w:tc>
          <w:tcPr>
            <w:tcW w:w="960" w:type="dxa"/>
            <w:vAlign w:val="bottom"/>
            <w:shd w:val="clear" w:color="auto" w:fill="F75E14"/>
          </w:tcPr>
          <w:p>
            <w:pPr>
              <w:spacing w:after="0"/>
              <w:rPr>
                <w:sz w:val="18"/>
                <w:szCs w:val="18"/>
                <w:color w:val="auto"/>
              </w:rPr>
            </w:pPr>
          </w:p>
        </w:tc>
        <w:tc>
          <w:tcPr>
            <w:tcW w:w="1200" w:type="dxa"/>
            <w:vAlign w:val="bottom"/>
            <w:shd w:val="clear" w:color="auto" w:fill="F75E14"/>
          </w:tcPr>
          <w:p>
            <w:pPr>
              <w:spacing w:after="0"/>
              <w:rPr>
                <w:sz w:val="18"/>
                <w:szCs w:val="18"/>
                <w:color w:val="auto"/>
              </w:rPr>
            </w:pPr>
          </w:p>
        </w:tc>
        <w:tc>
          <w:tcPr>
            <w:tcW w:w="1140" w:type="dxa"/>
            <w:vAlign w:val="bottom"/>
            <w:shd w:val="clear" w:color="auto" w:fill="F75E14"/>
          </w:tcPr>
          <w:p>
            <w:pPr>
              <w:jc w:val="right"/>
              <w:ind w:right="20"/>
              <w:spacing w:after="0"/>
              <w:rPr>
                <w:sz w:val="20"/>
                <w:szCs w:val="20"/>
                <w:color w:val="auto"/>
              </w:rPr>
            </w:pPr>
            <w:r>
              <w:rPr>
                <w:rFonts w:ascii="Arial" w:cs="Arial" w:eastAsia="Arial" w:hAnsi="Arial"/>
                <w:sz w:val="16"/>
                <w:szCs w:val="16"/>
                <w:b w:val="1"/>
                <w:bCs w:val="1"/>
                <w:color w:val="FFFFFF"/>
              </w:rPr>
              <w:t>Resignation</w:t>
            </w:r>
          </w:p>
        </w:tc>
      </w:tr>
      <w:tr>
        <w:trPr>
          <w:trHeight w:val="187"/>
        </w:trPr>
        <w:tc>
          <w:tcPr>
            <w:tcW w:w="3960" w:type="dxa"/>
            <w:vAlign w:val="bottom"/>
            <w:shd w:val="clear" w:color="auto" w:fill="F75E14"/>
          </w:tcPr>
          <w:p>
            <w:pPr>
              <w:spacing w:after="0"/>
              <w:rPr>
                <w:sz w:val="16"/>
                <w:szCs w:val="16"/>
                <w:color w:val="auto"/>
              </w:rPr>
            </w:pPr>
          </w:p>
        </w:tc>
        <w:tc>
          <w:tcPr>
            <w:tcW w:w="1420" w:type="dxa"/>
            <w:vAlign w:val="bottom"/>
            <w:shd w:val="clear" w:color="auto" w:fill="F75E14"/>
          </w:tcPr>
          <w:p>
            <w:pPr>
              <w:jc w:val="center"/>
              <w:spacing w:after="0"/>
              <w:rPr>
                <w:sz w:val="20"/>
                <w:szCs w:val="20"/>
                <w:color w:val="auto"/>
              </w:rPr>
            </w:pPr>
            <w:r>
              <w:rPr>
                <w:rFonts w:ascii="Arial" w:cs="Arial" w:eastAsia="Arial" w:hAnsi="Arial"/>
                <w:sz w:val="16"/>
                <w:szCs w:val="16"/>
                <w:b w:val="1"/>
                <w:bCs w:val="1"/>
                <w:color w:val="FFFFFF"/>
                <w:w w:val="99"/>
              </w:rPr>
              <w:t>Without Cause</w:t>
            </w:r>
          </w:p>
        </w:tc>
        <w:tc>
          <w:tcPr>
            <w:tcW w:w="1200" w:type="dxa"/>
            <w:vAlign w:val="bottom"/>
            <w:gridSpan w:val="2"/>
            <w:shd w:val="clear" w:color="auto" w:fill="F75E14"/>
          </w:tcPr>
          <w:p>
            <w:pPr>
              <w:jc w:val="center"/>
              <w:spacing w:after="0"/>
              <w:rPr>
                <w:sz w:val="20"/>
                <w:szCs w:val="20"/>
                <w:color w:val="auto"/>
              </w:rPr>
            </w:pPr>
            <w:r>
              <w:rPr>
                <w:rFonts w:ascii="Arial" w:cs="Arial" w:eastAsia="Arial" w:hAnsi="Arial"/>
                <w:sz w:val="16"/>
                <w:szCs w:val="16"/>
                <w:b w:val="1"/>
                <w:bCs w:val="1"/>
                <w:color w:val="FFFFFF"/>
                <w:w w:val="98"/>
              </w:rPr>
              <w:t>Termination</w:t>
            </w:r>
          </w:p>
        </w:tc>
        <w:tc>
          <w:tcPr>
            <w:tcW w:w="1040" w:type="dxa"/>
            <w:vAlign w:val="bottom"/>
            <w:shd w:val="clear" w:color="auto" w:fill="F75E14"/>
          </w:tcPr>
          <w:p>
            <w:pPr>
              <w:spacing w:after="0"/>
              <w:rPr>
                <w:sz w:val="16"/>
                <w:szCs w:val="16"/>
                <w:color w:val="auto"/>
              </w:rPr>
            </w:pPr>
          </w:p>
        </w:tc>
        <w:tc>
          <w:tcPr>
            <w:tcW w:w="960" w:type="dxa"/>
            <w:vAlign w:val="bottom"/>
            <w:shd w:val="clear" w:color="auto" w:fill="F75E14"/>
          </w:tcPr>
          <w:p>
            <w:pPr>
              <w:spacing w:after="0"/>
              <w:rPr>
                <w:sz w:val="16"/>
                <w:szCs w:val="16"/>
                <w:color w:val="auto"/>
              </w:rPr>
            </w:pPr>
          </w:p>
        </w:tc>
        <w:tc>
          <w:tcPr>
            <w:tcW w:w="1200" w:type="dxa"/>
            <w:vAlign w:val="bottom"/>
            <w:shd w:val="clear" w:color="auto" w:fill="F75E14"/>
          </w:tcPr>
          <w:p>
            <w:pPr>
              <w:spacing w:after="0"/>
              <w:rPr>
                <w:sz w:val="16"/>
                <w:szCs w:val="16"/>
                <w:color w:val="auto"/>
              </w:rPr>
            </w:pPr>
          </w:p>
        </w:tc>
        <w:tc>
          <w:tcPr>
            <w:tcW w:w="1140" w:type="dxa"/>
            <w:vAlign w:val="bottom"/>
            <w:shd w:val="clear" w:color="auto" w:fill="F75E14"/>
          </w:tcPr>
          <w:p>
            <w:pPr>
              <w:jc w:val="center"/>
              <w:spacing w:after="0"/>
              <w:rPr>
                <w:sz w:val="20"/>
                <w:szCs w:val="20"/>
                <w:color w:val="auto"/>
              </w:rPr>
            </w:pPr>
            <w:r>
              <w:rPr>
                <w:rFonts w:ascii="Arial" w:cs="Arial" w:eastAsia="Arial" w:hAnsi="Arial"/>
                <w:sz w:val="16"/>
                <w:szCs w:val="16"/>
                <w:b w:val="1"/>
                <w:bCs w:val="1"/>
                <w:color w:val="FFFFFF"/>
                <w:w w:val="99"/>
              </w:rPr>
              <w:t>other than</w:t>
            </w:r>
          </w:p>
        </w:tc>
      </w:tr>
      <w:tr>
        <w:trPr>
          <w:trHeight w:val="187"/>
        </w:trPr>
        <w:tc>
          <w:tcPr>
            <w:tcW w:w="3960" w:type="dxa"/>
            <w:vAlign w:val="bottom"/>
            <w:shd w:val="clear" w:color="auto" w:fill="F75E14"/>
          </w:tcPr>
          <w:p>
            <w:pPr>
              <w:spacing w:after="0"/>
              <w:rPr>
                <w:sz w:val="16"/>
                <w:szCs w:val="16"/>
                <w:color w:val="auto"/>
              </w:rPr>
            </w:pPr>
          </w:p>
        </w:tc>
        <w:tc>
          <w:tcPr>
            <w:tcW w:w="1420" w:type="dxa"/>
            <w:vAlign w:val="bottom"/>
            <w:shd w:val="clear" w:color="auto" w:fill="F75E14"/>
          </w:tcPr>
          <w:p>
            <w:pPr>
              <w:jc w:val="center"/>
              <w:spacing w:after="0"/>
              <w:rPr>
                <w:sz w:val="20"/>
                <w:szCs w:val="20"/>
                <w:color w:val="auto"/>
              </w:rPr>
            </w:pPr>
            <w:r>
              <w:rPr>
                <w:rFonts w:ascii="Arial" w:cs="Arial" w:eastAsia="Arial" w:hAnsi="Arial"/>
                <w:sz w:val="16"/>
                <w:szCs w:val="16"/>
                <w:b w:val="1"/>
                <w:bCs w:val="1"/>
                <w:color w:val="FFFFFF"/>
                <w:w w:val="99"/>
              </w:rPr>
              <w:t>or Resignation</w:t>
            </w:r>
          </w:p>
        </w:tc>
        <w:tc>
          <w:tcPr>
            <w:tcW w:w="1200" w:type="dxa"/>
            <w:vAlign w:val="bottom"/>
            <w:gridSpan w:val="2"/>
            <w:shd w:val="clear" w:color="auto" w:fill="F75E14"/>
          </w:tcPr>
          <w:p>
            <w:pPr>
              <w:jc w:val="center"/>
              <w:spacing w:after="0"/>
              <w:rPr>
                <w:sz w:val="20"/>
                <w:szCs w:val="20"/>
                <w:color w:val="auto"/>
              </w:rPr>
            </w:pPr>
            <w:r>
              <w:rPr>
                <w:rFonts w:ascii="Arial" w:cs="Arial" w:eastAsia="Arial" w:hAnsi="Arial"/>
                <w:sz w:val="16"/>
                <w:szCs w:val="16"/>
                <w:b w:val="1"/>
                <w:bCs w:val="1"/>
                <w:color w:val="FFFFFF"/>
                <w:w w:val="99"/>
              </w:rPr>
              <w:t>Following a</w:t>
            </w:r>
          </w:p>
        </w:tc>
        <w:tc>
          <w:tcPr>
            <w:tcW w:w="1040" w:type="dxa"/>
            <w:vAlign w:val="bottom"/>
            <w:shd w:val="clear" w:color="auto" w:fill="F75E14"/>
          </w:tcPr>
          <w:p>
            <w:pPr>
              <w:spacing w:after="0"/>
              <w:rPr>
                <w:sz w:val="16"/>
                <w:szCs w:val="16"/>
                <w:color w:val="auto"/>
              </w:rPr>
            </w:pPr>
          </w:p>
        </w:tc>
        <w:tc>
          <w:tcPr>
            <w:tcW w:w="960" w:type="dxa"/>
            <w:vAlign w:val="bottom"/>
            <w:shd w:val="clear" w:color="auto" w:fill="F75E14"/>
          </w:tcPr>
          <w:p>
            <w:pPr>
              <w:jc w:val="right"/>
              <w:ind w:right="60"/>
              <w:spacing w:after="0"/>
              <w:rPr>
                <w:sz w:val="20"/>
                <w:szCs w:val="20"/>
                <w:color w:val="auto"/>
              </w:rPr>
            </w:pPr>
            <w:r>
              <w:rPr>
                <w:rFonts w:ascii="Arial" w:cs="Arial" w:eastAsia="Arial" w:hAnsi="Arial"/>
                <w:sz w:val="16"/>
                <w:szCs w:val="16"/>
                <w:b w:val="1"/>
                <w:bCs w:val="1"/>
                <w:color w:val="FFFFFF"/>
              </w:rPr>
              <w:t>Death or</w:t>
            </w:r>
          </w:p>
        </w:tc>
        <w:tc>
          <w:tcPr>
            <w:tcW w:w="1200" w:type="dxa"/>
            <w:vAlign w:val="bottom"/>
            <w:shd w:val="clear" w:color="auto" w:fill="F75E14"/>
          </w:tcPr>
          <w:p>
            <w:pPr>
              <w:spacing w:after="0"/>
              <w:rPr>
                <w:sz w:val="16"/>
                <w:szCs w:val="16"/>
                <w:color w:val="auto"/>
              </w:rPr>
            </w:pPr>
          </w:p>
        </w:tc>
        <w:tc>
          <w:tcPr>
            <w:tcW w:w="1140" w:type="dxa"/>
            <w:vAlign w:val="bottom"/>
            <w:shd w:val="clear" w:color="auto" w:fill="F75E14"/>
          </w:tcPr>
          <w:p>
            <w:pPr>
              <w:jc w:val="center"/>
              <w:spacing w:after="0"/>
              <w:rPr>
                <w:sz w:val="20"/>
                <w:szCs w:val="20"/>
                <w:color w:val="auto"/>
              </w:rPr>
            </w:pPr>
            <w:r>
              <w:rPr>
                <w:rFonts w:ascii="Arial" w:cs="Arial" w:eastAsia="Arial" w:hAnsi="Arial"/>
                <w:sz w:val="16"/>
                <w:szCs w:val="16"/>
                <w:b w:val="1"/>
                <w:bCs w:val="1"/>
                <w:color w:val="FFFFFF"/>
              </w:rPr>
              <w:t>for Good</w:t>
            </w:r>
          </w:p>
        </w:tc>
      </w:tr>
      <w:tr>
        <w:trPr>
          <w:trHeight w:val="187"/>
        </w:trPr>
        <w:tc>
          <w:tcPr>
            <w:tcW w:w="3960" w:type="dxa"/>
            <w:vAlign w:val="bottom"/>
            <w:shd w:val="clear" w:color="auto" w:fill="F75E14"/>
          </w:tcPr>
          <w:p>
            <w:pPr>
              <w:ind w:left="60"/>
              <w:spacing w:after="0"/>
              <w:rPr>
                <w:sz w:val="20"/>
                <w:szCs w:val="20"/>
                <w:color w:val="auto"/>
              </w:rPr>
            </w:pPr>
            <w:r>
              <w:rPr>
                <w:rFonts w:ascii="Arial" w:cs="Arial" w:eastAsia="Arial" w:hAnsi="Arial"/>
                <w:sz w:val="16"/>
                <w:szCs w:val="16"/>
                <w:b w:val="1"/>
                <w:bCs w:val="1"/>
                <w:color w:val="FFFFFF"/>
              </w:rPr>
              <w:t>Executive Benefits and Payments</w:t>
            </w:r>
          </w:p>
        </w:tc>
        <w:tc>
          <w:tcPr>
            <w:tcW w:w="1420" w:type="dxa"/>
            <w:vAlign w:val="bottom"/>
            <w:shd w:val="clear" w:color="auto" w:fill="F75E14"/>
          </w:tcPr>
          <w:p>
            <w:pPr>
              <w:jc w:val="center"/>
              <w:spacing w:after="0"/>
              <w:rPr>
                <w:sz w:val="20"/>
                <w:szCs w:val="20"/>
                <w:color w:val="auto"/>
              </w:rPr>
            </w:pPr>
            <w:r>
              <w:rPr>
                <w:rFonts w:ascii="Arial" w:cs="Arial" w:eastAsia="Arial" w:hAnsi="Arial"/>
                <w:sz w:val="16"/>
                <w:szCs w:val="16"/>
                <w:b w:val="1"/>
                <w:bCs w:val="1"/>
                <w:color w:val="FFFFFF"/>
              </w:rPr>
              <w:t>for Good</w:t>
            </w:r>
          </w:p>
        </w:tc>
        <w:tc>
          <w:tcPr>
            <w:tcW w:w="1200" w:type="dxa"/>
            <w:vAlign w:val="bottom"/>
            <w:gridSpan w:val="2"/>
            <w:shd w:val="clear" w:color="auto" w:fill="F75E14"/>
          </w:tcPr>
          <w:p>
            <w:pPr>
              <w:jc w:val="center"/>
              <w:spacing w:after="0"/>
              <w:rPr>
                <w:sz w:val="20"/>
                <w:szCs w:val="20"/>
                <w:color w:val="auto"/>
              </w:rPr>
            </w:pPr>
            <w:r>
              <w:rPr>
                <w:rFonts w:ascii="Arial" w:cs="Arial" w:eastAsia="Arial" w:hAnsi="Arial"/>
                <w:sz w:val="16"/>
                <w:szCs w:val="16"/>
                <w:b w:val="1"/>
                <w:bCs w:val="1"/>
                <w:color w:val="FFFFFF"/>
              </w:rPr>
              <w:t>Change in</w:t>
            </w:r>
          </w:p>
        </w:tc>
        <w:tc>
          <w:tcPr>
            <w:tcW w:w="1040" w:type="dxa"/>
            <w:vAlign w:val="bottom"/>
            <w:shd w:val="clear" w:color="auto" w:fill="F75E14"/>
          </w:tcPr>
          <w:p>
            <w:pPr>
              <w:jc w:val="right"/>
              <w:ind w:right="80"/>
              <w:spacing w:after="0"/>
              <w:rPr>
                <w:sz w:val="20"/>
                <w:szCs w:val="20"/>
                <w:color w:val="auto"/>
              </w:rPr>
            </w:pPr>
            <w:r>
              <w:rPr>
                <w:rFonts w:ascii="Arial" w:cs="Arial" w:eastAsia="Arial" w:hAnsi="Arial"/>
                <w:sz w:val="16"/>
                <w:szCs w:val="16"/>
                <w:b w:val="1"/>
                <w:bCs w:val="1"/>
                <w:color w:val="FFFFFF"/>
              </w:rPr>
              <w:t>Change in</w:t>
            </w:r>
          </w:p>
        </w:tc>
        <w:tc>
          <w:tcPr>
            <w:tcW w:w="960" w:type="dxa"/>
            <w:vAlign w:val="bottom"/>
            <w:shd w:val="clear" w:color="auto" w:fill="F75E14"/>
          </w:tcPr>
          <w:p>
            <w:pPr>
              <w:jc w:val="right"/>
              <w:ind w:right="40"/>
              <w:spacing w:after="0"/>
              <w:rPr>
                <w:sz w:val="20"/>
                <w:szCs w:val="20"/>
                <w:color w:val="auto"/>
              </w:rPr>
            </w:pPr>
            <w:r>
              <w:rPr>
                <w:rFonts w:ascii="Arial" w:cs="Arial" w:eastAsia="Arial" w:hAnsi="Arial"/>
                <w:sz w:val="16"/>
                <w:szCs w:val="16"/>
                <w:b w:val="1"/>
                <w:bCs w:val="1"/>
                <w:color w:val="FFFFFF"/>
              </w:rPr>
              <w:t>Disability</w:t>
            </w:r>
          </w:p>
        </w:tc>
        <w:tc>
          <w:tcPr>
            <w:tcW w:w="1200" w:type="dxa"/>
            <w:vAlign w:val="bottom"/>
            <w:shd w:val="clear" w:color="auto" w:fill="F75E14"/>
          </w:tcPr>
          <w:p>
            <w:pPr>
              <w:jc w:val="right"/>
              <w:ind w:right="60"/>
              <w:spacing w:after="0"/>
              <w:rPr>
                <w:sz w:val="20"/>
                <w:szCs w:val="20"/>
                <w:color w:val="auto"/>
              </w:rPr>
            </w:pPr>
            <w:r>
              <w:rPr>
                <w:rFonts w:ascii="Arial" w:cs="Arial" w:eastAsia="Arial" w:hAnsi="Arial"/>
                <w:sz w:val="16"/>
                <w:szCs w:val="16"/>
                <w:b w:val="1"/>
                <w:bCs w:val="1"/>
                <w:color w:val="FFFFFF"/>
              </w:rPr>
              <w:t>Termination</w:t>
            </w:r>
          </w:p>
        </w:tc>
        <w:tc>
          <w:tcPr>
            <w:tcW w:w="1140" w:type="dxa"/>
            <w:vAlign w:val="bottom"/>
            <w:shd w:val="clear" w:color="auto" w:fill="F75E14"/>
          </w:tcPr>
          <w:p>
            <w:pPr>
              <w:jc w:val="center"/>
              <w:spacing w:after="0"/>
              <w:rPr>
                <w:sz w:val="20"/>
                <w:szCs w:val="20"/>
                <w:color w:val="auto"/>
              </w:rPr>
            </w:pPr>
            <w:r>
              <w:rPr>
                <w:rFonts w:ascii="Arial" w:cs="Arial" w:eastAsia="Arial" w:hAnsi="Arial"/>
                <w:sz w:val="16"/>
                <w:szCs w:val="16"/>
                <w:b w:val="1"/>
                <w:bCs w:val="1"/>
                <w:color w:val="FFFFFF"/>
              </w:rPr>
              <w:t>Reason</w:t>
            </w:r>
          </w:p>
        </w:tc>
      </w:tr>
      <w:tr>
        <w:trPr>
          <w:trHeight w:val="235"/>
        </w:trPr>
        <w:tc>
          <w:tcPr>
            <w:tcW w:w="3960" w:type="dxa"/>
            <w:vAlign w:val="bottom"/>
            <w:tcBorders>
              <w:bottom w:val="single" w:sz="8" w:color="F75E14"/>
            </w:tcBorders>
            <w:shd w:val="clear" w:color="auto" w:fill="F75E14"/>
          </w:tcPr>
          <w:p>
            <w:pPr>
              <w:ind w:left="60"/>
              <w:spacing w:after="0"/>
              <w:rPr>
                <w:sz w:val="20"/>
                <w:szCs w:val="20"/>
                <w:color w:val="auto"/>
              </w:rPr>
            </w:pPr>
            <w:r>
              <w:rPr>
                <w:rFonts w:ascii="Arial" w:cs="Arial" w:eastAsia="Arial" w:hAnsi="Arial"/>
                <w:sz w:val="16"/>
                <w:szCs w:val="16"/>
                <w:b w:val="1"/>
                <w:bCs w:val="1"/>
                <w:color w:val="FFFFFF"/>
              </w:rPr>
              <w:t>Upon Termination</w:t>
            </w:r>
          </w:p>
        </w:tc>
        <w:tc>
          <w:tcPr>
            <w:tcW w:w="1420" w:type="dxa"/>
            <w:vAlign w:val="bottom"/>
            <w:tcBorders>
              <w:bottom w:val="single" w:sz="8" w:color="F75E14"/>
            </w:tcBorders>
            <w:shd w:val="clear" w:color="auto" w:fill="F75E14"/>
          </w:tcPr>
          <w:p>
            <w:pPr>
              <w:jc w:val="center"/>
              <w:spacing w:after="0"/>
              <w:rPr>
                <w:sz w:val="20"/>
                <w:szCs w:val="20"/>
                <w:color w:val="auto"/>
              </w:rPr>
            </w:pPr>
            <w:r>
              <w:rPr>
                <w:rFonts w:ascii="Arial" w:cs="Arial" w:eastAsia="Arial" w:hAnsi="Arial"/>
                <w:sz w:val="16"/>
                <w:szCs w:val="16"/>
                <w:b w:val="1"/>
                <w:bCs w:val="1"/>
                <w:color w:val="FFFFFF"/>
              </w:rPr>
              <w:t>Reason ($)</w:t>
            </w:r>
          </w:p>
        </w:tc>
        <w:tc>
          <w:tcPr>
            <w:tcW w:w="1200" w:type="dxa"/>
            <w:vAlign w:val="bottom"/>
            <w:tcBorders>
              <w:bottom w:val="single" w:sz="8" w:color="F75E14"/>
            </w:tcBorders>
            <w:gridSpan w:val="2"/>
            <w:shd w:val="clear" w:color="auto" w:fill="F75E14"/>
          </w:tcPr>
          <w:p>
            <w:pPr>
              <w:jc w:val="center"/>
              <w:spacing w:after="0"/>
              <w:rPr>
                <w:sz w:val="20"/>
                <w:szCs w:val="20"/>
                <w:color w:val="auto"/>
              </w:rPr>
            </w:pPr>
            <w:r>
              <w:rPr>
                <w:rFonts w:ascii="Arial" w:cs="Arial" w:eastAsia="Arial" w:hAnsi="Arial"/>
                <w:sz w:val="16"/>
                <w:szCs w:val="16"/>
                <w:b w:val="1"/>
                <w:bCs w:val="1"/>
                <w:color w:val="FFFFFF"/>
              </w:rPr>
              <w:t>Control ($)</w:t>
            </w:r>
          </w:p>
        </w:tc>
        <w:tc>
          <w:tcPr>
            <w:tcW w:w="1040" w:type="dxa"/>
            <w:vAlign w:val="bottom"/>
            <w:tcBorders>
              <w:bottom w:val="single" w:sz="8" w:color="F75E14"/>
            </w:tcBorders>
            <w:shd w:val="clear" w:color="auto" w:fill="F75E14"/>
          </w:tcPr>
          <w:p>
            <w:pPr>
              <w:jc w:val="right"/>
              <w:ind w:right="60"/>
              <w:spacing w:after="0"/>
              <w:rPr>
                <w:sz w:val="20"/>
                <w:szCs w:val="20"/>
                <w:color w:val="auto"/>
              </w:rPr>
            </w:pPr>
            <w:r>
              <w:rPr>
                <w:rFonts w:ascii="Arial" w:cs="Arial" w:eastAsia="Arial" w:hAnsi="Arial"/>
                <w:sz w:val="16"/>
                <w:szCs w:val="16"/>
                <w:b w:val="1"/>
                <w:bCs w:val="1"/>
                <w:color w:val="FFFFFF"/>
              </w:rPr>
              <w:t>Control ($)</w:t>
            </w:r>
          </w:p>
        </w:tc>
        <w:tc>
          <w:tcPr>
            <w:tcW w:w="960" w:type="dxa"/>
            <w:vAlign w:val="bottom"/>
            <w:tcBorders>
              <w:bottom w:val="single" w:sz="8" w:color="F75E14"/>
            </w:tcBorders>
            <w:shd w:val="clear" w:color="auto" w:fill="F75E14"/>
          </w:tcPr>
          <w:p>
            <w:pPr>
              <w:jc w:val="right"/>
              <w:ind w:right="300"/>
              <w:spacing w:after="0"/>
              <w:rPr>
                <w:sz w:val="20"/>
                <w:szCs w:val="20"/>
                <w:color w:val="auto"/>
              </w:rPr>
            </w:pPr>
            <w:r>
              <w:rPr>
                <w:rFonts w:ascii="Arial" w:cs="Arial" w:eastAsia="Arial" w:hAnsi="Arial"/>
                <w:sz w:val="16"/>
                <w:szCs w:val="16"/>
                <w:b w:val="1"/>
                <w:bCs w:val="1"/>
                <w:color w:val="FFFFFF"/>
              </w:rPr>
              <w:t>($)</w:t>
            </w:r>
          </w:p>
        </w:tc>
        <w:tc>
          <w:tcPr>
            <w:tcW w:w="1200" w:type="dxa"/>
            <w:vAlign w:val="bottom"/>
            <w:tcBorders>
              <w:bottom w:val="single" w:sz="8" w:color="F75E14"/>
            </w:tcBorders>
            <w:shd w:val="clear" w:color="auto" w:fill="F75E14"/>
          </w:tcPr>
          <w:p>
            <w:pPr>
              <w:jc w:val="right"/>
              <w:ind w:right="20"/>
              <w:spacing w:after="0"/>
              <w:rPr>
                <w:sz w:val="20"/>
                <w:szCs w:val="20"/>
                <w:color w:val="auto"/>
              </w:rPr>
            </w:pPr>
            <w:r>
              <w:rPr>
                <w:rFonts w:ascii="Arial" w:cs="Arial" w:eastAsia="Arial" w:hAnsi="Arial"/>
                <w:sz w:val="16"/>
                <w:szCs w:val="16"/>
                <w:b w:val="1"/>
                <w:bCs w:val="1"/>
                <w:color w:val="FFFFFF"/>
              </w:rPr>
              <w:t>for Cause ($)</w:t>
            </w:r>
          </w:p>
        </w:tc>
        <w:tc>
          <w:tcPr>
            <w:tcW w:w="1140" w:type="dxa"/>
            <w:vAlign w:val="bottom"/>
            <w:tcBorders>
              <w:bottom w:val="single" w:sz="8" w:color="F75E14"/>
            </w:tcBorders>
            <w:shd w:val="clear" w:color="auto" w:fill="F75E14"/>
          </w:tcPr>
          <w:p>
            <w:pPr>
              <w:jc w:val="center"/>
              <w:spacing w:after="0"/>
              <w:rPr>
                <w:sz w:val="20"/>
                <w:szCs w:val="20"/>
                <w:color w:val="auto"/>
              </w:rPr>
            </w:pPr>
            <w:r>
              <w:rPr>
                <w:rFonts w:ascii="Arial" w:cs="Arial" w:eastAsia="Arial" w:hAnsi="Arial"/>
                <w:sz w:val="16"/>
                <w:szCs w:val="16"/>
                <w:b w:val="1"/>
                <w:bCs w:val="1"/>
                <w:color w:val="FFFFFF"/>
              </w:rPr>
              <w:t>($)</w:t>
            </w:r>
          </w:p>
        </w:tc>
      </w:tr>
      <w:tr>
        <w:trPr>
          <w:trHeight w:val="274"/>
        </w:trPr>
        <w:tc>
          <w:tcPr>
            <w:tcW w:w="3960" w:type="dxa"/>
            <w:vAlign w:val="bottom"/>
            <w:shd w:val="clear" w:color="auto" w:fill="D8E8EF"/>
          </w:tcPr>
          <w:p>
            <w:pPr>
              <w:ind w:left="60"/>
              <w:spacing w:after="0"/>
              <w:rPr>
                <w:sz w:val="20"/>
                <w:szCs w:val="20"/>
                <w:color w:val="auto"/>
              </w:rPr>
            </w:pPr>
            <w:r>
              <w:rPr>
                <w:rFonts w:ascii="Arial" w:cs="Arial" w:eastAsia="Arial" w:hAnsi="Arial"/>
                <w:sz w:val="16"/>
                <w:szCs w:val="16"/>
                <w:b w:val="1"/>
                <w:bCs w:val="1"/>
                <w:color w:val="auto"/>
              </w:rPr>
              <w:t>Cash Compensation:</w:t>
            </w:r>
          </w:p>
        </w:tc>
        <w:tc>
          <w:tcPr>
            <w:tcW w:w="1420" w:type="dxa"/>
            <w:vAlign w:val="bottom"/>
            <w:shd w:val="clear" w:color="auto" w:fill="D8E8EF"/>
          </w:tcPr>
          <w:p>
            <w:pPr>
              <w:spacing w:after="0"/>
              <w:rPr>
                <w:sz w:val="23"/>
                <w:szCs w:val="23"/>
                <w:color w:val="auto"/>
              </w:rPr>
            </w:pPr>
          </w:p>
        </w:tc>
        <w:tc>
          <w:tcPr>
            <w:tcW w:w="900" w:type="dxa"/>
            <w:vAlign w:val="bottom"/>
            <w:shd w:val="clear" w:color="auto" w:fill="D8E8EF"/>
          </w:tcPr>
          <w:p>
            <w:pPr>
              <w:spacing w:after="0"/>
              <w:rPr>
                <w:sz w:val="23"/>
                <w:szCs w:val="23"/>
                <w:color w:val="auto"/>
              </w:rPr>
            </w:pPr>
          </w:p>
        </w:tc>
        <w:tc>
          <w:tcPr>
            <w:tcW w:w="300" w:type="dxa"/>
            <w:vAlign w:val="bottom"/>
            <w:shd w:val="clear" w:color="auto" w:fill="D8E8EF"/>
          </w:tcPr>
          <w:p>
            <w:pPr>
              <w:spacing w:after="0"/>
              <w:rPr>
                <w:sz w:val="23"/>
                <w:szCs w:val="23"/>
                <w:color w:val="auto"/>
              </w:rPr>
            </w:pPr>
          </w:p>
        </w:tc>
        <w:tc>
          <w:tcPr>
            <w:tcW w:w="1040" w:type="dxa"/>
            <w:vAlign w:val="bottom"/>
            <w:shd w:val="clear" w:color="auto" w:fill="D8E8EF"/>
          </w:tcPr>
          <w:p>
            <w:pPr>
              <w:spacing w:after="0"/>
              <w:rPr>
                <w:sz w:val="23"/>
                <w:szCs w:val="23"/>
                <w:color w:val="auto"/>
              </w:rPr>
            </w:pPr>
          </w:p>
        </w:tc>
        <w:tc>
          <w:tcPr>
            <w:tcW w:w="960" w:type="dxa"/>
            <w:vAlign w:val="bottom"/>
            <w:shd w:val="clear" w:color="auto" w:fill="D8E8EF"/>
          </w:tcPr>
          <w:p>
            <w:pPr>
              <w:spacing w:after="0"/>
              <w:rPr>
                <w:sz w:val="23"/>
                <w:szCs w:val="23"/>
                <w:color w:val="auto"/>
              </w:rPr>
            </w:pPr>
          </w:p>
        </w:tc>
        <w:tc>
          <w:tcPr>
            <w:tcW w:w="1200" w:type="dxa"/>
            <w:vAlign w:val="bottom"/>
            <w:shd w:val="clear" w:color="auto" w:fill="D8E8EF"/>
          </w:tcPr>
          <w:p>
            <w:pPr>
              <w:spacing w:after="0"/>
              <w:rPr>
                <w:sz w:val="23"/>
                <w:szCs w:val="23"/>
                <w:color w:val="auto"/>
              </w:rPr>
            </w:pPr>
          </w:p>
        </w:tc>
        <w:tc>
          <w:tcPr>
            <w:tcW w:w="1140" w:type="dxa"/>
            <w:vAlign w:val="bottom"/>
            <w:shd w:val="clear" w:color="auto" w:fill="D8E8EF"/>
          </w:tcPr>
          <w:p>
            <w:pPr>
              <w:spacing w:after="0"/>
              <w:rPr>
                <w:sz w:val="23"/>
                <w:szCs w:val="23"/>
                <w:color w:val="auto"/>
              </w:rPr>
            </w:pPr>
          </w:p>
        </w:tc>
      </w:tr>
      <w:tr>
        <w:trPr>
          <w:trHeight w:val="60"/>
        </w:trPr>
        <w:tc>
          <w:tcPr>
            <w:tcW w:w="3960" w:type="dxa"/>
            <w:vAlign w:val="bottom"/>
            <w:shd w:val="clear" w:color="auto" w:fill="D8E8EF"/>
          </w:tcPr>
          <w:p>
            <w:pPr>
              <w:spacing w:after="0"/>
              <w:rPr>
                <w:sz w:val="5"/>
                <w:szCs w:val="5"/>
                <w:color w:val="auto"/>
              </w:rPr>
            </w:pPr>
          </w:p>
        </w:tc>
        <w:tc>
          <w:tcPr>
            <w:tcW w:w="1420" w:type="dxa"/>
            <w:vAlign w:val="bottom"/>
            <w:shd w:val="clear" w:color="auto" w:fill="D8E8EF"/>
          </w:tcPr>
          <w:p>
            <w:pPr>
              <w:spacing w:after="0"/>
              <w:rPr>
                <w:sz w:val="5"/>
                <w:szCs w:val="5"/>
                <w:color w:val="auto"/>
              </w:rPr>
            </w:pPr>
          </w:p>
        </w:tc>
        <w:tc>
          <w:tcPr>
            <w:tcW w:w="900" w:type="dxa"/>
            <w:vAlign w:val="bottom"/>
            <w:shd w:val="clear" w:color="auto" w:fill="D8E8EF"/>
          </w:tcPr>
          <w:p>
            <w:pPr>
              <w:spacing w:after="0"/>
              <w:rPr>
                <w:sz w:val="5"/>
                <w:szCs w:val="5"/>
                <w:color w:val="auto"/>
              </w:rPr>
            </w:pPr>
          </w:p>
        </w:tc>
        <w:tc>
          <w:tcPr>
            <w:tcW w:w="300" w:type="dxa"/>
            <w:vAlign w:val="bottom"/>
            <w:shd w:val="clear" w:color="auto" w:fill="D8E8EF"/>
          </w:tcPr>
          <w:p>
            <w:pPr>
              <w:spacing w:after="0"/>
              <w:rPr>
                <w:sz w:val="5"/>
                <w:szCs w:val="5"/>
                <w:color w:val="auto"/>
              </w:rPr>
            </w:pPr>
          </w:p>
        </w:tc>
        <w:tc>
          <w:tcPr>
            <w:tcW w:w="1040" w:type="dxa"/>
            <w:vAlign w:val="bottom"/>
            <w:shd w:val="clear" w:color="auto" w:fill="D8E8EF"/>
          </w:tcPr>
          <w:p>
            <w:pPr>
              <w:spacing w:after="0"/>
              <w:rPr>
                <w:sz w:val="5"/>
                <w:szCs w:val="5"/>
                <w:color w:val="auto"/>
              </w:rPr>
            </w:pPr>
          </w:p>
        </w:tc>
        <w:tc>
          <w:tcPr>
            <w:tcW w:w="960" w:type="dxa"/>
            <w:vAlign w:val="bottom"/>
            <w:shd w:val="clear" w:color="auto" w:fill="D8E8EF"/>
          </w:tcPr>
          <w:p>
            <w:pPr>
              <w:spacing w:after="0"/>
              <w:rPr>
                <w:sz w:val="5"/>
                <w:szCs w:val="5"/>
                <w:color w:val="auto"/>
              </w:rPr>
            </w:pPr>
          </w:p>
        </w:tc>
        <w:tc>
          <w:tcPr>
            <w:tcW w:w="1200" w:type="dxa"/>
            <w:vAlign w:val="bottom"/>
            <w:shd w:val="clear" w:color="auto" w:fill="D8E8EF"/>
          </w:tcPr>
          <w:p>
            <w:pPr>
              <w:spacing w:after="0"/>
              <w:rPr>
                <w:sz w:val="5"/>
                <w:szCs w:val="5"/>
                <w:color w:val="auto"/>
              </w:rPr>
            </w:pPr>
          </w:p>
        </w:tc>
        <w:tc>
          <w:tcPr>
            <w:tcW w:w="1140" w:type="dxa"/>
            <w:vAlign w:val="bottom"/>
            <w:shd w:val="clear" w:color="auto" w:fill="D8E8EF"/>
          </w:tcPr>
          <w:p>
            <w:pPr>
              <w:spacing w:after="0"/>
              <w:rPr>
                <w:sz w:val="5"/>
                <w:szCs w:val="5"/>
                <w:color w:val="auto"/>
              </w:rPr>
            </w:pPr>
          </w:p>
        </w:tc>
      </w:tr>
      <w:tr>
        <w:trPr>
          <w:trHeight w:val="264"/>
        </w:trPr>
        <w:tc>
          <w:tcPr>
            <w:tcW w:w="3960" w:type="dxa"/>
            <w:vAlign w:val="bottom"/>
          </w:tcPr>
          <w:p>
            <w:pPr>
              <w:ind w:left="60"/>
              <w:spacing w:after="0"/>
              <w:rPr>
                <w:sz w:val="20"/>
                <w:szCs w:val="20"/>
                <w:color w:val="auto"/>
              </w:rPr>
            </w:pPr>
            <w:r>
              <w:rPr>
                <w:rFonts w:ascii="Arial" w:cs="Arial" w:eastAsia="Arial" w:hAnsi="Arial"/>
                <w:sz w:val="16"/>
                <w:szCs w:val="16"/>
                <w:color w:val="auto"/>
              </w:rPr>
              <w:t>Base Salary</w:t>
            </w:r>
          </w:p>
        </w:tc>
        <w:tc>
          <w:tcPr>
            <w:tcW w:w="1420" w:type="dxa"/>
            <w:vAlign w:val="bottom"/>
          </w:tcPr>
          <w:p>
            <w:pPr>
              <w:jc w:val="right"/>
              <w:ind w:right="80"/>
              <w:spacing w:after="0"/>
              <w:rPr>
                <w:sz w:val="20"/>
                <w:szCs w:val="20"/>
                <w:color w:val="auto"/>
              </w:rPr>
            </w:pPr>
            <w:r>
              <w:rPr>
                <w:rFonts w:ascii="Arial" w:cs="Arial" w:eastAsia="Arial" w:hAnsi="Arial"/>
                <w:sz w:val="16"/>
                <w:szCs w:val="16"/>
                <w:color w:val="auto"/>
              </w:rPr>
              <w:t>450,000 (1)</w:t>
            </w:r>
          </w:p>
        </w:tc>
        <w:tc>
          <w:tcPr>
            <w:tcW w:w="900" w:type="dxa"/>
            <w:vAlign w:val="bottom"/>
          </w:tcPr>
          <w:p>
            <w:pPr>
              <w:jc w:val="right"/>
              <w:spacing w:after="0"/>
              <w:rPr>
                <w:sz w:val="20"/>
                <w:szCs w:val="20"/>
                <w:color w:val="auto"/>
              </w:rPr>
            </w:pPr>
            <w:r>
              <w:rPr>
                <w:rFonts w:ascii="Arial" w:cs="Arial" w:eastAsia="Arial" w:hAnsi="Arial"/>
                <w:sz w:val="16"/>
                <w:szCs w:val="16"/>
                <w:color w:val="auto"/>
              </w:rPr>
              <w:t>450,000</w:t>
            </w:r>
          </w:p>
        </w:tc>
        <w:tc>
          <w:tcPr>
            <w:tcW w:w="300" w:type="dxa"/>
            <w:vAlign w:val="bottom"/>
          </w:tcPr>
          <w:p>
            <w:pPr>
              <w:jc w:val="right"/>
              <w:spacing w:after="0"/>
              <w:rPr>
                <w:sz w:val="20"/>
                <w:szCs w:val="20"/>
                <w:color w:val="auto"/>
              </w:rPr>
            </w:pPr>
            <w:r>
              <w:rPr>
                <w:rFonts w:ascii="Arial" w:cs="Arial" w:eastAsia="Arial" w:hAnsi="Arial"/>
                <w:sz w:val="16"/>
                <w:szCs w:val="16"/>
                <w:color w:val="auto"/>
              </w:rPr>
              <w:t>(1)</w:t>
            </w:r>
          </w:p>
        </w:tc>
        <w:tc>
          <w:tcPr>
            <w:tcW w:w="1040" w:type="dxa"/>
            <w:vAlign w:val="bottom"/>
          </w:tcPr>
          <w:p>
            <w:pPr>
              <w:jc w:val="right"/>
              <w:ind w:right="60"/>
              <w:spacing w:after="0"/>
              <w:rPr>
                <w:sz w:val="20"/>
                <w:szCs w:val="20"/>
                <w:color w:val="auto"/>
              </w:rPr>
            </w:pPr>
            <w:r>
              <w:rPr>
                <w:rFonts w:ascii="Arial" w:cs="Arial" w:eastAsia="Arial" w:hAnsi="Arial"/>
                <w:sz w:val="16"/>
                <w:szCs w:val="16"/>
                <w:color w:val="auto"/>
              </w:rPr>
              <w:t>0</w:t>
            </w: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0</w:t>
            </w: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0</w:t>
            </w: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0</w:t>
            </w:r>
          </w:p>
        </w:tc>
      </w:tr>
      <w:tr>
        <w:trPr>
          <w:trHeight w:val="70"/>
        </w:trPr>
        <w:tc>
          <w:tcPr>
            <w:tcW w:w="3960" w:type="dxa"/>
            <w:vAlign w:val="bottom"/>
          </w:tcPr>
          <w:p>
            <w:pPr>
              <w:spacing w:after="0"/>
              <w:rPr>
                <w:sz w:val="6"/>
                <w:szCs w:val="6"/>
                <w:color w:val="auto"/>
              </w:rPr>
            </w:pPr>
          </w:p>
        </w:tc>
        <w:tc>
          <w:tcPr>
            <w:tcW w:w="1420" w:type="dxa"/>
            <w:vAlign w:val="bottom"/>
          </w:tcPr>
          <w:p>
            <w:pPr>
              <w:spacing w:after="0"/>
              <w:rPr>
                <w:sz w:val="6"/>
                <w:szCs w:val="6"/>
                <w:color w:val="auto"/>
              </w:rPr>
            </w:pPr>
          </w:p>
        </w:tc>
        <w:tc>
          <w:tcPr>
            <w:tcW w:w="9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9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140" w:type="dxa"/>
            <w:vAlign w:val="bottom"/>
          </w:tcPr>
          <w:p>
            <w:pPr>
              <w:spacing w:after="0"/>
              <w:rPr>
                <w:sz w:val="6"/>
                <w:szCs w:val="6"/>
                <w:color w:val="auto"/>
              </w:rPr>
            </w:pPr>
          </w:p>
        </w:tc>
      </w:tr>
      <w:tr>
        <w:trPr>
          <w:trHeight w:val="264"/>
        </w:trPr>
        <w:tc>
          <w:tcPr>
            <w:tcW w:w="3960" w:type="dxa"/>
            <w:vAlign w:val="bottom"/>
            <w:shd w:val="clear" w:color="auto" w:fill="D8E8EF"/>
          </w:tcPr>
          <w:p>
            <w:pPr>
              <w:ind w:left="60"/>
              <w:spacing w:after="0"/>
              <w:rPr>
                <w:sz w:val="20"/>
                <w:szCs w:val="20"/>
                <w:color w:val="auto"/>
              </w:rPr>
            </w:pPr>
            <w:r>
              <w:rPr>
                <w:rFonts w:ascii="Arial" w:cs="Arial" w:eastAsia="Arial" w:hAnsi="Arial"/>
                <w:sz w:val="16"/>
                <w:szCs w:val="16"/>
                <w:color w:val="auto"/>
              </w:rPr>
              <w:t>Short-Term Incentive</w:t>
            </w:r>
          </w:p>
        </w:tc>
        <w:tc>
          <w:tcPr>
            <w:tcW w:w="1420" w:type="dxa"/>
            <w:vAlign w:val="bottom"/>
            <w:shd w:val="clear" w:color="auto" w:fill="D8E8EF"/>
          </w:tcPr>
          <w:p>
            <w:pPr>
              <w:jc w:val="right"/>
              <w:ind w:right="80"/>
              <w:spacing w:after="0"/>
              <w:rPr>
                <w:sz w:val="20"/>
                <w:szCs w:val="20"/>
                <w:color w:val="auto"/>
              </w:rPr>
            </w:pPr>
            <w:r>
              <w:rPr>
                <w:rFonts w:ascii="Arial" w:cs="Arial" w:eastAsia="Arial" w:hAnsi="Arial"/>
                <w:sz w:val="16"/>
                <w:szCs w:val="16"/>
                <w:color w:val="auto"/>
              </w:rPr>
              <w:t>640,305 (2)</w:t>
            </w:r>
          </w:p>
        </w:tc>
        <w:tc>
          <w:tcPr>
            <w:tcW w:w="900" w:type="dxa"/>
            <w:vAlign w:val="bottom"/>
            <w:shd w:val="clear" w:color="auto" w:fill="D8E8EF"/>
          </w:tcPr>
          <w:p>
            <w:pPr>
              <w:jc w:val="right"/>
              <w:spacing w:after="0"/>
              <w:rPr>
                <w:sz w:val="20"/>
                <w:szCs w:val="20"/>
                <w:color w:val="auto"/>
              </w:rPr>
            </w:pPr>
            <w:r>
              <w:rPr>
                <w:rFonts w:ascii="Arial" w:cs="Arial" w:eastAsia="Arial" w:hAnsi="Arial"/>
                <w:sz w:val="16"/>
                <w:szCs w:val="16"/>
                <w:color w:val="auto"/>
              </w:rPr>
              <w:t>382,500</w:t>
            </w:r>
          </w:p>
        </w:tc>
        <w:tc>
          <w:tcPr>
            <w:tcW w:w="300" w:type="dxa"/>
            <w:vAlign w:val="bottom"/>
            <w:shd w:val="clear" w:color="auto" w:fill="D8E8EF"/>
          </w:tcPr>
          <w:p>
            <w:pPr>
              <w:jc w:val="right"/>
              <w:spacing w:after="0"/>
              <w:rPr>
                <w:sz w:val="20"/>
                <w:szCs w:val="20"/>
                <w:color w:val="auto"/>
              </w:rPr>
            </w:pPr>
            <w:r>
              <w:rPr>
                <w:rFonts w:ascii="Arial" w:cs="Arial" w:eastAsia="Arial" w:hAnsi="Arial"/>
                <w:sz w:val="16"/>
                <w:szCs w:val="16"/>
                <w:color w:val="auto"/>
              </w:rPr>
              <w:t>(2)</w:t>
            </w:r>
          </w:p>
        </w:tc>
        <w:tc>
          <w:tcPr>
            <w:tcW w:w="1040" w:type="dxa"/>
            <w:vAlign w:val="bottom"/>
            <w:shd w:val="clear" w:color="auto" w:fill="D8E8EF"/>
          </w:tcPr>
          <w:p>
            <w:pPr>
              <w:jc w:val="right"/>
              <w:ind w:right="60"/>
              <w:spacing w:after="0"/>
              <w:rPr>
                <w:sz w:val="20"/>
                <w:szCs w:val="20"/>
                <w:color w:val="auto"/>
              </w:rPr>
            </w:pPr>
            <w:r>
              <w:rPr>
                <w:rFonts w:ascii="Arial" w:cs="Arial" w:eastAsia="Arial" w:hAnsi="Arial"/>
                <w:sz w:val="16"/>
                <w:szCs w:val="16"/>
                <w:color w:val="auto"/>
              </w:rPr>
              <w:t>0</w:t>
            </w:r>
          </w:p>
        </w:tc>
        <w:tc>
          <w:tcPr>
            <w:tcW w:w="960" w:type="dxa"/>
            <w:vAlign w:val="bottom"/>
            <w:shd w:val="clear" w:color="auto" w:fill="D8E8EF"/>
          </w:tcPr>
          <w:p>
            <w:pPr>
              <w:jc w:val="right"/>
              <w:ind w:right="40"/>
              <w:spacing w:after="0"/>
              <w:rPr>
                <w:sz w:val="20"/>
                <w:szCs w:val="20"/>
                <w:color w:val="auto"/>
              </w:rPr>
            </w:pPr>
            <w:r>
              <w:rPr>
                <w:rFonts w:ascii="Arial" w:cs="Arial" w:eastAsia="Arial" w:hAnsi="Arial"/>
                <w:sz w:val="16"/>
                <w:szCs w:val="16"/>
                <w:color w:val="auto"/>
              </w:rPr>
              <w:t>0</w:t>
            </w:r>
          </w:p>
        </w:tc>
        <w:tc>
          <w:tcPr>
            <w:tcW w:w="1200" w:type="dxa"/>
            <w:vAlign w:val="bottom"/>
            <w:shd w:val="clear" w:color="auto" w:fill="D8E8EF"/>
          </w:tcPr>
          <w:p>
            <w:pPr>
              <w:jc w:val="right"/>
              <w:ind w:right="20"/>
              <w:spacing w:after="0"/>
              <w:rPr>
                <w:sz w:val="20"/>
                <w:szCs w:val="20"/>
                <w:color w:val="auto"/>
              </w:rPr>
            </w:pPr>
            <w:r>
              <w:rPr>
                <w:rFonts w:ascii="Arial" w:cs="Arial" w:eastAsia="Arial" w:hAnsi="Arial"/>
                <w:sz w:val="16"/>
                <w:szCs w:val="16"/>
                <w:color w:val="auto"/>
              </w:rPr>
              <w:t>0</w:t>
            </w:r>
          </w:p>
        </w:tc>
        <w:tc>
          <w:tcPr>
            <w:tcW w:w="1140" w:type="dxa"/>
            <w:vAlign w:val="bottom"/>
            <w:shd w:val="clear" w:color="auto" w:fill="D8E8EF"/>
          </w:tcPr>
          <w:p>
            <w:pPr>
              <w:jc w:val="right"/>
              <w:ind w:right="20"/>
              <w:spacing w:after="0"/>
              <w:rPr>
                <w:sz w:val="20"/>
                <w:szCs w:val="20"/>
                <w:color w:val="auto"/>
              </w:rPr>
            </w:pPr>
            <w:r>
              <w:rPr>
                <w:rFonts w:ascii="Arial" w:cs="Arial" w:eastAsia="Arial" w:hAnsi="Arial"/>
                <w:sz w:val="16"/>
                <w:szCs w:val="16"/>
                <w:color w:val="auto"/>
              </w:rPr>
              <w:t>0</w:t>
            </w:r>
          </w:p>
        </w:tc>
      </w:tr>
      <w:tr>
        <w:trPr>
          <w:trHeight w:val="70"/>
        </w:trPr>
        <w:tc>
          <w:tcPr>
            <w:tcW w:w="3960" w:type="dxa"/>
            <w:vAlign w:val="bottom"/>
            <w:shd w:val="clear" w:color="auto" w:fill="D8E8EF"/>
          </w:tcPr>
          <w:p>
            <w:pPr>
              <w:spacing w:after="0"/>
              <w:rPr>
                <w:sz w:val="6"/>
                <w:szCs w:val="6"/>
                <w:color w:val="auto"/>
              </w:rPr>
            </w:pPr>
          </w:p>
        </w:tc>
        <w:tc>
          <w:tcPr>
            <w:tcW w:w="1420" w:type="dxa"/>
            <w:vAlign w:val="bottom"/>
            <w:shd w:val="clear" w:color="auto" w:fill="D8E8EF"/>
          </w:tcPr>
          <w:p>
            <w:pPr>
              <w:spacing w:after="0"/>
              <w:rPr>
                <w:sz w:val="6"/>
                <w:szCs w:val="6"/>
                <w:color w:val="auto"/>
              </w:rPr>
            </w:pPr>
          </w:p>
        </w:tc>
        <w:tc>
          <w:tcPr>
            <w:tcW w:w="900" w:type="dxa"/>
            <w:vAlign w:val="bottom"/>
            <w:shd w:val="clear" w:color="auto" w:fill="D8E8EF"/>
          </w:tcPr>
          <w:p>
            <w:pPr>
              <w:spacing w:after="0"/>
              <w:rPr>
                <w:sz w:val="6"/>
                <w:szCs w:val="6"/>
                <w:color w:val="auto"/>
              </w:rPr>
            </w:pPr>
          </w:p>
        </w:tc>
        <w:tc>
          <w:tcPr>
            <w:tcW w:w="300" w:type="dxa"/>
            <w:vAlign w:val="bottom"/>
            <w:shd w:val="clear" w:color="auto" w:fill="D8E8EF"/>
          </w:tcPr>
          <w:p>
            <w:pPr>
              <w:spacing w:after="0"/>
              <w:rPr>
                <w:sz w:val="6"/>
                <w:szCs w:val="6"/>
                <w:color w:val="auto"/>
              </w:rPr>
            </w:pPr>
          </w:p>
        </w:tc>
        <w:tc>
          <w:tcPr>
            <w:tcW w:w="1040" w:type="dxa"/>
            <w:vAlign w:val="bottom"/>
            <w:shd w:val="clear" w:color="auto" w:fill="D8E8EF"/>
          </w:tcPr>
          <w:p>
            <w:pPr>
              <w:spacing w:after="0"/>
              <w:rPr>
                <w:sz w:val="6"/>
                <w:szCs w:val="6"/>
                <w:color w:val="auto"/>
              </w:rPr>
            </w:pPr>
          </w:p>
        </w:tc>
        <w:tc>
          <w:tcPr>
            <w:tcW w:w="960" w:type="dxa"/>
            <w:vAlign w:val="bottom"/>
            <w:shd w:val="clear" w:color="auto" w:fill="D8E8EF"/>
          </w:tcPr>
          <w:p>
            <w:pPr>
              <w:spacing w:after="0"/>
              <w:rPr>
                <w:sz w:val="6"/>
                <w:szCs w:val="6"/>
                <w:color w:val="auto"/>
              </w:rPr>
            </w:pPr>
          </w:p>
        </w:tc>
        <w:tc>
          <w:tcPr>
            <w:tcW w:w="1200" w:type="dxa"/>
            <w:vAlign w:val="bottom"/>
            <w:shd w:val="clear" w:color="auto" w:fill="D8E8EF"/>
          </w:tcPr>
          <w:p>
            <w:pPr>
              <w:spacing w:after="0"/>
              <w:rPr>
                <w:sz w:val="6"/>
                <w:szCs w:val="6"/>
                <w:color w:val="auto"/>
              </w:rPr>
            </w:pPr>
          </w:p>
        </w:tc>
        <w:tc>
          <w:tcPr>
            <w:tcW w:w="1140" w:type="dxa"/>
            <w:vAlign w:val="bottom"/>
            <w:shd w:val="clear" w:color="auto" w:fill="D8E8EF"/>
          </w:tcPr>
          <w:p>
            <w:pPr>
              <w:spacing w:after="0"/>
              <w:rPr>
                <w:sz w:val="6"/>
                <w:szCs w:val="6"/>
                <w:color w:val="auto"/>
              </w:rPr>
            </w:pPr>
          </w:p>
        </w:tc>
      </w:tr>
      <w:tr>
        <w:trPr>
          <w:trHeight w:val="274"/>
        </w:trPr>
        <w:tc>
          <w:tcPr>
            <w:tcW w:w="3960" w:type="dxa"/>
            <w:vAlign w:val="bottom"/>
          </w:tcPr>
          <w:p>
            <w:pPr>
              <w:ind w:left="60"/>
              <w:spacing w:after="0"/>
              <w:rPr>
                <w:sz w:val="20"/>
                <w:szCs w:val="20"/>
                <w:color w:val="auto"/>
              </w:rPr>
            </w:pPr>
            <w:r>
              <w:rPr>
                <w:rFonts w:ascii="Arial" w:cs="Arial" w:eastAsia="Arial" w:hAnsi="Arial"/>
                <w:sz w:val="16"/>
                <w:szCs w:val="16"/>
                <w:b w:val="1"/>
                <w:bCs w:val="1"/>
                <w:color w:val="auto"/>
              </w:rPr>
              <w:t>Long-Term Incentives:</w:t>
            </w:r>
          </w:p>
        </w:tc>
        <w:tc>
          <w:tcPr>
            <w:tcW w:w="14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60"/>
        </w:trPr>
        <w:tc>
          <w:tcPr>
            <w:tcW w:w="3960" w:type="dxa"/>
            <w:vAlign w:val="bottom"/>
          </w:tcPr>
          <w:p>
            <w:pPr>
              <w:spacing w:after="0"/>
              <w:rPr>
                <w:sz w:val="5"/>
                <w:szCs w:val="5"/>
                <w:color w:val="auto"/>
              </w:rPr>
            </w:pPr>
          </w:p>
        </w:tc>
        <w:tc>
          <w:tcPr>
            <w:tcW w:w="1420" w:type="dxa"/>
            <w:vAlign w:val="bottom"/>
          </w:tcPr>
          <w:p>
            <w:pPr>
              <w:spacing w:after="0"/>
              <w:rPr>
                <w:sz w:val="5"/>
                <w:szCs w:val="5"/>
                <w:color w:val="auto"/>
              </w:rPr>
            </w:pPr>
          </w:p>
        </w:tc>
        <w:tc>
          <w:tcPr>
            <w:tcW w:w="9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9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140" w:type="dxa"/>
            <w:vAlign w:val="bottom"/>
          </w:tcPr>
          <w:p>
            <w:pPr>
              <w:spacing w:after="0"/>
              <w:rPr>
                <w:sz w:val="5"/>
                <w:szCs w:val="5"/>
                <w:color w:val="auto"/>
              </w:rPr>
            </w:pPr>
          </w:p>
        </w:tc>
      </w:tr>
      <w:tr>
        <w:trPr>
          <w:trHeight w:val="240"/>
        </w:trPr>
        <w:tc>
          <w:tcPr>
            <w:tcW w:w="3960" w:type="dxa"/>
            <w:vAlign w:val="bottom"/>
            <w:shd w:val="clear" w:color="auto" w:fill="D8E8EF"/>
          </w:tcPr>
          <w:p>
            <w:pPr>
              <w:ind w:left="60"/>
              <w:spacing w:after="0"/>
              <w:rPr>
                <w:sz w:val="20"/>
                <w:szCs w:val="20"/>
                <w:color w:val="auto"/>
              </w:rPr>
            </w:pPr>
            <w:r>
              <w:rPr>
                <w:rFonts w:ascii="Arial" w:cs="Arial" w:eastAsia="Arial" w:hAnsi="Arial"/>
                <w:sz w:val="16"/>
                <w:szCs w:val="16"/>
                <w:color w:val="auto"/>
              </w:rPr>
              <w:t>Acceleration or Continued Vesting of Unvested Stock</w:t>
            </w:r>
          </w:p>
        </w:tc>
        <w:tc>
          <w:tcPr>
            <w:tcW w:w="1420" w:type="dxa"/>
            <w:vAlign w:val="bottom"/>
            <w:shd w:val="clear" w:color="auto" w:fill="D8E8EF"/>
          </w:tcPr>
          <w:p>
            <w:pPr>
              <w:jc w:val="right"/>
              <w:ind w:right="80"/>
              <w:spacing w:after="0"/>
              <w:rPr>
                <w:sz w:val="20"/>
                <w:szCs w:val="20"/>
                <w:color w:val="auto"/>
              </w:rPr>
            </w:pPr>
            <w:r>
              <w:rPr>
                <w:rFonts w:ascii="Arial" w:cs="Arial" w:eastAsia="Arial" w:hAnsi="Arial"/>
                <w:sz w:val="16"/>
                <w:szCs w:val="16"/>
                <w:color w:val="auto"/>
              </w:rPr>
              <w:t>0</w:t>
            </w:r>
          </w:p>
        </w:tc>
        <w:tc>
          <w:tcPr>
            <w:tcW w:w="900" w:type="dxa"/>
            <w:vAlign w:val="bottom"/>
            <w:shd w:val="clear" w:color="auto" w:fill="D8E8EF"/>
          </w:tcPr>
          <w:p>
            <w:pPr>
              <w:jc w:val="right"/>
              <w:spacing w:after="0"/>
              <w:rPr>
                <w:sz w:val="20"/>
                <w:szCs w:val="20"/>
                <w:color w:val="auto"/>
              </w:rPr>
            </w:pPr>
            <w:r>
              <w:rPr>
                <w:rFonts w:ascii="Arial" w:cs="Arial" w:eastAsia="Arial" w:hAnsi="Arial"/>
                <w:sz w:val="16"/>
                <w:szCs w:val="16"/>
                <w:color w:val="auto"/>
              </w:rPr>
              <w:t>4,753,110</w:t>
            </w:r>
          </w:p>
        </w:tc>
        <w:tc>
          <w:tcPr>
            <w:tcW w:w="300" w:type="dxa"/>
            <w:vAlign w:val="bottom"/>
            <w:shd w:val="clear" w:color="auto" w:fill="D8E8EF"/>
          </w:tcPr>
          <w:p>
            <w:pPr>
              <w:jc w:val="right"/>
              <w:spacing w:after="0"/>
              <w:rPr>
                <w:sz w:val="20"/>
                <w:szCs w:val="20"/>
                <w:color w:val="auto"/>
              </w:rPr>
            </w:pPr>
            <w:r>
              <w:rPr>
                <w:rFonts w:ascii="Arial" w:cs="Arial" w:eastAsia="Arial" w:hAnsi="Arial"/>
                <w:sz w:val="16"/>
                <w:szCs w:val="16"/>
                <w:color w:val="auto"/>
              </w:rPr>
              <w:t>(3)</w:t>
            </w:r>
          </w:p>
        </w:tc>
        <w:tc>
          <w:tcPr>
            <w:tcW w:w="1040" w:type="dxa"/>
            <w:vAlign w:val="bottom"/>
            <w:shd w:val="clear" w:color="auto" w:fill="D8E8EF"/>
          </w:tcPr>
          <w:p>
            <w:pPr>
              <w:jc w:val="right"/>
              <w:ind w:right="60"/>
              <w:spacing w:after="0"/>
              <w:rPr>
                <w:sz w:val="20"/>
                <w:szCs w:val="20"/>
                <w:color w:val="auto"/>
              </w:rPr>
            </w:pPr>
            <w:r>
              <w:rPr>
                <w:rFonts w:ascii="Arial" w:cs="Arial" w:eastAsia="Arial" w:hAnsi="Arial"/>
                <w:sz w:val="16"/>
                <w:szCs w:val="16"/>
                <w:color w:val="auto"/>
              </w:rPr>
              <w:t>(3)</w:t>
            </w:r>
          </w:p>
        </w:tc>
        <w:tc>
          <w:tcPr>
            <w:tcW w:w="960" w:type="dxa"/>
            <w:vAlign w:val="bottom"/>
            <w:shd w:val="clear" w:color="auto" w:fill="D8E8EF"/>
          </w:tcPr>
          <w:p>
            <w:pPr>
              <w:jc w:val="right"/>
              <w:ind w:right="40"/>
              <w:spacing w:after="0"/>
              <w:rPr>
                <w:sz w:val="20"/>
                <w:szCs w:val="20"/>
                <w:color w:val="auto"/>
              </w:rPr>
            </w:pPr>
            <w:r>
              <w:rPr>
                <w:rFonts w:ascii="Arial" w:cs="Arial" w:eastAsia="Arial" w:hAnsi="Arial"/>
                <w:sz w:val="16"/>
                <w:szCs w:val="16"/>
                <w:color w:val="auto"/>
              </w:rPr>
              <w:t>0</w:t>
            </w:r>
          </w:p>
        </w:tc>
        <w:tc>
          <w:tcPr>
            <w:tcW w:w="1200" w:type="dxa"/>
            <w:vAlign w:val="bottom"/>
            <w:shd w:val="clear" w:color="auto" w:fill="D8E8EF"/>
          </w:tcPr>
          <w:p>
            <w:pPr>
              <w:jc w:val="right"/>
              <w:ind w:right="20"/>
              <w:spacing w:after="0"/>
              <w:rPr>
                <w:sz w:val="20"/>
                <w:szCs w:val="20"/>
                <w:color w:val="auto"/>
              </w:rPr>
            </w:pPr>
            <w:r>
              <w:rPr>
                <w:rFonts w:ascii="Arial" w:cs="Arial" w:eastAsia="Arial" w:hAnsi="Arial"/>
                <w:sz w:val="16"/>
                <w:szCs w:val="16"/>
                <w:color w:val="auto"/>
              </w:rPr>
              <w:t>0</w:t>
            </w:r>
          </w:p>
        </w:tc>
        <w:tc>
          <w:tcPr>
            <w:tcW w:w="1140" w:type="dxa"/>
            <w:vAlign w:val="bottom"/>
            <w:shd w:val="clear" w:color="auto" w:fill="D8E8EF"/>
          </w:tcPr>
          <w:p>
            <w:pPr>
              <w:jc w:val="right"/>
              <w:ind w:right="20"/>
              <w:spacing w:after="0"/>
              <w:rPr>
                <w:sz w:val="20"/>
                <w:szCs w:val="20"/>
                <w:color w:val="auto"/>
              </w:rPr>
            </w:pPr>
            <w:r>
              <w:rPr>
                <w:rFonts w:ascii="Arial" w:cs="Arial" w:eastAsia="Arial" w:hAnsi="Arial"/>
                <w:sz w:val="16"/>
                <w:szCs w:val="16"/>
                <w:color w:val="auto"/>
              </w:rPr>
              <w:t>0</w:t>
            </w:r>
          </w:p>
        </w:tc>
      </w:tr>
      <w:tr>
        <w:trPr>
          <w:trHeight w:val="211"/>
        </w:trPr>
        <w:tc>
          <w:tcPr>
            <w:tcW w:w="3960" w:type="dxa"/>
            <w:vAlign w:val="bottom"/>
            <w:shd w:val="clear" w:color="auto" w:fill="D8E8EF"/>
          </w:tcPr>
          <w:p>
            <w:pPr>
              <w:ind w:left="320"/>
              <w:spacing w:after="0"/>
              <w:rPr>
                <w:sz w:val="20"/>
                <w:szCs w:val="20"/>
                <w:color w:val="auto"/>
              </w:rPr>
            </w:pPr>
            <w:r>
              <w:rPr>
                <w:rFonts w:ascii="Arial" w:cs="Arial" w:eastAsia="Arial" w:hAnsi="Arial"/>
                <w:sz w:val="16"/>
                <w:szCs w:val="16"/>
                <w:color w:val="auto"/>
              </w:rPr>
              <w:t>Options, RSUs or PBRSUs</w:t>
            </w:r>
          </w:p>
        </w:tc>
        <w:tc>
          <w:tcPr>
            <w:tcW w:w="1420" w:type="dxa"/>
            <w:vAlign w:val="bottom"/>
            <w:shd w:val="clear" w:color="auto" w:fill="D8E8EF"/>
          </w:tcPr>
          <w:p>
            <w:pPr>
              <w:spacing w:after="0"/>
              <w:rPr>
                <w:sz w:val="18"/>
                <w:szCs w:val="18"/>
                <w:color w:val="auto"/>
              </w:rPr>
            </w:pPr>
          </w:p>
        </w:tc>
        <w:tc>
          <w:tcPr>
            <w:tcW w:w="900" w:type="dxa"/>
            <w:vAlign w:val="bottom"/>
            <w:shd w:val="clear" w:color="auto" w:fill="D8E8EF"/>
          </w:tcPr>
          <w:p>
            <w:pPr>
              <w:spacing w:after="0"/>
              <w:rPr>
                <w:sz w:val="18"/>
                <w:szCs w:val="18"/>
                <w:color w:val="auto"/>
              </w:rPr>
            </w:pPr>
          </w:p>
        </w:tc>
        <w:tc>
          <w:tcPr>
            <w:tcW w:w="300" w:type="dxa"/>
            <w:vAlign w:val="bottom"/>
            <w:shd w:val="clear" w:color="auto" w:fill="D8E8EF"/>
          </w:tcPr>
          <w:p>
            <w:pPr>
              <w:spacing w:after="0"/>
              <w:rPr>
                <w:sz w:val="18"/>
                <w:szCs w:val="18"/>
                <w:color w:val="auto"/>
              </w:rPr>
            </w:pPr>
          </w:p>
        </w:tc>
        <w:tc>
          <w:tcPr>
            <w:tcW w:w="1040" w:type="dxa"/>
            <w:vAlign w:val="bottom"/>
            <w:shd w:val="clear" w:color="auto" w:fill="D8E8EF"/>
          </w:tcPr>
          <w:p>
            <w:pPr>
              <w:spacing w:after="0"/>
              <w:rPr>
                <w:sz w:val="18"/>
                <w:szCs w:val="18"/>
                <w:color w:val="auto"/>
              </w:rPr>
            </w:pPr>
          </w:p>
        </w:tc>
        <w:tc>
          <w:tcPr>
            <w:tcW w:w="960" w:type="dxa"/>
            <w:vAlign w:val="bottom"/>
            <w:shd w:val="clear" w:color="auto" w:fill="D8E8EF"/>
          </w:tcPr>
          <w:p>
            <w:pPr>
              <w:spacing w:after="0"/>
              <w:rPr>
                <w:sz w:val="18"/>
                <w:szCs w:val="18"/>
                <w:color w:val="auto"/>
              </w:rPr>
            </w:pPr>
          </w:p>
        </w:tc>
        <w:tc>
          <w:tcPr>
            <w:tcW w:w="1200" w:type="dxa"/>
            <w:vAlign w:val="bottom"/>
            <w:shd w:val="clear" w:color="auto" w:fill="D8E8EF"/>
          </w:tcPr>
          <w:p>
            <w:pPr>
              <w:spacing w:after="0"/>
              <w:rPr>
                <w:sz w:val="18"/>
                <w:szCs w:val="18"/>
                <w:color w:val="auto"/>
              </w:rPr>
            </w:pPr>
          </w:p>
        </w:tc>
        <w:tc>
          <w:tcPr>
            <w:tcW w:w="1140" w:type="dxa"/>
            <w:vAlign w:val="bottom"/>
            <w:shd w:val="clear" w:color="auto" w:fill="D8E8EF"/>
          </w:tcPr>
          <w:p>
            <w:pPr>
              <w:spacing w:after="0"/>
              <w:rPr>
                <w:sz w:val="18"/>
                <w:szCs w:val="18"/>
                <w:color w:val="auto"/>
              </w:rPr>
            </w:pPr>
          </w:p>
        </w:tc>
      </w:tr>
      <w:tr>
        <w:trPr>
          <w:trHeight w:val="70"/>
        </w:trPr>
        <w:tc>
          <w:tcPr>
            <w:tcW w:w="3960" w:type="dxa"/>
            <w:vAlign w:val="bottom"/>
            <w:shd w:val="clear" w:color="auto" w:fill="D8E8EF"/>
          </w:tcPr>
          <w:p>
            <w:pPr>
              <w:spacing w:after="0"/>
              <w:rPr>
                <w:sz w:val="6"/>
                <w:szCs w:val="6"/>
                <w:color w:val="auto"/>
              </w:rPr>
            </w:pPr>
          </w:p>
        </w:tc>
        <w:tc>
          <w:tcPr>
            <w:tcW w:w="1420" w:type="dxa"/>
            <w:vAlign w:val="bottom"/>
            <w:shd w:val="clear" w:color="auto" w:fill="D8E8EF"/>
          </w:tcPr>
          <w:p>
            <w:pPr>
              <w:spacing w:after="0"/>
              <w:rPr>
                <w:sz w:val="6"/>
                <w:szCs w:val="6"/>
                <w:color w:val="auto"/>
              </w:rPr>
            </w:pPr>
          </w:p>
        </w:tc>
        <w:tc>
          <w:tcPr>
            <w:tcW w:w="1200" w:type="dxa"/>
            <w:vAlign w:val="bottom"/>
            <w:gridSpan w:val="2"/>
            <w:shd w:val="clear" w:color="auto" w:fill="D8E8EF"/>
          </w:tcPr>
          <w:p>
            <w:pPr>
              <w:spacing w:after="0"/>
              <w:rPr>
                <w:sz w:val="6"/>
                <w:szCs w:val="6"/>
                <w:color w:val="auto"/>
              </w:rPr>
            </w:pPr>
          </w:p>
        </w:tc>
        <w:tc>
          <w:tcPr>
            <w:tcW w:w="1040" w:type="dxa"/>
            <w:vAlign w:val="bottom"/>
            <w:shd w:val="clear" w:color="auto" w:fill="D8E8EF"/>
          </w:tcPr>
          <w:p>
            <w:pPr>
              <w:spacing w:after="0"/>
              <w:rPr>
                <w:sz w:val="6"/>
                <w:szCs w:val="6"/>
                <w:color w:val="auto"/>
              </w:rPr>
            </w:pPr>
          </w:p>
        </w:tc>
        <w:tc>
          <w:tcPr>
            <w:tcW w:w="960" w:type="dxa"/>
            <w:vAlign w:val="bottom"/>
            <w:shd w:val="clear" w:color="auto" w:fill="D8E8EF"/>
          </w:tcPr>
          <w:p>
            <w:pPr>
              <w:spacing w:after="0"/>
              <w:rPr>
                <w:sz w:val="6"/>
                <w:szCs w:val="6"/>
                <w:color w:val="auto"/>
              </w:rPr>
            </w:pPr>
          </w:p>
        </w:tc>
        <w:tc>
          <w:tcPr>
            <w:tcW w:w="1200" w:type="dxa"/>
            <w:vAlign w:val="bottom"/>
            <w:shd w:val="clear" w:color="auto" w:fill="D8E8EF"/>
          </w:tcPr>
          <w:p>
            <w:pPr>
              <w:spacing w:after="0"/>
              <w:rPr>
                <w:sz w:val="6"/>
                <w:szCs w:val="6"/>
                <w:color w:val="auto"/>
              </w:rPr>
            </w:pPr>
          </w:p>
        </w:tc>
        <w:tc>
          <w:tcPr>
            <w:tcW w:w="1140" w:type="dxa"/>
            <w:vAlign w:val="bottom"/>
            <w:shd w:val="clear" w:color="auto" w:fill="D8E8EF"/>
          </w:tcPr>
          <w:p>
            <w:pPr>
              <w:spacing w:after="0"/>
              <w:rPr>
                <w:sz w:val="6"/>
                <w:szCs w:val="6"/>
                <w:color w:val="auto"/>
              </w:rPr>
            </w:pPr>
          </w:p>
        </w:tc>
      </w:tr>
      <w:tr>
        <w:trPr>
          <w:trHeight w:val="274"/>
        </w:trPr>
        <w:tc>
          <w:tcPr>
            <w:tcW w:w="3960" w:type="dxa"/>
            <w:vAlign w:val="bottom"/>
          </w:tcPr>
          <w:p>
            <w:pPr>
              <w:ind w:left="60"/>
              <w:spacing w:after="0"/>
              <w:rPr>
                <w:sz w:val="20"/>
                <w:szCs w:val="20"/>
                <w:color w:val="auto"/>
              </w:rPr>
            </w:pPr>
            <w:r>
              <w:rPr>
                <w:rFonts w:ascii="Arial" w:cs="Arial" w:eastAsia="Arial" w:hAnsi="Arial"/>
                <w:sz w:val="16"/>
                <w:szCs w:val="16"/>
                <w:b w:val="1"/>
                <w:bCs w:val="1"/>
                <w:i w:val="1"/>
                <w:iCs w:val="1"/>
                <w:color w:val="auto"/>
              </w:rPr>
              <w:t>Total:</w:t>
            </w:r>
          </w:p>
        </w:tc>
        <w:tc>
          <w:tcPr>
            <w:tcW w:w="1420" w:type="dxa"/>
            <w:vAlign w:val="bottom"/>
          </w:tcPr>
          <w:p>
            <w:pPr>
              <w:jc w:val="right"/>
              <w:ind w:right="80"/>
              <w:spacing w:after="0"/>
              <w:rPr>
                <w:sz w:val="20"/>
                <w:szCs w:val="20"/>
                <w:color w:val="auto"/>
              </w:rPr>
            </w:pPr>
            <w:r>
              <w:rPr>
                <w:rFonts w:ascii="Arial" w:cs="Arial" w:eastAsia="Arial" w:hAnsi="Arial"/>
                <w:sz w:val="16"/>
                <w:szCs w:val="16"/>
                <w:color w:val="auto"/>
              </w:rPr>
              <w:t>1,090,305</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5,585,610</w:t>
            </w:r>
          </w:p>
        </w:tc>
        <w:tc>
          <w:tcPr>
            <w:tcW w:w="1040" w:type="dxa"/>
            <w:vAlign w:val="bottom"/>
          </w:tcPr>
          <w:p>
            <w:pPr>
              <w:jc w:val="right"/>
              <w:ind w:right="60"/>
              <w:spacing w:after="0"/>
              <w:rPr>
                <w:sz w:val="20"/>
                <w:szCs w:val="20"/>
                <w:color w:val="auto"/>
              </w:rPr>
            </w:pPr>
            <w:r>
              <w:rPr>
                <w:rFonts w:ascii="Arial" w:cs="Arial" w:eastAsia="Arial" w:hAnsi="Arial"/>
                <w:sz w:val="16"/>
                <w:szCs w:val="16"/>
                <w:color w:val="auto"/>
              </w:rPr>
              <w:t>(3)</w:t>
            </w: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0</w:t>
            </w: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0</w:t>
            </w: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46990</wp:posOffset>
            </wp:positionV>
            <wp:extent cx="692975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98" w:lineRule="exact"/>
        <w:rPr>
          <w:sz w:val="20"/>
          <w:szCs w:val="20"/>
          <w:color w:val="auto"/>
        </w:rPr>
      </w:pPr>
    </w:p>
    <w:p>
      <w:pPr>
        <w:ind w:left="600" w:hanging="433"/>
        <w:spacing w:after="0" w:line="269" w:lineRule="auto"/>
        <w:tabs>
          <w:tab w:leader="none" w:pos="600" w:val="left"/>
        </w:tabs>
        <w:numPr>
          <w:ilvl w:val="0"/>
          <w:numId w:val="91"/>
        </w:numPr>
        <w:rPr>
          <w:rFonts w:ascii="Arial" w:cs="Arial" w:eastAsia="Arial" w:hAnsi="Arial"/>
          <w:sz w:val="14"/>
          <w:szCs w:val="14"/>
          <w:color w:val="auto"/>
        </w:rPr>
      </w:pPr>
      <w:r>
        <w:rPr>
          <w:rFonts w:ascii="Arial" w:cs="Arial" w:eastAsia="Arial" w:hAnsi="Arial"/>
          <w:sz w:val="14"/>
          <w:szCs w:val="14"/>
          <w:color w:val="auto"/>
        </w:rPr>
        <w:t>Mr. Jatou’s severance payment following a termination without “Cause” or a resignation for “Good Reason” (as those terms are defined in his employment agreement), whether or not following a Change in Control, is equal to one year of annual base salary. Mr. Jatou’s base salary at the end of the 2021 fiscal year was $450,000.</w:t>
      </w:r>
    </w:p>
    <w:p>
      <w:pPr>
        <w:jc w:val="both"/>
        <w:ind w:left="600" w:hanging="433"/>
        <w:spacing w:after="0" w:line="245" w:lineRule="auto"/>
        <w:tabs>
          <w:tab w:leader="none" w:pos="600" w:val="left"/>
        </w:tabs>
        <w:numPr>
          <w:ilvl w:val="0"/>
          <w:numId w:val="91"/>
        </w:numPr>
        <w:rPr>
          <w:rFonts w:ascii="Arial" w:cs="Arial" w:eastAsia="Arial" w:hAnsi="Arial"/>
          <w:sz w:val="14"/>
          <w:szCs w:val="14"/>
          <w:color w:val="auto"/>
        </w:rPr>
      </w:pPr>
      <w:r>
        <w:rPr>
          <w:rFonts w:ascii="Arial" w:cs="Arial" w:eastAsia="Arial" w:hAnsi="Arial"/>
          <w:sz w:val="14"/>
          <w:szCs w:val="14"/>
          <w:color w:val="auto"/>
        </w:rPr>
        <w:t>In the event that we terminate Mr. Jatou’s employment without Cause, or he resigns for Good Reason, other than in connection with a Change in Control, Mr. Jatou is entitled to any bonus earned but unpaid for the performance cycle immediately preceding the date of termination and a pro rata portion of his bonus, if any, for the then-current performance cycle based on achievement of the applicable performance criteria. For purposes of this column, we have assumed that Mr. Jatou’s date of termination was December 31, 2021, that the applicable performance cycle for the prorated bonus entitlement was the 2021 Bonus Program and that his bonus under the 2021 cash incentive program was earned but unpaid at that time. Mr. Jatou’s earned bonus for 2021 was $640,305. In addition to other benefits provided in his employment agreement, if Mr. Jatou’s employment had been terminated on December 31, 2021 by the Company without Cause or by Mr. Jatou for Good Reason within 24 months following a Change in Control, he would have been entitled to a cash payment equal to his total annual target bonus under the 2021 Bonus Program. Such target bonus for 2021 was $382,500.</w:t>
      </w:r>
    </w:p>
    <w:p>
      <w:pPr>
        <w:spacing w:after="0" w:line="9" w:lineRule="exact"/>
        <w:rPr>
          <w:rFonts w:ascii="Arial" w:cs="Arial" w:eastAsia="Arial" w:hAnsi="Arial"/>
          <w:sz w:val="14"/>
          <w:szCs w:val="14"/>
          <w:color w:val="auto"/>
        </w:rPr>
      </w:pPr>
    </w:p>
    <w:p>
      <w:pPr>
        <w:jc w:val="both"/>
        <w:ind w:left="600" w:hanging="433"/>
        <w:spacing w:after="0" w:line="246" w:lineRule="auto"/>
        <w:tabs>
          <w:tab w:leader="none" w:pos="600" w:val="left"/>
        </w:tabs>
        <w:numPr>
          <w:ilvl w:val="0"/>
          <w:numId w:val="91"/>
        </w:numPr>
        <w:rPr>
          <w:rFonts w:ascii="Arial" w:cs="Arial" w:eastAsia="Arial" w:hAnsi="Arial"/>
          <w:sz w:val="14"/>
          <w:szCs w:val="14"/>
          <w:color w:val="auto"/>
        </w:rPr>
      </w:pPr>
      <w:r>
        <w:rPr>
          <w:rFonts w:ascii="Arial" w:cs="Arial" w:eastAsia="Arial" w:hAnsi="Arial"/>
          <w:sz w:val="14"/>
          <w:szCs w:val="14"/>
          <w:color w:val="auto"/>
        </w:rPr>
        <w:t>Because the HCC Committee has discretion to accelerate outstanding awards of equity under the SIP notwithstanding the provisions of an officer’s employment agreement or the award agreements under which the awards were granted in the event of a Change in Control, for purposes of this disclosure, we have assumed that the HCC Committee has exercised such discretion and all outstanding equity awards have been accelerated. For a description of the actual provisions of the employment agreements and such award agreements that may otherwise impact acceleration in connection with a Change in Control, see the discussion above under “Potential Payments Upon Termination of Employment or Change in Control — Equity Acceleration upon a Change in Control.” This amount denotes the incremental difference between the market value on December 31, 2021 and the exercise price, if any, of unvested options, RSUs or PBRSUs (including any 2020 Base PBRSUs, Upside PBRSUs and 2021 PBRSUs) for which vesting might be accelerated.</w:t>
      </w:r>
    </w:p>
    <w:p>
      <w:pPr>
        <w:spacing w:after="0" w:line="115" w:lineRule="exact"/>
        <w:rPr>
          <w:sz w:val="20"/>
          <w:szCs w:val="20"/>
          <w:color w:val="auto"/>
        </w:rPr>
      </w:pPr>
    </w:p>
    <w:p>
      <w:pPr>
        <w:ind w:left="160"/>
        <w:spacing w:after="0"/>
        <w:tabs>
          <w:tab w:leader="none" w:pos="500" w:val="left"/>
        </w:tabs>
        <w:rPr>
          <w:sz w:val="20"/>
          <w:szCs w:val="20"/>
          <w:color w:val="auto"/>
        </w:rPr>
      </w:pPr>
      <w:r>
        <w:rPr>
          <w:rFonts w:ascii="Arial" w:cs="Arial" w:eastAsia="Arial" w:hAnsi="Arial"/>
          <w:sz w:val="14"/>
          <w:szCs w:val="14"/>
          <w:color w:val="F75E14"/>
        </w:rPr>
        <w:t>66</w:t>
        <w:tab/>
        <w:t>onsemi 2022 Proxy Statement</w:t>
      </w:r>
    </w:p>
    <w:p>
      <w:pPr>
        <w:sectPr>
          <w:pgSz w:w="11900" w:h="16838" w:orient="portrait"/>
          <w:cols w:equalWidth="0" w:num="1">
            <w:col w:w="11080"/>
          </w:cols>
          <w:pgMar w:left="320" w:top="454" w:right="499" w:bottom="1440" w:gutter="0" w:footer="0" w:header="0"/>
        </w:sectPr>
      </w:pPr>
    </w:p>
    <w:bookmarkStart w:id="70" w:name="page71"/>
    <w:bookmarkEnd w:id="7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2" w:lineRule="exact"/>
        <w:rPr>
          <w:sz w:val="20"/>
          <w:szCs w:val="20"/>
          <w:color w:val="auto"/>
        </w:rPr>
      </w:pPr>
    </w:p>
    <w:p>
      <w:pPr>
        <w:ind w:left="8260"/>
        <w:spacing w:after="0"/>
        <w:rPr>
          <w:sz w:val="20"/>
          <w:szCs w:val="20"/>
          <w:color w:val="auto"/>
        </w:rPr>
      </w:pPr>
      <w:r>
        <w:rPr>
          <w:rFonts w:ascii="Arial" w:cs="Arial" w:eastAsia="Arial" w:hAnsi="Arial"/>
          <w:sz w:val="17"/>
          <w:szCs w:val="17"/>
          <w:color w:val="F75E14"/>
        </w:rPr>
        <w:t>Compensation of Executive Officers</w:t>
      </w:r>
    </w:p>
    <w:p>
      <w:pPr>
        <w:spacing w:after="0" w:line="152" w:lineRule="exact"/>
        <w:rPr>
          <w:sz w:val="20"/>
          <w:szCs w:val="20"/>
          <w:color w:val="auto"/>
        </w:rPr>
      </w:pPr>
    </w:p>
    <w:p>
      <w:pPr>
        <w:jc w:val="both"/>
        <w:ind w:left="160"/>
        <w:spacing w:after="0" w:line="265" w:lineRule="auto"/>
        <w:rPr>
          <w:sz w:val="20"/>
          <w:szCs w:val="20"/>
          <w:color w:val="auto"/>
        </w:rPr>
      </w:pPr>
      <w:r>
        <w:rPr>
          <w:rFonts w:ascii="Arial" w:cs="Arial" w:eastAsia="Arial" w:hAnsi="Arial"/>
          <w:sz w:val="18"/>
          <w:szCs w:val="18"/>
          <w:color w:val="auto"/>
        </w:rPr>
        <w:t xml:space="preserve">The following table sets forth the potential payments upon termination or a Change in Control for </w:t>
      </w:r>
      <w:r>
        <w:rPr>
          <w:rFonts w:ascii="Arial" w:cs="Arial" w:eastAsia="Arial" w:hAnsi="Arial"/>
          <w:sz w:val="18"/>
          <w:szCs w:val="18"/>
          <w:b w:val="1"/>
          <w:bCs w:val="1"/>
          <w:i w:val="1"/>
          <w:iCs w:val="1"/>
          <w:color w:val="auto"/>
        </w:rPr>
        <w:t>George H. Cave</w:t>
      </w:r>
      <w:r>
        <w:rPr>
          <w:rFonts w:ascii="Arial" w:cs="Arial" w:eastAsia="Arial" w:hAnsi="Arial"/>
          <w:sz w:val="18"/>
          <w:szCs w:val="18"/>
          <w:color w:val="auto"/>
        </w:rPr>
        <w:t>, our former Executive Vice President, General Counsel, Chief Compliance Officer, Chief Risk Officer and Secretary.</w:t>
      </w:r>
    </w:p>
    <w:p>
      <w:pPr>
        <w:spacing w:after="0" w:line="204" w:lineRule="exact"/>
        <w:rPr>
          <w:sz w:val="20"/>
          <w:szCs w:val="20"/>
          <w:color w:val="auto"/>
        </w:rPr>
      </w:pPr>
    </w:p>
    <w:tbl>
      <w:tblPr>
        <w:tblLayout w:type="fixed"/>
        <w:tblInd w:w="160" w:type="dxa"/>
        <w:tblCellMar>
          <w:top w:w="0" w:type="dxa"/>
          <w:left w:w="0" w:type="dxa"/>
          <w:bottom w:w="0" w:type="dxa"/>
          <w:right w:w="0" w:type="dxa"/>
        </w:tblCellMar>
      </w:tblPr>
      <w:tr>
        <w:trPr>
          <w:trHeight w:val="213"/>
        </w:trPr>
        <w:tc>
          <w:tcPr>
            <w:tcW w:w="3960" w:type="dxa"/>
            <w:vAlign w:val="bottom"/>
            <w:shd w:val="clear" w:color="auto" w:fill="F75E14"/>
          </w:tcPr>
          <w:p>
            <w:pPr>
              <w:spacing w:after="0"/>
              <w:rPr>
                <w:sz w:val="18"/>
                <w:szCs w:val="18"/>
                <w:color w:val="auto"/>
              </w:rPr>
            </w:pPr>
          </w:p>
        </w:tc>
        <w:tc>
          <w:tcPr>
            <w:tcW w:w="1380" w:type="dxa"/>
            <w:vAlign w:val="bottom"/>
            <w:shd w:val="clear" w:color="auto" w:fill="F75E14"/>
          </w:tcPr>
          <w:p>
            <w:pPr>
              <w:jc w:val="center"/>
              <w:spacing w:after="0"/>
              <w:rPr>
                <w:sz w:val="20"/>
                <w:szCs w:val="20"/>
                <w:color w:val="auto"/>
              </w:rPr>
            </w:pPr>
            <w:r>
              <w:rPr>
                <w:rFonts w:ascii="Arial" w:cs="Arial" w:eastAsia="Arial" w:hAnsi="Arial"/>
                <w:sz w:val="16"/>
                <w:szCs w:val="16"/>
                <w:b w:val="1"/>
                <w:bCs w:val="1"/>
                <w:color w:val="FFFFFF"/>
                <w:w w:val="98"/>
              </w:rPr>
              <w:t>Termination</w:t>
            </w:r>
          </w:p>
        </w:tc>
        <w:tc>
          <w:tcPr>
            <w:tcW w:w="860" w:type="dxa"/>
            <w:vAlign w:val="bottom"/>
            <w:shd w:val="clear" w:color="auto" w:fill="F75E14"/>
          </w:tcPr>
          <w:p>
            <w:pPr>
              <w:spacing w:after="0"/>
              <w:rPr>
                <w:sz w:val="18"/>
                <w:szCs w:val="18"/>
                <w:color w:val="auto"/>
              </w:rPr>
            </w:pPr>
          </w:p>
        </w:tc>
        <w:tc>
          <w:tcPr>
            <w:tcW w:w="300" w:type="dxa"/>
            <w:vAlign w:val="bottom"/>
            <w:shd w:val="clear" w:color="auto" w:fill="F75E14"/>
          </w:tcPr>
          <w:p>
            <w:pPr>
              <w:spacing w:after="0"/>
              <w:rPr>
                <w:sz w:val="18"/>
                <w:szCs w:val="18"/>
                <w:color w:val="auto"/>
              </w:rPr>
            </w:pPr>
          </w:p>
        </w:tc>
        <w:tc>
          <w:tcPr>
            <w:tcW w:w="1040" w:type="dxa"/>
            <w:vAlign w:val="bottom"/>
            <w:shd w:val="clear" w:color="auto" w:fill="F75E14"/>
          </w:tcPr>
          <w:p>
            <w:pPr>
              <w:spacing w:after="0"/>
              <w:rPr>
                <w:sz w:val="18"/>
                <w:szCs w:val="18"/>
                <w:color w:val="auto"/>
              </w:rPr>
            </w:pPr>
          </w:p>
        </w:tc>
        <w:tc>
          <w:tcPr>
            <w:tcW w:w="960" w:type="dxa"/>
            <w:vAlign w:val="bottom"/>
            <w:shd w:val="clear" w:color="auto" w:fill="F75E14"/>
          </w:tcPr>
          <w:p>
            <w:pPr>
              <w:spacing w:after="0"/>
              <w:rPr>
                <w:sz w:val="18"/>
                <w:szCs w:val="18"/>
                <w:color w:val="auto"/>
              </w:rPr>
            </w:pPr>
          </w:p>
        </w:tc>
        <w:tc>
          <w:tcPr>
            <w:tcW w:w="1220" w:type="dxa"/>
            <w:vAlign w:val="bottom"/>
            <w:shd w:val="clear" w:color="auto" w:fill="F75E14"/>
          </w:tcPr>
          <w:p>
            <w:pPr>
              <w:spacing w:after="0"/>
              <w:rPr>
                <w:sz w:val="18"/>
                <w:szCs w:val="18"/>
                <w:color w:val="auto"/>
              </w:rPr>
            </w:pPr>
          </w:p>
        </w:tc>
        <w:tc>
          <w:tcPr>
            <w:tcW w:w="1200" w:type="dxa"/>
            <w:vAlign w:val="bottom"/>
            <w:shd w:val="clear" w:color="auto" w:fill="F75E14"/>
          </w:tcPr>
          <w:p>
            <w:pPr>
              <w:jc w:val="center"/>
              <w:spacing w:after="0"/>
              <w:rPr>
                <w:sz w:val="20"/>
                <w:szCs w:val="20"/>
                <w:color w:val="auto"/>
              </w:rPr>
            </w:pPr>
            <w:r>
              <w:rPr>
                <w:rFonts w:ascii="Arial" w:cs="Arial" w:eastAsia="Arial" w:hAnsi="Arial"/>
                <w:sz w:val="16"/>
                <w:szCs w:val="16"/>
                <w:b w:val="1"/>
                <w:bCs w:val="1"/>
                <w:color w:val="FFFFFF"/>
              </w:rPr>
              <w:t>Resignation</w:t>
            </w:r>
          </w:p>
        </w:tc>
      </w:tr>
      <w:tr>
        <w:trPr>
          <w:trHeight w:val="187"/>
        </w:trPr>
        <w:tc>
          <w:tcPr>
            <w:tcW w:w="3960" w:type="dxa"/>
            <w:vAlign w:val="bottom"/>
            <w:shd w:val="clear" w:color="auto" w:fill="F75E14"/>
          </w:tcPr>
          <w:p>
            <w:pPr>
              <w:spacing w:after="0"/>
              <w:rPr>
                <w:sz w:val="16"/>
                <w:szCs w:val="16"/>
                <w:color w:val="auto"/>
              </w:rPr>
            </w:pPr>
          </w:p>
        </w:tc>
        <w:tc>
          <w:tcPr>
            <w:tcW w:w="1380" w:type="dxa"/>
            <w:vAlign w:val="bottom"/>
            <w:shd w:val="clear" w:color="auto" w:fill="F75E14"/>
          </w:tcPr>
          <w:p>
            <w:pPr>
              <w:jc w:val="center"/>
              <w:spacing w:after="0"/>
              <w:rPr>
                <w:sz w:val="20"/>
                <w:szCs w:val="20"/>
                <w:color w:val="auto"/>
              </w:rPr>
            </w:pPr>
            <w:r>
              <w:rPr>
                <w:rFonts w:ascii="Arial" w:cs="Arial" w:eastAsia="Arial" w:hAnsi="Arial"/>
                <w:sz w:val="16"/>
                <w:szCs w:val="16"/>
                <w:b w:val="1"/>
                <w:bCs w:val="1"/>
                <w:color w:val="FFFFFF"/>
                <w:w w:val="99"/>
              </w:rPr>
              <w:t>Without Cause</w:t>
            </w:r>
          </w:p>
        </w:tc>
        <w:tc>
          <w:tcPr>
            <w:tcW w:w="1160" w:type="dxa"/>
            <w:vAlign w:val="bottom"/>
            <w:gridSpan w:val="2"/>
            <w:shd w:val="clear" w:color="auto" w:fill="F75E14"/>
          </w:tcPr>
          <w:p>
            <w:pPr>
              <w:jc w:val="center"/>
              <w:spacing w:after="0"/>
              <w:rPr>
                <w:sz w:val="20"/>
                <w:szCs w:val="20"/>
                <w:color w:val="auto"/>
              </w:rPr>
            </w:pPr>
            <w:r>
              <w:rPr>
                <w:rFonts w:ascii="Arial" w:cs="Arial" w:eastAsia="Arial" w:hAnsi="Arial"/>
                <w:sz w:val="16"/>
                <w:szCs w:val="16"/>
                <w:b w:val="1"/>
                <w:bCs w:val="1"/>
                <w:color w:val="FFFFFF"/>
                <w:w w:val="98"/>
              </w:rPr>
              <w:t>Termination</w:t>
            </w:r>
          </w:p>
        </w:tc>
        <w:tc>
          <w:tcPr>
            <w:tcW w:w="1040" w:type="dxa"/>
            <w:vAlign w:val="bottom"/>
            <w:shd w:val="clear" w:color="auto" w:fill="F75E14"/>
          </w:tcPr>
          <w:p>
            <w:pPr>
              <w:spacing w:after="0"/>
              <w:rPr>
                <w:sz w:val="16"/>
                <w:szCs w:val="16"/>
                <w:color w:val="auto"/>
              </w:rPr>
            </w:pPr>
          </w:p>
        </w:tc>
        <w:tc>
          <w:tcPr>
            <w:tcW w:w="960" w:type="dxa"/>
            <w:vAlign w:val="bottom"/>
            <w:shd w:val="clear" w:color="auto" w:fill="F75E14"/>
          </w:tcPr>
          <w:p>
            <w:pPr>
              <w:spacing w:after="0"/>
              <w:rPr>
                <w:sz w:val="16"/>
                <w:szCs w:val="16"/>
                <w:color w:val="auto"/>
              </w:rPr>
            </w:pPr>
          </w:p>
        </w:tc>
        <w:tc>
          <w:tcPr>
            <w:tcW w:w="1220" w:type="dxa"/>
            <w:vAlign w:val="bottom"/>
            <w:shd w:val="clear" w:color="auto" w:fill="F75E14"/>
          </w:tcPr>
          <w:p>
            <w:pPr>
              <w:spacing w:after="0"/>
              <w:rPr>
                <w:sz w:val="16"/>
                <w:szCs w:val="16"/>
                <w:color w:val="auto"/>
              </w:rPr>
            </w:pPr>
          </w:p>
        </w:tc>
        <w:tc>
          <w:tcPr>
            <w:tcW w:w="1200" w:type="dxa"/>
            <w:vAlign w:val="bottom"/>
            <w:shd w:val="clear" w:color="auto" w:fill="F75E14"/>
          </w:tcPr>
          <w:p>
            <w:pPr>
              <w:jc w:val="center"/>
              <w:spacing w:after="0"/>
              <w:rPr>
                <w:sz w:val="20"/>
                <w:szCs w:val="20"/>
                <w:color w:val="auto"/>
              </w:rPr>
            </w:pPr>
            <w:r>
              <w:rPr>
                <w:rFonts w:ascii="Arial" w:cs="Arial" w:eastAsia="Arial" w:hAnsi="Arial"/>
                <w:sz w:val="16"/>
                <w:szCs w:val="16"/>
                <w:b w:val="1"/>
                <w:bCs w:val="1"/>
                <w:color w:val="FFFFFF"/>
                <w:w w:val="99"/>
              </w:rPr>
              <w:t>other than</w:t>
            </w:r>
          </w:p>
        </w:tc>
      </w:tr>
      <w:tr>
        <w:trPr>
          <w:trHeight w:val="187"/>
        </w:trPr>
        <w:tc>
          <w:tcPr>
            <w:tcW w:w="3960" w:type="dxa"/>
            <w:vAlign w:val="bottom"/>
            <w:shd w:val="clear" w:color="auto" w:fill="F75E14"/>
          </w:tcPr>
          <w:p>
            <w:pPr>
              <w:spacing w:after="0"/>
              <w:rPr>
                <w:sz w:val="16"/>
                <w:szCs w:val="16"/>
                <w:color w:val="auto"/>
              </w:rPr>
            </w:pPr>
          </w:p>
        </w:tc>
        <w:tc>
          <w:tcPr>
            <w:tcW w:w="1380" w:type="dxa"/>
            <w:vAlign w:val="bottom"/>
            <w:shd w:val="clear" w:color="auto" w:fill="F75E14"/>
          </w:tcPr>
          <w:p>
            <w:pPr>
              <w:jc w:val="center"/>
              <w:spacing w:after="0"/>
              <w:rPr>
                <w:sz w:val="20"/>
                <w:szCs w:val="20"/>
                <w:color w:val="auto"/>
              </w:rPr>
            </w:pPr>
            <w:r>
              <w:rPr>
                <w:rFonts w:ascii="Arial" w:cs="Arial" w:eastAsia="Arial" w:hAnsi="Arial"/>
                <w:sz w:val="16"/>
                <w:szCs w:val="16"/>
                <w:b w:val="1"/>
                <w:bCs w:val="1"/>
                <w:color w:val="FFFFFF"/>
                <w:w w:val="99"/>
              </w:rPr>
              <w:t>or Resignation</w:t>
            </w:r>
          </w:p>
        </w:tc>
        <w:tc>
          <w:tcPr>
            <w:tcW w:w="1160" w:type="dxa"/>
            <w:vAlign w:val="bottom"/>
            <w:gridSpan w:val="2"/>
            <w:shd w:val="clear" w:color="auto" w:fill="F75E14"/>
          </w:tcPr>
          <w:p>
            <w:pPr>
              <w:jc w:val="center"/>
              <w:spacing w:after="0"/>
              <w:rPr>
                <w:sz w:val="20"/>
                <w:szCs w:val="20"/>
                <w:color w:val="auto"/>
              </w:rPr>
            </w:pPr>
            <w:r>
              <w:rPr>
                <w:rFonts w:ascii="Arial" w:cs="Arial" w:eastAsia="Arial" w:hAnsi="Arial"/>
                <w:sz w:val="16"/>
                <w:szCs w:val="16"/>
                <w:b w:val="1"/>
                <w:bCs w:val="1"/>
                <w:color w:val="FFFFFF"/>
                <w:w w:val="99"/>
              </w:rPr>
              <w:t>Following a</w:t>
            </w:r>
          </w:p>
        </w:tc>
        <w:tc>
          <w:tcPr>
            <w:tcW w:w="1040" w:type="dxa"/>
            <w:vAlign w:val="bottom"/>
            <w:shd w:val="clear" w:color="auto" w:fill="F75E14"/>
          </w:tcPr>
          <w:p>
            <w:pPr>
              <w:spacing w:after="0"/>
              <w:rPr>
                <w:sz w:val="16"/>
                <w:szCs w:val="16"/>
                <w:color w:val="auto"/>
              </w:rPr>
            </w:pPr>
          </w:p>
        </w:tc>
        <w:tc>
          <w:tcPr>
            <w:tcW w:w="960" w:type="dxa"/>
            <w:vAlign w:val="bottom"/>
            <w:shd w:val="clear" w:color="auto" w:fill="F75E14"/>
          </w:tcPr>
          <w:p>
            <w:pPr>
              <w:jc w:val="right"/>
              <w:ind w:right="60"/>
              <w:spacing w:after="0"/>
              <w:rPr>
                <w:sz w:val="20"/>
                <w:szCs w:val="20"/>
                <w:color w:val="auto"/>
              </w:rPr>
            </w:pPr>
            <w:r>
              <w:rPr>
                <w:rFonts w:ascii="Arial" w:cs="Arial" w:eastAsia="Arial" w:hAnsi="Arial"/>
                <w:sz w:val="16"/>
                <w:szCs w:val="16"/>
                <w:b w:val="1"/>
                <w:bCs w:val="1"/>
                <w:color w:val="FFFFFF"/>
              </w:rPr>
              <w:t>Death or</w:t>
            </w:r>
          </w:p>
        </w:tc>
        <w:tc>
          <w:tcPr>
            <w:tcW w:w="1220" w:type="dxa"/>
            <w:vAlign w:val="bottom"/>
            <w:shd w:val="clear" w:color="auto" w:fill="F75E14"/>
          </w:tcPr>
          <w:p>
            <w:pPr>
              <w:spacing w:after="0"/>
              <w:rPr>
                <w:sz w:val="16"/>
                <w:szCs w:val="16"/>
                <w:color w:val="auto"/>
              </w:rPr>
            </w:pPr>
          </w:p>
        </w:tc>
        <w:tc>
          <w:tcPr>
            <w:tcW w:w="1200" w:type="dxa"/>
            <w:vAlign w:val="bottom"/>
            <w:shd w:val="clear" w:color="auto" w:fill="F75E14"/>
          </w:tcPr>
          <w:p>
            <w:pPr>
              <w:jc w:val="center"/>
              <w:spacing w:after="0"/>
              <w:rPr>
                <w:sz w:val="20"/>
                <w:szCs w:val="20"/>
                <w:color w:val="auto"/>
              </w:rPr>
            </w:pPr>
            <w:r>
              <w:rPr>
                <w:rFonts w:ascii="Arial" w:cs="Arial" w:eastAsia="Arial" w:hAnsi="Arial"/>
                <w:sz w:val="16"/>
                <w:szCs w:val="16"/>
                <w:b w:val="1"/>
                <w:bCs w:val="1"/>
                <w:color w:val="FFFFFF"/>
              </w:rPr>
              <w:t>for Good</w:t>
            </w:r>
          </w:p>
        </w:tc>
      </w:tr>
      <w:tr>
        <w:trPr>
          <w:trHeight w:val="187"/>
        </w:trPr>
        <w:tc>
          <w:tcPr>
            <w:tcW w:w="3960" w:type="dxa"/>
            <w:vAlign w:val="bottom"/>
            <w:shd w:val="clear" w:color="auto" w:fill="F75E14"/>
          </w:tcPr>
          <w:p>
            <w:pPr>
              <w:ind w:left="60"/>
              <w:spacing w:after="0"/>
              <w:rPr>
                <w:sz w:val="20"/>
                <w:szCs w:val="20"/>
                <w:color w:val="auto"/>
              </w:rPr>
            </w:pPr>
            <w:r>
              <w:rPr>
                <w:rFonts w:ascii="Arial" w:cs="Arial" w:eastAsia="Arial" w:hAnsi="Arial"/>
                <w:sz w:val="16"/>
                <w:szCs w:val="16"/>
                <w:b w:val="1"/>
                <w:bCs w:val="1"/>
                <w:color w:val="FFFFFF"/>
              </w:rPr>
              <w:t>Executive Benefits and Payments</w:t>
            </w:r>
          </w:p>
        </w:tc>
        <w:tc>
          <w:tcPr>
            <w:tcW w:w="1380" w:type="dxa"/>
            <w:vAlign w:val="bottom"/>
            <w:shd w:val="clear" w:color="auto" w:fill="F75E14"/>
          </w:tcPr>
          <w:p>
            <w:pPr>
              <w:jc w:val="center"/>
              <w:spacing w:after="0"/>
              <w:rPr>
                <w:sz w:val="20"/>
                <w:szCs w:val="20"/>
                <w:color w:val="auto"/>
              </w:rPr>
            </w:pPr>
            <w:r>
              <w:rPr>
                <w:rFonts w:ascii="Arial" w:cs="Arial" w:eastAsia="Arial" w:hAnsi="Arial"/>
                <w:sz w:val="16"/>
                <w:szCs w:val="16"/>
                <w:b w:val="1"/>
                <w:bCs w:val="1"/>
                <w:color w:val="FFFFFF"/>
              </w:rPr>
              <w:t>for Good</w:t>
            </w:r>
          </w:p>
        </w:tc>
        <w:tc>
          <w:tcPr>
            <w:tcW w:w="1160" w:type="dxa"/>
            <w:vAlign w:val="bottom"/>
            <w:gridSpan w:val="2"/>
            <w:shd w:val="clear" w:color="auto" w:fill="F75E14"/>
          </w:tcPr>
          <w:p>
            <w:pPr>
              <w:jc w:val="center"/>
              <w:spacing w:after="0"/>
              <w:rPr>
                <w:sz w:val="20"/>
                <w:szCs w:val="20"/>
                <w:color w:val="auto"/>
              </w:rPr>
            </w:pPr>
            <w:r>
              <w:rPr>
                <w:rFonts w:ascii="Arial" w:cs="Arial" w:eastAsia="Arial" w:hAnsi="Arial"/>
                <w:sz w:val="16"/>
                <w:szCs w:val="16"/>
                <w:b w:val="1"/>
                <w:bCs w:val="1"/>
                <w:color w:val="FFFFFF"/>
              </w:rPr>
              <w:t>Change in</w:t>
            </w:r>
          </w:p>
        </w:tc>
        <w:tc>
          <w:tcPr>
            <w:tcW w:w="1040" w:type="dxa"/>
            <w:vAlign w:val="bottom"/>
            <w:shd w:val="clear" w:color="auto" w:fill="F75E14"/>
          </w:tcPr>
          <w:p>
            <w:pPr>
              <w:jc w:val="right"/>
              <w:ind w:right="80"/>
              <w:spacing w:after="0"/>
              <w:rPr>
                <w:sz w:val="20"/>
                <w:szCs w:val="20"/>
                <w:color w:val="auto"/>
              </w:rPr>
            </w:pPr>
            <w:r>
              <w:rPr>
                <w:rFonts w:ascii="Arial" w:cs="Arial" w:eastAsia="Arial" w:hAnsi="Arial"/>
                <w:sz w:val="16"/>
                <w:szCs w:val="16"/>
                <w:b w:val="1"/>
                <w:bCs w:val="1"/>
                <w:color w:val="FFFFFF"/>
              </w:rPr>
              <w:t>Change in</w:t>
            </w:r>
          </w:p>
        </w:tc>
        <w:tc>
          <w:tcPr>
            <w:tcW w:w="960" w:type="dxa"/>
            <w:vAlign w:val="bottom"/>
            <w:shd w:val="clear" w:color="auto" w:fill="F75E14"/>
          </w:tcPr>
          <w:p>
            <w:pPr>
              <w:jc w:val="right"/>
              <w:ind w:right="40"/>
              <w:spacing w:after="0"/>
              <w:rPr>
                <w:sz w:val="20"/>
                <w:szCs w:val="20"/>
                <w:color w:val="auto"/>
              </w:rPr>
            </w:pPr>
            <w:r>
              <w:rPr>
                <w:rFonts w:ascii="Arial" w:cs="Arial" w:eastAsia="Arial" w:hAnsi="Arial"/>
                <w:sz w:val="16"/>
                <w:szCs w:val="16"/>
                <w:b w:val="1"/>
                <w:bCs w:val="1"/>
                <w:color w:val="FFFFFF"/>
              </w:rPr>
              <w:t>Disability</w:t>
            </w:r>
          </w:p>
        </w:tc>
        <w:tc>
          <w:tcPr>
            <w:tcW w:w="1220" w:type="dxa"/>
            <w:vAlign w:val="bottom"/>
            <w:shd w:val="clear" w:color="auto" w:fill="F75E14"/>
          </w:tcPr>
          <w:p>
            <w:pPr>
              <w:jc w:val="right"/>
              <w:ind w:right="80"/>
              <w:spacing w:after="0"/>
              <w:rPr>
                <w:sz w:val="20"/>
                <w:szCs w:val="20"/>
                <w:color w:val="auto"/>
              </w:rPr>
            </w:pPr>
            <w:r>
              <w:rPr>
                <w:rFonts w:ascii="Arial" w:cs="Arial" w:eastAsia="Arial" w:hAnsi="Arial"/>
                <w:sz w:val="16"/>
                <w:szCs w:val="16"/>
                <w:b w:val="1"/>
                <w:bCs w:val="1"/>
                <w:color w:val="FFFFFF"/>
              </w:rPr>
              <w:t>Termination</w:t>
            </w:r>
          </w:p>
        </w:tc>
        <w:tc>
          <w:tcPr>
            <w:tcW w:w="1200" w:type="dxa"/>
            <w:vAlign w:val="bottom"/>
            <w:shd w:val="clear" w:color="auto" w:fill="F75E14"/>
          </w:tcPr>
          <w:p>
            <w:pPr>
              <w:jc w:val="center"/>
              <w:spacing w:after="0"/>
              <w:rPr>
                <w:sz w:val="20"/>
                <w:szCs w:val="20"/>
                <w:color w:val="auto"/>
              </w:rPr>
            </w:pPr>
            <w:r>
              <w:rPr>
                <w:rFonts w:ascii="Arial" w:cs="Arial" w:eastAsia="Arial" w:hAnsi="Arial"/>
                <w:sz w:val="16"/>
                <w:szCs w:val="16"/>
                <w:b w:val="1"/>
                <w:bCs w:val="1"/>
                <w:color w:val="FFFFFF"/>
              </w:rPr>
              <w:t>Reason</w:t>
            </w:r>
          </w:p>
        </w:tc>
      </w:tr>
      <w:tr>
        <w:trPr>
          <w:trHeight w:val="235"/>
        </w:trPr>
        <w:tc>
          <w:tcPr>
            <w:tcW w:w="3960" w:type="dxa"/>
            <w:vAlign w:val="bottom"/>
            <w:tcBorders>
              <w:bottom w:val="single" w:sz="8" w:color="F75E14"/>
            </w:tcBorders>
            <w:shd w:val="clear" w:color="auto" w:fill="F75E14"/>
          </w:tcPr>
          <w:p>
            <w:pPr>
              <w:ind w:left="60"/>
              <w:spacing w:after="0"/>
              <w:rPr>
                <w:sz w:val="20"/>
                <w:szCs w:val="20"/>
                <w:color w:val="auto"/>
              </w:rPr>
            </w:pPr>
            <w:r>
              <w:rPr>
                <w:rFonts w:ascii="Arial" w:cs="Arial" w:eastAsia="Arial" w:hAnsi="Arial"/>
                <w:sz w:val="16"/>
                <w:szCs w:val="16"/>
                <w:b w:val="1"/>
                <w:bCs w:val="1"/>
                <w:color w:val="FFFFFF"/>
              </w:rPr>
              <w:t>Upon Termination</w:t>
            </w:r>
          </w:p>
        </w:tc>
        <w:tc>
          <w:tcPr>
            <w:tcW w:w="1380" w:type="dxa"/>
            <w:vAlign w:val="bottom"/>
            <w:tcBorders>
              <w:bottom w:val="single" w:sz="8" w:color="F75E14"/>
            </w:tcBorders>
            <w:shd w:val="clear" w:color="auto" w:fill="F75E14"/>
          </w:tcPr>
          <w:p>
            <w:pPr>
              <w:jc w:val="center"/>
              <w:spacing w:after="0"/>
              <w:rPr>
                <w:sz w:val="20"/>
                <w:szCs w:val="20"/>
                <w:color w:val="auto"/>
              </w:rPr>
            </w:pPr>
            <w:r>
              <w:rPr>
                <w:rFonts w:ascii="Arial" w:cs="Arial" w:eastAsia="Arial" w:hAnsi="Arial"/>
                <w:sz w:val="16"/>
                <w:szCs w:val="16"/>
                <w:b w:val="1"/>
                <w:bCs w:val="1"/>
                <w:color w:val="FFFFFF"/>
              </w:rPr>
              <w:t>Reason ($)</w:t>
            </w:r>
          </w:p>
        </w:tc>
        <w:tc>
          <w:tcPr>
            <w:tcW w:w="1160" w:type="dxa"/>
            <w:vAlign w:val="bottom"/>
            <w:tcBorders>
              <w:bottom w:val="single" w:sz="8" w:color="F75E14"/>
            </w:tcBorders>
            <w:gridSpan w:val="2"/>
            <w:shd w:val="clear" w:color="auto" w:fill="F75E14"/>
          </w:tcPr>
          <w:p>
            <w:pPr>
              <w:jc w:val="center"/>
              <w:spacing w:after="0"/>
              <w:rPr>
                <w:sz w:val="20"/>
                <w:szCs w:val="20"/>
                <w:color w:val="auto"/>
              </w:rPr>
            </w:pPr>
            <w:r>
              <w:rPr>
                <w:rFonts w:ascii="Arial" w:cs="Arial" w:eastAsia="Arial" w:hAnsi="Arial"/>
                <w:sz w:val="16"/>
                <w:szCs w:val="16"/>
                <w:b w:val="1"/>
                <w:bCs w:val="1"/>
                <w:color w:val="FFFFFF"/>
              </w:rPr>
              <w:t>Control ($)</w:t>
            </w:r>
          </w:p>
        </w:tc>
        <w:tc>
          <w:tcPr>
            <w:tcW w:w="1040" w:type="dxa"/>
            <w:vAlign w:val="bottom"/>
            <w:tcBorders>
              <w:bottom w:val="single" w:sz="8" w:color="F75E14"/>
            </w:tcBorders>
            <w:shd w:val="clear" w:color="auto" w:fill="F75E14"/>
          </w:tcPr>
          <w:p>
            <w:pPr>
              <w:jc w:val="right"/>
              <w:ind w:right="60"/>
              <w:spacing w:after="0"/>
              <w:rPr>
                <w:sz w:val="20"/>
                <w:szCs w:val="20"/>
                <w:color w:val="auto"/>
              </w:rPr>
            </w:pPr>
            <w:r>
              <w:rPr>
                <w:rFonts w:ascii="Arial" w:cs="Arial" w:eastAsia="Arial" w:hAnsi="Arial"/>
                <w:sz w:val="16"/>
                <w:szCs w:val="16"/>
                <w:b w:val="1"/>
                <w:bCs w:val="1"/>
                <w:color w:val="FFFFFF"/>
              </w:rPr>
              <w:t>Control ($)</w:t>
            </w:r>
          </w:p>
        </w:tc>
        <w:tc>
          <w:tcPr>
            <w:tcW w:w="960" w:type="dxa"/>
            <w:vAlign w:val="bottom"/>
            <w:tcBorders>
              <w:bottom w:val="single" w:sz="8" w:color="F75E14"/>
            </w:tcBorders>
            <w:shd w:val="clear" w:color="auto" w:fill="F75E14"/>
          </w:tcPr>
          <w:p>
            <w:pPr>
              <w:jc w:val="right"/>
              <w:ind w:right="300"/>
              <w:spacing w:after="0"/>
              <w:rPr>
                <w:sz w:val="20"/>
                <w:szCs w:val="20"/>
                <w:color w:val="auto"/>
              </w:rPr>
            </w:pPr>
            <w:r>
              <w:rPr>
                <w:rFonts w:ascii="Arial" w:cs="Arial" w:eastAsia="Arial" w:hAnsi="Arial"/>
                <w:sz w:val="16"/>
                <w:szCs w:val="16"/>
                <w:b w:val="1"/>
                <w:bCs w:val="1"/>
                <w:color w:val="FFFFFF"/>
              </w:rPr>
              <w:t>($)</w:t>
            </w:r>
          </w:p>
        </w:tc>
        <w:tc>
          <w:tcPr>
            <w:tcW w:w="1220" w:type="dxa"/>
            <w:vAlign w:val="bottom"/>
            <w:tcBorders>
              <w:bottom w:val="single" w:sz="8" w:color="F75E14"/>
            </w:tcBorders>
            <w:shd w:val="clear" w:color="auto" w:fill="F75E14"/>
          </w:tcPr>
          <w:p>
            <w:pPr>
              <w:jc w:val="right"/>
              <w:ind w:right="60"/>
              <w:spacing w:after="0"/>
              <w:rPr>
                <w:sz w:val="20"/>
                <w:szCs w:val="20"/>
                <w:color w:val="auto"/>
              </w:rPr>
            </w:pPr>
            <w:r>
              <w:rPr>
                <w:rFonts w:ascii="Arial" w:cs="Arial" w:eastAsia="Arial" w:hAnsi="Arial"/>
                <w:sz w:val="16"/>
                <w:szCs w:val="16"/>
                <w:b w:val="1"/>
                <w:bCs w:val="1"/>
                <w:color w:val="FFFFFF"/>
              </w:rPr>
              <w:t>for Cause ($)</w:t>
            </w:r>
          </w:p>
        </w:tc>
        <w:tc>
          <w:tcPr>
            <w:tcW w:w="1200" w:type="dxa"/>
            <w:vAlign w:val="bottom"/>
            <w:tcBorders>
              <w:bottom w:val="single" w:sz="8" w:color="F75E14"/>
            </w:tcBorders>
            <w:shd w:val="clear" w:color="auto" w:fill="F75E14"/>
          </w:tcPr>
          <w:p>
            <w:pPr>
              <w:jc w:val="center"/>
              <w:spacing w:after="0"/>
              <w:rPr>
                <w:sz w:val="20"/>
                <w:szCs w:val="20"/>
                <w:color w:val="auto"/>
              </w:rPr>
            </w:pPr>
            <w:r>
              <w:rPr>
                <w:rFonts w:ascii="Arial" w:cs="Arial" w:eastAsia="Arial" w:hAnsi="Arial"/>
                <w:sz w:val="16"/>
                <w:szCs w:val="16"/>
                <w:b w:val="1"/>
                <w:bCs w:val="1"/>
                <w:color w:val="FFFFFF"/>
              </w:rPr>
              <w:t>($)</w:t>
            </w:r>
          </w:p>
        </w:tc>
      </w:tr>
      <w:tr>
        <w:trPr>
          <w:trHeight w:val="274"/>
        </w:trPr>
        <w:tc>
          <w:tcPr>
            <w:tcW w:w="3960" w:type="dxa"/>
            <w:vAlign w:val="bottom"/>
            <w:shd w:val="clear" w:color="auto" w:fill="D8E8EF"/>
          </w:tcPr>
          <w:p>
            <w:pPr>
              <w:ind w:left="60"/>
              <w:spacing w:after="0"/>
              <w:rPr>
                <w:sz w:val="20"/>
                <w:szCs w:val="20"/>
                <w:color w:val="auto"/>
              </w:rPr>
            </w:pPr>
            <w:r>
              <w:rPr>
                <w:rFonts w:ascii="Arial" w:cs="Arial" w:eastAsia="Arial" w:hAnsi="Arial"/>
                <w:sz w:val="16"/>
                <w:szCs w:val="16"/>
                <w:b w:val="1"/>
                <w:bCs w:val="1"/>
                <w:color w:val="auto"/>
              </w:rPr>
              <w:t>Cash Compensation:</w:t>
            </w:r>
          </w:p>
        </w:tc>
        <w:tc>
          <w:tcPr>
            <w:tcW w:w="1380" w:type="dxa"/>
            <w:vAlign w:val="bottom"/>
            <w:shd w:val="clear" w:color="auto" w:fill="D8E8EF"/>
          </w:tcPr>
          <w:p>
            <w:pPr>
              <w:spacing w:after="0"/>
              <w:rPr>
                <w:sz w:val="23"/>
                <w:szCs w:val="23"/>
                <w:color w:val="auto"/>
              </w:rPr>
            </w:pPr>
          </w:p>
        </w:tc>
        <w:tc>
          <w:tcPr>
            <w:tcW w:w="860" w:type="dxa"/>
            <w:vAlign w:val="bottom"/>
            <w:shd w:val="clear" w:color="auto" w:fill="D8E8EF"/>
          </w:tcPr>
          <w:p>
            <w:pPr>
              <w:spacing w:after="0"/>
              <w:rPr>
                <w:sz w:val="23"/>
                <w:szCs w:val="23"/>
                <w:color w:val="auto"/>
              </w:rPr>
            </w:pPr>
          </w:p>
        </w:tc>
        <w:tc>
          <w:tcPr>
            <w:tcW w:w="300" w:type="dxa"/>
            <w:vAlign w:val="bottom"/>
            <w:shd w:val="clear" w:color="auto" w:fill="D8E8EF"/>
          </w:tcPr>
          <w:p>
            <w:pPr>
              <w:spacing w:after="0"/>
              <w:rPr>
                <w:sz w:val="23"/>
                <w:szCs w:val="23"/>
                <w:color w:val="auto"/>
              </w:rPr>
            </w:pPr>
          </w:p>
        </w:tc>
        <w:tc>
          <w:tcPr>
            <w:tcW w:w="1040" w:type="dxa"/>
            <w:vAlign w:val="bottom"/>
            <w:shd w:val="clear" w:color="auto" w:fill="D8E8EF"/>
          </w:tcPr>
          <w:p>
            <w:pPr>
              <w:spacing w:after="0"/>
              <w:rPr>
                <w:sz w:val="23"/>
                <w:szCs w:val="23"/>
                <w:color w:val="auto"/>
              </w:rPr>
            </w:pPr>
          </w:p>
        </w:tc>
        <w:tc>
          <w:tcPr>
            <w:tcW w:w="960" w:type="dxa"/>
            <w:vAlign w:val="bottom"/>
            <w:shd w:val="clear" w:color="auto" w:fill="D8E8EF"/>
          </w:tcPr>
          <w:p>
            <w:pPr>
              <w:spacing w:after="0"/>
              <w:rPr>
                <w:sz w:val="23"/>
                <w:szCs w:val="23"/>
                <w:color w:val="auto"/>
              </w:rPr>
            </w:pPr>
          </w:p>
        </w:tc>
        <w:tc>
          <w:tcPr>
            <w:tcW w:w="1220" w:type="dxa"/>
            <w:vAlign w:val="bottom"/>
            <w:shd w:val="clear" w:color="auto" w:fill="D8E8EF"/>
          </w:tcPr>
          <w:p>
            <w:pPr>
              <w:spacing w:after="0"/>
              <w:rPr>
                <w:sz w:val="23"/>
                <w:szCs w:val="23"/>
                <w:color w:val="auto"/>
              </w:rPr>
            </w:pPr>
          </w:p>
        </w:tc>
        <w:tc>
          <w:tcPr>
            <w:tcW w:w="1200" w:type="dxa"/>
            <w:vAlign w:val="bottom"/>
            <w:shd w:val="clear" w:color="auto" w:fill="D8E8EF"/>
          </w:tcPr>
          <w:p>
            <w:pPr>
              <w:spacing w:after="0"/>
              <w:rPr>
                <w:sz w:val="23"/>
                <w:szCs w:val="23"/>
                <w:color w:val="auto"/>
              </w:rPr>
            </w:pPr>
          </w:p>
        </w:tc>
      </w:tr>
      <w:tr>
        <w:trPr>
          <w:trHeight w:val="60"/>
        </w:trPr>
        <w:tc>
          <w:tcPr>
            <w:tcW w:w="3960" w:type="dxa"/>
            <w:vAlign w:val="bottom"/>
            <w:shd w:val="clear" w:color="auto" w:fill="D8E8EF"/>
          </w:tcPr>
          <w:p>
            <w:pPr>
              <w:spacing w:after="0"/>
              <w:rPr>
                <w:sz w:val="5"/>
                <w:szCs w:val="5"/>
                <w:color w:val="auto"/>
              </w:rPr>
            </w:pPr>
          </w:p>
        </w:tc>
        <w:tc>
          <w:tcPr>
            <w:tcW w:w="1380" w:type="dxa"/>
            <w:vAlign w:val="bottom"/>
            <w:shd w:val="clear" w:color="auto" w:fill="D8E8EF"/>
          </w:tcPr>
          <w:p>
            <w:pPr>
              <w:spacing w:after="0"/>
              <w:rPr>
                <w:sz w:val="5"/>
                <w:szCs w:val="5"/>
                <w:color w:val="auto"/>
              </w:rPr>
            </w:pPr>
          </w:p>
        </w:tc>
        <w:tc>
          <w:tcPr>
            <w:tcW w:w="860" w:type="dxa"/>
            <w:vAlign w:val="bottom"/>
            <w:shd w:val="clear" w:color="auto" w:fill="D8E8EF"/>
          </w:tcPr>
          <w:p>
            <w:pPr>
              <w:spacing w:after="0"/>
              <w:rPr>
                <w:sz w:val="5"/>
                <w:szCs w:val="5"/>
                <w:color w:val="auto"/>
              </w:rPr>
            </w:pPr>
          </w:p>
        </w:tc>
        <w:tc>
          <w:tcPr>
            <w:tcW w:w="300" w:type="dxa"/>
            <w:vAlign w:val="bottom"/>
            <w:shd w:val="clear" w:color="auto" w:fill="D8E8EF"/>
          </w:tcPr>
          <w:p>
            <w:pPr>
              <w:spacing w:after="0"/>
              <w:rPr>
                <w:sz w:val="5"/>
                <w:szCs w:val="5"/>
                <w:color w:val="auto"/>
              </w:rPr>
            </w:pPr>
          </w:p>
        </w:tc>
        <w:tc>
          <w:tcPr>
            <w:tcW w:w="1040" w:type="dxa"/>
            <w:vAlign w:val="bottom"/>
            <w:shd w:val="clear" w:color="auto" w:fill="D8E8EF"/>
          </w:tcPr>
          <w:p>
            <w:pPr>
              <w:spacing w:after="0"/>
              <w:rPr>
                <w:sz w:val="5"/>
                <w:szCs w:val="5"/>
                <w:color w:val="auto"/>
              </w:rPr>
            </w:pPr>
          </w:p>
        </w:tc>
        <w:tc>
          <w:tcPr>
            <w:tcW w:w="960" w:type="dxa"/>
            <w:vAlign w:val="bottom"/>
            <w:shd w:val="clear" w:color="auto" w:fill="D8E8EF"/>
          </w:tcPr>
          <w:p>
            <w:pPr>
              <w:spacing w:after="0"/>
              <w:rPr>
                <w:sz w:val="5"/>
                <w:szCs w:val="5"/>
                <w:color w:val="auto"/>
              </w:rPr>
            </w:pPr>
          </w:p>
        </w:tc>
        <w:tc>
          <w:tcPr>
            <w:tcW w:w="1220" w:type="dxa"/>
            <w:vAlign w:val="bottom"/>
            <w:shd w:val="clear" w:color="auto" w:fill="D8E8EF"/>
          </w:tcPr>
          <w:p>
            <w:pPr>
              <w:spacing w:after="0"/>
              <w:rPr>
                <w:sz w:val="5"/>
                <w:szCs w:val="5"/>
                <w:color w:val="auto"/>
              </w:rPr>
            </w:pPr>
          </w:p>
        </w:tc>
        <w:tc>
          <w:tcPr>
            <w:tcW w:w="1200" w:type="dxa"/>
            <w:vAlign w:val="bottom"/>
            <w:shd w:val="clear" w:color="auto" w:fill="D8E8EF"/>
          </w:tcPr>
          <w:p>
            <w:pPr>
              <w:spacing w:after="0"/>
              <w:rPr>
                <w:sz w:val="5"/>
                <w:szCs w:val="5"/>
                <w:color w:val="auto"/>
              </w:rPr>
            </w:pPr>
          </w:p>
        </w:tc>
      </w:tr>
      <w:tr>
        <w:trPr>
          <w:trHeight w:val="264"/>
        </w:trPr>
        <w:tc>
          <w:tcPr>
            <w:tcW w:w="3960" w:type="dxa"/>
            <w:vAlign w:val="bottom"/>
          </w:tcPr>
          <w:p>
            <w:pPr>
              <w:ind w:left="60"/>
              <w:spacing w:after="0"/>
              <w:rPr>
                <w:sz w:val="20"/>
                <w:szCs w:val="20"/>
                <w:color w:val="auto"/>
              </w:rPr>
            </w:pPr>
            <w:r>
              <w:rPr>
                <w:rFonts w:ascii="Arial" w:cs="Arial" w:eastAsia="Arial" w:hAnsi="Arial"/>
                <w:sz w:val="16"/>
                <w:szCs w:val="16"/>
                <w:color w:val="auto"/>
              </w:rPr>
              <w:t>Base Salary</w:t>
            </w:r>
          </w:p>
        </w:tc>
        <w:tc>
          <w:tcPr>
            <w:tcW w:w="1380" w:type="dxa"/>
            <w:vAlign w:val="bottom"/>
          </w:tcPr>
          <w:p>
            <w:pPr>
              <w:jc w:val="right"/>
              <w:ind w:right="120"/>
              <w:spacing w:after="0"/>
              <w:rPr>
                <w:sz w:val="20"/>
                <w:szCs w:val="20"/>
                <w:color w:val="auto"/>
              </w:rPr>
            </w:pPr>
            <w:r>
              <w:rPr>
                <w:rFonts w:ascii="Arial" w:cs="Arial" w:eastAsia="Arial" w:hAnsi="Arial"/>
                <w:sz w:val="16"/>
                <w:szCs w:val="16"/>
                <w:color w:val="auto"/>
              </w:rPr>
              <w:t>500,000 (1)</w:t>
            </w:r>
          </w:p>
        </w:tc>
        <w:tc>
          <w:tcPr>
            <w:tcW w:w="860" w:type="dxa"/>
            <w:vAlign w:val="bottom"/>
          </w:tcPr>
          <w:p>
            <w:pPr>
              <w:jc w:val="right"/>
              <w:spacing w:after="0"/>
              <w:rPr>
                <w:sz w:val="20"/>
                <w:szCs w:val="20"/>
                <w:color w:val="auto"/>
              </w:rPr>
            </w:pPr>
            <w:r>
              <w:rPr>
                <w:rFonts w:ascii="Arial" w:cs="Arial" w:eastAsia="Arial" w:hAnsi="Arial"/>
                <w:sz w:val="16"/>
                <w:szCs w:val="16"/>
                <w:color w:val="auto"/>
              </w:rPr>
              <w:t>500,000</w:t>
            </w:r>
          </w:p>
        </w:tc>
        <w:tc>
          <w:tcPr>
            <w:tcW w:w="300" w:type="dxa"/>
            <w:vAlign w:val="bottom"/>
          </w:tcPr>
          <w:p>
            <w:pPr>
              <w:jc w:val="right"/>
              <w:spacing w:after="0"/>
              <w:rPr>
                <w:sz w:val="20"/>
                <w:szCs w:val="20"/>
                <w:color w:val="auto"/>
              </w:rPr>
            </w:pPr>
            <w:r>
              <w:rPr>
                <w:rFonts w:ascii="Arial" w:cs="Arial" w:eastAsia="Arial" w:hAnsi="Arial"/>
                <w:sz w:val="16"/>
                <w:szCs w:val="16"/>
                <w:color w:val="auto"/>
              </w:rPr>
              <w:t>(1)</w:t>
            </w:r>
          </w:p>
        </w:tc>
        <w:tc>
          <w:tcPr>
            <w:tcW w:w="1040" w:type="dxa"/>
            <w:vAlign w:val="bottom"/>
          </w:tcPr>
          <w:p>
            <w:pPr>
              <w:jc w:val="right"/>
              <w:ind w:right="60"/>
              <w:spacing w:after="0"/>
              <w:rPr>
                <w:sz w:val="20"/>
                <w:szCs w:val="20"/>
                <w:color w:val="auto"/>
              </w:rPr>
            </w:pPr>
            <w:r>
              <w:rPr>
                <w:rFonts w:ascii="Arial" w:cs="Arial" w:eastAsia="Arial" w:hAnsi="Arial"/>
                <w:sz w:val="16"/>
                <w:szCs w:val="16"/>
                <w:color w:val="auto"/>
              </w:rPr>
              <w:t>0</w:t>
            </w: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0</w:t>
            </w: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0</w:t>
            </w: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0</w:t>
            </w:r>
          </w:p>
        </w:tc>
      </w:tr>
      <w:tr>
        <w:trPr>
          <w:trHeight w:val="70"/>
        </w:trPr>
        <w:tc>
          <w:tcPr>
            <w:tcW w:w="3960" w:type="dxa"/>
            <w:vAlign w:val="bottom"/>
          </w:tcPr>
          <w:p>
            <w:pPr>
              <w:spacing w:after="0"/>
              <w:rPr>
                <w:sz w:val="6"/>
                <w:szCs w:val="6"/>
                <w:color w:val="auto"/>
              </w:rPr>
            </w:pPr>
          </w:p>
        </w:tc>
        <w:tc>
          <w:tcPr>
            <w:tcW w:w="1380" w:type="dxa"/>
            <w:vAlign w:val="bottom"/>
          </w:tcPr>
          <w:p>
            <w:pPr>
              <w:spacing w:after="0"/>
              <w:rPr>
                <w:sz w:val="6"/>
                <w:szCs w:val="6"/>
                <w:color w:val="auto"/>
              </w:rPr>
            </w:pPr>
          </w:p>
        </w:tc>
        <w:tc>
          <w:tcPr>
            <w:tcW w:w="8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96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200" w:type="dxa"/>
            <w:vAlign w:val="bottom"/>
          </w:tcPr>
          <w:p>
            <w:pPr>
              <w:spacing w:after="0"/>
              <w:rPr>
                <w:sz w:val="6"/>
                <w:szCs w:val="6"/>
                <w:color w:val="auto"/>
              </w:rPr>
            </w:pPr>
          </w:p>
        </w:tc>
      </w:tr>
      <w:tr>
        <w:trPr>
          <w:trHeight w:val="264"/>
        </w:trPr>
        <w:tc>
          <w:tcPr>
            <w:tcW w:w="3960" w:type="dxa"/>
            <w:vAlign w:val="bottom"/>
            <w:shd w:val="clear" w:color="auto" w:fill="D8E8EF"/>
          </w:tcPr>
          <w:p>
            <w:pPr>
              <w:ind w:left="60"/>
              <w:spacing w:after="0"/>
              <w:rPr>
                <w:sz w:val="20"/>
                <w:szCs w:val="20"/>
                <w:color w:val="auto"/>
              </w:rPr>
            </w:pPr>
            <w:r>
              <w:rPr>
                <w:rFonts w:ascii="Arial" w:cs="Arial" w:eastAsia="Arial" w:hAnsi="Arial"/>
                <w:sz w:val="16"/>
                <w:szCs w:val="16"/>
                <w:color w:val="auto"/>
              </w:rPr>
              <w:t>Short-Term Incentive</w:t>
            </w:r>
          </w:p>
        </w:tc>
        <w:tc>
          <w:tcPr>
            <w:tcW w:w="1380" w:type="dxa"/>
            <w:vAlign w:val="bottom"/>
            <w:shd w:val="clear" w:color="auto" w:fill="D8E8EF"/>
          </w:tcPr>
          <w:p>
            <w:pPr>
              <w:jc w:val="right"/>
              <w:ind w:right="120"/>
              <w:spacing w:after="0"/>
              <w:rPr>
                <w:sz w:val="20"/>
                <w:szCs w:val="20"/>
                <w:color w:val="auto"/>
              </w:rPr>
            </w:pPr>
            <w:r>
              <w:rPr>
                <w:rFonts w:ascii="Arial" w:cs="Arial" w:eastAsia="Arial" w:hAnsi="Arial"/>
                <w:sz w:val="16"/>
                <w:szCs w:val="16"/>
                <w:color w:val="auto"/>
              </w:rPr>
              <w:t>0 (2)</w:t>
            </w:r>
          </w:p>
        </w:tc>
        <w:tc>
          <w:tcPr>
            <w:tcW w:w="860" w:type="dxa"/>
            <w:vAlign w:val="bottom"/>
            <w:shd w:val="clear" w:color="auto" w:fill="D8E8EF"/>
          </w:tcPr>
          <w:p>
            <w:pPr>
              <w:jc w:val="right"/>
              <w:spacing w:after="0"/>
              <w:rPr>
                <w:sz w:val="20"/>
                <w:szCs w:val="20"/>
                <w:color w:val="auto"/>
              </w:rPr>
            </w:pPr>
            <w:r>
              <w:rPr>
                <w:rFonts w:ascii="Arial" w:cs="Arial" w:eastAsia="Arial" w:hAnsi="Arial"/>
                <w:sz w:val="16"/>
                <w:szCs w:val="16"/>
                <w:color w:val="auto"/>
              </w:rPr>
              <w:t>525,000</w:t>
            </w:r>
          </w:p>
        </w:tc>
        <w:tc>
          <w:tcPr>
            <w:tcW w:w="300" w:type="dxa"/>
            <w:vAlign w:val="bottom"/>
            <w:shd w:val="clear" w:color="auto" w:fill="D8E8EF"/>
          </w:tcPr>
          <w:p>
            <w:pPr>
              <w:jc w:val="right"/>
              <w:spacing w:after="0"/>
              <w:rPr>
                <w:sz w:val="20"/>
                <w:szCs w:val="20"/>
                <w:color w:val="auto"/>
              </w:rPr>
            </w:pPr>
            <w:r>
              <w:rPr>
                <w:rFonts w:ascii="Arial" w:cs="Arial" w:eastAsia="Arial" w:hAnsi="Arial"/>
                <w:sz w:val="16"/>
                <w:szCs w:val="16"/>
                <w:color w:val="auto"/>
              </w:rPr>
              <w:t>(2)</w:t>
            </w:r>
          </w:p>
        </w:tc>
        <w:tc>
          <w:tcPr>
            <w:tcW w:w="1040" w:type="dxa"/>
            <w:vAlign w:val="bottom"/>
            <w:shd w:val="clear" w:color="auto" w:fill="D8E8EF"/>
          </w:tcPr>
          <w:p>
            <w:pPr>
              <w:jc w:val="right"/>
              <w:ind w:right="60"/>
              <w:spacing w:after="0"/>
              <w:rPr>
                <w:sz w:val="20"/>
                <w:szCs w:val="20"/>
                <w:color w:val="auto"/>
              </w:rPr>
            </w:pPr>
            <w:r>
              <w:rPr>
                <w:rFonts w:ascii="Arial" w:cs="Arial" w:eastAsia="Arial" w:hAnsi="Arial"/>
                <w:sz w:val="16"/>
                <w:szCs w:val="16"/>
                <w:color w:val="auto"/>
              </w:rPr>
              <w:t>0</w:t>
            </w:r>
          </w:p>
        </w:tc>
        <w:tc>
          <w:tcPr>
            <w:tcW w:w="960" w:type="dxa"/>
            <w:vAlign w:val="bottom"/>
            <w:shd w:val="clear" w:color="auto" w:fill="D8E8EF"/>
          </w:tcPr>
          <w:p>
            <w:pPr>
              <w:jc w:val="right"/>
              <w:ind w:right="40"/>
              <w:spacing w:after="0"/>
              <w:rPr>
                <w:sz w:val="20"/>
                <w:szCs w:val="20"/>
                <w:color w:val="auto"/>
              </w:rPr>
            </w:pPr>
            <w:r>
              <w:rPr>
                <w:rFonts w:ascii="Arial" w:cs="Arial" w:eastAsia="Arial" w:hAnsi="Arial"/>
                <w:sz w:val="16"/>
                <w:szCs w:val="16"/>
                <w:color w:val="auto"/>
              </w:rPr>
              <w:t>0</w:t>
            </w:r>
          </w:p>
        </w:tc>
        <w:tc>
          <w:tcPr>
            <w:tcW w:w="1220" w:type="dxa"/>
            <w:vAlign w:val="bottom"/>
            <w:shd w:val="clear" w:color="auto" w:fill="D8E8EF"/>
          </w:tcPr>
          <w:p>
            <w:pPr>
              <w:jc w:val="right"/>
              <w:ind w:right="40"/>
              <w:spacing w:after="0"/>
              <w:rPr>
                <w:sz w:val="20"/>
                <w:szCs w:val="20"/>
                <w:color w:val="auto"/>
              </w:rPr>
            </w:pPr>
            <w:r>
              <w:rPr>
                <w:rFonts w:ascii="Arial" w:cs="Arial" w:eastAsia="Arial" w:hAnsi="Arial"/>
                <w:sz w:val="16"/>
                <w:szCs w:val="16"/>
                <w:color w:val="auto"/>
              </w:rPr>
              <w:t>0</w:t>
            </w:r>
          </w:p>
        </w:tc>
        <w:tc>
          <w:tcPr>
            <w:tcW w:w="1200" w:type="dxa"/>
            <w:vAlign w:val="bottom"/>
            <w:shd w:val="clear" w:color="auto" w:fill="D8E8EF"/>
          </w:tcPr>
          <w:p>
            <w:pPr>
              <w:jc w:val="right"/>
              <w:ind w:right="20"/>
              <w:spacing w:after="0"/>
              <w:rPr>
                <w:sz w:val="20"/>
                <w:szCs w:val="20"/>
                <w:color w:val="auto"/>
              </w:rPr>
            </w:pPr>
            <w:r>
              <w:rPr>
                <w:rFonts w:ascii="Arial" w:cs="Arial" w:eastAsia="Arial" w:hAnsi="Arial"/>
                <w:sz w:val="16"/>
                <w:szCs w:val="16"/>
                <w:color w:val="auto"/>
              </w:rPr>
              <w:t>0</w:t>
            </w:r>
          </w:p>
        </w:tc>
      </w:tr>
      <w:tr>
        <w:trPr>
          <w:trHeight w:val="70"/>
        </w:trPr>
        <w:tc>
          <w:tcPr>
            <w:tcW w:w="3960" w:type="dxa"/>
            <w:vAlign w:val="bottom"/>
            <w:shd w:val="clear" w:color="auto" w:fill="D8E8EF"/>
          </w:tcPr>
          <w:p>
            <w:pPr>
              <w:spacing w:after="0"/>
              <w:rPr>
                <w:sz w:val="6"/>
                <w:szCs w:val="6"/>
                <w:color w:val="auto"/>
              </w:rPr>
            </w:pPr>
          </w:p>
        </w:tc>
        <w:tc>
          <w:tcPr>
            <w:tcW w:w="1380" w:type="dxa"/>
            <w:vAlign w:val="bottom"/>
            <w:shd w:val="clear" w:color="auto" w:fill="D8E8EF"/>
          </w:tcPr>
          <w:p>
            <w:pPr>
              <w:spacing w:after="0"/>
              <w:rPr>
                <w:sz w:val="6"/>
                <w:szCs w:val="6"/>
                <w:color w:val="auto"/>
              </w:rPr>
            </w:pPr>
          </w:p>
        </w:tc>
        <w:tc>
          <w:tcPr>
            <w:tcW w:w="860" w:type="dxa"/>
            <w:vAlign w:val="bottom"/>
            <w:shd w:val="clear" w:color="auto" w:fill="D8E8EF"/>
          </w:tcPr>
          <w:p>
            <w:pPr>
              <w:spacing w:after="0"/>
              <w:rPr>
                <w:sz w:val="6"/>
                <w:szCs w:val="6"/>
                <w:color w:val="auto"/>
              </w:rPr>
            </w:pPr>
          </w:p>
        </w:tc>
        <w:tc>
          <w:tcPr>
            <w:tcW w:w="300" w:type="dxa"/>
            <w:vAlign w:val="bottom"/>
            <w:shd w:val="clear" w:color="auto" w:fill="D8E8EF"/>
          </w:tcPr>
          <w:p>
            <w:pPr>
              <w:spacing w:after="0"/>
              <w:rPr>
                <w:sz w:val="6"/>
                <w:szCs w:val="6"/>
                <w:color w:val="auto"/>
              </w:rPr>
            </w:pPr>
          </w:p>
        </w:tc>
        <w:tc>
          <w:tcPr>
            <w:tcW w:w="1040" w:type="dxa"/>
            <w:vAlign w:val="bottom"/>
            <w:shd w:val="clear" w:color="auto" w:fill="D8E8EF"/>
          </w:tcPr>
          <w:p>
            <w:pPr>
              <w:spacing w:after="0"/>
              <w:rPr>
                <w:sz w:val="6"/>
                <w:szCs w:val="6"/>
                <w:color w:val="auto"/>
              </w:rPr>
            </w:pPr>
          </w:p>
        </w:tc>
        <w:tc>
          <w:tcPr>
            <w:tcW w:w="960" w:type="dxa"/>
            <w:vAlign w:val="bottom"/>
            <w:shd w:val="clear" w:color="auto" w:fill="D8E8EF"/>
          </w:tcPr>
          <w:p>
            <w:pPr>
              <w:spacing w:after="0"/>
              <w:rPr>
                <w:sz w:val="6"/>
                <w:szCs w:val="6"/>
                <w:color w:val="auto"/>
              </w:rPr>
            </w:pPr>
          </w:p>
        </w:tc>
        <w:tc>
          <w:tcPr>
            <w:tcW w:w="1220" w:type="dxa"/>
            <w:vAlign w:val="bottom"/>
            <w:shd w:val="clear" w:color="auto" w:fill="D8E8EF"/>
          </w:tcPr>
          <w:p>
            <w:pPr>
              <w:spacing w:after="0"/>
              <w:rPr>
                <w:sz w:val="6"/>
                <w:szCs w:val="6"/>
                <w:color w:val="auto"/>
              </w:rPr>
            </w:pPr>
          </w:p>
        </w:tc>
        <w:tc>
          <w:tcPr>
            <w:tcW w:w="1200" w:type="dxa"/>
            <w:vAlign w:val="bottom"/>
            <w:shd w:val="clear" w:color="auto" w:fill="D8E8EF"/>
          </w:tcPr>
          <w:p>
            <w:pPr>
              <w:spacing w:after="0"/>
              <w:rPr>
                <w:sz w:val="6"/>
                <w:szCs w:val="6"/>
                <w:color w:val="auto"/>
              </w:rPr>
            </w:pPr>
          </w:p>
        </w:tc>
      </w:tr>
      <w:tr>
        <w:trPr>
          <w:trHeight w:val="274"/>
        </w:trPr>
        <w:tc>
          <w:tcPr>
            <w:tcW w:w="3960" w:type="dxa"/>
            <w:vAlign w:val="bottom"/>
          </w:tcPr>
          <w:p>
            <w:pPr>
              <w:ind w:left="60"/>
              <w:spacing w:after="0"/>
              <w:rPr>
                <w:sz w:val="20"/>
                <w:szCs w:val="20"/>
                <w:color w:val="auto"/>
              </w:rPr>
            </w:pPr>
            <w:r>
              <w:rPr>
                <w:rFonts w:ascii="Arial" w:cs="Arial" w:eastAsia="Arial" w:hAnsi="Arial"/>
                <w:sz w:val="16"/>
                <w:szCs w:val="16"/>
                <w:b w:val="1"/>
                <w:bCs w:val="1"/>
                <w:color w:val="auto"/>
              </w:rPr>
              <w:t>Long-Term Incentives:</w:t>
            </w:r>
          </w:p>
        </w:tc>
        <w:tc>
          <w:tcPr>
            <w:tcW w:w="13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60"/>
        </w:trPr>
        <w:tc>
          <w:tcPr>
            <w:tcW w:w="3960" w:type="dxa"/>
            <w:vAlign w:val="bottom"/>
          </w:tcPr>
          <w:p>
            <w:pPr>
              <w:spacing w:after="0"/>
              <w:rPr>
                <w:sz w:val="5"/>
                <w:szCs w:val="5"/>
                <w:color w:val="auto"/>
              </w:rPr>
            </w:pPr>
          </w:p>
        </w:tc>
        <w:tc>
          <w:tcPr>
            <w:tcW w:w="1380" w:type="dxa"/>
            <w:vAlign w:val="bottom"/>
          </w:tcPr>
          <w:p>
            <w:pPr>
              <w:spacing w:after="0"/>
              <w:rPr>
                <w:sz w:val="5"/>
                <w:szCs w:val="5"/>
                <w:color w:val="auto"/>
              </w:rPr>
            </w:pPr>
          </w:p>
        </w:tc>
        <w:tc>
          <w:tcPr>
            <w:tcW w:w="8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96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200" w:type="dxa"/>
            <w:vAlign w:val="bottom"/>
          </w:tcPr>
          <w:p>
            <w:pPr>
              <w:spacing w:after="0"/>
              <w:rPr>
                <w:sz w:val="5"/>
                <w:szCs w:val="5"/>
                <w:color w:val="auto"/>
              </w:rPr>
            </w:pPr>
          </w:p>
        </w:tc>
      </w:tr>
      <w:tr>
        <w:trPr>
          <w:trHeight w:val="240"/>
        </w:trPr>
        <w:tc>
          <w:tcPr>
            <w:tcW w:w="3960" w:type="dxa"/>
            <w:vAlign w:val="bottom"/>
            <w:shd w:val="clear" w:color="auto" w:fill="D8E8EF"/>
          </w:tcPr>
          <w:p>
            <w:pPr>
              <w:ind w:left="60"/>
              <w:spacing w:after="0"/>
              <w:rPr>
                <w:sz w:val="20"/>
                <w:szCs w:val="20"/>
                <w:color w:val="auto"/>
              </w:rPr>
            </w:pPr>
            <w:r>
              <w:rPr>
                <w:rFonts w:ascii="Arial" w:cs="Arial" w:eastAsia="Arial" w:hAnsi="Arial"/>
                <w:sz w:val="16"/>
                <w:szCs w:val="16"/>
                <w:color w:val="auto"/>
              </w:rPr>
              <w:t>Acceleration or Continued Vesting of Unvested Stock</w:t>
            </w:r>
          </w:p>
        </w:tc>
        <w:tc>
          <w:tcPr>
            <w:tcW w:w="1380" w:type="dxa"/>
            <w:vAlign w:val="bottom"/>
            <w:shd w:val="clear" w:color="auto" w:fill="D8E8EF"/>
          </w:tcPr>
          <w:p>
            <w:pPr>
              <w:jc w:val="right"/>
              <w:ind w:right="120"/>
              <w:spacing w:after="0"/>
              <w:rPr>
                <w:sz w:val="20"/>
                <w:szCs w:val="20"/>
                <w:color w:val="auto"/>
              </w:rPr>
            </w:pPr>
            <w:r>
              <w:rPr>
                <w:rFonts w:ascii="Arial" w:cs="Arial" w:eastAsia="Arial" w:hAnsi="Arial"/>
                <w:sz w:val="16"/>
                <w:szCs w:val="16"/>
                <w:color w:val="auto"/>
              </w:rPr>
              <w:t>0</w:t>
            </w:r>
          </w:p>
        </w:tc>
        <w:tc>
          <w:tcPr>
            <w:tcW w:w="860" w:type="dxa"/>
            <w:vAlign w:val="bottom"/>
            <w:shd w:val="clear" w:color="auto" w:fill="D8E8EF"/>
          </w:tcPr>
          <w:p>
            <w:pPr>
              <w:jc w:val="right"/>
              <w:spacing w:after="0"/>
              <w:rPr>
                <w:sz w:val="20"/>
                <w:szCs w:val="20"/>
                <w:color w:val="auto"/>
              </w:rPr>
            </w:pPr>
            <w:r>
              <w:rPr>
                <w:rFonts w:ascii="Arial" w:cs="Arial" w:eastAsia="Arial" w:hAnsi="Arial"/>
                <w:sz w:val="16"/>
                <w:szCs w:val="16"/>
                <w:color w:val="auto"/>
              </w:rPr>
              <w:t>7,635,363</w:t>
            </w:r>
          </w:p>
        </w:tc>
        <w:tc>
          <w:tcPr>
            <w:tcW w:w="300" w:type="dxa"/>
            <w:vAlign w:val="bottom"/>
            <w:shd w:val="clear" w:color="auto" w:fill="D8E8EF"/>
          </w:tcPr>
          <w:p>
            <w:pPr>
              <w:jc w:val="right"/>
              <w:spacing w:after="0"/>
              <w:rPr>
                <w:sz w:val="20"/>
                <w:szCs w:val="20"/>
                <w:color w:val="auto"/>
              </w:rPr>
            </w:pPr>
            <w:r>
              <w:rPr>
                <w:rFonts w:ascii="Arial" w:cs="Arial" w:eastAsia="Arial" w:hAnsi="Arial"/>
                <w:sz w:val="16"/>
                <w:szCs w:val="16"/>
                <w:color w:val="auto"/>
              </w:rPr>
              <w:t>(3)</w:t>
            </w:r>
          </w:p>
        </w:tc>
        <w:tc>
          <w:tcPr>
            <w:tcW w:w="1040" w:type="dxa"/>
            <w:vAlign w:val="bottom"/>
            <w:shd w:val="clear" w:color="auto" w:fill="D8E8EF"/>
          </w:tcPr>
          <w:p>
            <w:pPr>
              <w:jc w:val="right"/>
              <w:ind w:right="60"/>
              <w:spacing w:after="0"/>
              <w:rPr>
                <w:sz w:val="20"/>
                <w:szCs w:val="20"/>
                <w:color w:val="auto"/>
              </w:rPr>
            </w:pPr>
            <w:r>
              <w:rPr>
                <w:rFonts w:ascii="Arial" w:cs="Arial" w:eastAsia="Arial" w:hAnsi="Arial"/>
                <w:sz w:val="16"/>
                <w:szCs w:val="16"/>
                <w:color w:val="auto"/>
              </w:rPr>
              <w:t>(3)</w:t>
            </w:r>
          </w:p>
        </w:tc>
        <w:tc>
          <w:tcPr>
            <w:tcW w:w="960" w:type="dxa"/>
            <w:vAlign w:val="bottom"/>
            <w:shd w:val="clear" w:color="auto" w:fill="D8E8EF"/>
          </w:tcPr>
          <w:p>
            <w:pPr>
              <w:jc w:val="right"/>
              <w:ind w:right="40"/>
              <w:spacing w:after="0"/>
              <w:rPr>
                <w:sz w:val="20"/>
                <w:szCs w:val="20"/>
                <w:color w:val="auto"/>
              </w:rPr>
            </w:pPr>
            <w:r>
              <w:rPr>
                <w:rFonts w:ascii="Arial" w:cs="Arial" w:eastAsia="Arial" w:hAnsi="Arial"/>
                <w:sz w:val="16"/>
                <w:szCs w:val="16"/>
                <w:color w:val="auto"/>
              </w:rPr>
              <w:t>0</w:t>
            </w:r>
          </w:p>
        </w:tc>
        <w:tc>
          <w:tcPr>
            <w:tcW w:w="1220" w:type="dxa"/>
            <w:vAlign w:val="bottom"/>
            <w:shd w:val="clear" w:color="auto" w:fill="D8E8EF"/>
          </w:tcPr>
          <w:p>
            <w:pPr>
              <w:jc w:val="right"/>
              <w:ind w:right="40"/>
              <w:spacing w:after="0"/>
              <w:rPr>
                <w:sz w:val="20"/>
                <w:szCs w:val="20"/>
                <w:color w:val="auto"/>
              </w:rPr>
            </w:pPr>
            <w:r>
              <w:rPr>
                <w:rFonts w:ascii="Arial" w:cs="Arial" w:eastAsia="Arial" w:hAnsi="Arial"/>
                <w:sz w:val="16"/>
                <w:szCs w:val="16"/>
                <w:color w:val="auto"/>
              </w:rPr>
              <w:t>0</w:t>
            </w:r>
          </w:p>
        </w:tc>
        <w:tc>
          <w:tcPr>
            <w:tcW w:w="1200" w:type="dxa"/>
            <w:vAlign w:val="bottom"/>
            <w:shd w:val="clear" w:color="auto" w:fill="D8E8EF"/>
          </w:tcPr>
          <w:p>
            <w:pPr>
              <w:jc w:val="right"/>
              <w:ind w:right="20"/>
              <w:spacing w:after="0"/>
              <w:rPr>
                <w:sz w:val="20"/>
                <w:szCs w:val="20"/>
                <w:color w:val="auto"/>
              </w:rPr>
            </w:pPr>
            <w:r>
              <w:rPr>
                <w:rFonts w:ascii="Arial" w:cs="Arial" w:eastAsia="Arial" w:hAnsi="Arial"/>
                <w:sz w:val="16"/>
                <w:szCs w:val="16"/>
                <w:color w:val="auto"/>
              </w:rPr>
              <w:t>1,643,868 (4)</w:t>
            </w:r>
          </w:p>
        </w:tc>
      </w:tr>
      <w:tr>
        <w:trPr>
          <w:trHeight w:val="211"/>
        </w:trPr>
        <w:tc>
          <w:tcPr>
            <w:tcW w:w="3960" w:type="dxa"/>
            <w:vAlign w:val="bottom"/>
            <w:shd w:val="clear" w:color="auto" w:fill="D8E8EF"/>
          </w:tcPr>
          <w:p>
            <w:pPr>
              <w:ind w:left="320"/>
              <w:spacing w:after="0"/>
              <w:rPr>
                <w:sz w:val="20"/>
                <w:szCs w:val="20"/>
                <w:color w:val="auto"/>
              </w:rPr>
            </w:pPr>
            <w:r>
              <w:rPr>
                <w:rFonts w:ascii="Arial" w:cs="Arial" w:eastAsia="Arial" w:hAnsi="Arial"/>
                <w:sz w:val="16"/>
                <w:szCs w:val="16"/>
                <w:color w:val="auto"/>
              </w:rPr>
              <w:t>Options, RSUs or PBRSUs</w:t>
            </w:r>
          </w:p>
        </w:tc>
        <w:tc>
          <w:tcPr>
            <w:tcW w:w="1380" w:type="dxa"/>
            <w:vAlign w:val="bottom"/>
            <w:shd w:val="clear" w:color="auto" w:fill="D8E8EF"/>
          </w:tcPr>
          <w:p>
            <w:pPr>
              <w:spacing w:after="0"/>
              <w:rPr>
                <w:sz w:val="18"/>
                <w:szCs w:val="18"/>
                <w:color w:val="auto"/>
              </w:rPr>
            </w:pPr>
          </w:p>
        </w:tc>
        <w:tc>
          <w:tcPr>
            <w:tcW w:w="860" w:type="dxa"/>
            <w:vAlign w:val="bottom"/>
            <w:shd w:val="clear" w:color="auto" w:fill="D8E8EF"/>
          </w:tcPr>
          <w:p>
            <w:pPr>
              <w:spacing w:after="0"/>
              <w:rPr>
                <w:sz w:val="18"/>
                <w:szCs w:val="18"/>
                <w:color w:val="auto"/>
              </w:rPr>
            </w:pPr>
          </w:p>
        </w:tc>
        <w:tc>
          <w:tcPr>
            <w:tcW w:w="300" w:type="dxa"/>
            <w:vAlign w:val="bottom"/>
            <w:shd w:val="clear" w:color="auto" w:fill="D8E8EF"/>
          </w:tcPr>
          <w:p>
            <w:pPr>
              <w:spacing w:after="0"/>
              <w:rPr>
                <w:sz w:val="18"/>
                <w:szCs w:val="18"/>
                <w:color w:val="auto"/>
              </w:rPr>
            </w:pPr>
          </w:p>
        </w:tc>
        <w:tc>
          <w:tcPr>
            <w:tcW w:w="1040" w:type="dxa"/>
            <w:vAlign w:val="bottom"/>
            <w:shd w:val="clear" w:color="auto" w:fill="D8E8EF"/>
          </w:tcPr>
          <w:p>
            <w:pPr>
              <w:spacing w:after="0"/>
              <w:rPr>
                <w:sz w:val="18"/>
                <w:szCs w:val="18"/>
                <w:color w:val="auto"/>
              </w:rPr>
            </w:pPr>
          </w:p>
        </w:tc>
        <w:tc>
          <w:tcPr>
            <w:tcW w:w="960" w:type="dxa"/>
            <w:vAlign w:val="bottom"/>
            <w:shd w:val="clear" w:color="auto" w:fill="D8E8EF"/>
          </w:tcPr>
          <w:p>
            <w:pPr>
              <w:spacing w:after="0"/>
              <w:rPr>
                <w:sz w:val="18"/>
                <w:szCs w:val="18"/>
                <w:color w:val="auto"/>
              </w:rPr>
            </w:pPr>
          </w:p>
        </w:tc>
        <w:tc>
          <w:tcPr>
            <w:tcW w:w="1220" w:type="dxa"/>
            <w:vAlign w:val="bottom"/>
            <w:shd w:val="clear" w:color="auto" w:fill="D8E8EF"/>
          </w:tcPr>
          <w:p>
            <w:pPr>
              <w:spacing w:after="0"/>
              <w:rPr>
                <w:sz w:val="18"/>
                <w:szCs w:val="18"/>
                <w:color w:val="auto"/>
              </w:rPr>
            </w:pPr>
          </w:p>
        </w:tc>
        <w:tc>
          <w:tcPr>
            <w:tcW w:w="1200" w:type="dxa"/>
            <w:vAlign w:val="bottom"/>
            <w:shd w:val="clear" w:color="auto" w:fill="D8E8EF"/>
          </w:tcPr>
          <w:p>
            <w:pPr>
              <w:spacing w:after="0"/>
              <w:rPr>
                <w:sz w:val="18"/>
                <w:szCs w:val="18"/>
                <w:color w:val="auto"/>
              </w:rPr>
            </w:pPr>
          </w:p>
        </w:tc>
      </w:tr>
      <w:tr>
        <w:trPr>
          <w:trHeight w:val="70"/>
        </w:trPr>
        <w:tc>
          <w:tcPr>
            <w:tcW w:w="3960" w:type="dxa"/>
            <w:vAlign w:val="bottom"/>
            <w:shd w:val="clear" w:color="auto" w:fill="D8E8EF"/>
          </w:tcPr>
          <w:p>
            <w:pPr>
              <w:spacing w:after="0"/>
              <w:rPr>
                <w:sz w:val="6"/>
                <w:szCs w:val="6"/>
                <w:color w:val="auto"/>
              </w:rPr>
            </w:pPr>
          </w:p>
        </w:tc>
        <w:tc>
          <w:tcPr>
            <w:tcW w:w="1380" w:type="dxa"/>
            <w:vAlign w:val="bottom"/>
            <w:shd w:val="clear" w:color="auto" w:fill="D8E8EF"/>
          </w:tcPr>
          <w:p>
            <w:pPr>
              <w:spacing w:after="0"/>
              <w:rPr>
                <w:sz w:val="6"/>
                <w:szCs w:val="6"/>
                <w:color w:val="auto"/>
              </w:rPr>
            </w:pPr>
          </w:p>
        </w:tc>
        <w:tc>
          <w:tcPr>
            <w:tcW w:w="1160" w:type="dxa"/>
            <w:vAlign w:val="bottom"/>
            <w:gridSpan w:val="2"/>
            <w:shd w:val="clear" w:color="auto" w:fill="D8E8EF"/>
          </w:tcPr>
          <w:p>
            <w:pPr>
              <w:spacing w:after="0"/>
              <w:rPr>
                <w:sz w:val="6"/>
                <w:szCs w:val="6"/>
                <w:color w:val="auto"/>
              </w:rPr>
            </w:pPr>
          </w:p>
        </w:tc>
        <w:tc>
          <w:tcPr>
            <w:tcW w:w="1040" w:type="dxa"/>
            <w:vAlign w:val="bottom"/>
            <w:shd w:val="clear" w:color="auto" w:fill="D8E8EF"/>
          </w:tcPr>
          <w:p>
            <w:pPr>
              <w:spacing w:after="0"/>
              <w:rPr>
                <w:sz w:val="6"/>
                <w:szCs w:val="6"/>
                <w:color w:val="auto"/>
              </w:rPr>
            </w:pPr>
          </w:p>
        </w:tc>
        <w:tc>
          <w:tcPr>
            <w:tcW w:w="960" w:type="dxa"/>
            <w:vAlign w:val="bottom"/>
            <w:shd w:val="clear" w:color="auto" w:fill="D8E8EF"/>
          </w:tcPr>
          <w:p>
            <w:pPr>
              <w:spacing w:after="0"/>
              <w:rPr>
                <w:sz w:val="6"/>
                <w:szCs w:val="6"/>
                <w:color w:val="auto"/>
              </w:rPr>
            </w:pPr>
          </w:p>
        </w:tc>
        <w:tc>
          <w:tcPr>
            <w:tcW w:w="1220" w:type="dxa"/>
            <w:vAlign w:val="bottom"/>
            <w:shd w:val="clear" w:color="auto" w:fill="D8E8EF"/>
          </w:tcPr>
          <w:p>
            <w:pPr>
              <w:spacing w:after="0"/>
              <w:rPr>
                <w:sz w:val="6"/>
                <w:szCs w:val="6"/>
                <w:color w:val="auto"/>
              </w:rPr>
            </w:pPr>
          </w:p>
        </w:tc>
        <w:tc>
          <w:tcPr>
            <w:tcW w:w="1200" w:type="dxa"/>
            <w:vAlign w:val="bottom"/>
            <w:shd w:val="clear" w:color="auto" w:fill="D8E8EF"/>
          </w:tcPr>
          <w:p>
            <w:pPr>
              <w:spacing w:after="0"/>
              <w:rPr>
                <w:sz w:val="6"/>
                <w:szCs w:val="6"/>
                <w:color w:val="auto"/>
              </w:rPr>
            </w:pPr>
          </w:p>
        </w:tc>
      </w:tr>
      <w:tr>
        <w:trPr>
          <w:trHeight w:val="274"/>
        </w:trPr>
        <w:tc>
          <w:tcPr>
            <w:tcW w:w="3960" w:type="dxa"/>
            <w:vAlign w:val="bottom"/>
          </w:tcPr>
          <w:p>
            <w:pPr>
              <w:ind w:left="60"/>
              <w:spacing w:after="0"/>
              <w:rPr>
                <w:sz w:val="20"/>
                <w:szCs w:val="20"/>
                <w:color w:val="auto"/>
              </w:rPr>
            </w:pPr>
            <w:r>
              <w:rPr>
                <w:rFonts w:ascii="Arial" w:cs="Arial" w:eastAsia="Arial" w:hAnsi="Arial"/>
                <w:sz w:val="16"/>
                <w:szCs w:val="16"/>
                <w:b w:val="1"/>
                <w:bCs w:val="1"/>
                <w:i w:val="1"/>
                <w:iCs w:val="1"/>
                <w:color w:val="auto"/>
              </w:rPr>
              <w:t>Total:</w:t>
            </w:r>
          </w:p>
        </w:tc>
        <w:tc>
          <w:tcPr>
            <w:tcW w:w="1380" w:type="dxa"/>
            <w:vAlign w:val="bottom"/>
          </w:tcPr>
          <w:p>
            <w:pPr>
              <w:jc w:val="right"/>
              <w:ind w:right="120"/>
              <w:spacing w:after="0"/>
              <w:rPr>
                <w:sz w:val="20"/>
                <w:szCs w:val="20"/>
                <w:color w:val="auto"/>
              </w:rPr>
            </w:pPr>
            <w:r>
              <w:rPr>
                <w:rFonts w:ascii="Arial" w:cs="Arial" w:eastAsia="Arial" w:hAnsi="Arial"/>
                <w:sz w:val="16"/>
                <w:szCs w:val="16"/>
                <w:color w:val="auto"/>
              </w:rPr>
              <w:t>500,000</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8,660,363</w:t>
            </w:r>
          </w:p>
        </w:tc>
        <w:tc>
          <w:tcPr>
            <w:tcW w:w="1040" w:type="dxa"/>
            <w:vAlign w:val="bottom"/>
          </w:tcPr>
          <w:p>
            <w:pPr>
              <w:jc w:val="right"/>
              <w:ind w:right="60"/>
              <w:spacing w:after="0"/>
              <w:rPr>
                <w:sz w:val="20"/>
                <w:szCs w:val="20"/>
                <w:color w:val="auto"/>
              </w:rPr>
            </w:pPr>
            <w:r>
              <w:rPr>
                <w:rFonts w:ascii="Arial" w:cs="Arial" w:eastAsia="Arial" w:hAnsi="Arial"/>
                <w:sz w:val="16"/>
                <w:szCs w:val="16"/>
                <w:color w:val="auto"/>
              </w:rPr>
              <w:t>(3)</w:t>
            </w: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0</w:t>
            </w: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0</w:t>
            </w: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1,643,868</w:t>
            </w:r>
          </w:p>
        </w:tc>
      </w:tr>
      <w:tr>
        <w:trPr>
          <w:trHeight w:val="74"/>
        </w:trPr>
        <w:tc>
          <w:tcPr>
            <w:tcW w:w="3960" w:type="dxa"/>
            <w:vAlign w:val="bottom"/>
            <w:tcBorders>
              <w:bottom w:val="single" w:sz="8" w:color="auto"/>
            </w:tcBorders>
          </w:tcPr>
          <w:p>
            <w:pPr>
              <w:spacing w:after="0"/>
              <w:rPr>
                <w:sz w:val="6"/>
                <w:szCs w:val="6"/>
                <w:color w:val="auto"/>
              </w:rPr>
            </w:pPr>
          </w:p>
        </w:tc>
        <w:tc>
          <w:tcPr>
            <w:tcW w:w="138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r>
    </w:tbl>
    <w:p>
      <w:pPr>
        <w:spacing w:after="0" w:line="111" w:lineRule="exact"/>
        <w:rPr>
          <w:sz w:val="20"/>
          <w:szCs w:val="20"/>
          <w:color w:val="auto"/>
        </w:rPr>
      </w:pPr>
    </w:p>
    <w:p>
      <w:pPr>
        <w:ind w:left="600" w:hanging="433"/>
        <w:spacing w:after="0" w:line="281" w:lineRule="auto"/>
        <w:tabs>
          <w:tab w:leader="none" w:pos="600" w:val="left"/>
        </w:tabs>
        <w:numPr>
          <w:ilvl w:val="0"/>
          <w:numId w:val="92"/>
        </w:numPr>
        <w:rPr>
          <w:rFonts w:ascii="Arial" w:cs="Arial" w:eastAsia="Arial" w:hAnsi="Arial"/>
          <w:sz w:val="14"/>
          <w:szCs w:val="14"/>
          <w:color w:val="auto"/>
        </w:rPr>
      </w:pPr>
      <w:r>
        <w:rPr>
          <w:rFonts w:ascii="Arial" w:cs="Arial" w:eastAsia="Arial" w:hAnsi="Arial"/>
          <w:sz w:val="14"/>
          <w:szCs w:val="14"/>
          <w:color w:val="auto"/>
        </w:rPr>
        <w:t>Mr. Cave’s severance payment following a termination without “Cause” or a resignation for “Good Reason” (as those terms are defined in his employment agreement), whether or not following a Change in Control, is equal to one year of annual base salary. Mr. Cave’s base salary at the end of the 2021 fiscal year was $500,000.</w:t>
      </w:r>
    </w:p>
    <w:p>
      <w:pPr>
        <w:spacing w:after="0" w:line="64" w:lineRule="exact"/>
        <w:rPr>
          <w:rFonts w:ascii="Arial" w:cs="Arial" w:eastAsia="Arial" w:hAnsi="Arial"/>
          <w:sz w:val="14"/>
          <w:szCs w:val="14"/>
          <w:color w:val="auto"/>
        </w:rPr>
      </w:pPr>
    </w:p>
    <w:p>
      <w:pPr>
        <w:jc w:val="both"/>
        <w:ind w:left="600" w:hanging="433"/>
        <w:spacing w:after="0" w:line="246" w:lineRule="auto"/>
        <w:tabs>
          <w:tab w:leader="none" w:pos="600" w:val="left"/>
        </w:tabs>
        <w:numPr>
          <w:ilvl w:val="0"/>
          <w:numId w:val="92"/>
        </w:numPr>
        <w:rPr>
          <w:rFonts w:ascii="Arial" w:cs="Arial" w:eastAsia="Arial" w:hAnsi="Arial"/>
          <w:sz w:val="14"/>
          <w:szCs w:val="14"/>
          <w:color w:val="auto"/>
        </w:rPr>
      </w:pPr>
      <w:r>
        <w:rPr>
          <w:rFonts w:ascii="Arial" w:cs="Arial" w:eastAsia="Arial" w:hAnsi="Arial"/>
          <w:sz w:val="14"/>
          <w:szCs w:val="14"/>
          <w:color w:val="auto"/>
        </w:rPr>
        <w:t>In the event that we terminate Mr. Cave’s employment without Cause, or he resigns for Good Reason, other than in connection with a Change in Control, Mr. Cave is entitled to any bonus earned but unpaid for the performance cycle immediately preceding the date of termination and a pro rata portion of his bonus, if any, for the then-current performance cycle based on achievement of the applicable performance criteria. For purposes of this column, we have assumed that Mr. Cave’s date of termination was December 31, 2021, that the applicable performance cycle for the prorated bonus entitlement was the 2021 Bonus Program and that his bonus under the 2021 Bonus Program was earned but unpaid at that time. Mr. Cave’s earned bonus for 2021 was $525,000. In addition to other benefits provided in his employment agreement, Mr. Cave is entitled to a cash payment following a termination without Cause or a resignation for Good Reason within 24 months following a Change in Control equal to his total annual target bonus under the 2021 bonus program. Such target bonus for 2021 was $375,000.</w:t>
      </w:r>
    </w:p>
    <w:p>
      <w:pPr>
        <w:spacing w:after="0" w:line="88" w:lineRule="exact"/>
        <w:rPr>
          <w:rFonts w:ascii="Arial" w:cs="Arial" w:eastAsia="Arial" w:hAnsi="Arial"/>
          <w:sz w:val="14"/>
          <w:szCs w:val="14"/>
          <w:color w:val="auto"/>
        </w:rPr>
      </w:pPr>
    </w:p>
    <w:p>
      <w:pPr>
        <w:jc w:val="both"/>
        <w:ind w:left="600" w:hanging="433"/>
        <w:spacing w:after="0" w:line="246" w:lineRule="auto"/>
        <w:tabs>
          <w:tab w:leader="none" w:pos="600" w:val="left"/>
        </w:tabs>
        <w:numPr>
          <w:ilvl w:val="0"/>
          <w:numId w:val="92"/>
        </w:numPr>
        <w:rPr>
          <w:rFonts w:ascii="Arial" w:cs="Arial" w:eastAsia="Arial" w:hAnsi="Arial"/>
          <w:sz w:val="14"/>
          <w:szCs w:val="14"/>
          <w:color w:val="auto"/>
        </w:rPr>
      </w:pPr>
      <w:r>
        <w:rPr>
          <w:rFonts w:ascii="Arial" w:cs="Arial" w:eastAsia="Arial" w:hAnsi="Arial"/>
          <w:sz w:val="14"/>
          <w:szCs w:val="14"/>
          <w:color w:val="auto"/>
        </w:rPr>
        <w:t>Because the HCC Committee has discretion to accelerate outstanding awards of equity under the SIP notwithstanding the provisions of an officer’s employment agreement or the award agreements under which the awards were granted in the event of a Change in Control, for purposes of this disclosure, we have assumed that the HCC Committee has exercised such discretion and all outstanding equity awards have been accelerated. For a description of the actual provisions of the employment agreements and such award agreements that may otherwise impact acceleration in connection with a Change in Control, see the discussion above under “Potential Payments Upon Termination of Employment or Change in Control — Equity Acceleration upon a Change in Control.” This amount denotes the incremental difference between the market value on December 31, 2021 and the exercise price, if any, of unvested options, RSUs or PBRSUs (including any 2020 Base PBRSUs and Upside PBRSUs) for which vesting might be accelerated.</w:t>
      </w:r>
    </w:p>
    <w:p>
      <w:pPr>
        <w:spacing w:after="0" w:line="88" w:lineRule="exact"/>
        <w:rPr>
          <w:rFonts w:ascii="Arial" w:cs="Arial" w:eastAsia="Arial" w:hAnsi="Arial"/>
          <w:sz w:val="14"/>
          <w:szCs w:val="14"/>
          <w:color w:val="auto"/>
        </w:rPr>
      </w:pPr>
    </w:p>
    <w:p>
      <w:pPr>
        <w:ind w:left="600" w:hanging="433"/>
        <w:spacing w:after="0" w:line="281" w:lineRule="auto"/>
        <w:tabs>
          <w:tab w:leader="none" w:pos="600" w:val="left"/>
        </w:tabs>
        <w:numPr>
          <w:ilvl w:val="0"/>
          <w:numId w:val="92"/>
        </w:numPr>
        <w:rPr>
          <w:rFonts w:ascii="Arial" w:cs="Arial" w:eastAsia="Arial" w:hAnsi="Arial"/>
          <w:sz w:val="14"/>
          <w:szCs w:val="14"/>
          <w:color w:val="auto"/>
        </w:rPr>
      </w:pPr>
      <w:r>
        <w:rPr>
          <w:rFonts w:ascii="Arial" w:cs="Arial" w:eastAsia="Arial" w:hAnsi="Arial"/>
          <w:sz w:val="14"/>
          <w:szCs w:val="14"/>
          <w:color w:val="auto"/>
        </w:rPr>
        <w:t>The amount shown represents the value of the RSUs, which is based on the Company’s closing stock price on December 31, 2021, that will vest upon a qualified retirement and in accordance with the vesting schedules set forth in Mr. Cave’s 2019 and 2020 RSU award agreements.</w:t>
      </w:r>
    </w:p>
    <w:p>
      <w:pPr>
        <w:spacing w:after="0" w:line="148" w:lineRule="exact"/>
        <w:rPr>
          <w:sz w:val="20"/>
          <w:szCs w:val="20"/>
          <w:color w:val="auto"/>
        </w:rPr>
      </w:pPr>
    </w:p>
    <w:p>
      <w:pPr>
        <w:jc w:val="both"/>
        <w:ind w:left="160"/>
        <w:spacing w:after="0" w:line="249" w:lineRule="auto"/>
        <w:rPr>
          <w:sz w:val="20"/>
          <w:szCs w:val="20"/>
          <w:color w:val="auto"/>
        </w:rPr>
      </w:pPr>
      <w:r>
        <w:rPr>
          <w:rFonts w:ascii="Arial" w:cs="Arial" w:eastAsia="Arial" w:hAnsi="Arial"/>
          <w:sz w:val="18"/>
          <w:szCs w:val="18"/>
          <w:color w:val="auto"/>
        </w:rPr>
        <w:t xml:space="preserve">As </w:t>
      </w:r>
      <w:r>
        <w:rPr>
          <w:rFonts w:ascii="Arial" w:cs="Arial" w:eastAsia="Arial" w:hAnsi="Arial"/>
          <w:sz w:val="18"/>
          <w:szCs w:val="18"/>
          <w:b w:val="1"/>
          <w:bCs w:val="1"/>
          <w:i w:val="1"/>
          <w:iCs w:val="1"/>
          <w:color w:val="auto"/>
        </w:rPr>
        <w:t>Bernard Gutmann</w:t>
      </w:r>
      <w:r>
        <w:rPr>
          <w:rFonts w:ascii="Arial" w:cs="Arial" w:eastAsia="Arial" w:hAnsi="Arial"/>
          <w:sz w:val="18"/>
          <w:szCs w:val="18"/>
          <w:color w:val="auto"/>
        </w:rPr>
        <w:t>, our former Executive Vice President, Chief Financial Officer and Treasurer, was no longer employed by the Company as of December 31, 2021, he would not be entitled to any payments upon a termination or in connection with a Change in Control as of such date.</w:t>
      </w:r>
    </w:p>
    <w:p>
      <w:pPr>
        <w:spacing w:after="0" w:line="166"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F75E14"/>
        </w:rPr>
        <w:t>ONSEMI 2021 PAY RATIO DISCLOSURE</w:t>
      </w:r>
    </w:p>
    <w:p>
      <w:pPr>
        <w:spacing w:after="0" w:line="226" w:lineRule="exact"/>
        <w:rPr>
          <w:sz w:val="20"/>
          <w:szCs w:val="20"/>
          <w:color w:val="auto"/>
        </w:rPr>
      </w:pPr>
    </w:p>
    <w:p>
      <w:pPr>
        <w:ind w:left="160"/>
        <w:spacing w:after="0"/>
        <w:rPr>
          <w:sz w:val="20"/>
          <w:szCs w:val="20"/>
          <w:color w:val="auto"/>
        </w:rPr>
      </w:pPr>
      <w:r>
        <w:rPr>
          <w:rFonts w:ascii="Arial" w:cs="Arial" w:eastAsia="Arial" w:hAnsi="Arial"/>
          <w:sz w:val="18"/>
          <w:szCs w:val="18"/>
          <w:color w:val="auto"/>
        </w:rPr>
        <w:t>For 2021, our last completed fiscal year:</w:t>
      </w:r>
    </w:p>
    <w:p>
      <w:pPr>
        <w:spacing w:after="0" w:line="234" w:lineRule="exact"/>
        <w:rPr>
          <w:sz w:val="20"/>
          <w:szCs w:val="20"/>
          <w:color w:val="auto"/>
        </w:rPr>
      </w:pPr>
    </w:p>
    <w:p>
      <w:pPr>
        <w:ind w:left="1020" w:hanging="425"/>
        <w:spacing w:after="0" w:line="243" w:lineRule="auto"/>
        <w:tabs>
          <w:tab w:leader="none" w:pos="10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median of the annual total compensation of all employees of our Company (other than Mr. El-Khoury, our CEO) was $17,475;</w:t>
      </w:r>
    </w:p>
    <w:p>
      <w:pPr>
        <w:ind w:left="1020" w:hanging="425"/>
        <w:spacing w:after="0" w:line="232" w:lineRule="auto"/>
        <w:tabs>
          <w:tab w:leader="none" w:pos="10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median of the annual total compensation of all U.S.-based non-manufacturing employees of our Company (other than Mr. El-Khoury, our CEO) was $185,424; and</w:t>
      </w:r>
    </w:p>
    <w:p>
      <w:pPr>
        <w:spacing w:after="0" w:line="1" w:lineRule="exact"/>
        <w:rPr>
          <w:rFonts w:ascii="Arial" w:cs="Arial" w:eastAsia="Arial" w:hAnsi="Arial"/>
          <w:sz w:val="18"/>
          <w:szCs w:val="18"/>
          <w:color w:val="auto"/>
        </w:rPr>
      </w:pPr>
    </w:p>
    <w:p>
      <w:pPr>
        <w:ind w:left="1020" w:hanging="425"/>
        <w:spacing w:after="0"/>
        <w:tabs>
          <w:tab w:leader="none" w:pos="10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annual total compensation of Mr. El-Khoury was $15,932,340.</w:t>
      </w:r>
    </w:p>
    <w:p>
      <w:pPr>
        <w:spacing w:after="0" w:line="190" w:lineRule="exact"/>
        <w:rPr>
          <w:sz w:val="20"/>
          <w:szCs w:val="20"/>
          <w:color w:val="auto"/>
        </w:rPr>
      </w:pPr>
    </w:p>
    <w:p>
      <w:pPr>
        <w:jc w:val="both"/>
        <w:ind w:left="160"/>
        <w:spacing w:after="0" w:line="249" w:lineRule="auto"/>
        <w:rPr>
          <w:sz w:val="20"/>
          <w:szCs w:val="20"/>
          <w:color w:val="auto"/>
        </w:rPr>
      </w:pPr>
      <w:r>
        <w:rPr>
          <w:rFonts w:ascii="Arial" w:cs="Arial" w:eastAsia="Arial" w:hAnsi="Arial"/>
          <w:sz w:val="18"/>
          <w:szCs w:val="18"/>
          <w:color w:val="auto"/>
        </w:rPr>
        <w:t>Based on this information, for 2021, the ratios of the annual total compensation of Mr. El-Khoury to each of the median of the annual total compensation of all employees and the median of the annual total compensation of all U.S.-based non-manufacturing employees were 912 to 1 and 86 to 1, respectively.</w:t>
      </w:r>
    </w:p>
    <w:p>
      <w:pPr>
        <w:spacing w:after="0" w:line="172" w:lineRule="exact"/>
        <w:rPr>
          <w:sz w:val="20"/>
          <w:szCs w:val="20"/>
          <w:color w:val="auto"/>
        </w:rPr>
      </w:pPr>
    </w:p>
    <w:p>
      <w:pPr>
        <w:jc w:val="both"/>
        <w:ind w:left="160"/>
        <w:spacing w:after="0" w:line="265" w:lineRule="auto"/>
        <w:rPr>
          <w:sz w:val="20"/>
          <w:szCs w:val="20"/>
          <w:color w:val="auto"/>
        </w:rPr>
      </w:pPr>
      <w:r>
        <w:rPr>
          <w:rFonts w:ascii="Arial" w:cs="Arial" w:eastAsia="Arial" w:hAnsi="Arial"/>
          <w:sz w:val="18"/>
          <w:szCs w:val="18"/>
          <w:color w:val="auto"/>
        </w:rPr>
        <w:t>The pay ratios included in this information are reasonable estimates calculated in a manner consistent with Item 402(u) of Regulation S-K (“Regulation S-K”) promulgated under the Securities Act of 1933, as amended. We describe the</w:t>
      </w:r>
    </w:p>
    <w:p>
      <w:pPr>
        <w:spacing w:after="0" w:line="101" w:lineRule="exact"/>
        <w:rPr>
          <w:sz w:val="20"/>
          <w:szCs w:val="20"/>
          <w:color w:val="auto"/>
        </w:rPr>
      </w:pPr>
    </w:p>
    <w:p>
      <w:pPr>
        <w:ind w:left="8820"/>
        <w:spacing w:after="0"/>
        <w:tabs>
          <w:tab w:leader="none" w:pos="10900" w:val="left"/>
        </w:tabs>
        <w:rPr>
          <w:sz w:val="20"/>
          <w:szCs w:val="20"/>
          <w:color w:val="auto"/>
        </w:rPr>
      </w:pPr>
      <w:r>
        <w:rPr>
          <w:rFonts w:ascii="Arial" w:cs="Arial" w:eastAsia="Arial" w:hAnsi="Arial"/>
          <w:sz w:val="14"/>
          <w:szCs w:val="14"/>
          <w:color w:val="F75E14"/>
        </w:rPr>
        <w:t>onsemi 2022 Proxy Statement</w:t>
        <w:tab/>
        <w:t>67</w:t>
      </w:r>
    </w:p>
    <w:p>
      <w:pPr>
        <w:sectPr>
          <w:pgSz w:w="11900" w:h="16838" w:orient="portrait"/>
          <w:cols w:equalWidth="0" w:num="1">
            <w:col w:w="11080"/>
          </w:cols>
          <w:pgMar w:left="320" w:top="454" w:right="499" w:bottom="1440" w:gutter="0" w:footer="0" w:header="0"/>
        </w:sectPr>
      </w:pPr>
    </w:p>
    <w:bookmarkStart w:id="71" w:name="page72"/>
    <w:bookmarkEnd w:id="7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2" w:lineRule="exact"/>
        <w:rPr>
          <w:sz w:val="20"/>
          <w:szCs w:val="20"/>
          <w:color w:val="auto"/>
        </w:rPr>
      </w:pPr>
    </w:p>
    <w:p>
      <w:pPr>
        <w:ind w:left="160"/>
        <w:spacing w:after="0"/>
        <w:rPr>
          <w:sz w:val="20"/>
          <w:szCs w:val="20"/>
          <w:color w:val="auto"/>
        </w:rPr>
      </w:pPr>
      <w:r>
        <w:rPr>
          <w:rFonts w:ascii="Arial" w:cs="Arial" w:eastAsia="Arial" w:hAnsi="Arial"/>
          <w:sz w:val="18"/>
          <w:szCs w:val="18"/>
          <w:color w:val="F75E14"/>
        </w:rPr>
        <w:t>onsemi 2021 Pay Ratio Disclosure</w:t>
      </w:r>
    </w:p>
    <w:p>
      <w:pPr>
        <w:spacing w:after="0" w:line="141" w:lineRule="exact"/>
        <w:rPr>
          <w:sz w:val="20"/>
          <w:szCs w:val="20"/>
          <w:color w:val="auto"/>
        </w:rPr>
      </w:pPr>
    </w:p>
    <w:p>
      <w:pPr>
        <w:jc w:val="both"/>
        <w:ind w:left="160"/>
        <w:spacing w:after="0" w:line="237" w:lineRule="auto"/>
        <w:rPr>
          <w:sz w:val="20"/>
          <w:szCs w:val="20"/>
          <w:color w:val="auto"/>
        </w:rPr>
      </w:pPr>
      <w:r>
        <w:rPr>
          <w:rFonts w:ascii="Arial" w:cs="Arial" w:eastAsia="Arial" w:hAnsi="Arial"/>
          <w:sz w:val="18"/>
          <w:szCs w:val="18"/>
          <w:color w:val="auto"/>
        </w:rPr>
        <w:t>methodology and the material assumptions, adjustments and estimates that we used to calculate the total compensation of our CEO for 2021, to identify the median of each of the annual total compensation of all of our employees and the annual total compensation of all of our U.S.-based non-manufacturing employees and to determine the annual total compensation of each of the “median employee” and “median U.S. non-manufacturing employee” below. Because SEC rules for identifying the median employee and calculating the pay ratio based on that employee’s annual total compensation allow companies to adopt a variety of methodologies, to apply certain exclusions and to make reasonable estimates and assumptions that reflect their compensation practices, the pay ratio reported by other companies may not be comparable to the pay ratio reported above, as other companies may have different employment and compensation practices and may utilize different methodologies, exclusions, estimates and assumptions in calculating their own pay ratios.</w:t>
      </w:r>
    </w:p>
    <w:p>
      <w:pPr>
        <w:spacing w:after="0" w:line="184" w:lineRule="exact"/>
        <w:rPr>
          <w:sz w:val="20"/>
          <w:szCs w:val="20"/>
          <w:color w:val="auto"/>
        </w:rPr>
      </w:pPr>
    </w:p>
    <w:p>
      <w:pPr>
        <w:jc w:val="both"/>
        <w:ind w:left="160"/>
        <w:spacing w:after="0" w:line="243" w:lineRule="auto"/>
        <w:rPr>
          <w:sz w:val="20"/>
          <w:szCs w:val="20"/>
          <w:color w:val="auto"/>
        </w:rPr>
      </w:pPr>
      <w:r>
        <w:rPr>
          <w:rFonts w:ascii="Arial" w:cs="Arial" w:eastAsia="Arial" w:hAnsi="Arial"/>
          <w:sz w:val="18"/>
          <w:szCs w:val="18"/>
          <w:color w:val="auto"/>
        </w:rPr>
        <w:t>During the fiscal year ended December 31, 2021, there was no change in our employee population or employee compensation arrangements that we believe would significantly impact the pay ratio disclosure. That being said, the median employee identified for purposes of calculating the pay ratio for the year ended December 31, 2020 no longer works for the Company. Accordingly, for purposes of calculating the 2021 pay ratio, we used a new median employee identified using the same methodology as in the prior year.</w:t>
      </w:r>
    </w:p>
    <w:p>
      <w:pPr>
        <w:spacing w:after="0" w:line="71" w:lineRule="exact"/>
        <w:rPr>
          <w:sz w:val="20"/>
          <w:szCs w:val="20"/>
          <w:color w:val="auto"/>
        </w:rPr>
      </w:pPr>
    </w:p>
    <w:p>
      <w:pPr>
        <w:jc w:val="both"/>
        <w:ind w:left="160"/>
        <w:spacing w:after="0" w:line="235" w:lineRule="auto"/>
        <w:rPr>
          <w:sz w:val="20"/>
          <w:szCs w:val="20"/>
          <w:color w:val="auto"/>
        </w:rPr>
      </w:pPr>
      <w:r>
        <w:rPr>
          <w:rFonts w:ascii="Arial" w:cs="Arial" w:eastAsia="Arial" w:hAnsi="Arial"/>
          <w:sz w:val="18"/>
          <w:szCs w:val="18"/>
          <w:color w:val="auto"/>
        </w:rPr>
        <w:t>For purposes of identifying each of our median employee and our median U.S. non-manufacturing employee (the “Median Employees”), we used our global employee population as of October 31, 2021, identified based on our human resources system of record. To identify the Median Employees from our employee population, we utilized a compensation measure consisting of base pay, overtime pay and short-term incentive compensation, which includes all commissions and bonuses (“Cash Compensation”). We did not annualize the compensation of permanent employees included in the sample who were hired in 2021 but did not work for us or our consolidated subsidiaries for the entire fiscal year. We also utilized the Company’s calculated corporate treasury exchange rate for January 2022 to convert pay received by our international employees to U.S. dollars, but we did not make any cost-of-living adjustments in identifying the Median Employees. We determined that annual equity awards, which are not widely distributed to our employees, and certain employee allowances, which are not uniformly distributed across our employee population, do not reasonably reflect the annual compensation of our employees, and therefore excluded such compensation from Cash Compensation. We identified and calculated the elements of the Median Employees’ total compensation for the 2021 fiscal year in accordance with the requirements of Item 402(c)(2)(x) of Regulation S-K. Using this methodology, for purposes of 2021 compensation, we determined that the “median employee” was a full-time operator located in China and the “median U.S. non-manufacturing employee” was a product marketing engineer located in Phoenix, Arizona.</w:t>
      </w:r>
    </w:p>
    <w:p>
      <w:pPr>
        <w:spacing w:after="0" w:line="182"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F75E14"/>
        </w:rPr>
        <w:t>HEDGING RESTRICTIONS</w:t>
      </w:r>
    </w:p>
    <w:p>
      <w:pPr>
        <w:spacing w:after="0" w:line="30" w:lineRule="exact"/>
        <w:rPr>
          <w:sz w:val="20"/>
          <w:szCs w:val="20"/>
          <w:color w:val="auto"/>
        </w:rPr>
      </w:pPr>
    </w:p>
    <w:p>
      <w:pPr>
        <w:jc w:val="both"/>
        <w:ind w:left="160"/>
        <w:spacing w:after="0" w:line="234" w:lineRule="auto"/>
        <w:rPr>
          <w:sz w:val="20"/>
          <w:szCs w:val="20"/>
          <w:color w:val="auto"/>
        </w:rPr>
      </w:pPr>
      <w:r>
        <w:rPr>
          <w:rFonts w:ascii="Arial" w:cs="Arial" w:eastAsia="Arial" w:hAnsi="Arial"/>
          <w:sz w:val="18"/>
          <w:szCs w:val="18"/>
          <w:color w:val="auto"/>
        </w:rPr>
        <w:t>Under the Insider Trading Policy, officers, Directors and certain other specified key employees who have regular access to financial or other material information about the Company prior to the time the information is disclosed to the public (the “</w:t>
      </w:r>
      <w:r>
        <w:rPr>
          <w:rFonts w:ascii="Arial" w:cs="Arial" w:eastAsia="Arial" w:hAnsi="Arial"/>
          <w:sz w:val="18"/>
          <w:szCs w:val="18"/>
          <w:b w:val="1"/>
          <w:bCs w:val="1"/>
          <w:color w:val="auto"/>
        </w:rPr>
        <w:t>onsemi</w:t>
      </w:r>
      <w:r>
        <w:rPr>
          <w:rFonts w:ascii="Arial" w:cs="Arial" w:eastAsia="Arial" w:hAnsi="Arial"/>
          <w:sz w:val="18"/>
          <w:szCs w:val="18"/>
          <w:color w:val="auto"/>
        </w:rPr>
        <w:t xml:space="preserve"> Insiders”) may not engage in short sales of Company securities or buy or sell financial instruments, including, without limitation, puts, calls or other derivatives of Company securities, prepaid variable forwards, equity swaps, collars and exchange funds, or otherwise engage in hedging or monetization transactions, in any such case that hedge or offset, or are designed to hedge or offset, any decrease in the market value of Company securities or that otherwise have economic consequences comparable to the same. The </w:t>
      </w:r>
      <w:r>
        <w:rPr>
          <w:rFonts w:ascii="Arial" w:cs="Arial" w:eastAsia="Arial" w:hAnsi="Arial"/>
          <w:sz w:val="18"/>
          <w:szCs w:val="18"/>
          <w:b w:val="1"/>
          <w:bCs w:val="1"/>
          <w:color w:val="auto"/>
        </w:rPr>
        <w:t>onsemi</w:t>
      </w:r>
      <w:r>
        <w:rPr>
          <w:rFonts w:ascii="Arial" w:cs="Arial" w:eastAsia="Arial" w:hAnsi="Arial"/>
          <w:sz w:val="18"/>
          <w:szCs w:val="18"/>
          <w:color w:val="auto"/>
        </w:rPr>
        <w:t xml:space="preserve"> Insiders are also prohibited from holding Company securities in a margin account or otherwise pledging Company securities as collateral for a loan. Each </w:t>
      </w:r>
      <w:r>
        <w:rPr>
          <w:rFonts w:ascii="Arial" w:cs="Arial" w:eastAsia="Arial" w:hAnsi="Arial"/>
          <w:sz w:val="18"/>
          <w:szCs w:val="18"/>
          <w:b w:val="1"/>
          <w:bCs w:val="1"/>
          <w:color w:val="auto"/>
        </w:rPr>
        <w:t>onsemi</w:t>
      </w:r>
      <w:r>
        <w:rPr>
          <w:rFonts w:ascii="Arial" w:cs="Arial" w:eastAsia="Arial" w:hAnsi="Arial"/>
          <w:sz w:val="18"/>
          <w:szCs w:val="18"/>
          <w:color w:val="auto"/>
        </w:rPr>
        <w:t xml:space="preserve"> Insider is also responsible for transactions of specified family members and controlled entities and such transactions are subject to the same restrictions as if entered into for the account of the </w:t>
      </w:r>
      <w:r>
        <w:rPr>
          <w:rFonts w:ascii="Arial" w:cs="Arial" w:eastAsia="Arial" w:hAnsi="Arial"/>
          <w:sz w:val="18"/>
          <w:szCs w:val="18"/>
          <w:b w:val="1"/>
          <w:bCs w:val="1"/>
          <w:color w:val="auto"/>
        </w:rPr>
        <w:t>onsemi</w:t>
      </w:r>
      <w:r>
        <w:rPr>
          <w:rFonts w:ascii="Arial" w:cs="Arial" w:eastAsia="Arial" w:hAnsi="Arial"/>
          <w:sz w:val="18"/>
          <w:szCs w:val="18"/>
          <w:color w:val="auto"/>
        </w:rPr>
        <w:t xml:space="preserve"> Insider. All other employees who are not </w:t>
      </w:r>
      <w:r>
        <w:rPr>
          <w:rFonts w:ascii="Arial" w:cs="Arial" w:eastAsia="Arial" w:hAnsi="Arial"/>
          <w:sz w:val="18"/>
          <w:szCs w:val="18"/>
          <w:b w:val="1"/>
          <w:bCs w:val="1"/>
          <w:color w:val="auto"/>
        </w:rPr>
        <w:t>onsemi</w:t>
      </w:r>
      <w:r>
        <w:rPr>
          <w:rFonts w:ascii="Arial" w:cs="Arial" w:eastAsia="Arial" w:hAnsi="Arial"/>
          <w:sz w:val="18"/>
          <w:szCs w:val="18"/>
          <w:color w:val="auto"/>
        </w:rPr>
        <w:t xml:space="preserve"> Insiders are also encouraged to adhere to these special rules.</w:t>
      </w:r>
    </w:p>
    <w:p>
      <w:pPr>
        <w:spacing w:after="0" w:line="178" w:lineRule="exact"/>
        <w:rPr>
          <w:sz w:val="20"/>
          <w:szCs w:val="20"/>
          <w:color w:val="auto"/>
        </w:rPr>
      </w:pPr>
    </w:p>
    <w:p>
      <w:pPr>
        <w:ind w:left="160" w:right="1200"/>
        <w:spacing w:after="0" w:line="255" w:lineRule="auto"/>
        <w:rPr>
          <w:sz w:val="20"/>
          <w:szCs w:val="20"/>
          <w:color w:val="auto"/>
        </w:rPr>
      </w:pPr>
      <w:r>
        <w:rPr>
          <w:rFonts w:ascii="Arial" w:cs="Arial" w:eastAsia="Arial" w:hAnsi="Arial"/>
          <w:sz w:val="25"/>
          <w:szCs w:val="25"/>
          <w:b w:val="1"/>
          <w:bCs w:val="1"/>
          <w:color w:val="F75E14"/>
        </w:rPr>
        <w:t>HUMAN CAPITAL AND COMPENSATION COMMITTEE INTERLOCKS AND INSIDER PARTICIPATION</w:t>
      </w:r>
    </w:p>
    <w:p>
      <w:pPr>
        <w:spacing w:after="0" w:line="1" w:lineRule="exact"/>
        <w:rPr>
          <w:sz w:val="20"/>
          <w:szCs w:val="20"/>
          <w:color w:val="auto"/>
        </w:rPr>
      </w:pPr>
    </w:p>
    <w:p>
      <w:pPr>
        <w:jc w:val="both"/>
        <w:ind w:left="160"/>
        <w:spacing w:after="0" w:line="235" w:lineRule="auto"/>
        <w:rPr>
          <w:sz w:val="20"/>
          <w:szCs w:val="20"/>
          <w:color w:val="auto"/>
        </w:rPr>
      </w:pPr>
      <w:r>
        <w:rPr>
          <w:rFonts w:ascii="Arial" w:cs="Arial" w:eastAsia="Arial" w:hAnsi="Arial"/>
          <w:sz w:val="18"/>
          <w:szCs w:val="18"/>
          <w:color w:val="auto"/>
        </w:rPr>
        <w:t>The members of the HCC Committee during the 2021 fiscal year were Gilles Delfassy, Paul A. Mascarenas, Christine Y. Yan and Gregory L. Waters. None of the members of the HCC Committee during 2021 is, nor has any such member been, an officer or employee of the Company or any of its subsidiaries. During the 2021 fiscal year, none of the members of the HCC Committee had any relationship requiring disclosure under Item 404 of Regulation S-K. During the 2021 fiscal year, none of our executive officers served on the board of directors or compensation committee of any other entity that had one or more of its executive officers serving on our Board or HCC Committee. None of our current or past executive officers has served on the HCC Committee.</w:t>
      </w:r>
    </w:p>
    <w:p>
      <w:pPr>
        <w:spacing w:after="0" w:line="126" w:lineRule="exact"/>
        <w:rPr>
          <w:sz w:val="20"/>
          <w:szCs w:val="20"/>
          <w:color w:val="auto"/>
        </w:rPr>
      </w:pPr>
    </w:p>
    <w:p>
      <w:pPr>
        <w:ind w:left="160"/>
        <w:spacing w:after="0"/>
        <w:tabs>
          <w:tab w:leader="none" w:pos="500" w:val="left"/>
        </w:tabs>
        <w:rPr>
          <w:sz w:val="20"/>
          <w:szCs w:val="20"/>
          <w:color w:val="auto"/>
        </w:rPr>
      </w:pPr>
      <w:r>
        <w:rPr>
          <w:rFonts w:ascii="Arial" w:cs="Arial" w:eastAsia="Arial" w:hAnsi="Arial"/>
          <w:sz w:val="14"/>
          <w:szCs w:val="14"/>
          <w:color w:val="F75E14"/>
        </w:rPr>
        <w:t>68</w:t>
        <w:tab/>
        <w:t>onsemi 2022 Proxy Statement</w:t>
      </w:r>
    </w:p>
    <w:p>
      <w:pPr>
        <w:sectPr>
          <w:pgSz w:w="11900" w:h="16838" w:orient="portrait"/>
          <w:cols w:equalWidth="0" w:num="1">
            <w:col w:w="11080"/>
          </w:cols>
          <w:pgMar w:left="320" w:top="454" w:right="499" w:bottom="1440" w:gutter="0" w:footer="0" w:header="0"/>
        </w:sectPr>
      </w:pPr>
    </w:p>
    <w:bookmarkStart w:id="72" w:name="page73"/>
    <w:bookmarkEnd w:id="7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44"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F75E14"/>
        </w:rPr>
        <w:t>AUDIT COMMITTEE REPORT</w:t>
      </w:r>
    </w:p>
    <w:p>
      <w:pPr>
        <w:spacing w:after="0" w:line="30" w:lineRule="exact"/>
        <w:rPr>
          <w:sz w:val="20"/>
          <w:szCs w:val="20"/>
          <w:color w:val="auto"/>
        </w:rPr>
      </w:pPr>
    </w:p>
    <w:p>
      <w:pPr>
        <w:jc w:val="both"/>
        <w:ind w:left="160"/>
        <w:spacing w:after="0" w:line="235" w:lineRule="auto"/>
        <w:rPr>
          <w:sz w:val="20"/>
          <w:szCs w:val="20"/>
          <w:color w:val="auto"/>
        </w:rPr>
      </w:pPr>
      <w:r>
        <w:rPr>
          <w:rFonts w:ascii="Arial" w:cs="Arial" w:eastAsia="Arial" w:hAnsi="Arial"/>
          <w:sz w:val="18"/>
          <w:szCs w:val="18"/>
          <w:color w:val="auto"/>
        </w:rPr>
        <w:t>The Audit Committee is responsible for monitoring the integrity of the Company’s consolidated financial statements, the Company’s compliance with legal and regulatory requirements, the Company’s system of disclosure controls and procedures that may have a material impact on the financial statements of the Company (including internal control over financial reporting) and the qualifications, independence and performance of its independent registered public accounting firm. It has the sole authority and responsibility to select, oversee and, when appropriate, replace the Company’s independent registered public accounting firm. The Audit Committee meets periodically with the internal auditors and independent registered public accounting firm, with and without management present, to discuss the results of their examinations, their evaluations of our disclosure controls and procedures (including internal control over financial reporting) and the overall quality of our financial reporting.</w:t>
      </w:r>
    </w:p>
    <w:p>
      <w:pPr>
        <w:spacing w:after="0" w:line="17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Audit Committee, comprised at the time of four independent Outside Directors and operating under its written charter, has:</w:t>
      </w:r>
    </w:p>
    <w:p>
      <w:pPr>
        <w:spacing w:after="0" w:line="12" w:lineRule="exact"/>
        <w:rPr>
          <w:sz w:val="20"/>
          <w:szCs w:val="20"/>
          <w:color w:val="auto"/>
        </w:rPr>
      </w:pPr>
    </w:p>
    <w:p>
      <w:pPr>
        <w:jc w:val="both"/>
        <w:ind w:left="160" w:firstLine="7"/>
        <w:spacing w:after="0" w:line="234" w:lineRule="auto"/>
        <w:tabs>
          <w:tab w:leader="none" w:pos="384" w:val="left"/>
        </w:tabs>
        <w:numPr>
          <w:ilvl w:val="0"/>
          <w:numId w:val="94"/>
        </w:numPr>
        <w:rPr>
          <w:rFonts w:ascii="Arial" w:cs="Arial" w:eastAsia="Arial" w:hAnsi="Arial"/>
          <w:sz w:val="18"/>
          <w:szCs w:val="18"/>
          <w:color w:val="auto"/>
        </w:rPr>
      </w:pPr>
      <w:r>
        <w:rPr>
          <w:rFonts w:ascii="Arial" w:cs="Arial" w:eastAsia="Arial" w:hAnsi="Arial"/>
          <w:sz w:val="18"/>
          <w:szCs w:val="18"/>
          <w:color w:val="auto"/>
        </w:rPr>
        <w:t>reviewed and discussed the audited financial statements with our management; (ii) discussed with our independent registered public accounting firm the matters required to be discussed by the applicable requirements of the PCAOB and the SEC; (iii) received and reviewed the written disclosures and the letter from our independent registered public accounting firm required by applicable requirements of the PCAOB regarding the independent registered public accounting firm’s communications with the Audit Committee concerning independence; (iv) discussed with the independent registered public accounting firm such independent registered public accounting firm’s independence; and (v) discussed with management critical accounting policies and the processes and controls related to the President and CEO and the CFO financial reporting certifications required by the SEC and the Sarbanes-Oxley Act of 2002 to accompany the Company’s periodic filings with the SEC. Based on its review and discussions listed above, as well as such other matters deemed relevant and appropriate by it, the Audit Committee recommended to the Board of Directors that the audited financial statements be included in the Form 10-K.</w:t>
      </w:r>
    </w:p>
    <w:p>
      <w:pPr>
        <w:spacing w:after="0" w:line="184" w:lineRule="exact"/>
        <w:rPr>
          <w:sz w:val="20"/>
          <w:szCs w:val="20"/>
          <w:color w:val="auto"/>
        </w:rPr>
      </w:pPr>
    </w:p>
    <w:p>
      <w:pPr>
        <w:jc w:val="both"/>
        <w:ind w:left="160"/>
        <w:spacing w:after="0"/>
        <w:rPr>
          <w:sz w:val="20"/>
          <w:szCs w:val="20"/>
          <w:color w:val="auto"/>
        </w:rPr>
      </w:pPr>
      <w:r>
        <w:rPr>
          <w:rFonts w:ascii="Arial" w:cs="Arial" w:eastAsia="Arial" w:hAnsi="Arial"/>
          <w:sz w:val="18"/>
          <w:szCs w:val="18"/>
          <w:color w:val="auto"/>
        </w:rPr>
        <w:t>It is not the duty of the Audit Committee to determine that the Company’s financial statements and disclosures are complete and accurate and in accordance with GAAP or to plan or conduct audits. Those are the responsibilities of management and the Company’s independent registered public accounting firm. In giving its recommendation to the Board, the Audit Committee has relied on: (i) management’s representation that such financial statements have been prepared with integrity and objectivity and in conformity with GAAP; and (ii) the report of the Company’s independent registered public accounting firm with respect to such financial statements.</w:t>
      </w:r>
    </w:p>
    <w:p>
      <w:pPr>
        <w:spacing w:after="0" w:line="182"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This report is submitted by the Audit Committee.</w:t>
      </w:r>
    </w:p>
    <w:p>
      <w:pPr>
        <w:spacing w:after="0" w:line="20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Susan K. Carter</w:t>
      </w:r>
    </w:p>
    <w:p>
      <w:pPr>
        <w:spacing w:after="0" w:line="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Atsushi Abe</w:t>
      </w:r>
    </w:p>
    <w:p>
      <w:pPr>
        <w:ind w:left="560"/>
        <w:spacing w:after="0" w:line="232" w:lineRule="auto"/>
        <w:rPr>
          <w:sz w:val="20"/>
          <w:szCs w:val="20"/>
          <w:color w:val="auto"/>
        </w:rPr>
      </w:pPr>
      <w:r>
        <w:rPr>
          <w:rFonts w:ascii="Arial" w:cs="Arial" w:eastAsia="Arial" w:hAnsi="Arial"/>
          <w:sz w:val="18"/>
          <w:szCs w:val="18"/>
          <w:color w:val="auto"/>
        </w:rPr>
        <w:t>Alan Campbell</w:t>
      </w:r>
    </w:p>
    <w:p>
      <w:pPr>
        <w:spacing w:after="0" w:line="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Bruce E. Kiddoo</w:t>
      </w:r>
    </w:p>
    <w:p>
      <w:pPr>
        <w:spacing w:after="0" w:line="132"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color w:val="F75E14"/>
        </w:rPr>
        <w:t>onsemi 2022 Proxy Statement</w:t>
        <w:tab/>
        <w:t>69</w:t>
      </w:r>
    </w:p>
    <w:p>
      <w:pPr>
        <w:sectPr>
          <w:pgSz w:w="11900" w:h="16838" w:orient="portrait"/>
          <w:cols w:equalWidth="0" w:num="1">
            <w:col w:w="11080"/>
          </w:cols>
          <w:pgMar w:left="320" w:top="454" w:right="499" w:bottom="1440" w:gutter="0" w:footer="0" w:header="0"/>
        </w:sectPr>
      </w:pPr>
    </w:p>
    <w:bookmarkStart w:id="73" w:name="page74"/>
    <w:bookmarkEnd w:id="7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6"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F75E14"/>
        </w:rPr>
        <w:t>PRINCIPAL STOCKHOLDERS</w:t>
      </w:r>
    </w:p>
    <w:p>
      <w:pPr>
        <w:spacing w:after="0" w:line="30" w:lineRule="exact"/>
        <w:rPr>
          <w:sz w:val="20"/>
          <w:szCs w:val="20"/>
          <w:color w:val="auto"/>
        </w:rPr>
      </w:pPr>
    </w:p>
    <w:p>
      <w:pPr>
        <w:jc w:val="both"/>
        <w:ind w:left="160"/>
        <w:spacing w:after="0" w:line="236" w:lineRule="auto"/>
        <w:rPr>
          <w:sz w:val="20"/>
          <w:szCs w:val="20"/>
          <w:color w:val="auto"/>
        </w:rPr>
      </w:pPr>
      <w:r>
        <w:rPr>
          <w:rFonts w:ascii="Arial" w:cs="Arial" w:eastAsia="Arial" w:hAnsi="Arial"/>
          <w:sz w:val="18"/>
          <w:szCs w:val="18"/>
          <w:color w:val="auto"/>
        </w:rPr>
        <w:t>Except as discussed in the footnotes below, the following table sets forth, as of December 31, 2021, certain information regarding any person who is a beneficial owner of more than 5% of our common stock. The percentages of class amounts set forth in the table below are based on 432,472,818 shares of common stock outstanding on December 31, 2021. The information with respect to the number of shares of common stock that the persons listed below beneficially own includes sole or shared voting power or investment power and is based solely on the information most recently filed by such persons with the SEC under the Exchange Act.</w:t>
      </w:r>
    </w:p>
    <w:p>
      <w:pPr>
        <w:spacing w:after="0" w:line="227" w:lineRule="exact"/>
        <w:rPr>
          <w:sz w:val="20"/>
          <w:szCs w:val="20"/>
          <w:color w:val="auto"/>
        </w:rPr>
      </w:pPr>
    </w:p>
    <w:tbl>
      <w:tblPr>
        <w:tblLayout w:type="fixed"/>
        <w:tblInd w:w="160" w:type="dxa"/>
        <w:tblCellMar>
          <w:top w:w="0" w:type="dxa"/>
          <w:left w:w="0" w:type="dxa"/>
          <w:bottom w:w="0" w:type="dxa"/>
          <w:right w:w="0" w:type="dxa"/>
        </w:tblCellMar>
      </w:tblPr>
      <w:tr>
        <w:trPr>
          <w:trHeight w:val="274"/>
        </w:trPr>
        <w:tc>
          <w:tcPr>
            <w:tcW w:w="6380" w:type="dxa"/>
            <w:vAlign w:val="bottom"/>
            <w:shd w:val="clear" w:color="auto" w:fill="F75E14"/>
          </w:tcPr>
          <w:p>
            <w:pPr>
              <w:spacing w:after="0"/>
              <w:rPr>
                <w:sz w:val="23"/>
                <w:szCs w:val="23"/>
                <w:color w:val="auto"/>
              </w:rPr>
            </w:pPr>
          </w:p>
        </w:tc>
        <w:tc>
          <w:tcPr>
            <w:tcW w:w="4540" w:type="dxa"/>
            <w:vAlign w:val="bottom"/>
            <w:gridSpan w:val="2"/>
            <w:shd w:val="clear" w:color="auto" w:fill="F75E14"/>
          </w:tcPr>
          <w:p>
            <w:pPr>
              <w:ind w:left="1480"/>
              <w:spacing w:after="0"/>
              <w:rPr>
                <w:sz w:val="20"/>
                <w:szCs w:val="20"/>
                <w:color w:val="auto"/>
              </w:rPr>
            </w:pPr>
            <w:r>
              <w:rPr>
                <w:rFonts w:ascii="Arial" w:cs="Arial" w:eastAsia="Arial" w:hAnsi="Arial"/>
                <w:sz w:val="16"/>
                <w:szCs w:val="16"/>
                <w:b w:val="1"/>
                <w:bCs w:val="1"/>
                <w:color w:val="FFFFFF"/>
              </w:rPr>
              <w:t>Common Stock</w:t>
            </w:r>
          </w:p>
        </w:tc>
      </w:tr>
      <w:tr>
        <w:trPr>
          <w:trHeight w:val="247"/>
        </w:trPr>
        <w:tc>
          <w:tcPr>
            <w:tcW w:w="6380" w:type="dxa"/>
            <w:vAlign w:val="bottom"/>
            <w:shd w:val="clear" w:color="auto" w:fill="F75E14"/>
          </w:tcPr>
          <w:p>
            <w:pPr>
              <w:spacing w:after="0"/>
              <w:rPr>
                <w:sz w:val="21"/>
                <w:szCs w:val="21"/>
                <w:color w:val="auto"/>
              </w:rPr>
            </w:pPr>
          </w:p>
        </w:tc>
        <w:tc>
          <w:tcPr>
            <w:tcW w:w="2140" w:type="dxa"/>
            <w:vAlign w:val="bottom"/>
            <w:shd w:val="clear" w:color="auto" w:fill="F75E14"/>
          </w:tcPr>
          <w:p>
            <w:pPr>
              <w:jc w:val="center"/>
              <w:ind w:left="60"/>
              <w:spacing w:after="0"/>
              <w:rPr>
                <w:sz w:val="20"/>
                <w:szCs w:val="20"/>
                <w:color w:val="auto"/>
              </w:rPr>
            </w:pPr>
            <w:r>
              <w:rPr>
                <w:rFonts w:ascii="Arial" w:cs="Arial" w:eastAsia="Arial" w:hAnsi="Arial"/>
                <w:sz w:val="16"/>
                <w:szCs w:val="16"/>
                <w:b w:val="1"/>
                <w:bCs w:val="1"/>
                <w:color w:val="FFFFFF"/>
                <w:w w:val="99"/>
              </w:rPr>
              <w:t>Amount and Nature of</w:t>
            </w:r>
          </w:p>
        </w:tc>
        <w:tc>
          <w:tcPr>
            <w:tcW w:w="2400" w:type="dxa"/>
            <w:vAlign w:val="bottom"/>
            <w:shd w:val="clear" w:color="auto" w:fill="F75E14"/>
          </w:tcPr>
          <w:p>
            <w:pPr>
              <w:spacing w:after="0"/>
              <w:rPr>
                <w:sz w:val="21"/>
                <w:szCs w:val="21"/>
                <w:color w:val="auto"/>
              </w:rPr>
            </w:pPr>
          </w:p>
        </w:tc>
      </w:tr>
      <w:tr>
        <w:trPr>
          <w:trHeight w:val="248"/>
        </w:trPr>
        <w:tc>
          <w:tcPr>
            <w:tcW w:w="6380" w:type="dxa"/>
            <w:vAlign w:val="bottom"/>
            <w:tcBorders>
              <w:bottom w:val="single" w:sz="8" w:color="F75E14"/>
            </w:tcBorders>
            <w:shd w:val="clear" w:color="auto" w:fill="F75E14"/>
          </w:tcPr>
          <w:p>
            <w:pPr>
              <w:ind w:left="60"/>
              <w:spacing w:after="0"/>
              <w:rPr>
                <w:sz w:val="20"/>
                <w:szCs w:val="20"/>
                <w:color w:val="auto"/>
              </w:rPr>
            </w:pPr>
            <w:r>
              <w:rPr>
                <w:rFonts w:ascii="Arial" w:cs="Arial" w:eastAsia="Arial" w:hAnsi="Arial"/>
                <w:sz w:val="16"/>
                <w:szCs w:val="16"/>
                <w:b w:val="1"/>
                <w:bCs w:val="1"/>
                <w:color w:val="FFFFFF"/>
              </w:rPr>
              <w:t>Name and Address of Beneficial Owner</w:t>
            </w:r>
          </w:p>
        </w:tc>
        <w:tc>
          <w:tcPr>
            <w:tcW w:w="2140" w:type="dxa"/>
            <w:vAlign w:val="bottom"/>
            <w:tcBorders>
              <w:bottom w:val="single" w:sz="8" w:color="F75E14"/>
            </w:tcBorders>
            <w:shd w:val="clear" w:color="auto" w:fill="F75E14"/>
          </w:tcPr>
          <w:p>
            <w:pPr>
              <w:jc w:val="center"/>
              <w:ind w:left="60"/>
              <w:spacing w:after="0"/>
              <w:rPr>
                <w:sz w:val="20"/>
                <w:szCs w:val="20"/>
                <w:color w:val="auto"/>
              </w:rPr>
            </w:pPr>
            <w:r>
              <w:rPr>
                <w:rFonts w:ascii="Arial" w:cs="Arial" w:eastAsia="Arial" w:hAnsi="Arial"/>
                <w:sz w:val="16"/>
                <w:szCs w:val="16"/>
                <w:b w:val="1"/>
                <w:bCs w:val="1"/>
                <w:color w:val="FFFFFF"/>
              </w:rPr>
              <w:t>Beneficial Ownership</w:t>
            </w:r>
          </w:p>
        </w:tc>
        <w:tc>
          <w:tcPr>
            <w:tcW w:w="2400" w:type="dxa"/>
            <w:vAlign w:val="bottom"/>
            <w:tcBorders>
              <w:bottom w:val="single" w:sz="8" w:color="F75E14"/>
            </w:tcBorders>
            <w:shd w:val="clear" w:color="auto" w:fill="F75E14"/>
          </w:tcPr>
          <w:p>
            <w:pPr>
              <w:ind w:left="140"/>
              <w:spacing w:after="0"/>
              <w:rPr>
                <w:sz w:val="20"/>
                <w:szCs w:val="20"/>
                <w:color w:val="auto"/>
              </w:rPr>
            </w:pPr>
            <w:r>
              <w:rPr>
                <w:rFonts w:ascii="Arial" w:cs="Arial" w:eastAsia="Arial" w:hAnsi="Arial"/>
                <w:sz w:val="16"/>
                <w:szCs w:val="16"/>
                <w:b w:val="1"/>
                <w:bCs w:val="1"/>
                <w:color w:val="FFFFFF"/>
              </w:rPr>
              <w:t>Percentage of Class</w:t>
            </w:r>
          </w:p>
        </w:tc>
      </w:tr>
      <w:tr>
        <w:trPr>
          <w:trHeight w:val="240"/>
        </w:trPr>
        <w:tc>
          <w:tcPr>
            <w:tcW w:w="6380" w:type="dxa"/>
            <w:vAlign w:val="bottom"/>
            <w:shd w:val="clear" w:color="auto" w:fill="D8E8EF"/>
          </w:tcPr>
          <w:p>
            <w:pPr>
              <w:ind w:left="60"/>
              <w:spacing w:after="0"/>
              <w:rPr>
                <w:sz w:val="20"/>
                <w:szCs w:val="20"/>
                <w:color w:val="auto"/>
              </w:rPr>
            </w:pPr>
            <w:r>
              <w:rPr>
                <w:rFonts w:ascii="Arial" w:cs="Arial" w:eastAsia="Arial" w:hAnsi="Arial"/>
                <w:sz w:val="16"/>
                <w:szCs w:val="16"/>
                <w:color w:val="auto"/>
              </w:rPr>
              <w:t>BlackRock, Inc.</w:t>
            </w:r>
          </w:p>
        </w:tc>
        <w:tc>
          <w:tcPr>
            <w:tcW w:w="2140" w:type="dxa"/>
            <w:vAlign w:val="bottom"/>
            <w:shd w:val="clear" w:color="auto" w:fill="D8E8EF"/>
          </w:tcPr>
          <w:p>
            <w:pPr>
              <w:spacing w:after="0"/>
              <w:rPr>
                <w:sz w:val="20"/>
                <w:szCs w:val="20"/>
                <w:color w:val="auto"/>
              </w:rPr>
            </w:pPr>
          </w:p>
        </w:tc>
        <w:tc>
          <w:tcPr>
            <w:tcW w:w="2400" w:type="dxa"/>
            <w:vAlign w:val="bottom"/>
            <w:shd w:val="clear" w:color="auto" w:fill="D8E8EF"/>
          </w:tcPr>
          <w:p>
            <w:pPr>
              <w:spacing w:after="0"/>
              <w:rPr>
                <w:sz w:val="20"/>
                <w:szCs w:val="20"/>
                <w:color w:val="auto"/>
              </w:rPr>
            </w:pPr>
          </w:p>
        </w:tc>
      </w:tr>
      <w:tr>
        <w:trPr>
          <w:trHeight w:val="187"/>
        </w:trPr>
        <w:tc>
          <w:tcPr>
            <w:tcW w:w="6380" w:type="dxa"/>
            <w:vAlign w:val="bottom"/>
            <w:shd w:val="clear" w:color="auto" w:fill="D8E8EF"/>
          </w:tcPr>
          <w:p>
            <w:pPr>
              <w:ind w:left="60"/>
              <w:spacing w:after="0"/>
              <w:rPr>
                <w:sz w:val="20"/>
                <w:szCs w:val="20"/>
                <w:color w:val="auto"/>
              </w:rPr>
            </w:pPr>
            <w:r>
              <w:rPr>
                <w:rFonts w:ascii="Arial" w:cs="Arial" w:eastAsia="Arial" w:hAnsi="Arial"/>
                <w:sz w:val="16"/>
                <w:szCs w:val="16"/>
                <w:color w:val="auto"/>
              </w:rPr>
              <w:t>55 East 52nd Street</w:t>
            </w:r>
          </w:p>
        </w:tc>
        <w:tc>
          <w:tcPr>
            <w:tcW w:w="2140" w:type="dxa"/>
            <w:vAlign w:val="bottom"/>
            <w:shd w:val="clear" w:color="auto" w:fill="D8E8EF"/>
          </w:tcPr>
          <w:p>
            <w:pPr>
              <w:spacing w:after="0"/>
              <w:rPr>
                <w:sz w:val="16"/>
                <w:szCs w:val="16"/>
                <w:color w:val="auto"/>
              </w:rPr>
            </w:pPr>
          </w:p>
        </w:tc>
        <w:tc>
          <w:tcPr>
            <w:tcW w:w="2400" w:type="dxa"/>
            <w:vAlign w:val="bottom"/>
            <w:shd w:val="clear" w:color="auto" w:fill="D8E8EF"/>
          </w:tcPr>
          <w:p>
            <w:pPr>
              <w:spacing w:after="0"/>
              <w:rPr>
                <w:sz w:val="16"/>
                <w:szCs w:val="16"/>
                <w:color w:val="auto"/>
              </w:rPr>
            </w:pPr>
          </w:p>
        </w:tc>
      </w:tr>
      <w:tr>
        <w:trPr>
          <w:trHeight w:val="262"/>
        </w:trPr>
        <w:tc>
          <w:tcPr>
            <w:tcW w:w="6380" w:type="dxa"/>
            <w:vAlign w:val="bottom"/>
            <w:tcBorders>
              <w:bottom w:val="single" w:sz="8" w:color="D8E8EF"/>
            </w:tcBorders>
            <w:shd w:val="clear" w:color="auto" w:fill="D8E8EF"/>
          </w:tcPr>
          <w:p>
            <w:pPr>
              <w:ind w:left="60"/>
              <w:spacing w:after="0"/>
              <w:rPr>
                <w:sz w:val="20"/>
                <w:szCs w:val="20"/>
                <w:color w:val="auto"/>
              </w:rPr>
            </w:pPr>
            <w:r>
              <w:rPr>
                <w:rFonts w:ascii="Arial" w:cs="Arial" w:eastAsia="Arial" w:hAnsi="Arial"/>
                <w:sz w:val="16"/>
                <w:szCs w:val="16"/>
                <w:color w:val="auto"/>
              </w:rPr>
              <w:t>New York, New York 10055</w:t>
            </w:r>
          </w:p>
        </w:tc>
        <w:tc>
          <w:tcPr>
            <w:tcW w:w="2140" w:type="dxa"/>
            <w:vAlign w:val="bottom"/>
            <w:tcBorders>
              <w:bottom w:val="single" w:sz="8" w:color="D8E8EF"/>
            </w:tcBorders>
            <w:shd w:val="clear" w:color="auto" w:fill="D8E8EF"/>
          </w:tcPr>
          <w:p>
            <w:pPr>
              <w:jc w:val="center"/>
              <w:ind w:left="60"/>
              <w:spacing w:after="0"/>
              <w:rPr>
                <w:sz w:val="20"/>
                <w:szCs w:val="20"/>
                <w:color w:val="auto"/>
              </w:rPr>
            </w:pPr>
            <w:r>
              <w:rPr>
                <w:rFonts w:ascii="Arial" w:cs="Arial" w:eastAsia="Arial" w:hAnsi="Arial"/>
                <w:sz w:val="16"/>
                <w:szCs w:val="16"/>
                <w:color w:val="auto"/>
                <w:w w:val="99"/>
              </w:rPr>
              <w:t>41,259,697 (1)</w:t>
            </w:r>
          </w:p>
        </w:tc>
        <w:tc>
          <w:tcPr>
            <w:tcW w:w="2400" w:type="dxa"/>
            <w:vAlign w:val="bottom"/>
            <w:tcBorders>
              <w:bottom w:val="single" w:sz="8" w:color="D8E8EF"/>
            </w:tcBorders>
            <w:shd w:val="clear" w:color="auto" w:fill="D8E8EF"/>
          </w:tcPr>
          <w:p>
            <w:pPr>
              <w:jc w:val="center"/>
              <w:ind w:right="500"/>
              <w:spacing w:after="0"/>
              <w:rPr>
                <w:sz w:val="20"/>
                <w:szCs w:val="20"/>
                <w:color w:val="auto"/>
              </w:rPr>
            </w:pPr>
            <w:r>
              <w:rPr>
                <w:rFonts w:ascii="Arial" w:cs="Arial" w:eastAsia="Arial" w:hAnsi="Arial"/>
                <w:sz w:val="16"/>
                <w:szCs w:val="16"/>
                <w:color w:val="auto"/>
              </w:rPr>
              <w:t>9.6%</w:t>
            </w:r>
          </w:p>
        </w:tc>
      </w:tr>
      <w:tr>
        <w:trPr>
          <w:trHeight w:val="240"/>
        </w:trPr>
        <w:tc>
          <w:tcPr>
            <w:tcW w:w="6380" w:type="dxa"/>
            <w:vAlign w:val="bottom"/>
          </w:tcPr>
          <w:p>
            <w:pPr>
              <w:ind w:left="60"/>
              <w:spacing w:after="0"/>
              <w:rPr>
                <w:sz w:val="20"/>
                <w:szCs w:val="20"/>
                <w:color w:val="auto"/>
              </w:rPr>
            </w:pPr>
            <w:r>
              <w:rPr>
                <w:rFonts w:ascii="Arial" w:cs="Arial" w:eastAsia="Arial" w:hAnsi="Arial"/>
                <w:sz w:val="16"/>
                <w:szCs w:val="16"/>
                <w:color w:val="auto"/>
              </w:rPr>
              <w:t>FMR LLC</w:t>
            </w:r>
          </w:p>
        </w:tc>
        <w:tc>
          <w:tcPr>
            <w:tcW w:w="2140" w:type="dxa"/>
            <w:vAlign w:val="bottom"/>
          </w:tcPr>
          <w:p>
            <w:pPr>
              <w:spacing w:after="0"/>
              <w:rPr>
                <w:sz w:val="20"/>
                <w:szCs w:val="20"/>
                <w:color w:val="auto"/>
              </w:rPr>
            </w:pPr>
          </w:p>
        </w:tc>
        <w:tc>
          <w:tcPr>
            <w:tcW w:w="2400" w:type="dxa"/>
            <w:vAlign w:val="bottom"/>
          </w:tcPr>
          <w:p>
            <w:pPr>
              <w:spacing w:after="0"/>
              <w:rPr>
                <w:sz w:val="20"/>
                <w:szCs w:val="20"/>
                <w:color w:val="auto"/>
              </w:rPr>
            </w:pPr>
          </w:p>
        </w:tc>
      </w:tr>
      <w:tr>
        <w:trPr>
          <w:trHeight w:val="187"/>
        </w:trPr>
        <w:tc>
          <w:tcPr>
            <w:tcW w:w="6380" w:type="dxa"/>
            <w:vAlign w:val="bottom"/>
          </w:tcPr>
          <w:p>
            <w:pPr>
              <w:ind w:left="60"/>
              <w:spacing w:after="0"/>
              <w:rPr>
                <w:sz w:val="20"/>
                <w:szCs w:val="20"/>
                <w:color w:val="auto"/>
              </w:rPr>
            </w:pPr>
            <w:r>
              <w:rPr>
                <w:rFonts w:ascii="Arial" w:cs="Arial" w:eastAsia="Arial" w:hAnsi="Arial"/>
                <w:sz w:val="16"/>
                <w:szCs w:val="16"/>
                <w:color w:val="auto"/>
              </w:rPr>
              <w:t>245 Summer Street</w:t>
            </w:r>
          </w:p>
        </w:tc>
        <w:tc>
          <w:tcPr>
            <w:tcW w:w="2140" w:type="dxa"/>
            <w:vAlign w:val="bottom"/>
          </w:tcPr>
          <w:p>
            <w:pPr>
              <w:spacing w:after="0"/>
              <w:rPr>
                <w:sz w:val="16"/>
                <w:szCs w:val="16"/>
                <w:color w:val="auto"/>
              </w:rPr>
            </w:pPr>
          </w:p>
        </w:tc>
        <w:tc>
          <w:tcPr>
            <w:tcW w:w="2400" w:type="dxa"/>
            <w:vAlign w:val="bottom"/>
          </w:tcPr>
          <w:p>
            <w:pPr>
              <w:spacing w:after="0"/>
              <w:rPr>
                <w:sz w:val="16"/>
                <w:szCs w:val="16"/>
                <w:color w:val="auto"/>
              </w:rPr>
            </w:pPr>
          </w:p>
        </w:tc>
      </w:tr>
      <w:tr>
        <w:trPr>
          <w:trHeight w:val="225"/>
        </w:trPr>
        <w:tc>
          <w:tcPr>
            <w:tcW w:w="6380" w:type="dxa"/>
            <w:vAlign w:val="bottom"/>
          </w:tcPr>
          <w:p>
            <w:pPr>
              <w:ind w:left="60"/>
              <w:spacing w:after="0"/>
              <w:rPr>
                <w:sz w:val="20"/>
                <w:szCs w:val="20"/>
                <w:color w:val="auto"/>
              </w:rPr>
            </w:pPr>
            <w:r>
              <w:rPr>
                <w:rFonts w:ascii="Arial" w:cs="Arial" w:eastAsia="Arial" w:hAnsi="Arial"/>
                <w:sz w:val="16"/>
                <w:szCs w:val="16"/>
                <w:color w:val="auto"/>
              </w:rPr>
              <w:t>Boston, Massachusetts 02210</w:t>
            </w:r>
          </w:p>
        </w:tc>
        <w:tc>
          <w:tcPr>
            <w:tcW w:w="2140" w:type="dxa"/>
            <w:vAlign w:val="bottom"/>
          </w:tcPr>
          <w:p>
            <w:pPr>
              <w:jc w:val="center"/>
              <w:ind w:left="60"/>
              <w:spacing w:after="0"/>
              <w:rPr>
                <w:sz w:val="20"/>
                <w:szCs w:val="20"/>
                <w:color w:val="auto"/>
              </w:rPr>
            </w:pPr>
            <w:r>
              <w:rPr>
                <w:rFonts w:ascii="Arial" w:cs="Arial" w:eastAsia="Arial" w:hAnsi="Arial"/>
                <w:sz w:val="16"/>
                <w:szCs w:val="16"/>
                <w:color w:val="auto"/>
                <w:w w:val="99"/>
              </w:rPr>
              <w:t>42,642,157 (2)</w:t>
            </w:r>
          </w:p>
        </w:tc>
        <w:tc>
          <w:tcPr>
            <w:tcW w:w="2400" w:type="dxa"/>
            <w:vAlign w:val="bottom"/>
          </w:tcPr>
          <w:p>
            <w:pPr>
              <w:jc w:val="center"/>
              <w:ind w:right="500"/>
              <w:spacing w:after="0"/>
              <w:rPr>
                <w:sz w:val="20"/>
                <w:szCs w:val="20"/>
                <w:color w:val="auto"/>
              </w:rPr>
            </w:pPr>
            <w:r>
              <w:rPr>
                <w:rFonts w:ascii="Arial" w:cs="Arial" w:eastAsia="Arial" w:hAnsi="Arial"/>
                <w:sz w:val="16"/>
                <w:szCs w:val="16"/>
                <w:color w:val="auto"/>
              </w:rPr>
              <w:t>9.88%</w:t>
            </w:r>
          </w:p>
        </w:tc>
      </w:tr>
      <w:tr>
        <w:trPr>
          <w:trHeight w:val="57"/>
        </w:trPr>
        <w:tc>
          <w:tcPr>
            <w:tcW w:w="6380" w:type="dxa"/>
            <w:vAlign w:val="bottom"/>
          </w:tcPr>
          <w:p>
            <w:pPr>
              <w:spacing w:after="0"/>
              <w:rPr>
                <w:sz w:val="4"/>
                <w:szCs w:val="4"/>
                <w:color w:val="auto"/>
              </w:rPr>
            </w:pPr>
          </w:p>
        </w:tc>
        <w:tc>
          <w:tcPr>
            <w:tcW w:w="2140" w:type="dxa"/>
            <w:vAlign w:val="bottom"/>
          </w:tcPr>
          <w:p>
            <w:pPr>
              <w:spacing w:after="0"/>
              <w:rPr>
                <w:sz w:val="4"/>
                <w:szCs w:val="4"/>
                <w:color w:val="auto"/>
              </w:rPr>
            </w:pPr>
          </w:p>
        </w:tc>
        <w:tc>
          <w:tcPr>
            <w:tcW w:w="2400" w:type="dxa"/>
            <w:vAlign w:val="bottom"/>
          </w:tcPr>
          <w:p>
            <w:pPr>
              <w:spacing w:after="0"/>
              <w:rPr>
                <w:sz w:val="4"/>
                <w:szCs w:val="4"/>
                <w:color w:val="auto"/>
              </w:rPr>
            </w:pPr>
          </w:p>
        </w:tc>
      </w:tr>
      <w:tr>
        <w:trPr>
          <w:trHeight w:val="240"/>
        </w:trPr>
        <w:tc>
          <w:tcPr>
            <w:tcW w:w="6380" w:type="dxa"/>
            <w:vAlign w:val="bottom"/>
            <w:shd w:val="clear" w:color="auto" w:fill="D8E8EF"/>
          </w:tcPr>
          <w:p>
            <w:pPr>
              <w:ind w:left="60"/>
              <w:spacing w:after="0"/>
              <w:rPr>
                <w:sz w:val="20"/>
                <w:szCs w:val="20"/>
                <w:color w:val="auto"/>
              </w:rPr>
            </w:pPr>
            <w:r>
              <w:rPr>
                <w:rFonts w:ascii="Arial" w:cs="Arial" w:eastAsia="Arial" w:hAnsi="Arial"/>
                <w:sz w:val="16"/>
                <w:szCs w:val="16"/>
                <w:color w:val="auto"/>
              </w:rPr>
              <w:t>The Vanguard Group, Inc.</w:t>
            </w:r>
          </w:p>
        </w:tc>
        <w:tc>
          <w:tcPr>
            <w:tcW w:w="2140" w:type="dxa"/>
            <w:vAlign w:val="bottom"/>
            <w:shd w:val="clear" w:color="auto" w:fill="D8E8EF"/>
          </w:tcPr>
          <w:p>
            <w:pPr>
              <w:spacing w:after="0"/>
              <w:rPr>
                <w:sz w:val="20"/>
                <w:szCs w:val="20"/>
                <w:color w:val="auto"/>
              </w:rPr>
            </w:pPr>
          </w:p>
        </w:tc>
        <w:tc>
          <w:tcPr>
            <w:tcW w:w="2400" w:type="dxa"/>
            <w:vAlign w:val="bottom"/>
            <w:shd w:val="clear" w:color="auto" w:fill="D8E8EF"/>
          </w:tcPr>
          <w:p>
            <w:pPr>
              <w:spacing w:after="0"/>
              <w:rPr>
                <w:sz w:val="20"/>
                <w:szCs w:val="20"/>
                <w:color w:val="auto"/>
              </w:rPr>
            </w:pPr>
          </w:p>
        </w:tc>
      </w:tr>
      <w:tr>
        <w:trPr>
          <w:trHeight w:val="187"/>
        </w:trPr>
        <w:tc>
          <w:tcPr>
            <w:tcW w:w="6380" w:type="dxa"/>
            <w:vAlign w:val="bottom"/>
            <w:shd w:val="clear" w:color="auto" w:fill="D8E8EF"/>
          </w:tcPr>
          <w:p>
            <w:pPr>
              <w:ind w:left="60"/>
              <w:spacing w:after="0"/>
              <w:rPr>
                <w:sz w:val="20"/>
                <w:szCs w:val="20"/>
                <w:color w:val="auto"/>
              </w:rPr>
            </w:pPr>
            <w:r>
              <w:rPr>
                <w:rFonts w:ascii="Arial" w:cs="Arial" w:eastAsia="Arial" w:hAnsi="Arial"/>
                <w:sz w:val="16"/>
                <w:szCs w:val="16"/>
                <w:color w:val="auto"/>
              </w:rPr>
              <w:t>100 Vanguard Blvd.</w:t>
            </w:r>
          </w:p>
        </w:tc>
        <w:tc>
          <w:tcPr>
            <w:tcW w:w="2140" w:type="dxa"/>
            <w:vAlign w:val="bottom"/>
            <w:shd w:val="clear" w:color="auto" w:fill="D8E8EF"/>
          </w:tcPr>
          <w:p>
            <w:pPr>
              <w:spacing w:after="0"/>
              <w:rPr>
                <w:sz w:val="16"/>
                <w:szCs w:val="16"/>
                <w:color w:val="auto"/>
              </w:rPr>
            </w:pPr>
          </w:p>
        </w:tc>
        <w:tc>
          <w:tcPr>
            <w:tcW w:w="2400" w:type="dxa"/>
            <w:vAlign w:val="bottom"/>
            <w:shd w:val="clear" w:color="auto" w:fill="D8E8EF"/>
          </w:tcPr>
          <w:p>
            <w:pPr>
              <w:spacing w:after="0"/>
              <w:rPr>
                <w:sz w:val="16"/>
                <w:szCs w:val="16"/>
                <w:color w:val="auto"/>
              </w:rPr>
            </w:pPr>
          </w:p>
        </w:tc>
      </w:tr>
      <w:tr>
        <w:trPr>
          <w:trHeight w:val="262"/>
        </w:trPr>
        <w:tc>
          <w:tcPr>
            <w:tcW w:w="6380" w:type="dxa"/>
            <w:vAlign w:val="bottom"/>
            <w:tcBorders>
              <w:bottom w:val="single" w:sz="8" w:color="D8E8EF"/>
            </w:tcBorders>
            <w:shd w:val="clear" w:color="auto" w:fill="D8E8EF"/>
          </w:tcPr>
          <w:p>
            <w:pPr>
              <w:ind w:left="60"/>
              <w:spacing w:after="0"/>
              <w:rPr>
                <w:sz w:val="20"/>
                <w:szCs w:val="20"/>
                <w:color w:val="auto"/>
              </w:rPr>
            </w:pPr>
            <w:r>
              <w:rPr>
                <w:rFonts w:ascii="Arial" w:cs="Arial" w:eastAsia="Arial" w:hAnsi="Arial"/>
                <w:sz w:val="16"/>
                <w:szCs w:val="16"/>
                <w:color w:val="auto"/>
              </w:rPr>
              <w:t>Malvern, Pennsylvania 19355</w:t>
            </w:r>
          </w:p>
        </w:tc>
        <w:tc>
          <w:tcPr>
            <w:tcW w:w="2140" w:type="dxa"/>
            <w:vAlign w:val="bottom"/>
            <w:tcBorders>
              <w:bottom w:val="single" w:sz="8" w:color="D8E8EF"/>
            </w:tcBorders>
            <w:shd w:val="clear" w:color="auto" w:fill="D8E8EF"/>
          </w:tcPr>
          <w:p>
            <w:pPr>
              <w:jc w:val="center"/>
              <w:ind w:left="60"/>
              <w:spacing w:after="0"/>
              <w:rPr>
                <w:sz w:val="20"/>
                <w:szCs w:val="20"/>
                <w:color w:val="auto"/>
              </w:rPr>
            </w:pPr>
            <w:r>
              <w:rPr>
                <w:rFonts w:ascii="Arial" w:cs="Arial" w:eastAsia="Arial" w:hAnsi="Arial"/>
                <w:sz w:val="16"/>
                <w:szCs w:val="16"/>
                <w:color w:val="auto"/>
                <w:w w:val="99"/>
              </w:rPr>
              <w:t>40,168,286 (3)</w:t>
            </w:r>
          </w:p>
        </w:tc>
        <w:tc>
          <w:tcPr>
            <w:tcW w:w="2400" w:type="dxa"/>
            <w:vAlign w:val="bottom"/>
            <w:tcBorders>
              <w:bottom w:val="single" w:sz="8" w:color="D8E8EF"/>
            </w:tcBorders>
            <w:shd w:val="clear" w:color="auto" w:fill="D8E8EF"/>
          </w:tcPr>
          <w:p>
            <w:pPr>
              <w:jc w:val="center"/>
              <w:ind w:right="500"/>
              <w:spacing w:after="0"/>
              <w:rPr>
                <w:sz w:val="20"/>
                <w:szCs w:val="20"/>
                <w:color w:val="auto"/>
              </w:rPr>
            </w:pPr>
            <w:r>
              <w:rPr>
                <w:rFonts w:ascii="Arial" w:cs="Arial" w:eastAsia="Arial" w:hAnsi="Arial"/>
                <w:sz w:val="16"/>
                <w:szCs w:val="16"/>
                <w:color w:val="auto"/>
              </w:rPr>
              <w:t>9.32%</w:t>
            </w:r>
          </w:p>
        </w:tc>
      </w:tr>
      <w:tr>
        <w:trPr>
          <w:trHeight w:val="20"/>
        </w:trPr>
        <w:tc>
          <w:tcPr>
            <w:tcW w:w="6380" w:type="dxa"/>
            <w:vAlign w:val="bottom"/>
            <w:shd w:val="clear" w:color="auto" w:fill="000000"/>
          </w:tcPr>
          <w:p>
            <w:pPr>
              <w:spacing w:after="0" w:line="20" w:lineRule="exact"/>
              <w:rPr>
                <w:sz w:val="1"/>
                <w:szCs w:val="1"/>
                <w:color w:val="auto"/>
              </w:rPr>
            </w:pPr>
          </w:p>
        </w:tc>
        <w:tc>
          <w:tcPr>
            <w:tcW w:w="2140" w:type="dxa"/>
            <w:vAlign w:val="bottom"/>
            <w:shd w:val="clear" w:color="auto" w:fill="000000"/>
          </w:tcPr>
          <w:p>
            <w:pPr>
              <w:spacing w:after="0" w:line="20" w:lineRule="exact"/>
              <w:rPr>
                <w:sz w:val="1"/>
                <w:szCs w:val="1"/>
                <w:color w:val="auto"/>
              </w:rPr>
            </w:pPr>
          </w:p>
        </w:tc>
        <w:tc>
          <w:tcPr>
            <w:tcW w:w="2400" w:type="dxa"/>
            <w:vAlign w:val="bottom"/>
            <w:shd w:val="clear" w:color="auto" w:fill="000000"/>
          </w:tcPr>
          <w:p>
            <w:pPr>
              <w:spacing w:after="0" w:line="20" w:lineRule="exact"/>
              <w:rPr>
                <w:sz w:val="1"/>
                <w:szCs w:val="1"/>
                <w:color w:val="auto"/>
              </w:rPr>
            </w:pPr>
          </w:p>
        </w:tc>
      </w:tr>
    </w:tbl>
    <w:p>
      <w:pPr>
        <w:spacing w:after="0" w:line="111" w:lineRule="exact"/>
        <w:rPr>
          <w:sz w:val="20"/>
          <w:szCs w:val="20"/>
          <w:color w:val="auto"/>
        </w:rPr>
      </w:pPr>
    </w:p>
    <w:p>
      <w:pPr>
        <w:jc w:val="both"/>
        <w:ind w:left="600" w:hanging="433"/>
        <w:spacing w:after="0" w:line="244" w:lineRule="auto"/>
        <w:tabs>
          <w:tab w:leader="none" w:pos="600" w:val="left"/>
        </w:tabs>
        <w:numPr>
          <w:ilvl w:val="0"/>
          <w:numId w:val="95"/>
        </w:numPr>
        <w:rPr>
          <w:rFonts w:ascii="Arial" w:cs="Arial" w:eastAsia="Arial" w:hAnsi="Arial"/>
          <w:sz w:val="14"/>
          <w:szCs w:val="14"/>
          <w:color w:val="auto"/>
        </w:rPr>
      </w:pPr>
      <w:r>
        <w:rPr>
          <w:rFonts w:ascii="Arial" w:cs="Arial" w:eastAsia="Arial" w:hAnsi="Arial"/>
          <w:sz w:val="14"/>
          <w:szCs w:val="14"/>
          <w:color w:val="auto"/>
        </w:rPr>
        <w:t>Based solely on the information contained in its Schedule 13G/A, Amendment No. 3 filed with the SEC on February 3, 2022, BlackRock, Inc. (“BlackRock”) is the beneficial owner of 41,259,697 shares of our common stock. BlackRock has the sole power to dispose or direct the disposition of 41,259,697 shares of our common stock and no shared dispositive power. BlackRock has the sole power to vote or direct the voting of 38,750,748 shares of our common stock and no shared voting power. The shares are beneficially owned through the following entities: BlackRock Life Limited, BlackRock International Limited, BlackRock Advisors, LLC, Aperio Group, LLC, BlackRock (Netherlands) B.V., BlackRock Institutional Trust Company, National Association, BlackRock Asset Management Ireland Limited, BlackRock Financial Management, Inc., BlackRock Japan Co., Ltd., BlackRock Asset Management Schweiz AG, BlackRock Investment Management, LLC, FutureAdvisor, Inc., BlackRock Investment Management (UK) Limited, BlackRock Asset Management Canada Limited, BlackRock (Luxembourg) S.A., BlackRock Investment Management (Australia) Limited, BlackRock Advisors (UK) Limited, BlackRock Fund Advisors, BlackRock Asset Management North Asia Limited, BlackRock (Singapore) Limited and BlackRock Fund Managers Ltd.</w:t>
      </w:r>
    </w:p>
    <w:p>
      <w:pPr>
        <w:spacing w:after="0" w:line="11" w:lineRule="exact"/>
        <w:rPr>
          <w:rFonts w:ascii="Arial" w:cs="Arial" w:eastAsia="Arial" w:hAnsi="Arial"/>
          <w:sz w:val="14"/>
          <w:szCs w:val="14"/>
          <w:color w:val="auto"/>
        </w:rPr>
      </w:pPr>
    </w:p>
    <w:p>
      <w:pPr>
        <w:jc w:val="both"/>
        <w:ind w:left="600" w:hanging="433"/>
        <w:spacing w:after="0" w:line="243" w:lineRule="auto"/>
        <w:tabs>
          <w:tab w:leader="none" w:pos="600" w:val="left"/>
        </w:tabs>
        <w:numPr>
          <w:ilvl w:val="0"/>
          <w:numId w:val="95"/>
        </w:numPr>
        <w:rPr>
          <w:rFonts w:ascii="Arial" w:cs="Arial" w:eastAsia="Arial" w:hAnsi="Arial"/>
          <w:sz w:val="14"/>
          <w:szCs w:val="14"/>
          <w:color w:val="auto"/>
        </w:rPr>
      </w:pPr>
      <w:r>
        <w:rPr>
          <w:rFonts w:ascii="Arial" w:cs="Arial" w:eastAsia="Arial" w:hAnsi="Arial"/>
          <w:sz w:val="14"/>
          <w:szCs w:val="14"/>
          <w:color w:val="auto"/>
        </w:rPr>
        <w:t>Based solely on the information contained in a Schedule 13G/A (Amendment No. 6) filed with the SEC by FMR LLC (“FMR”) and Abigail P. Johnson on February 9, 2022, FMR and Ms. Johnson are the beneficial owners of 42,642,157 shares of our common stock. FMR has sole power to vote or direct the vote with respect to 4,982,484 shares that it beneficially owns and no shared voting power. It has sole power to dispose or direct the disposition of 42,642,157 shares that it beneficially owns and no shared dispositive power. The shares are beneficially owned through the following entities: Fiam LLC, Fidelity Institutional Asset Management Trust Company, Fidelity Management &amp; Research (Hong Kong) Limited, Fidelity Management &amp; Research Company LLC (“FMR Co. LLC”) (which beneficially owns 5% or greater of the shares of the class being reported on) and Strategic Advisers LLC. Ms. Johnson is a director, the Chairman and the Chief Executive Officer of FMR. Ms. Johnson and other members of the Johnson family own directly or indirectly 49% of the voting power of FMR, and they and all of the Series B stockholders have entered into a voting agreement under which all Series B voting common shares will be voted in accordance with the majority vote of such shares. They do not, however, have the sole power to vote or direct the voting of the shares owned directly by the various investment companies registered under the Investment Company Act (“Fidelity Funds”) advised by FMR Co. LLC, a wholly owned subsidiary of FMR, which power resides with the Fidelity Funds’ Boards of Trustees. FMR Co. LLC carries out the voting of the shares under written guidelines established by the Fidelity Funds’ Boards of Trustees.</w:t>
      </w:r>
    </w:p>
    <w:p>
      <w:pPr>
        <w:spacing w:after="0" w:line="12" w:lineRule="exact"/>
        <w:rPr>
          <w:rFonts w:ascii="Arial" w:cs="Arial" w:eastAsia="Arial" w:hAnsi="Arial"/>
          <w:sz w:val="14"/>
          <w:szCs w:val="14"/>
          <w:color w:val="auto"/>
        </w:rPr>
      </w:pPr>
    </w:p>
    <w:p>
      <w:pPr>
        <w:jc w:val="both"/>
        <w:ind w:left="600" w:hanging="433"/>
        <w:spacing w:after="0" w:line="253" w:lineRule="auto"/>
        <w:tabs>
          <w:tab w:leader="none" w:pos="600" w:val="left"/>
        </w:tabs>
        <w:numPr>
          <w:ilvl w:val="0"/>
          <w:numId w:val="95"/>
        </w:numPr>
        <w:rPr>
          <w:rFonts w:ascii="Arial" w:cs="Arial" w:eastAsia="Arial" w:hAnsi="Arial"/>
          <w:sz w:val="14"/>
          <w:szCs w:val="14"/>
          <w:color w:val="auto"/>
        </w:rPr>
      </w:pPr>
      <w:r>
        <w:rPr>
          <w:rFonts w:ascii="Arial" w:cs="Arial" w:eastAsia="Arial" w:hAnsi="Arial"/>
          <w:sz w:val="14"/>
          <w:szCs w:val="14"/>
          <w:color w:val="auto"/>
        </w:rPr>
        <w:t>The number of shares of common stock for The Vanguard Group, Inc. (“Vanguard”) is based solely on the information contained in the Schedule 13G/A (Amendment No. 9) filed with the SEC on February 10, 2022. Vanguard has the sole power to dispose or to direct the disposition of 39,549,395 shares it beneficially owns, does not have the sole power to vote or to direct the vote of any of the shares it beneficially owns, has shared power to vote or to direct the vote of 323,743 shares it beneficially owns and has shared power to dispose or direct the disposition of 618,891 shares it beneficially owns.</w:t>
      </w:r>
    </w:p>
    <w:p>
      <w:pPr>
        <w:spacing w:after="0" w:line="110" w:lineRule="exact"/>
        <w:rPr>
          <w:sz w:val="20"/>
          <w:szCs w:val="20"/>
          <w:color w:val="auto"/>
        </w:rPr>
      </w:pPr>
    </w:p>
    <w:p>
      <w:pPr>
        <w:ind w:left="160"/>
        <w:spacing w:after="0"/>
        <w:tabs>
          <w:tab w:leader="none" w:pos="500" w:val="left"/>
        </w:tabs>
        <w:rPr>
          <w:sz w:val="20"/>
          <w:szCs w:val="20"/>
          <w:color w:val="auto"/>
        </w:rPr>
      </w:pPr>
      <w:r>
        <w:rPr>
          <w:rFonts w:ascii="Arial" w:cs="Arial" w:eastAsia="Arial" w:hAnsi="Arial"/>
          <w:sz w:val="14"/>
          <w:szCs w:val="14"/>
          <w:color w:val="F75E14"/>
        </w:rPr>
        <w:t>70</w:t>
        <w:tab/>
        <w:t>onsemi 2022 Proxy Statement</w:t>
      </w:r>
    </w:p>
    <w:p>
      <w:pPr>
        <w:sectPr>
          <w:pgSz w:w="11900" w:h="16838" w:orient="portrait"/>
          <w:cols w:equalWidth="0" w:num="1">
            <w:col w:w="11080"/>
          </w:cols>
          <w:pgMar w:left="320" w:top="454" w:right="499" w:bottom="1440" w:gutter="0" w:footer="0" w:header="0"/>
        </w:sectPr>
      </w:pPr>
    </w:p>
    <w:bookmarkStart w:id="74" w:name="page75"/>
    <w:bookmarkEnd w:id="7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6"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F75E14"/>
        </w:rPr>
        <w:t>SHARE OWNERSHIP OF DIRECTORS AND OFFICERS</w:t>
      </w:r>
    </w:p>
    <w:p>
      <w:pPr>
        <w:spacing w:after="0" w:line="30" w:lineRule="exact"/>
        <w:rPr>
          <w:sz w:val="20"/>
          <w:szCs w:val="20"/>
          <w:color w:val="auto"/>
        </w:rPr>
      </w:pPr>
    </w:p>
    <w:p>
      <w:pPr>
        <w:jc w:val="both"/>
        <w:ind w:left="160"/>
        <w:spacing w:after="0" w:line="235" w:lineRule="auto"/>
        <w:rPr>
          <w:sz w:val="20"/>
          <w:szCs w:val="20"/>
          <w:color w:val="auto"/>
        </w:rPr>
      </w:pPr>
      <w:r>
        <w:rPr>
          <w:rFonts w:ascii="Arial" w:cs="Arial" w:eastAsia="Arial" w:hAnsi="Arial"/>
          <w:sz w:val="18"/>
          <w:szCs w:val="18"/>
          <w:color w:val="auto"/>
        </w:rPr>
        <w:t>The following table sets forth, as of March 1, 2022, except as otherwise noted, certain information regarding beneficial ownership of our common stock by each Director, each NEO and our Directors and executive officers as a group. The percentages of class amounts set forth in the table below are based on 433,637,077 shares of common stock outstanding on March 1, 2022. Beneficial ownership includes sole or shared voting power or investment power and also any shares that the individual has the right to acquire within 60 days of March 1, 2022 through the exercise of any stock option or similar security, or the vesting of RSUs, excluding PBRSUs, the vesting of which is based on performance. Each of the named individuals in the following table has sole voting and investment power with respect to the shares shown other than any property rights of spouses.</w:t>
      </w:r>
    </w:p>
    <w:p>
      <w:pPr>
        <w:spacing w:after="0" w:line="227" w:lineRule="exact"/>
        <w:rPr>
          <w:sz w:val="20"/>
          <w:szCs w:val="20"/>
          <w:color w:val="auto"/>
        </w:rPr>
      </w:pPr>
    </w:p>
    <w:tbl>
      <w:tblPr>
        <w:tblLayout w:type="fixed"/>
        <w:tblInd w:w="160" w:type="dxa"/>
        <w:tblCellMar>
          <w:top w:w="0" w:type="dxa"/>
          <w:left w:w="0" w:type="dxa"/>
          <w:bottom w:w="0" w:type="dxa"/>
          <w:right w:w="0" w:type="dxa"/>
        </w:tblCellMar>
      </w:tblPr>
      <w:tr>
        <w:trPr>
          <w:trHeight w:val="187"/>
        </w:trPr>
        <w:tc>
          <w:tcPr>
            <w:tcW w:w="4680" w:type="dxa"/>
            <w:vAlign w:val="bottom"/>
            <w:shd w:val="clear" w:color="auto" w:fill="F75E14"/>
          </w:tcPr>
          <w:p>
            <w:pPr>
              <w:spacing w:after="0"/>
              <w:rPr>
                <w:sz w:val="16"/>
                <w:szCs w:val="16"/>
                <w:color w:val="auto"/>
              </w:rPr>
            </w:pPr>
          </w:p>
        </w:tc>
        <w:tc>
          <w:tcPr>
            <w:tcW w:w="1740" w:type="dxa"/>
            <w:vAlign w:val="bottom"/>
            <w:shd w:val="clear" w:color="auto" w:fill="F75E14"/>
          </w:tcPr>
          <w:p>
            <w:pPr>
              <w:spacing w:after="0"/>
              <w:rPr>
                <w:sz w:val="16"/>
                <w:szCs w:val="16"/>
                <w:color w:val="auto"/>
              </w:rPr>
            </w:pPr>
          </w:p>
        </w:tc>
        <w:tc>
          <w:tcPr>
            <w:tcW w:w="2740" w:type="dxa"/>
            <w:vAlign w:val="bottom"/>
            <w:gridSpan w:val="2"/>
            <w:shd w:val="clear" w:color="auto" w:fill="F75E14"/>
          </w:tcPr>
          <w:p>
            <w:pPr>
              <w:jc w:val="right"/>
              <w:ind w:right="800"/>
              <w:spacing w:after="0"/>
              <w:rPr>
                <w:sz w:val="20"/>
                <w:szCs w:val="20"/>
                <w:color w:val="auto"/>
              </w:rPr>
            </w:pPr>
            <w:r>
              <w:rPr>
                <w:rFonts w:ascii="Arial" w:cs="Arial" w:eastAsia="Arial" w:hAnsi="Arial"/>
                <w:sz w:val="16"/>
                <w:szCs w:val="16"/>
                <w:b w:val="1"/>
                <w:bCs w:val="1"/>
                <w:color w:val="FFFFFF"/>
              </w:rPr>
              <w:t>Common Stock</w:t>
            </w:r>
          </w:p>
        </w:tc>
        <w:tc>
          <w:tcPr>
            <w:tcW w:w="1760" w:type="dxa"/>
            <w:vAlign w:val="bottom"/>
            <w:shd w:val="clear" w:color="auto" w:fill="F75E14"/>
          </w:tcPr>
          <w:p>
            <w:pPr>
              <w:spacing w:after="0"/>
              <w:rPr>
                <w:sz w:val="16"/>
                <w:szCs w:val="16"/>
                <w:color w:val="auto"/>
              </w:rPr>
            </w:pPr>
          </w:p>
        </w:tc>
      </w:tr>
      <w:tr>
        <w:trPr>
          <w:trHeight w:val="240"/>
        </w:trPr>
        <w:tc>
          <w:tcPr>
            <w:tcW w:w="4680" w:type="dxa"/>
            <w:vAlign w:val="bottom"/>
            <w:shd w:val="clear" w:color="auto" w:fill="F75E14"/>
          </w:tcPr>
          <w:p>
            <w:pPr>
              <w:spacing w:after="0"/>
              <w:rPr>
                <w:sz w:val="20"/>
                <w:szCs w:val="20"/>
                <w:color w:val="auto"/>
              </w:rPr>
            </w:pPr>
          </w:p>
        </w:tc>
        <w:tc>
          <w:tcPr>
            <w:tcW w:w="1740" w:type="dxa"/>
            <w:vAlign w:val="bottom"/>
            <w:shd w:val="clear" w:color="auto" w:fill="F75E14"/>
          </w:tcPr>
          <w:p>
            <w:pPr>
              <w:jc w:val="right"/>
              <w:ind w:right="340"/>
              <w:spacing w:after="0"/>
              <w:rPr>
                <w:sz w:val="20"/>
                <w:szCs w:val="20"/>
                <w:color w:val="auto"/>
              </w:rPr>
            </w:pPr>
            <w:r>
              <w:rPr>
                <w:rFonts w:ascii="Arial" w:cs="Arial" w:eastAsia="Arial" w:hAnsi="Arial"/>
                <w:sz w:val="16"/>
                <w:szCs w:val="16"/>
                <w:b w:val="1"/>
                <w:bCs w:val="1"/>
                <w:color w:val="FFFFFF"/>
              </w:rPr>
              <w:t>Number of</w:t>
            </w:r>
          </w:p>
        </w:tc>
        <w:tc>
          <w:tcPr>
            <w:tcW w:w="1400" w:type="dxa"/>
            <w:vAlign w:val="bottom"/>
            <w:shd w:val="clear" w:color="auto" w:fill="F75E14"/>
          </w:tcPr>
          <w:p>
            <w:pPr>
              <w:jc w:val="right"/>
              <w:ind w:right="340"/>
              <w:spacing w:after="0"/>
              <w:rPr>
                <w:sz w:val="20"/>
                <w:szCs w:val="20"/>
                <w:color w:val="auto"/>
              </w:rPr>
            </w:pPr>
            <w:r>
              <w:rPr>
                <w:rFonts w:ascii="Arial" w:cs="Arial" w:eastAsia="Arial" w:hAnsi="Arial"/>
                <w:sz w:val="16"/>
                <w:szCs w:val="16"/>
                <w:b w:val="1"/>
                <w:bCs w:val="1"/>
                <w:color w:val="FFFFFF"/>
              </w:rPr>
              <w:t>Right to</w:t>
            </w:r>
          </w:p>
        </w:tc>
        <w:tc>
          <w:tcPr>
            <w:tcW w:w="1340" w:type="dxa"/>
            <w:vAlign w:val="bottom"/>
            <w:shd w:val="clear" w:color="auto" w:fill="F75E14"/>
          </w:tcPr>
          <w:p>
            <w:pPr>
              <w:spacing w:after="0"/>
              <w:rPr>
                <w:sz w:val="20"/>
                <w:szCs w:val="20"/>
                <w:color w:val="auto"/>
              </w:rPr>
            </w:pPr>
          </w:p>
        </w:tc>
        <w:tc>
          <w:tcPr>
            <w:tcW w:w="1760" w:type="dxa"/>
            <w:vAlign w:val="bottom"/>
            <w:shd w:val="clear" w:color="auto" w:fill="F75E14"/>
          </w:tcPr>
          <w:p>
            <w:pPr>
              <w:jc w:val="center"/>
              <w:ind w:right="140"/>
              <w:spacing w:after="0"/>
              <w:rPr>
                <w:sz w:val="20"/>
                <w:szCs w:val="20"/>
                <w:color w:val="auto"/>
              </w:rPr>
            </w:pPr>
            <w:r>
              <w:rPr>
                <w:rFonts w:ascii="Arial" w:cs="Arial" w:eastAsia="Arial" w:hAnsi="Arial"/>
                <w:sz w:val="16"/>
                <w:szCs w:val="16"/>
                <w:b w:val="1"/>
                <w:bCs w:val="1"/>
                <w:color w:val="FFFFFF"/>
                <w:w w:val="99"/>
              </w:rPr>
              <w:t>Percentage</w:t>
            </w:r>
          </w:p>
        </w:tc>
      </w:tr>
      <w:tr>
        <w:trPr>
          <w:trHeight w:val="248"/>
        </w:trPr>
        <w:tc>
          <w:tcPr>
            <w:tcW w:w="4680" w:type="dxa"/>
            <w:vAlign w:val="bottom"/>
            <w:tcBorders>
              <w:bottom w:val="single" w:sz="8" w:color="F75E14"/>
            </w:tcBorders>
            <w:shd w:val="clear" w:color="auto" w:fill="F75E14"/>
          </w:tcPr>
          <w:p>
            <w:pPr>
              <w:ind w:left="60"/>
              <w:spacing w:after="0"/>
              <w:rPr>
                <w:sz w:val="20"/>
                <w:szCs w:val="20"/>
                <w:color w:val="auto"/>
              </w:rPr>
            </w:pPr>
            <w:r>
              <w:rPr>
                <w:rFonts w:ascii="Arial" w:cs="Arial" w:eastAsia="Arial" w:hAnsi="Arial"/>
                <w:sz w:val="16"/>
                <w:szCs w:val="16"/>
                <w:b w:val="1"/>
                <w:bCs w:val="1"/>
                <w:color w:val="FFFFFF"/>
              </w:rPr>
              <w:t>Name of Beneficial Owner</w:t>
            </w:r>
          </w:p>
        </w:tc>
        <w:tc>
          <w:tcPr>
            <w:tcW w:w="1740" w:type="dxa"/>
            <w:vAlign w:val="bottom"/>
            <w:tcBorders>
              <w:bottom w:val="single" w:sz="8" w:color="F75E14"/>
            </w:tcBorders>
            <w:shd w:val="clear" w:color="auto" w:fill="F75E14"/>
          </w:tcPr>
          <w:p>
            <w:pPr>
              <w:jc w:val="right"/>
              <w:ind w:right="180"/>
              <w:spacing w:after="0"/>
              <w:rPr>
                <w:sz w:val="20"/>
                <w:szCs w:val="20"/>
                <w:color w:val="auto"/>
              </w:rPr>
            </w:pPr>
            <w:r>
              <w:rPr>
                <w:rFonts w:ascii="Arial" w:cs="Arial" w:eastAsia="Arial" w:hAnsi="Arial"/>
                <w:sz w:val="16"/>
                <w:szCs w:val="16"/>
                <w:b w:val="1"/>
                <w:bCs w:val="1"/>
                <w:color w:val="FFFFFF"/>
              </w:rPr>
              <w:t>Shares Owned</w:t>
            </w:r>
          </w:p>
        </w:tc>
        <w:tc>
          <w:tcPr>
            <w:tcW w:w="1400" w:type="dxa"/>
            <w:vAlign w:val="bottom"/>
            <w:tcBorders>
              <w:bottom w:val="single" w:sz="8" w:color="F75E14"/>
            </w:tcBorders>
            <w:shd w:val="clear" w:color="auto" w:fill="F75E14"/>
          </w:tcPr>
          <w:p>
            <w:pPr>
              <w:jc w:val="right"/>
              <w:ind w:right="240"/>
              <w:spacing w:after="0"/>
              <w:rPr>
                <w:sz w:val="20"/>
                <w:szCs w:val="20"/>
                <w:color w:val="auto"/>
              </w:rPr>
            </w:pPr>
            <w:r>
              <w:rPr>
                <w:rFonts w:ascii="Arial" w:cs="Arial" w:eastAsia="Arial" w:hAnsi="Arial"/>
                <w:sz w:val="16"/>
                <w:szCs w:val="16"/>
                <w:b w:val="1"/>
                <w:bCs w:val="1"/>
                <w:color w:val="FFFFFF"/>
              </w:rPr>
              <w:t>Acquire (1)</w:t>
            </w:r>
          </w:p>
        </w:tc>
        <w:tc>
          <w:tcPr>
            <w:tcW w:w="1340" w:type="dxa"/>
            <w:vAlign w:val="bottom"/>
            <w:tcBorders>
              <w:bottom w:val="single" w:sz="8" w:color="F75E14"/>
            </w:tcBorders>
            <w:shd w:val="clear" w:color="auto" w:fill="F75E14"/>
          </w:tcPr>
          <w:p>
            <w:pPr>
              <w:jc w:val="right"/>
              <w:ind w:right="400"/>
              <w:spacing w:after="0"/>
              <w:rPr>
                <w:sz w:val="20"/>
                <w:szCs w:val="20"/>
                <w:color w:val="auto"/>
              </w:rPr>
            </w:pPr>
            <w:r>
              <w:rPr>
                <w:rFonts w:ascii="Arial" w:cs="Arial" w:eastAsia="Arial" w:hAnsi="Arial"/>
                <w:sz w:val="16"/>
                <w:szCs w:val="16"/>
                <w:b w:val="1"/>
                <w:bCs w:val="1"/>
                <w:color w:val="FFFFFF"/>
              </w:rPr>
              <w:t>Total</w:t>
            </w:r>
          </w:p>
        </w:tc>
        <w:tc>
          <w:tcPr>
            <w:tcW w:w="1760" w:type="dxa"/>
            <w:vAlign w:val="bottom"/>
            <w:tcBorders>
              <w:bottom w:val="single" w:sz="8" w:color="F75E14"/>
            </w:tcBorders>
            <w:shd w:val="clear" w:color="auto" w:fill="F75E14"/>
          </w:tcPr>
          <w:p>
            <w:pPr>
              <w:jc w:val="center"/>
              <w:ind w:right="140"/>
              <w:spacing w:after="0"/>
              <w:rPr>
                <w:sz w:val="20"/>
                <w:szCs w:val="20"/>
                <w:color w:val="auto"/>
              </w:rPr>
            </w:pPr>
            <w:r>
              <w:rPr>
                <w:rFonts w:ascii="Arial" w:cs="Arial" w:eastAsia="Arial" w:hAnsi="Arial"/>
                <w:sz w:val="16"/>
                <w:szCs w:val="16"/>
                <w:b w:val="1"/>
                <w:bCs w:val="1"/>
                <w:color w:val="FFFFFF"/>
                <w:w w:val="99"/>
              </w:rPr>
              <w:t>of Class</w:t>
            </w:r>
          </w:p>
        </w:tc>
      </w:tr>
      <w:tr>
        <w:trPr>
          <w:trHeight w:val="254"/>
        </w:trPr>
        <w:tc>
          <w:tcPr>
            <w:tcW w:w="4680" w:type="dxa"/>
            <w:vAlign w:val="bottom"/>
            <w:shd w:val="clear" w:color="auto" w:fill="D8E8EF"/>
          </w:tcPr>
          <w:p>
            <w:pPr>
              <w:ind w:left="60"/>
              <w:spacing w:after="0"/>
              <w:rPr>
                <w:sz w:val="20"/>
                <w:szCs w:val="20"/>
                <w:color w:val="auto"/>
              </w:rPr>
            </w:pPr>
            <w:r>
              <w:rPr>
                <w:rFonts w:ascii="Arial" w:cs="Arial" w:eastAsia="Arial" w:hAnsi="Arial"/>
                <w:sz w:val="16"/>
                <w:szCs w:val="16"/>
                <w:b w:val="1"/>
                <w:bCs w:val="1"/>
                <w:color w:val="auto"/>
              </w:rPr>
              <w:t>NEOs</w:t>
            </w:r>
          </w:p>
        </w:tc>
        <w:tc>
          <w:tcPr>
            <w:tcW w:w="1740" w:type="dxa"/>
            <w:vAlign w:val="bottom"/>
            <w:shd w:val="clear" w:color="auto" w:fill="D8E8EF"/>
          </w:tcPr>
          <w:p>
            <w:pPr>
              <w:spacing w:after="0"/>
              <w:rPr>
                <w:sz w:val="22"/>
                <w:szCs w:val="22"/>
                <w:color w:val="auto"/>
              </w:rPr>
            </w:pPr>
          </w:p>
        </w:tc>
        <w:tc>
          <w:tcPr>
            <w:tcW w:w="1400" w:type="dxa"/>
            <w:vAlign w:val="bottom"/>
            <w:shd w:val="clear" w:color="auto" w:fill="D8E8EF"/>
          </w:tcPr>
          <w:p>
            <w:pPr>
              <w:spacing w:after="0"/>
              <w:rPr>
                <w:sz w:val="22"/>
                <w:szCs w:val="22"/>
                <w:color w:val="auto"/>
              </w:rPr>
            </w:pPr>
          </w:p>
        </w:tc>
        <w:tc>
          <w:tcPr>
            <w:tcW w:w="1340" w:type="dxa"/>
            <w:vAlign w:val="bottom"/>
            <w:shd w:val="clear" w:color="auto" w:fill="D8E8EF"/>
          </w:tcPr>
          <w:p>
            <w:pPr>
              <w:spacing w:after="0"/>
              <w:rPr>
                <w:sz w:val="22"/>
                <w:szCs w:val="22"/>
                <w:color w:val="auto"/>
              </w:rPr>
            </w:pPr>
          </w:p>
        </w:tc>
        <w:tc>
          <w:tcPr>
            <w:tcW w:w="1760" w:type="dxa"/>
            <w:vAlign w:val="bottom"/>
            <w:shd w:val="clear" w:color="auto" w:fill="D8E8EF"/>
          </w:tcPr>
          <w:p>
            <w:pPr>
              <w:spacing w:after="0"/>
              <w:rPr>
                <w:sz w:val="22"/>
                <w:szCs w:val="22"/>
                <w:color w:val="auto"/>
              </w:rPr>
            </w:pPr>
          </w:p>
        </w:tc>
      </w:tr>
      <w:tr>
        <w:trPr>
          <w:trHeight w:val="246"/>
        </w:trPr>
        <w:tc>
          <w:tcPr>
            <w:tcW w:w="4680" w:type="dxa"/>
            <w:vAlign w:val="bottom"/>
          </w:tcPr>
          <w:p>
            <w:pPr>
              <w:ind w:left="60"/>
              <w:spacing w:after="0"/>
              <w:rPr>
                <w:sz w:val="20"/>
                <w:szCs w:val="20"/>
                <w:color w:val="auto"/>
              </w:rPr>
            </w:pPr>
            <w:r>
              <w:rPr>
                <w:rFonts w:ascii="Arial" w:cs="Arial" w:eastAsia="Arial" w:hAnsi="Arial"/>
                <w:sz w:val="16"/>
                <w:szCs w:val="16"/>
                <w:color w:val="auto"/>
              </w:rPr>
              <w:t>Hassane El-Khoury</w:t>
            </w:r>
          </w:p>
        </w:tc>
        <w:tc>
          <w:tcPr>
            <w:tcW w:w="1740" w:type="dxa"/>
            <w:vAlign w:val="bottom"/>
          </w:tcPr>
          <w:p>
            <w:pPr>
              <w:jc w:val="right"/>
              <w:ind w:right="320"/>
              <w:spacing w:after="0"/>
              <w:rPr>
                <w:sz w:val="20"/>
                <w:szCs w:val="20"/>
                <w:color w:val="auto"/>
              </w:rPr>
            </w:pPr>
            <w:r>
              <w:rPr>
                <w:rFonts w:ascii="Arial" w:cs="Arial" w:eastAsia="Arial" w:hAnsi="Arial"/>
                <w:sz w:val="16"/>
                <w:szCs w:val="16"/>
                <w:color w:val="auto"/>
              </w:rPr>
              <w:t>85,854</w:t>
            </w:r>
          </w:p>
        </w:tc>
        <w:tc>
          <w:tcPr>
            <w:tcW w:w="1400" w:type="dxa"/>
            <w:vAlign w:val="bottom"/>
          </w:tcPr>
          <w:p>
            <w:pPr>
              <w:jc w:val="right"/>
              <w:ind w:right="360"/>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240"/>
              <w:spacing w:after="0"/>
              <w:rPr>
                <w:sz w:val="20"/>
                <w:szCs w:val="20"/>
                <w:color w:val="auto"/>
              </w:rPr>
            </w:pPr>
            <w:r>
              <w:rPr>
                <w:rFonts w:ascii="Arial" w:cs="Arial" w:eastAsia="Arial" w:hAnsi="Arial"/>
                <w:sz w:val="16"/>
                <w:szCs w:val="16"/>
                <w:color w:val="auto"/>
              </w:rPr>
              <w:t>85,854</w:t>
            </w:r>
          </w:p>
        </w:tc>
        <w:tc>
          <w:tcPr>
            <w:tcW w:w="1760" w:type="dxa"/>
            <w:vAlign w:val="bottom"/>
          </w:tcPr>
          <w:p>
            <w:pPr>
              <w:jc w:val="center"/>
              <w:ind w:right="140"/>
              <w:spacing w:after="0"/>
              <w:rPr>
                <w:sz w:val="20"/>
                <w:szCs w:val="20"/>
                <w:color w:val="auto"/>
              </w:rPr>
            </w:pPr>
            <w:r>
              <w:rPr>
                <w:rFonts w:ascii="Arial" w:cs="Arial" w:eastAsia="Arial" w:hAnsi="Arial"/>
                <w:sz w:val="16"/>
                <w:szCs w:val="16"/>
                <w:color w:val="auto"/>
                <w:w w:val="95"/>
              </w:rPr>
              <w:t>*</w:t>
            </w:r>
          </w:p>
        </w:tc>
      </w:tr>
      <w:tr>
        <w:trPr>
          <w:trHeight w:val="263"/>
        </w:trPr>
        <w:tc>
          <w:tcPr>
            <w:tcW w:w="4680" w:type="dxa"/>
            <w:vAlign w:val="bottom"/>
            <w:shd w:val="clear" w:color="auto" w:fill="D8E8EF"/>
          </w:tcPr>
          <w:p>
            <w:pPr>
              <w:ind w:left="60"/>
              <w:spacing w:after="0"/>
              <w:rPr>
                <w:sz w:val="20"/>
                <w:szCs w:val="20"/>
                <w:color w:val="auto"/>
              </w:rPr>
            </w:pPr>
            <w:r>
              <w:rPr>
                <w:rFonts w:ascii="Arial" w:cs="Arial" w:eastAsia="Arial" w:hAnsi="Arial"/>
                <w:sz w:val="16"/>
                <w:szCs w:val="16"/>
                <w:color w:val="auto"/>
              </w:rPr>
              <w:t>Thad Trent</w:t>
            </w:r>
          </w:p>
        </w:tc>
        <w:tc>
          <w:tcPr>
            <w:tcW w:w="1740" w:type="dxa"/>
            <w:vAlign w:val="bottom"/>
            <w:shd w:val="clear" w:color="auto" w:fill="D8E8EF"/>
          </w:tcPr>
          <w:p>
            <w:pPr>
              <w:jc w:val="right"/>
              <w:ind w:right="320"/>
              <w:spacing w:after="0"/>
              <w:rPr>
                <w:sz w:val="20"/>
                <w:szCs w:val="20"/>
                <w:color w:val="auto"/>
              </w:rPr>
            </w:pPr>
            <w:r>
              <w:rPr>
                <w:rFonts w:ascii="Arial" w:cs="Arial" w:eastAsia="Arial" w:hAnsi="Arial"/>
                <w:sz w:val="16"/>
                <w:szCs w:val="16"/>
                <w:color w:val="auto"/>
              </w:rPr>
              <w:t>38,516</w:t>
            </w:r>
          </w:p>
        </w:tc>
        <w:tc>
          <w:tcPr>
            <w:tcW w:w="1400" w:type="dxa"/>
            <w:vAlign w:val="bottom"/>
            <w:shd w:val="clear" w:color="auto" w:fill="D8E8EF"/>
          </w:tcPr>
          <w:p>
            <w:pPr>
              <w:jc w:val="right"/>
              <w:ind w:right="360"/>
              <w:spacing w:after="0"/>
              <w:rPr>
                <w:sz w:val="20"/>
                <w:szCs w:val="20"/>
                <w:color w:val="auto"/>
              </w:rPr>
            </w:pPr>
            <w:r>
              <w:rPr>
                <w:rFonts w:ascii="Arial" w:cs="Arial" w:eastAsia="Arial" w:hAnsi="Arial"/>
                <w:sz w:val="16"/>
                <w:szCs w:val="16"/>
                <w:color w:val="auto"/>
              </w:rPr>
              <w:t>—</w:t>
            </w:r>
          </w:p>
        </w:tc>
        <w:tc>
          <w:tcPr>
            <w:tcW w:w="1340" w:type="dxa"/>
            <w:vAlign w:val="bottom"/>
            <w:shd w:val="clear" w:color="auto" w:fill="D8E8EF"/>
          </w:tcPr>
          <w:p>
            <w:pPr>
              <w:jc w:val="right"/>
              <w:ind w:right="240"/>
              <w:spacing w:after="0"/>
              <w:rPr>
                <w:sz w:val="20"/>
                <w:szCs w:val="20"/>
                <w:color w:val="auto"/>
              </w:rPr>
            </w:pPr>
            <w:r>
              <w:rPr>
                <w:rFonts w:ascii="Arial" w:cs="Arial" w:eastAsia="Arial" w:hAnsi="Arial"/>
                <w:sz w:val="16"/>
                <w:szCs w:val="16"/>
                <w:color w:val="auto"/>
              </w:rPr>
              <w:t>38,516</w:t>
            </w:r>
          </w:p>
        </w:tc>
        <w:tc>
          <w:tcPr>
            <w:tcW w:w="1760" w:type="dxa"/>
            <w:vAlign w:val="bottom"/>
            <w:shd w:val="clear" w:color="auto" w:fill="D8E8EF"/>
          </w:tcPr>
          <w:p>
            <w:pPr>
              <w:jc w:val="center"/>
              <w:ind w:right="140"/>
              <w:spacing w:after="0"/>
              <w:rPr>
                <w:sz w:val="20"/>
                <w:szCs w:val="20"/>
                <w:color w:val="auto"/>
              </w:rPr>
            </w:pPr>
            <w:r>
              <w:rPr>
                <w:rFonts w:ascii="Arial" w:cs="Arial" w:eastAsia="Arial" w:hAnsi="Arial"/>
                <w:sz w:val="16"/>
                <w:szCs w:val="16"/>
                <w:color w:val="auto"/>
                <w:w w:val="95"/>
              </w:rPr>
              <w:t>*</w:t>
            </w:r>
          </w:p>
        </w:tc>
      </w:tr>
      <w:tr>
        <w:trPr>
          <w:trHeight w:val="246"/>
        </w:trPr>
        <w:tc>
          <w:tcPr>
            <w:tcW w:w="4680" w:type="dxa"/>
            <w:vAlign w:val="bottom"/>
          </w:tcPr>
          <w:p>
            <w:pPr>
              <w:ind w:left="60"/>
              <w:spacing w:after="0"/>
              <w:rPr>
                <w:sz w:val="20"/>
                <w:szCs w:val="20"/>
                <w:color w:val="auto"/>
              </w:rPr>
            </w:pPr>
            <w:r>
              <w:rPr>
                <w:rFonts w:ascii="Arial" w:cs="Arial" w:eastAsia="Arial" w:hAnsi="Arial"/>
                <w:sz w:val="16"/>
                <w:szCs w:val="16"/>
                <w:color w:val="auto"/>
              </w:rPr>
              <w:t>Vincent C. Hopkin</w:t>
            </w:r>
          </w:p>
        </w:tc>
        <w:tc>
          <w:tcPr>
            <w:tcW w:w="1740" w:type="dxa"/>
            <w:vAlign w:val="bottom"/>
          </w:tcPr>
          <w:p>
            <w:pPr>
              <w:jc w:val="right"/>
              <w:ind w:right="320"/>
              <w:spacing w:after="0"/>
              <w:rPr>
                <w:sz w:val="20"/>
                <w:szCs w:val="20"/>
                <w:color w:val="auto"/>
              </w:rPr>
            </w:pPr>
            <w:r>
              <w:rPr>
                <w:rFonts w:ascii="Arial" w:cs="Arial" w:eastAsia="Arial" w:hAnsi="Arial"/>
                <w:sz w:val="16"/>
                <w:szCs w:val="16"/>
                <w:color w:val="auto"/>
              </w:rPr>
              <w:t>125,367</w:t>
            </w:r>
          </w:p>
        </w:tc>
        <w:tc>
          <w:tcPr>
            <w:tcW w:w="1400" w:type="dxa"/>
            <w:vAlign w:val="bottom"/>
          </w:tcPr>
          <w:p>
            <w:pPr>
              <w:jc w:val="right"/>
              <w:ind w:right="360"/>
              <w:spacing w:after="0"/>
              <w:rPr>
                <w:sz w:val="20"/>
                <w:szCs w:val="20"/>
                <w:color w:val="auto"/>
              </w:rPr>
            </w:pPr>
            <w:r>
              <w:rPr>
                <w:rFonts w:ascii="Arial" w:cs="Arial" w:eastAsia="Arial" w:hAnsi="Arial"/>
                <w:sz w:val="16"/>
                <w:szCs w:val="16"/>
                <w:color w:val="auto"/>
              </w:rPr>
              <w:t>17,864</w:t>
            </w:r>
          </w:p>
        </w:tc>
        <w:tc>
          <w:tcPr>
            <w:tcW w:w="1340" w:type="dxa"/>
            <w:vAlign w:val="bottom"/>
          </w:tcPr>
          <w:p>
            <w:pPr>
              <w:jc w:val="right"/>
              <w:ind w:right="240"/>
              <w:spacing w:after="0"/>
              <w:rPr>
                <w:sz w:val="20"/>
                <w:szCs w:val="20"/>
                <w:color w:val="auto"/>
              </w:rPr>
            </w:pPr>
            <w:r>
              <w:rPr>
                <w:rFonts w:ascii="Arial" w:cs="Arial" w:eastAsia="Arial" w:hAnsi="Arial"/>
                <w:sz w:val="16"/>
                <w:szCs w:val="16"/>
                <w:color w:val="auto"/>
              </w:rPr>
              <w:t>143,231</w:t>
            </w:r>
          </w:p>
        </w:tc>
        <w:tc>
          <w:tcPr>
            <w:tcW w:w="1760" w:type="dxa"/>
            <w:vAlign w:val="bottom"/>
          </w:tcPr>
          <w:p>
            <w:pPr>
              <w:jc w:val="center"/>
              <w:ind w:right="140"/>
              <w:spacing w:after="0"/>
              <w:rPr>
                <w:sz w:val="20"/>
                <w:szCs w:val="20"/>
                <w:color w:val="auto"/>
              </w:rPr>
            </w:pPr>
            <w:r>
              <w:rPr>
                <w:rFonts w:ascii="Arial" w:cs="Arial" w:eastAsia="Arial" w:hAnsi="Arial"/>
                <w:sz w:val="16"/>
                <w:szCs w:val="16"/>
                <w:color w:val="auto"/>
                <w:w w:val="95"/>
              </w:rPr>
              <w:t>*</w:t>
            </w:r>
          </w:p>
        </w:tc>
      </w:tr>
      <w:tr>
        <w:trPr>
          <w:trHeight w:val="263"/>
        </w:trPr>
        <w:tc>
          <w:tcPr>
            <w:tcW w:w="4680" w:type="dxa"/>
            <w:vAlign w:val="bottom"/>
            <w:shd w:val="clear" w:color="auto" w:fill="D8E8EF"/>
          </w:tcPr>
          <w:p>
            <w:pPr>
              <w:ind w:left="60"/>
              <w:spacing w:after="0"/>
              <w:rPr>
                <w:sz w:val="20"/>
                <w:szCs w:val="20"/>
                <w:color w:val="auto"/>
              </w:rPr>
            </w:pPr>
            <w:r>
              <w:rPr>
                <w:rFonts w:ascii="Arial" w:cs="Arial" w:eastAsia="Arial" w:hAnsi="Arial"/>
                <w:sz w:val="16"/>
                <w:szCs w:val="16"/>
                <w:color w:val="auto"/>
              </w:rPr>
              <w:t>Simon Keeton</w:t>
            </w:r>
          </w:p>
        </w:tc>
        <w:tc>
          <w:tcPr>
            <w:tcW w:w="1740" w:type="dxa"/>
            <w:vAlign w:val="bottom"/>
            <w:shd w:val="clear" w:color="auto" w:fill="D8E8EF"/>
          </w:tcPr>
          <w:p>
            <w:pPr>
              <w:jc w:val="right"/>
              <w:ind w:right="320"/>
              <w:spacing w:after="0"/>
              <w:rPr>
                <w:sz w:val="20"/>
                <w:szCs w:val="20"/>
                <w:color w:val="auto"/>
              </w:rPr>
            </w:pPr>
            <w:r>
              <w:rPr>
                <w:rFonts w:ascii="Arial" w:cs="Arial" w:eastAsia="Arial" w:hAnsi="Arial"/>
                <w:sz w:val="16"/>
                <w:szCs w:val="16"/>
                <w:color w:val="auto"/>
              </w:rPr>
              <w:t>114,521</w:t>
            </w:r>
          </w:p>
        </w:tc>
        <w:tc>
          <w:tcPr>
            <w:tcW w:w="1400" w:type="dxa"/>
            <w:vAlign w:val="bottom"/>
            <w:shd w:val="clear" w:color="auto" w:fill="D8E8EF"/>
          </w:tcPr>
          <w:p>
            <w:pPr>
              <w:jc w:val="right"/>
              <w:ind w:right="360"/>
              <w:spacing w:after="0"/>
              <w:rPr>
                <w:sz w:val="20"/>
                <w:szCs w:val="20"/>
                <w:color w:val="auto"/>
              </w:rPr>
            </w:pPr>
            <w:r>
              <w:rPr>
                <w:rFonts w:ascii="Arial" w:cs="Arial" w:eastAsia="Arial" w:hAnsi="Arial"/>
                <w:sz w:val="16"/>
                <w:szCs w:val="16"/>
                <w:color w:val="auto"/>
              </w:rPr>
              <w:t>17,864</w:t>
            </w:r>
          </w:p>
        </w:tc>
        <w:tc>
          <w:tcPr>
            <w:tcW w:w="1340" w:type="dxa"/>
            <w:vAlign w:val="bottom"/>
            <w:shd w:val="clear" w:color="auto" w:fill="D8E8EF"/>
          </w:tcPr>
          <w:p>
            <w:pPr>
              <w:jc w:val="right"/>
              <w:ind w:right="240"/>
              <w:spacing w:after="0"/>
              <w:rPr>
                <w:sz w:val="20"/>
                <w:szCs w:val="20"/>
                <w:color w:val="auto"/>
              </w:rPr>
            </w:pPr>
            <w:r>
              <w:rPr>
                <w:rFonts w:ascii="Arial" w:cs="Arial" w:eastAsia="Arial" w:hAnsi="Arial"/>
                <w:sz w:val="16"/>
                <w:szCs w:val="16"/>
                <w:color w:val="auto"/>
              </w:rPr>
              <w:t>132,385</w:t>
            </w:r>
          </w:p>
        </w:tc>
        <w:tc>
          <w:tcPr>
            <w:tcW w:w="1760" w:type="dxa"/>
            <w:vAlign w:val="bottom"/>
            <w:shd w:val="clear" w:color="auto" w:fill="D8E8EF"/>
          </w:tcPr>
          <w:p>
            <w:pPr>
              <w:jc w:val="center"/>
              <w:ind w:right="140"/>
              <w:spacing w:after="0"/>
              <w:rPr>
                <w:sz w:val="20"/>
                <w:szCs w:val="20"/>
                <w:color w:val="auto"/>
              </w:rPr>
            </w:pPr>
            <w:r>
              <w:rPr>
                <w:rFonts w:ascii="Arial" w:cs="Arial" w:eastAsia="Arial" w:hAnsi="Arial"/>
                <w:sz w:val="16"/>
                <w:szCs w:val="16"/>
                <w:color w:val="auto"/>
                <w:w w:val="95"/>
              </w:rPr>
              <w:t>*</w:t>
            </w:r>
          </w:p>
        </w:tc>
      </w:tr>
      <w:tr>
        <w:trPr>
          <w:trHeight w:val="246"/>
        </w:trPr>
        <w:tc>
          <w:tcPr>
            <w:tcW w:w="4680" w:type="dxa"/>
            <w:vAlign w:val="bottom"/>
          </w:tcPr>
          <w:p>
            <w:pPr>
              <w:ind w:left="60"/>
              <w:spacing w:after="0"/>
              <w:rPr>
                <w:sz w:val="20"/>
                <w:szCs w:val="20"/>
                <w:color w:val="auto"/>
              </w:rPr>
            </w:pPr>
            <w:r>
              <w:rPr>
                <w:rFonts w:ascii="Arial" w:cs="Arial" w:eastAsia="Arial" w:hAnsi="Arial"/>
                <w:sz w:val="16"/>
                <w:szCs w:val="16"/>
                <w:color w:val="auto"/>
              </w:rPr>
              <w:t>Ross F. Jatou</w:t>
            </w:r>
          </w:p>
        </w:tc>
        <w:tc>
          <w:tcPr>
            <w:tcW w:w="1740" w:type="dxa"/>
            <w:vAlign w:val="bottom"/>
          </w:tcPr>
          <w:p>
            <w:pPr>
              <w:jc w:val="right"/>
              <w:ind w:right="320"/>
              <w:spacing w:after="0"/>
              <w:rPr>
                <w:sz w:val="20"/>
                <w:szCs w:val="20"/>
                <w:color w:val="auto"/>
              </w:rPr>
            </w:pPr>
            <w:r>
              <w:rPr>
                <w:rFonts w:ascii="Arial" w:cs="Arial" w:eastAsia="Arial" w:hAnsi="Arial"/>
                <w:sz w:val="16"/>
                <w:szCs w:val="16"/>
                <w:color w:val="auto"/>
              </w:rPr>
              <w:t>30,427</w:t>
            </w:r>
          </w:p>
        </w:tc>
        <w:tc>
          <w:tcPr>
            <w:tcW w:w="1400" w:type="dxa"/>
            <w:vAlign w:val="bottom"/>
          </w:tcPr>
          <w:p>
            <w:pPr>
              <w:jc w:val="right"/>
              <w:ind w:right="360"/>
              <w:spacing w:after="0"/>
              <w:rPr>
                <w:sz w:val="20"/>
                <w:szCs w:val="20"/>
                <w:color w:val="auto"/>
              </w:rPr>
            </w:pPr>
            <w:r>
              <w:rPr>
                <w:rFonts w:ascii="Arial" w:cs="Arial" w:eastAsia="Arial" w:hAnsi="Arial"/>
                <w:sz w:val="16"/>
                <w:szCs w:val="16"/>
                <w:color w:val="auto"/>
              </w:rPr>
              <w:t>3,722</w:t>
            </w:r>
          </w:p>
        </w:tc>
        <w:tc>
          <w:tcPr>
            <w:tcW w:w="1340" w:type="dxa"/>
            <w:vAlign w:val="bottom"/>
          </w:tcPr>
          <w:p>
            <w:pPr>
              <w:jc w:val="right"/>
              <w:ind w:right="240"/>
              <w:spacing w:after="0"/>
              <w:rPr>
                <w:sz w:val="20"/>
                <w:szCs w:val="20"/>
                <w:color w:val="auto"/>
              </w:rPr>
            </w:pPr>
            <w:r>
              <w:rPr>
                <w:rFonts w:ascii="Arial" w:cs="Arial" w:eastAsia="Arial" w:hAnsi="Arial"/>
                <w:sz w:val="16"/>
                <w:szCs w:val="16"/>
                <w:color w:val="auto"/>
              </w:rPr>
              <w:t>34,149</w:t>
            </w:r>
          </w:p>
        </w:tc>
        <w:tc>
          <w:tcPr>
            <w:tcW w:w="1760" w:type="dxa"/>
            <w:vAlign w:val="bottom"/>
          </w:tcPr>
          <w:p>
            <w:pPr>
              <w:jc w:val="center"/>
              <w:ind w:right="140"/>
              <w:spacing w:after="0"/>
              <w:rPr>
                <w:sz w:val="20"/>
                <w:szCs w:val="20"/>
                <w:color w:val="auto"/>
              </w:rPr>
            </w:pPr>
            <w:r>
              <w:rPr>
                <w:rFonts w:ascii="Arial" w:cs="Arial" w:eastAsia="Arial" w:hAnsi="Arial"/>
                <w:sz w:val="16"/>
                <w:szCs w:val="16"/>
                <w:color w:val="auto"/>
                <w:w w:val="95"/>
              </w:rPr>
              <w:t>*</w:t>
            </w:r>
          </w:p>
        </w:tc>
      </w:tr>
      <w:tr>
        <w:trPr>
          <w:trHeight w:val="263"/>
        </w:trPr>
        <w:tc>
          <w:tcPr>
            <w:tcW w:w="4680" w:type="dxa"/>
            <w:vAlign w:val="bottom"/>
            <w:shd w:val="clear" w:color="auto" w:fill="D8E8EF"/>
          </w:tcPr>
          <w:p>
            <w:pPr>
              <w:ind w:left="60"/>
              <w:spacing w:after="0"/>
              <w:rPr>
                <w:sz w:val="20"/>
                <w:szCs w:val="20"/>
                <w:color w:val="auto"/>
              </w:rPr>
            </w:pPr>
            <w:r>
              <w:rPr>
                <w:rFonts w:ascii="Arial" w:cs="Arial" w:eastAsia="Arial" w:hAnsi="Arial"/>
                <w:sz w:val="16"/>
                <w:szCs w:val="16"/>
                <w:color w:val="auto"/>
              </w:rPr>
              <w:t>George H. Cave</w:t>
            </w:r>
          </w:p>
        </w:tc>
        <w:tc>
          <w:tcPr>
            <w:tcW w:w="1740" w:type="dxa"/>
            <w:vAlign w:val="bottom"/>
            <w:shd w:val="clear" w:color="auto" w:fill="D8E8EF"/>
          </w:tcPr>
          <w:p>
            <w:pPr>
              <w:jc w:val="right"/>
              <w:ind w:right="320"/>
              <w:spacing w:after="0"/>
              <w:rPr>
                <w:sz w:val="20"/>
                <w:szCs w:val="20"/>
                <w:color w:val="auto"/>
              </w:rPr>
            </w:pPr>
            <w:r>
              <w:rPr>
                <w:rFonts w:ascii="Arial" w:cs="Arial" w:eastAsia="Arial" w:hAnsi="Arial"/>
                <w:sz w:val="16"/>
                <w:szCs w:val="16"/>
                <w:color w:val="auto"/>
              </w:rPr>
              <w:t>180,764</w:t>
            </w:r>
          </w:p>
        </w:tc>
        <w:tc>
          <w:tcPr>
            <w:tcW w:w="1400" w:type="dxa"/>
            <w:vAlign w:val="bottom"/>
            <w:shd w:val="clear" w:color="auto" w:fill="D8E8EF"/>
          </w:tcPr>
          <w:p>
            <w:pPr>
              <w:jc w:val="right"/>
              <w:ind w:right="360"/>
              <w:spacing w:after="0"/>
              <w:rPr>
                <w:sz w:val="20"/>
                <w:szCs w:val="20"/>
                <w:color w:val="auto"/>
              </w:rPr>
            </w:pPr>
            <w:r>
              <w:rPr>
                <w:rFonts w:ascii="Arial" w:cs="Arial" w:eastAsia="Arial" w:hAnsi="Arial"/>
                <w:sz w:val="16"/>
                <w:szCs w:val="16"/>
                <w:color w:val="auto"/>
              </w:rPr>
              <w:t>15,751</w:t>
            </w:r>
          </w:p>
        </w:tc>
        <w:tc>
          <w:tcPr>
            <w:tcW w:w="1340" w:type="dxa"/>
            <w:vAlign w:val="bottom"/>
            <w:shd w:val="clear" w:color="auto" w:fill="D8E8EF"/>
          </w:tcPr>
          <w:p>
            <w:pPr>
              <w:jc w:val="right"/>
              <w:ind w:right="240"/>
              <w:spacing w:after="0"/>
              <w:rPr>
                <w:sz w:val="20"/>
                <w:szCs w:val="20"/>
                <w:color w:val="auto"/>
              </w:rPr>
            </w:pPr>
            <w:r>
              <w:rPr>
                <w:rFonts w:ascii="Arial" w:cs="Arial" w:eastAsia="Arial" w:hAnsi="Arial"/>
                <w:sz w:val="16"/>
                <w:szCs w:val="16"/>
                <w:color w:val="auto"/>
              </w:rPr>
              <w:t>196,515</w:t>
            </w:r>
          </w:p>
        </w:tc>
        <w:tc>
          <w:tcPr>
            <w:tcW w:w="1760" w:type="dxa"/>
            <w:vAlign w:val="bottom"/>
            <w:shd w:val="clear" w:color="auto" w:fill="D8E8EF"/>
          </w:tcPr>
          <w:p>
            <w:pPr>
              <w:jc w:val="center"/>
              <w:ind w:right="140"/>
              <w:spacing w:after="0"/>
              <w:rPr>
                <w:sz w:val="20"/>
                <w:szCs w:val="20"/>
                <w:color w:val="auto"/>
              </w:rPr>
            </w:pPr>
            <w:r>
              <w:rPr>
                <w:rFonts w:ascii="Arial" w:cs="Arial" w:eastAsia="Arial" w:hAnsi="Arial"/>
                <w:sz w:val="16"/>
                <w:szCs w:val="16"/>
                <w:color w:val="auto"/>
                <w:w w:val="95"/>
              </w:rPr>
              <w:t>*</w:t>
            </w:r>
          </w:p>
        </w:tc>
      </w:tr>
      <w:tr>
        <w:trPr>
          <w:trHeight w:val="246"/>
        </w:trPr>
        <w:tc>
          <w:tcPr>
            <w:tcW w:w="4680" w:type="dxa"/>
            <w:vAlign w:val="bottom"/>
          </w:tcPr>
          <w:p>
            <w:pPr>
              <w:ind w:left="60"/>
              <w:spacing w:after="0"/>
              <w:rPr>
                <w:sz w:val="20"/>
                <w:szCs w:val="20"/>
                <w:color w:val="auto"/>
              </w:rPr>
            </w:pPr>
            <w:r>
              <w:rPr>
                <w:rFonts w:ascii="Arial" w:cs="Arial" w:eastAsia="Arial" w:hAnsi="Arial"/>
                <w:sz w:val="16"/>
                <w:szCs w:val="16"/>
                <w:color w:val="auto"/>
              </w:rPr>
              <w:t>Bernard Gutmann (2)</w:t>
            </w:r>
          </w:p>
        </w:tc>
        <w:tc>
          <w:tcPr>
            <w:tcW w:w="1740" w:type="dxa"/>
            <w:vAlign w:val="bottom"/>
          </w:tcPr>
          <w:p>
            <w:pPr>
              <w:jc w:val="right"/>
              <w:ind w:right="320"/>
              <w:spacing w:after="0"/>
              <w:rPr>
                <w:sz w:val="20"/>
                <w:szCs w:val="20"/>
                <w:color w:val="auto"/>
              </w:rPr>
            </w:pPr>
            <w:r>
              <w:rPr>
                <w:rFonts w:ascii="Arial" w:cs="Arial" w:eastAsia="Arial" w:hAnsi="Arial"/>
                <w:sz w:val="16"/>
                <w:szCs w:val="16"/>
                <w:color w:val="auto"/>
              </w:rPr>
              <w:t>485,926</w:t>
            </w:r>
          </w:p>
        </w:tc>
        <w:tc>
          <w:tcPr>
            <w:tcW w:w="1400" w:type="dxa"/>
            <w:vAlign w:val="bottom"/>
          </w:tcPr>
          <w:p>
            <w:pPr>
              <w:jc w:val="right"/>
              <w:ind w:right="360"/>
              <w:spacing w:after="0"/>
              <w:rPr>
                <w:sz w:val="20"/>
                <w:szCs w:val="20"/>
                <w:color w:val="auto"/>
              </w:rPr>
            </w:pPr>
            <w:r>
              <w:rPr>
                <w:rFonts w:ascii="Arial" w:cs="Arial" w:eastAsia="Arial" w:hAnsi="Arial"/>
                <w:sz w:val="16"/>
                <w:szCs w:val="16"/>
                <w:color w:val="auto"/>
              </w:rPr>
              <w:t>25,644</w:t>
            </w:r>
          </w:p>
        </w:tc>
        <w:tc>
          <w:tcPr>
            <w:tcW w:w="1340" w:type="dxa"/>
            <w:vAlign w:val="bottom"/>
          </w:tcPr>
          <w:p>
            <w:pPr>
              <w:jc w:val="right"/>
              <w:ind w:right="240"/>
              <w:spacing w:after="0"/>
              <w:rPr>
                <w:sz w:val="20"/>
                <w:szCs w:val="20"/>
                <w:color w:val="auto"/>
              </w:rPr>
            </w:pPr>
            <w:r>
              <w:rPr>
                <w:rFonts w:ascii="Arial" w:cs="Arial" w:eastAsia="Arial" w:hAnsi="Arial"/>
                <w:sz w:val="16"/>
                <w:szCs w:val="16"/>
                <w:color w:val="auto"/>
              </w:rPr>
              <w:t>511,570</w:t>
            </w:r>
          </w:p>
        </w:tc>
        <w:tc>
          <w:tcPr>
            <w:tcW w:w="1760" w:type="dxa"/>
            <w:vAlign w:val="bottom"/>
          </w:tcPr>
          <w:p>
            <w:pPr>
              <w:jc w:val="center"/>
              <w:ind w:right="140"/>
              <w:spacing w:after="0"/>
              <w:rPr>
                <w:sz w:val="20"/>
                <w:szCs w:val="20"/>
                <w:color w:val="auto"/>
              </w:rPr>
            </w:pPr>
            <w:r>
              <w:rPr>
                <w:rFonts w:ascii="Arial" w:cs="Arial" w:eastAsia="Arial" w:hAnsi="Arial"/>
                <w:sz w:val="16"/>
                <w:szCs w:val="16"/>
                <w:color w:val="auto"/>
                <w:w w:val="95"/>
              </w:rPr>
              <w:t>*</w:t>
            </w:r>
          </w:p>
        </w:tc>
      </w:tr>
      <w:tr>
        <w:trPr>
          <w:trHeight w:val="263"/>
        </w:trPr>
        <w:tc>
          <w:tcPr>
            <w:tcW w:w="4680" w:type="dxa"/>
            <w:vAlign w:val="bottom"/>
            <w:shd w:val="clear" w:color="auto" w:fill="D8E8EF"/>
          </w:tcPr>
          <w:p>
            <w:pPr>
              <w:ind w:left="60"/>
              <w:spacing w:after="0"/>
              <w:rPr>
                <w:sz w:val="20"/>
                <w:szCs w:val="20"/>
                <w:color w:val="auto"/>
              </w:rPr>
            </w:pPr>
            <w:r>
              <w:rPr>
                <w:rFonts w:ascii="Arial" w:cs="Arial" w:eastAsia="Arial" w:hAnsi="Arial"/>
                <w:sz w:val="16"/>
                <w:szCs w:val="16"/>
                <w:b w:val="1"/>
                <w:bCs w:val="1"/>
                <w:color w:val="auto"/>
              </w:rPr>
              <w:t>Directors and nominees for Director (excluding CEO)</w:t>
            </w:r>
          </w:p>
        </w:tc>
        <w:tc>
          <w:tcPr>
            <w:tcW w:w="1740" w:type="dxa"/>
            <w:vAlign w:val="bottom"/>
            <w:shd w:val="clear" w:color="auto" w:fill="D8E8EF"/>
          </w:tcPr>
          <w:p>
            <w:pPr>
              <w:spacing w:after="0"/>
              <w:rPr>
                <w:sz w:val="22"/>
                <w:szCs w:val="22"/>
                <w:color w:val="auto"/>
              </w:rPr>
            </w:pPr>
          </w:p>
        </w:tc>
        <w:tc>
          <w:tcPr>
            <w:tcW w:w="1400" w:type="dxa"/>
            <w:vAlign w:val="bottom"/>
            <w:shd w:val="clear" w:color="auto" w:fill="D8E8EF"/>
          </w:tcPr>
          <w:p>
            <w:pPr>
              <w:spacing w:after="0"/>
              <w:rPr>
                <w:sz w:val="22"/>
                <w:szCs w:val="22"/>
                <w:color w:val="auto"/>
              </w:rPr>
            </w:pPr>
          </w:p>
        </w:tc>
        <w:tc>
          <w:tcPr>
            <w:tcW w:w="1340" w:type="dxa"/>
            <w:vAlign w:val="bottom"/>
            <w:shd w:val="clear" w:color="auto" w:fill="D8E8EF"/>
          </w:tcPr>
          <w:p>
            <w:pPr>
              <w:spacing w:after="0"/>
              <w:rPr>
                <w:sz w:val="22"/>
                <w:szCs w:val="22"/>
                <w:color w:val="auto"/>
              </w:rPr>
            </w:pPr>
          </w:p>
        </w:tc>
        <w:tc>
          <w:tcPr>
            <w:tcW w:w="1760" w:type="dxa"/>
            <w:vAlign w:val="bottom"/>
            <w:shd w:val="clear" w:color="auto" w:fill="D8E8EF"/>
          </w:tcPr>
          <w:p>
            <w:pPr>
              <w:spacing w:after="0"/>
              <w:rPr>
                <w:sz w:val="22"/>
                <w:szCs w:val="22"/>
                <w:color w:val="auto"/>
              </w:rPr>
            </w:pPr>
          </w:p>
        </w:tc>
      </w:tr>
      <w:tr>
        <w:trPr>
          <w:trHeight w:val="246"/>
        </w:trPr>
        <w:tc>
          <w:tcPr>
            <w:tcW w:w="4680" w:type="dxa"/>
            <w:vAlign w:val="bottom"/>
          </w:tcPr>
          <w:p>
            <w:pPr>
              <w:ind w:left="60"/>
              <w:spacing w:after="0"/>
              <w:rPr>
                <w:sz w:val="20"/>
                <w:szCs w:val="20"/>
                <w:color w:val="auto"/>
              </w:rPr>
            </w:pPr>
            <w:r>
              <w:rPr>
                <w:rFonts w:ascii="Arial" w:cs="Arial" w:eastAsia="Arial" w:hAnsi="Arial"/>
                <w:sz w:val="16"/>
                <w:szCs w:val="16"/>
                <w:color w:val="auto"/>
              </w:rPr>
              <w:t>Atsushi Abe</w:t>
            </w:r>
          </w:p>
        </w:tc>
        <w:tc>
          <w:tcPr>
            <w:tcW w:w="1740" w:type="dxa"/>
            <w:vAlign w:val="bottom"/>
          </w:tcPr>
          <w:p>
            <w:pPr>
              <w:jc w:val="right"/>
              <w:ind w:right="320"/>
              <w:spacing w:after="0"/>
              <w:rPr>
                <w:sz w:val="20"/>
                <w:szCs w:val="20"/>
                <w:color w:val="auto"/>
              </w:rPr>
            </w:pPr>
            <w:r>
              <w:rPr>
                <w:rFonts w:ascii="Arial" w:cs="Arial" w:eastAsia="Arial" w:hAnsi="Arial"/>
                <w:sz w:val="16"/>
                <w:szCs w:val="16"/>
                <w:color w:val="auto"/>
              </w:rPr>
              <w:t>168,163</w:t>
            </w:r>
          </w:p>
        </w:tc>
        <w:tc>
          <w:tcPr>
            <w:tcW w:w="1400" w:type="dxa"/>
            <w:vAlign w:val="bottom"/>
          </w:tcPr>
          <w:p>
            <w:pPr>
              <w:jc w:val="right"/>
              <w:ind w:right="360"/>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240"/>
              <w:spacing w:after="0"/>
              <w:rPr>
                <w:sz w:val="20"/>
                <w:szCs w:val="20"/>
                <w:color w:val="auto"/>
              </w:rPr>
            </w:pPr>
            <w:r>
              <w:rPr>
                <w:rFonts w:ascii="Arial" w:cs="Arial" w:eastAsia="Arial" w:hAnsi="Arial"/>
                <w:sz w:val="16"/>
                <w:szCs w:val="16"/>
                <w:color w:val="auto"/>
              </w:rPr>
              <w:t>168,163</w:t>
            </w:r>
          </w:p>
        </w:tc>
        <w:tc>
          <w:tcPr>
            <w:tcW w:w="1760" w:type="dxa"/>
            <w:vAlign w:val="bottom"/>
          </w:tcPr>
          <w:p>
            <w:pPr>
              <w:jc w:val="center"/>
              <w:ind w:right="140"/>
              <w:spacing w:after="0"/>
              <w:rPr>
                <w:sz w:val="20"/>
                <w:szCs w:val="20"/>
                <w:color w:val="auto"/>
              </w:rPr>
            </w:pPr>
            <w:r>
              <w:rPr>
                <w:rFonts w:ascii="Arial" w:cs="Arial" w:eastAsia="Arial" w:hAnsi="Arial"/>
                <w:sz w:val="16"/>
                <w:szCs w:val="16"/>
                <w:color w:val="auto"/>
                <w:w w:val="95"/>
              </w:rPr>
              <w:t>*</w:t>
            </w:r>
          </w:p>
        </w:tc>
      </w:tr>
      <w:tr>
        <w:trPr>
          <w:trHeight w:val="263"/>
        </w:trPr>
        <w:tc>
          <w:tcPr>
            <w:tcW w:w="4680" w:type="dxa"/>
            <w:vAlign w:val="bottom"/>
            <w:shd w:val="clear" w:color="auto" w:fill="D8E8EF"/>
          </w:tcPr>
          <w:p>
            <w:pPr>
              <w:ind w:left="60"/>
              <w:spacing w:after="0"/>
              <w:rPr>
                <w:sz w:val="20"/>
                <w:szCs w:val="20"/>
                <w:color w:val="auto"/>
              </w:rPr>
            </w:pPr>
            <w:r>
              <w:rPr>
                <w:rFonts w:ascii="Arial" w:cs="Arial" w:eastAsia="Arial" w:hAnsi="Arial"/>
                <w:sz w:val="16"/>
                <w:szCs w:val="16"/>
                <w:color w:val="auto"/>
              </w:rPr>
              <w:t>Alan Campbell</w:t>
            </w:r>
          </w:p>
        </w:tc>
        <w:tc>
          <w:tcPr>
            <w:tcW w:w="1740" w:type="dxa"/>
            <w:vAlign w:val="bottom"/>
            <w:shd w:val="clear" w:color="auto" w:fill="D8E8EF"/>
          </w:tcPr>
          <w:p>
            <w:pPr>
              <w:jc w:val="right"/>
              <w:ind w:right="320"/>
              <w:spacing w:after="0"/>
              <w:rPr>
                <w:sz w:val="20"/>
                <w:szCs w:val="20"/>
                <w:color w:val="auto"/>
              </w:rPr>
            </w:pPr>
            <w:r>
              <w:rPr>
                <w:rFonts w:ascii="Arial" w:cs="Arial" w:eastAsia="Arial" w:hAnsi="Arial"/>
                <w:sz w:val="16"/>
                <w:szCs w:val="16"/>
                <w:color w:val="auto"/>
              </w:rPr>
              <w:t>85,697</w:t>
            </w:r>
          </w:p>
        </w:tc>
        <w:tc>
          <w:tcPr>
            <w:tcW w:w="1400" w:type="dxa"/>
            <w:vAlign w:val="bottom"/>
            <w:shd w:val="clear" w:color="auto" w:fill="D8E8EF"/>
          </w:tcPr>
          <w:p>
            <w:pPr>
              <w:jc w:val="right"/>
              <w:ind w:right="360"/>
              <w:spacing w:after="0"/>
              <w:rPr>
                <w:sz w:val="20"/>
                <w:szCs w:val="20"/>
                <w:color w:val="auto"/>
              </w:rPr>
            </w:pPr>
            <w:r>
              <w:rPr>
                <w:rFonts w:ascii="Arial" w:cs="Arial" w:eastAsia="Arial" w:hAnsi="Arial"/>
                <w:sz w:val="16"/>
                <w:szCs w:val="16"/>
                <w:color w:val="auto"/>
              </w:rPr>
              <w:t>—</w:t>
            </w:r>
          </w:p>
        </w:tc>
        <w:tc>
          <w:tcPr>
            <w:tcW w:w="1340" w:type="dxa"/>
            <w:vAlign w:val="bottom"/>
            <w:shd w:val="clear" w:color="auto" w:fill="D8E8EF"/>
          </w:tcPr>
          <w:p>
            <w:pPr>
              <w:jc w:val="right"/>
              <w:ind w:right="240"/>
              <w:spacing w:after="0"/>
              <w:rPr>
                <w:sz w:val="20"/>
                <w:szCs w:val="20"/>
                <w:color w:val="auto"/>
              </w:rPr>
            </w:pPr>
            <w:r>
              <w:rPr>
                <w:rFonts w:ascii="Arial" w:cs="Arial" w:eastAsia="Arial" w:hAnsi="Arial"/>
                <w:sz w:val="16"/>
                <w:szCs w:val="16"/>
                <w:color w:val="auto"/>
              </w:rPr>
              <w:t>85,697</w:t>
            </w:r>
          </w:p>
        </w:tc>
        <w:tc>
          <w:tcPr>
            <w:tcW w:w="1760" w:type="dxa"/>
            <w:vAlign w:val="bottom"/>
            <w:shd w:val="clear" w:color="auto" w:fill="D8E8EF"/>
          </w:tcPr>
          <w:p>
            <w:pPr>
              <w:jc w:val="center"/>
              <w:ind w:right="140"/>
              <w:spacing w:after="0"/>
              <w:rPr>
                <w:sz w:val="20"/>
                <w:szCs w:val="20"/>
                <w:color w:val="auto"/>
              </w:rPr>
            </w:pPr>
            <w:r>
              <w:rPr>
                <w:rFonts w:ascii="Arial" w:cs="Arial" w:eastAsia="Arial" w:hAnsi="Arial"/>
                <w:sz w:val="16"/>
                <w:szCs w:val="16"/>
                <w:color w:val="auto"/>
                <w:w w:val="95"/>
              </w:rPr>
              <w:t>*</w:t>
            </w:r>
          </w:p>
        </w:tc>
      </w:tr>
      <w:tr>
        <w:trPr>
          <w:trHeight w:val="246"/>
        </w:trPr>
        <w:tc>
          <w:tcPr>
            <w:tcW w:w="4680" w:type="dxa"/>
            <w:vAlign w:val="bottom"/>
          </w:tcPr>
          <w:p>
            <w:pPr>
              <w:ind w:left="60"/>
              <w:spacing w:after="0"/>
              <w:rPr>
                <w:sz w:val="20"/>
                <w:szCs w:val="20"/>
                <w:color w:val="auto"/>
              </w:rPr>
            </w:pPr>
            <w:r>
              <w:rPr>
                <w:rFonts w:ascii="Arial" w:cs="Arial" w:eastAsia="Arial" w:hAnsi="Arial"/>
                <w:sz w:val="16"/>
                <w:szCs w:val="16"/>
                <w:color w:val="auto"/>
              </w:rPr>
              <w:t>Susan K. Carter</w:t>
            </w:r>
          </w:p>
        </w:tc>
        <w:tc>
          <w:tcPr>
            <w:tcW w:w="1740" w:type="dxa"/>
            <w:vAlign w:val="bottom"/>
          </w:tcPr>
          <w:p>
            <w:pPr>
              <w:jc w:val="right"/>
              <w:ind w:right="320"/>
              <w:spacing w:after="0"/>
              <w:rPr>
                <w:sz w:val="20"/>
                <w:szCs w:val="20"/>
                <w:color w:val="auto"/>
              </w:rPr>
            </w:pPr>
            <w:r>
              <w:rPr>
                <w:rFonts w:ascii="Arial" w:cs="Arial" w:eastAsia="Arial" w:hAnsi="Arial"/>
                <w:sz w:val="16"/>
                <w:szCs w:val="16"/>
                <w:color w:val="auto"/>
              </w:rPr>
              <w:t>9,289</w:t>
            </w:r>
          </w:p>
        </w:tc>
        <w:tc>
          <w:tcPr>
            <w:tcW w:w="1400" w:type="dxa"/>
            <w:vAlign w:val="bottom"/>
          </w:tcPr>
          <w:p>
            <w:pPr>
              <w:jc w:val="right"/>
              <w:ind w:right="360"/>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240"/>
              <w:spacing w:after="0"/>
              <w:rPr>
                <w:sz w:val="20"/>
                <w:szCs w:val="20"/>
                <w:color w:val="auto"/>
              </w:rPr>
            </w:pPr>
            <w:r>
              <w:rPr>
                <w:rFonts w:ascii="Arial" w:cs="Arial" w:eastAsia="Arial" w:hAnsi="Arial"/>
                <w:sz w:val="16"/>
                <w:szCs w:val="16"/>
                <w:color w:val="auto"/>
              </w:rPr>
              <w:t>9,289</w:t>
            </w:r>
          </w:p>
        </w:tc>
        <w:tc>
          <w:tcPr>
            <w:tcW w:w="1760" w:type="dxa"/>
            <w:vAlign w:val="bottom"/>
          </w:tcPr>
          <w:p>
            <w:pPr>
              <w:jc w:val="center"/>
              <w:ind w:right="140"/>
              <w:spacing w:after="0"/>
              <w:rPr>
                <w:sz w:val="20"/>
                <w:szCs w:val="20"/>
                <w:color w:val="auto"/>
              </w:rPr>
            </w:pPr>
            <w:r>
              <w:rPr>
                <w:rFonts w:ascii="Arial" w:cs="Arial" w:eastAsia="Arial" w:hAnsi="Arial"/>
                <w:sz w:val="16"/>
                <w:szCs w:val="16"/>
                <w:color w:val="auto"/>
                <w:w w:val="95"/>
              </w:rPr>
              <w:t>*</w:t>
            </w:r>
          </w:p>
        </w:tc>
      </w:tr>
      <w:tr>
        <w:trPr>
          <w:trHeight w:val="263"/>
        </w:trPr>
        <w:tc>
          <w:tcPr>
            <w:tcW w:w="4680" w:type="dxa"/>
            <w:vAlign w:val="bottom"/>
            <w:shd w:val="clear" w:color="auto" w:fill="D8E8EF"/>
          </w:tcPr>
          <w:p>
            <w:pPr>
              <w:ind w:left="60"/>
              <w:spacing w:after="0"/>
              <w:rPr>
                <w:sz w:val="20"/>
                <w:szCs w:val="20"/>
                <w:color w:val="auto"/>
              </w:rPr>
            </w:pPr>
            <w:r>
              <w:rPr>
                <w:rFonts w:ascii="Arial" w:cs="Arial" w:eastAsia="Arial" w:hAnsi="Arial"/>
                <w:sz w:val="16"/>
                <w:szCs w:val="16"/>
                <w:color w:val="auto"/>
              </w:rPr>
              <w:t>Thomas L. Deitrich</w:t>
            </w:r>
          </w:p>
        </w:tc>
        <w:tc>
          <w:tcPr>
            <w:tcW w:w="1740" w:type="dxa"/>
            <w:vAlign w:val="bottom"/>
            <w:shd w:val="clear" w:color="auto" w:fill="D8E8EF"/>
          </w:tcPr>
          <w:p>
            <w:pPr>
              <w:jc w:val="right"/>
              <w:ind w:right="320"/>
              <w:spacing w:after="0"/>
              <w:rPr>
                <w:sz w:val="20"/>
                <w:szCs w:val="20"/>
                <w:color w:val="auto"/>
              </w:rPr>
            </w:pPr>
            <w:r>
              <w:rPr>
                <w:rFonts w:ascii="Arial" w:cs="Arial" w:eastAsia="Arial" w:hAnsi="Arial"/>
                <w:sz w:val="16"/>
                <w:szCs w:val="16"/>
                <w:color w:val="auto"/>
              </w:rPr>
              <w:t>9,711</w:t>
            </w:r>
          </w:p>
        </w:tc>
        <w:tc>
          <w:tcPr>
            <w:tcW w:w="1400" w:type="dxa"/>
            <w:vAlign w:val="bottom"/>
            <w:shd w:val="clear" w:color="auto" w:fill="D8E8EF"/>
          </w:tcPr>
          <w:p>
            <w:pPr>
              <w:jc w:val="right"/>
              <w:ind w:right="360"/>
              <w:spacing w:after="0"/>
              <w:rPr>
                <w:sz w:val="20"/>
                <w:szCs w:val="20"/>
                <w:color w:val="auto"/>
              </w:rPr>
            </w:pPr>
            <w:r>
              <w:rPr>
                <w:rFonts w:ascii="Arial" w:cs="Arial" w:eastAsia="Arial" w:hAnsi="Arial"/>
                <w:sz w:val="16"/>
                <w:szCs w:val="16"/>
                <w:color w:val="auto"/>
              </w:rPr>
              <w:t>—</w:t>
            </w:r>
          </w:p>
        </w:tc>
        <w:tc>
          <w:tcPr>
            <w:tcW w:w="1340" w:type="dxa"/>
            <w:vAlign w:val="bottom"/>
            <w:shd w:val="clear" w:color="auto" w:fill="D8E8EF"/>
          </w:tcPr>
          <w:p>
            <w:pPr>
              <w:jc w:val="right"/>
              <w:ind w:right="240"/>
              <w:spacing w:after="0"/>
              <w:rPr>
                <w:sz w:val="20"/>
                <w:szCs w:val="20"/>
                <w:color w:val="auto"/>
              </w:rPr>
            </w:pPr>
            <w:r>
              <w:rPr>
                <w:rFonts w:ascii="Arial" w:cs="Arial" w:eastAsia="Arial" w:hAnsi="Arial"/>
                <w:sz w:val="16"/>
                <w:szCs w:val="16"/>
                <w:color w:val="auto"/>
              </w:rPr>
              <w:t>9,711</w:t>
            </w:r>
          </w:p>
        </w:tc>
        <w:tc>
          <w:tcPr>
            <w:tcW w:w="1760" w:type="dxa"/>
            <w:vAlign w:val="bottom"/>
            <w:shd w:val="clear" w:color="auto" w:fill="D8E8EF"/>
          </w:tcPr>
          <w:p>
            <w:pPr>
              <w:jc w:val="center"/>
              <w:ind w:right="140"/>
              <w:spacing w:after="0"/>
              <w:rPr>
                <w:sz w:val="20"/>
                <w:szCs w:val="20"/>
                <w:color w:val="auto"/>
              </w:rPr>
            </w:pPr>
            <w:r>
              <w:rPr>
                <w:rFonts w:ascii="Arial" w:cs="Arial" w:eastAsia="Arial" w:hAnsi="Arial"/>
                <w:sz w:val="16"/>
                <w:szCs w:val="16"/>
                <w:color w:val="auto"/>
                <w:w w:val="95"/>
              </w:rPr>
              <w:t>*</w:t>
            </w:r>
          </w:p>
        </w:tc>
      </w:tr>
      <w:tr>
        <w:trPr>
          <w:trHeight w:val="246"/>
        </w:trPr>
        <w:tc>
          <w:tcPr>
            <w:tcW w:w="4680" w:type="dxa"/>
            <w:vAlign w:val="bottom"/>
          </w:tcPr>
          <w:p>
            <w:pPr>
              <w:ind w:left="60"/>
              <w:spacing w:after="0"/>
              <w:rPr>
                <w:sz w:val="20"/>
                <w:szCs w:val="20"/>
                <w:color w:val="auto"/>
              </w:rPr>
            </w:pPr>
            <w:r>
              <w:rPr>
                <w:rFonts w:ascii="Arial" w:cs="Arial" w:eastAsia="Arial" w:hAnsi="Arial"/>
                <w:sz w:val="16"/>
                <w:szCs w:val="16"/>
                <w:color w:val="auto"/>
              </w:rPr>
              <w:t>Gilles Delfassy</w:t>
            </w:r>
          </w:p>
        </w:tc>
        <w:tc>
          <w:tcPr>
            <w:tcW w:w="1740" w:type="dxa"/>
            <w:vAlign w:val="bottom"/>
          </w:tcPr>
          <w:p>
            <w:pPr>
              <w:jc w:val="right"/>
              <w:ind w:right="320"/>
              <w:spacing w:after="0"/>
              <w:rPr>
                <w:sz w:val="20"/>
                <w:szCs w:val="20"/>
                <w:color w:val="auto"/>
              </w:rPr>
            </w:pPr>
            <w:r>
              <w:rPr>
                <w:rFonts w:ascii="Arial" w:cs="Arial" w:eastAsia="Arial" w:hAnsi="Arial"/>
                <w:sz w:val="16"/>
                <w:szCs w:val="16"/>
                <w:color w:val="auto"/>
              </w:rPr>
              <w:t>52,043</w:t>
            </w:r>
          </w:p>
        </w:tc>
        <w:tc>
          <w:tcPr>
            <w:tcW w:w="1400" w:type="dxa"/>
            <w:vAlign w:val="bottom"/>
          </w:tcPr>
          <w:p>
            <w:pPr>
              <w:jc w:val="right"/>
              <w:ind w:right="360"/>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240"/>
              <w:spacing w:after="0"/>
              <w:rPr>
                <w:sz w:val="20"/>
                <w:szCs w:val="20"/>
                <w:color w:val="auto"/>
              </w:rPr>
            </w:pPr>
            <w:r>
              <w:rPr>
                <w:rFonts w:ascii="Arial" w:cs="Arial" w:eastAsia="Arial" w:hAnsi="Arial"/>
                <w:sz w:val="16"/>
                <w:szCs w:val="16"/>
                <w:color w:val="auto"/>
              </w:rPr>
              <w:t>52,043</w:t>
            </w:r>
          </w:p>
        </w:tc>
        <w:tc>
          <w:tcPr>
            <w:tcW w:w="1760" w:type="dxa"/>
            <w:vAlign w:val="bottom"/>
          </w:tcPr>
          <w:p>
            <w:pPr>
              <w:jc w:val="center"/>
              <w:ind w:right="140"/>
              <w:spacing w:after="0"/>
              <w:rPr>
                <w:sz w:val="20"/>
                <w:szCs w:val="20"/>
                <w:color w:val="auto"/>
              </w:rPr>
            </w:pPr>
            <w:r>
              <w:rPr>
                <w:rFonts w:ascii="Arial" w:cs="Arial" w:eastAsia="Arial" w:hAnsi="Arial"/>
                <w:sz w:val="16"/>
                <w:szCs w:val="16"/>
                <w:color w:val="auto"/>
                <w:w w:val="95"/>
              </w:rPr>
              <w:t>*</w:t>
            </w:r>
          </w:p>
        </w:tc>
      </w:tr>
      <w:tr>
        <w:trPr>
          <w:trHeight w:val="263"/>
        </w:trPr>
        <w:tc>
          <w:tcPr>
            <w:tcW w:w="4680" w:type="dxa"/>
            <w:vAlign w:val="bottom"/>
            <w:shd w:val="clear" w:color="auto" w:fill="D8E8EF"/>
          </w:tcPr>
          <w:p>
            <w:pPr>
              <w:ind w:left="60"/>
              <w:spacing w:after="0"/>
              <w:rPr>
                <w:sz w:val="20"/>
                <w:szCs w:val="20"/>
                <w:color w:val="auto"/>
              </w:rPr>
            </w:pPr>
            <w:r>
              <w:rPr>
                <w:rFonts w:ascii="Arial" w:cs="Arial" w:eastAsia="Arial" w:hAnsi="Arial"/>
                <w:sz w:val="16"/>
                <w:szCs w:val="16"/>
                <w:color w:val="auto"/>
              </w:rPr>
              <w:t>Emmanuel T. Hernandez (3)</w:t>
            </w:r>
          </w:p>
        </w:tc>
        <w:tc>
          <w:tcPr>
            <w:tcW w:w="1740" w:type="dxa"/>
            <w:vAlign w:val="bottom"/>
            <w:shd w:val="clear" w:color="auto" w:fill="D8E8EF"/>
          </w:tcPr>
          <w:p>
            <w:pPr>
              <w:jc w:val="right"/>
              <w:ind w:right="320"/>
              <w:spacing w:after="0"/>
              <w:rPr>
                <w:sz w:val="20"/>
                <w:szCs w:val="20"/>
                <w:color w:val="auto"/>
              </w:rPr>
            </w:pPr>
            <w:r>
              <w:rPr>
                <w:rFonts w:ascii="Arial" w:cs="Arial" w:eastAsia="Arial" w:hAnsi="Arial"/>
                <w:sz w:val="16"/>
                <w:szCs w:val="16"/>
                <w:color w:val="auto"/>
              </w:rPr>
              <w:t>113,211</w:t>
            </w:r>
          </w:p>
        </w:tc>
        <w:tc>
          <w:tcPr>
            <w:tcW w:w="1400" w:type="dxa"/>
            <w:vAlign w:val="bottom"/>
            <w:shd w:val="clear" w:color="auto" w:fill="D8E8EF"/>
          </w:tcPr>
          <w:p>
            <w:pPr>
              <w:jc w:val="right"/>
              <w:ind w:right="360"/>
              <w:spacing w:after="0"/>
              <w:rPr>
                <w:sz w:val="20"/>
                <w:szCs w:val="20"/>
                <w:color w:val="auto"/>
              </w:rPr>
            </w:pPr>
            <w:r>
              <w:rPr>
                <w:rFonts w:ascii="Arial" w:cs="Arial" w:eastAsia="Arial" w:hAnsi="Arial"/>
                <w:sz w:val="16"/>
                <w:szCs w:val="16"/>
                <w:color w:val="auto"/>
              </w:rPr>
              <w:t>—</w:t>
            </w:r>
          </w:p>
        </w:tc>
        <w:tc>
          <w:tcPr>
            <w:tcW w:w="1340" w:type="dxa"/>
            <w:vAlign w:val="bottom"/>
            <w:shd w:val="clear" w:color="auto" w:fill="D8E8EF"/>
          </w:tcPr>
          <w:p>
            <w:pPr>
              <w:jc w:val="right"/>
              <w:ind w:right="240"/>
              <w:spacing w:after="0"/>
              <w:rPr>
                <w:sz w:val="20"/>
                <w:szCs w:val="20"/>
                <w:color w:val="auto"/>
              </w:rPr>
            </w:pPr>
            <w:r>
              <w:rPr>
                <w:rFonts w:ascii="Arial" w:cs="Arial" w:eastAsia="Arial" w:hAnsi="Arial"/>
                <w:sz w:val="16"/>
                <w:szCs w:val="16"/>
                <w:color w:val="auto"/>
              </w:rPr>
              <w:t>113,211</w:t>
            </w:r>
          </w:p>
        </w:tc>
        <w:tc>
          <w:tcPr>
            <w:tcW w:w="1760" w:type="dxa"/>
            <w:vAlign w:val="bottom"/>
            <w:shd w:val="clear" w:color="auto" w:fill="D8E8EF"/>
          </w:tcPr>
          <w:p>
            <w:pPr>
              <w:jc w:val="center"/>
              <w:ind w:right="140"/>
              <w:spacing w:after="0"/>
              <w:rPr>
                <w:sz w:val="20"/>
                <w:szCs w:val="20"/>
                <w:color w:val="auto"/>
              </w:rPr>
            </w:pPr>
            <w:r>
              <w:rPr>
                <w:rFonts w:ascii="Arial" w:cs="Arial" w:eastAsia="Arial" w:hAnsi="Arial"/>
                <w:sz w:val="16"/>
                <w:szCs w:val="16"/>
                <w:color w:val="auto"/>
                <w:w w:val="95"/>
              </w:rPr>
              <w:t>*</w:t>
            </w:r>
          </w:p>
        </w:tc>
      </w:tr>
      <w:tr>
        <w:trPr>
          <w:trHeight w:val="246"/>
        </w:trPr>
        <w:tc>
          <w:tcPr>
            <w:tcW w:w="4680" w:type="dxa"/>
            <w:vAlign w:val="bottom"/>
          </w:tcPr>
          <w:p>
            <w:pPr>
              <w:ind w:left="60"/>
              <w:spacing w:after="0"/>
              <w:rPr>
                <w:sz w:val="20"/>
                <w:szCs w:val="20"/>
                <w:color w:val="auto"/>
              </w:rPr>
            </w:pPr>
            <w:r>
              <w:rPr>
                <w:rFonts w:ascii="Arial" w:cs="Arial" w:eastAsia="Arial" w:hAnsi="Arial"/>
                <w:sz w:val="16"/>
                <w:szCs w:val="16"/>
                <w:color w:val="auto"/>
              </w:rPr>
              <w:t>Bruce E. Kiddoo</w:t>
            </w:r>
          </w:p>
        </w:tc>
        <w:tc>
          <w:tcPr>
            <w:tcW w:w="1740" w:type="dxa"/>
            <w:vAlign w:val="bottom"/>
          </w:tcPr>
          <w:p>
            <w:pPr>
              <w:jc w:val="right"/>
              <w:ind w:right="320"/>
              <w:spacing w:after="0"/>
              <w:rPr>
                <w:sz w:val="20"/>
                <w:szCs w:val="20"/>
                <w:color w:val="auto"/>
              </w:rPr>
            </w:pPr>
            <w:r>
              <w:rPr>
                <w:rFonts w:ascii="Arial" w:cs="Arial" w:eastAsia="Arial" w:hAnsi="Arial"/>
                <w:sz w:val="16"/>
                <w:szCs w:val="16"/>
                <w:color w:val="auto"/>
              </w:rPr>
              <w:t>8,175</w:t>
            </w:r>
          </w:p>
        </w:tc>
        <w:tc>
          <w:tcPr>
            <w:tcW w:w="1400" w:type="dxa"/>
            <w:vAlign w:val="bottom"/>
          </w:tcPr>
          <w:p>
            <w:pPr>
              <w:jc w:val="right"/>
              <w:ind w:right="360"/>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240"/>
              <w:spacing w:after="0"/>
              <w:rPr>
                <w:sz w:val="20"/>
                <w:szCs w:val="20"/>
                <w:color w:val="auto"/>
              </w:rPr>
            </w:pPr>
            <w:r>
              <w:rPr>
                <w:rFonts w:ascii="Arial" w:cs="Arial" w:eastAsia="Arial" w:hAnsi="Arial"/>
                <w:sz w:val="16"/>
                <w:szCs w:val="16"/>
                <w:color w:val="auto"/>
              </w:rPr>
              <w:t>8,175</w:t>
            </w:r>
          </w:p>
        </w:tc>
        <w:tc>
          <w:tcPr>
            <w:tcW w:w="1760" w:type="dxa"/>
            <w:vAlign w:val="bottom"/>
          </w:tcPr>
          <w:p>
            <w:pPr>
              <w:jc w:val="center"/>
              <w:ind w:right="140"/>
              <w:spacing w:after="0"/>
              <w:rPr>
                <w:sz w:val="20"/>
                <w:szCs w:val="20"/>
                <w:color w:val="auto"/>
              </w:rPr>
            </w:pPr>
            <w:r>
              <w:rPr>
                <w:rFonts w:ascii="Arial" w:cs="Arial" w:eastAsia="Arial" w:hAnsi="Arial"/>
                <w:sz w:val="16"/>
                <w:szCs w:val="16"/>
                <w:color w:val="auto"/>
                <w:w w:val="95"/>
              </w:rPr>
              <w:t>*</w:t>
            </w:r>
          </w:p>
        </w:tc>
      </w:tr>
      <w:tr>
        <w:trPr>
          <w:trHeight w:val="263"/>
        </w:trPr>
        <w:tc>
          <w:tcPr>
            <w:tcW w:w="4680" w:type="dxa"/>
            <w:vAlign w:val="bottom"/>
            <w:shd w:val="clear" w:color="auto" w:fill="D8E8EF"/>
          </w:tcPr>
          <w:p>
            <w:pPr>
              <w:ind w:left="60"/>
              <w:spacing w:after="0"/>
              <w:rPr>
                <w:sz w:val="20"/>
                <w:szCs w:val="20"/>
                <w:color w:val="auto"/>
              </w:rPr>
            </w:pPr>
            <w:r>
              <w:rPr>
                <w:rFonts w:ascii="Arial" w:cs="Arial" w:eastAsia="Arial" w:hAnsi="Arial"/>
                <w:sz w:val="16"/>
                <w:szCs w:val="16"/>
                <w:color w:val="auto"/>
              </w:rPr>
              <w:t>Paul A. Mascarenas</w:t>
            </w:r>
          </w:p>
        </w:tc>
        <w:tc>
          <w:tcPr>
            <w:tcW w:w="1740" w:type="dxa"/>
            <w:vAlign w:val="bottom"/>
            <w:shd w:val="clear" w:color="auto" w:fill="D8E8EF"/>
          </w:tcPr>
          <w:p>
            <w:pPr>
              <w:jc w:val="right"/>
              <w:ind w:right="320"/>
              <w:spacing w:after="0"/>
              <w:rPr>
                <w:sz w:val="20"/>
                <w:szCs w:val="20"/>
                <w:color w:val="auto"/>
              </w:rPr>
            </w:pPr>
            <w:r>
              <w:rPr>
                <w:rFonts w:ascii="Arial" w:cs="Arial" w:eastAsia="Arial" w:hAnsi="Arial"/>
                <w:sz w:val="16"/>
                <w:szCs w:val="16"/>
                <w:color w:val="auto"/>
              </w:rPr>
              <w:t>81,981</w:t>
            </w:r>
          </w:p>
        </w:tc>
        <w:tc>
          <w:tcPr>
            <w:tcW w:w="1400" w:type="dxa"/>
            <w:vAlign w:val="bottom"/>
            <w:shd w:val="clear" w:color="auto" w:fill="D8E8EF"/>
          </w:tcPr>
          <w:p>
            <w:pPr>
              <w:jc w:val="right"/>
              <w:ind w:right="360"/>
              <w:spacing w:after="0"/>
              <w:rPr>
                <w:sz w:val="20"/>
                <w:szCs w:val="20"/>
                <w:color w:val="auto"/>
              </w:rPr>
            </w:pPr>
            <w:r>
              <w:rPr>
                <w:rFonts w:ascii="Arial" w:cs="Arial" w:eastAsia="Arial" w:hAnsi="Arial"/>
                <w:sz w:val="16"/>
                <w:szCs w:val="16"/>
                <w:color w:val="auto"/>
              </w:rPr>
              <w:t>—</w:t>
            </w:r>
          </w:p>
        </w:tc>
        <w:tc>
          <w:tcPr>
            <w:tcW w:w="1340" w:type="dxa"/>
            <w:vAlign w:val="bottom"/>
            <w:shd w:val="clear" w:color="auto" w:fill="D8E8EF"/>
          </w:tcPr>
          <w:p>
            <w:pPr>
              <w:jc w:val="right"/>
              <w:ind w:right="240"/>
              <w:spacing w:after="0"/>
              <w:rPr>
                <w:sz w:val="20"/>
                <w:szCs w:val="20"/>
                <w:color w:val="auto"/>
              </w:rPr>
            </w:pPr>
            <w:r>
              <w:rPr>
                <w:rFonts w:ascii="Arial" w:cs="Arial" w:eastAsia="Arial" w:hAnsi="Arial"/>
                <w:sz w:val="16"/>
                <w:szCs w:val="16"/>
                <w:color w:val="auto"/>
              </w:rPr>
              <w:t>81,981</w:t>
            </w:r>
          </w:p>
        </w:tc>
        <w:tc>
          <w:tcPr>
            <w:tcW w:w="1760" w:type="dxa"/>
            <w:vAlign w:val="bottom"/>
            <w:shd w:val="clear" w:color="auto" w:fill="D8E8EF"/>
          </w:tcPr>
          <w:p>
            <w:pPr>
              <w:jc w:val="center"/>
              <w:ind w:right="140"/>
              <w:spacing w:after="0"/>
              <w:rPr>
                <w:sz w:val="20"/>
                <w:szCs w:val="20"/>
                <w:color w:val="auto"/>
              </w:rPr>
            </w:pPr>
            <w:r>
              <w:rPr>
                <w:rFonts w:ascii="Arial" w:cs="Arial" w:eastAsia="Arial" w:hAnsi="Arial"/>
                <w:sz w:val="16"/>
                <w:szCs w:val="16"/>
                <w:color w:val="auto"/>
                <w:w w:val="95"/>
              </w:rPr>
              <w:t>*</w:t>
            </w:r>
          </w:p>
        </w:tc>
      </w:tr>
      <w:tr>
        <w:trPr>
          <w:trHeight w:val="246"/>
        </w:trPr>
        <w:tc>
          <w:tcPr>
            <w:tcW w:w="4680" w:type="dxa"/>
            <w:vAlign w:val="bottom"/>
          </w:tcPr>
          <w:p>
            <w:pPr>
              <w:ind w:left="60"/>
              <w:spacing w:after="0"/>
              <w:rPr>
                <w:sz w:val="20"/>
                <w:szCs w:val="20"/>
                <w:color w:val="auto"/>
              </w:rPr>
            </w:pPr>
            <w:r>
              <w:rPr>
                <w:rFonts w:ascii="Arial" w:cs="Arial" w:eastAsia="Arial" w:hAnsi="Arial"/>
                <w:sz w:val="16"/>
                <w:szCs w:val="16"/>
                <w:color w:val="auto"/>
              </w:rPr>
              <w:t>Gregory L. Waters</w:t>
            </w:r>
          </w:p>
        </w:tc>
        <w:tc>
          <w:tcPr>
            <w:tcW w:w="1740" w:type="dxa"/>
            <w:vAlign w:val="bottom"/>
          </w:tcPr>
          <w:p>
            <w:pPr>
              <w:jc w:val="right"/>
              <w:ind w:right="320"/>
              <w:spacing w:after="0"/>
              <w:rPr>
                <w:sz w:val="20"/>
                <w:szCs w:val="20"/>
                <w:color w:val="auto"/>
              </w:rPr>
            </w:pPr>
            <w:r>
              <w:rPr>
                <w:rFonts w:ascii="Arial" w:cs="Arial" w:eastAsia="Arial" w:hAnsi="Arial"/>
                <w:sz w:val="16"/>
                <w:szCs w:val="16"/>
                <w:color w:val="auto"/>
              </w:rPr>
              <w:t>25,175</w:t>
            </w:r>
          </w:p>
        </w:tc>
        <w:tc>
          <w:tcPr>
            <w:tcW w:w="1400" w:type="dxa"/>
            <w:vAlign w:val="bottom"/>
          </w:tcPr>
          <w:p>
            <w:pPr>
              <w:jc w:val="right"/>
              <w:ind w:right="360"/>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240"/>
              <w:spacing w:after="0"/>
              <w:rPr>
                <w:sz w:val="20"/>
                <w:szCs w:val="20"/>
                <w:color w:val="auto"/>
              </w:rPr>
            </w:pPr>
            <w:r>
              <w:rPr>
                <w:rFonts w:ascii="Arial" w:cs="Arial" w:eastAsia="Arial" w:hAnsi="Arial"/>
                <w:sz w:val="16"/>
                <w:szCs w:val="16"/>
                <w:color w:val="auto"/>
              </w:rPr>
              <w:t>25,175</w:t>
            </w:r>
          </w:p>
        </w:tc>
        <w:tc>
          <w:tcPr>
            <w:tcW w:w="1760" w:type="dxa"/>
            <w:vAlign w:val="bottom"/>
          </w:tcPr>
          <w:p>
            <w:pPr>
              <w:jc w:val="center"/>
              <w:ind w:right="140"/>
              <w:spacing w:after="0"/>
              <w:rPr>
                <w:sz w:val="20"/>
                <w:szCs w:val="20"/>
                <w:color w:val="auto"/>
              </w:rPr>
            </w:pPr>
            <w:r>
              <w:rPr>
                <w:rFonts w:ascii="Arial" w:cs="Arial" w:eastAsia="Arial" w:hAnsi="Arial"/>
                <w:sz w:val="16"/>
                <w:szCs w:val="16"/>
                <w:color w:val="auto"/>
                <w:w w:val="95"/>
              </w:rPr>
              <w:t>*</w:t>
            </w:r>
          </w:p>
        </w:tc>
      </w:tr>
      <w:tr>
        <w:trPr>
          <w:trHeight w:val="263"/>
        </w:trPr>
        <w:tc>
          <w:tcPr>
            <w:tcW w:w="4680" w:type="dxa"/>
            <w:vAlign w:val="bottom"/>
            <w:shd w:val="clear" w:color="auto" w:fill="D8E8EF"/>
          </w:tcPr>
          <w:p>
            <w:pPr>
              <w:ind w:left="60"/>
              <w:spacing w:after="0"/>
              <w:rPr>
                <w:sz w:val="20"/>
                <w:szCs w:val="20"/>
                <w:color w:val="auto"/>
              </w:rPr>
            </w:pPr>
            <w:r>
              <w:rPr>
                <w:rFonts w:ascii="Arial" w:cs="Arial" w:eastAsia="Arial" w:hAnsi="Arial"/>
                <w:sz w:val="16"/>
                <w:szCs w:val="16"/>
                <w:color w:val="auto"/>
              </w:rPr>
              <w:t>Christine Y. Yan</w:t>
            </w:r>
          </w:p>
        </w:tc>
        <w:tc>
          <w:tcPr>
            <w:tcW w:w="1740" w:type="dxa"/>
            <w:vAlign w:val="bottom"/>
            <w:shd w:val="clear" w:color="auto" w:fill="D8E8EF"/>
          </w:tcPr>
          <w:p>
            <w:pPr>
              <w:jc w:val="right"/>
              <w:ind w:right="320"/>
              <w:spacing w:after="0"/>
              <w:rPr>
                <w:sz w:val="20"/>
                <w:szCs w:val="20"/>
                <w:color w:val="auto"/>
              </w:rPr>
            </w:pPr>
            <w:r>
              <w:rPr>
                <w:rFonts w:ascii="Arial" w:cs="Arial" w:eastAsia="Arial" w:hAnsi="Arial"/>
                <w:sz w:val="16"/>
                <w:szCs w:val="16"/>
                <w:color w:val="auto"/>
              </w:rPr>
              <w:t>35,930</w:t>
            </w:r>
          </w:p>
        </w:tc>
        <w:tc>
          <w:tcPr>
            <w:tcW w:w="1400" w:type="dxa"/>
            <w:vAlign w:val="bottom"/>
            <w:shd w:val="clear" w:color="auto" w:fill="D8E8EF"/>
          </w:tcPr>
          <w:p>
            <w:pPr>
              <w:jc w:val="right"/>
              <w:ind w:right="360"/>
              <w:spacing w:after="0"/>
              <w:rPr>
                <w:sz w:val="20"/>
                <w:szCs w:val="20"/>
                <w:color w:val="auto"/>
              </w:rPr>
            </w:pPr>
            <w:r>
              <w:rPr>
                <w:rFonts w:ascii="Arial" w:cs="Arial" w:eastAsia="Arial" w:hAnsi="Arial"/>
                <w:sz w:val="16"/>
                <w:szCs w:val="16"/>
                <w:color w:val="auto"/>
              </w:rPr>
              <w:t>—</w:t>
            </w:r>
          </w:p>
        </w:tc>
        <w:tc>
          <w:tcPr>
            <w:tcW w:w="1340" w:type="dxa"/>
            <w:vAlign w:val="bottom"/>
            <w:shd w:val="clear" w:color="auto" w:fill="D8E8EF"/>
          </w:tcPr>
          <w:p>
            <w:pPr>
              <w:jc w:val="right"/>
              <w:ind w:right="240"/>
              <w:spacing w:after="0"/>
              <w:rPr>
                <w:sz w:val="20"/>
                <w:szCs w:val="20"/>
                <w:color w:val="auto"/>
              </w:rPr>
            </w:pPr>
            <w:r>
              <w:rPr>
                <w:rFonts w:ascii="Arial" w:cs="Arial" w:eastAsia="Arial" w:hAnsi="Arial"/>
                <w:sz w:val="16"/>
                <w:szCs w:val="16"/>
                <w:color w:val="auto"/>
              </w:rPr>
              <w:t>35,930</w:t>
            </w:r>
          </w:p>
        </w:tc>
        <w:tc>
          <w:tcPr>
            <w:tcW w:w="1760" w:type="dxa"/>
            <w:vAlign w:val="bottom"/>
            <w:shd w:val="clear" w:color="auto" w:fill="D8E8EF"/>
          </w:tcPr>
          <w:p>
            <w:pPr>
              <w:jc w:val="center"/>
              <w:ind w:right="140"/>
              <w:spacing w:after="0"/>
              <w:rPr>
                <w:sz w:val="20"/>
                <w:szCs w:val="20"/>
                <w:color w:val="auto"/>
              </w:rPr>
            </w:pPr>
            <w:r>
              <w:rPr>
                <w:rFonts w:ascii="Arial" w:cs="Arial" w:eastAsia="Arial" w:hAnsi="Arial"/>
                <w:sz w:val="16"/>
                <w:szCs w:val="16"/>
                <w:color w:val="auto"/>
                <w:w w:val="95"/>
              </w:rPr>
              <w:t>*</w:t>
            </w:r>
          </w:p>
        </w:tc>
      </w:tr>
      <w:tr>
        <w:trPr>
          <w:trHeight w:val="247"/>
        </w:trPr>
        <w:tc>
          <w:tcPr>
            <w:tcW w:w="4680" w:type="dxa"/>
            <w:vAlign w:val="bottom"/>
          </w:tcPr>
          <w:p>
            <w:pPr>
              <w:ind w:left="60"/>
              <w:spacing w:after="0"/>
              <w:rPr>
                <w:sz w:val="20"/>
                <w:szCs w:val="20"/>
                <w:color w:val="auto"/>
              </w:rPr>
            </w:pPr>
            <w:r>
              <w:rPr>
                <w:rFonts w:ascii="Arial" w:cs="Arial" w:eastAsia="Arial" w:hAnsi="Arial"/>
                <w:sz w:val="16"/>
                <w:szCs w:val="16"/>
                <w:b w:val="1"/>
                <w:bCs w:val="1"/>
                <w:color w:val="auto"/>
              </w:rPr>
              <w:t>All Directors and Executive Officers as a group (17 persons)</w:t>
            </w:r>
          </w:p>
        </w:tc>
        <w:tc>
          <w:tcPr>
            <w:tcW w:w="1740" w:type="dxa"/>
            <w:vAlign w:val="bottom"/>
          </w:tcPr>
          <w:p>
            <w:pPr>
              <w:jc w:val="right"/>
              <w:ind w:right="320"/>
              <w:spacing w:after="0"/>
              <w:rPr>
                <w:sz w:val="20"/>
                <w:szCs w:val="20"/>
                <w:color w:val="auto"/>
              </w:rPr>
            </w:pPr>
            <w:r>
              <w:rPr>
                <w:rFonts w:ascii="Arial" w:cs="Arial" w:eastAsia="Arial" w:hAnsi="Arial"/>
                <w:sz w:val="16"/>
                <w:szCs w:val="16"/>
                <w:color w:val="auto"/>
              </w:rPr>
              <w:t>1,650,750</w:t>
            </w:r>
          </w:p>
        </w:tc>
        <w:tc>
          <w:tcPr>
            <w:tcW w:w="1400" w:type="dxa"/>
            <w:vAlign w:val="bottom"/>
          </w:tcPr>
          <w:p>
            <w:pPr>
              <w:jc w:val="right"/>
              <w:ind w:right="360"/>
              <w:spacing w:after="0"/>
              <w:rPr>
                <w:sz w:val="20"/>
                <w:szCs w:val="20"/>
                <w:color w:val="auto"/>
              </w:rPr>
            </w:pPr>
            <w:r>
              <w:rPr>
                <w:rFonts w:ascii="Arial" w:cs="Arial" w:eastAsia="Arial" w:hAnsi="Arial"/>
                <w:sz w:val="16"/>
                <w:szCs w:val="16"/>
                <w:color w:val="auto"/>
              </w:rPr>
              <w:t>80,845</w:t>
            </w:r>
          </w:p>
        </w:tc>
        <w:tc>
          <w:tcPr>
            <w:tcW w:w="1340" w:type="dxa"/>
            <w:vAlign w:val="bottom"/>
          </w:tcPr>
          <w:p>
            <w:pPr>
              <w:jc w:val="right"/>
              <w:ind w:right="240"/>
              <w:spacing w:after="0"/>
              <w:rPr>
                <w:sz w:val="20"/>
                <w:szCs w:val="20"/>
                <w:color w:val="auto"/>
              </w:rPr>
            </w:pPr>
            <w:r>
              <w:rPr>
                <w:rFonts w:ascii="Arial" w:cs="Arial" w:eastAsia="Arial" w:hAnsi="Arial"/>
                <w:sz w:val="16"/>
                <w:szCs w:val="16"/>
                <w:color w:val="auto"/>
              </w:rPr>
              <w:t>1,731,595</w:t>
            </w:r>
          </w:p>
        </w:tc>
        <w:tc>
          <w:tcPr>
            <w:tcW w:w="1760" w:type="dxa"/>
            <w:vAlign w:val="bottom"/>
          </w:tcPr>
          <w:p>
            <w:pPr>
              <w:jc w:val="center"/>
              <w:ind w:right="140"/>
              <w:spacing w:after="0"/>
              <w:rPr>
                <w:sz w:val="20"/>
                <w:szCs w:val="20"/>
                <w:color w:val="auto"/>
              </w:rPr>
            </w:pPr>
            <w:r>
              <w:rPr>
                <w:rFonts w:ascii="Arial" w:cs="Arial" w:eastAsia="Arial" w:hAnsi="Arial"/>
                <w:sz w:val="16"/>
                <w:szCs w:val="16"/>
                <w:color w:val="auto"/>
                <w:w w:val="95"/>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4445</wp:posOffset>
            </wp:positionV>
            <wp:extent cx="692975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31" w:lineRule="exact"/>
        <w:rPr>
          <w:sz w:val="20"/>
          <w:szCs w:val="20"/>
          <w:color w:val="auto"/>
        </w:rPr>
      </w:pPr>
    </w:p>
    <w:p>
      <w:pPr>
        <w:ind w:left="600" w:hanging="433"/>
        <w:spacing w:after="0"/>
        <w:tabs>
          <w:tab w:leader="none" w:pos="600" w:val="left"/>
        </w:tabs>
        <w:numPr>
          <w:ilvl w:val="0"/>
          <w:numId w:val="96"/>
        </w:numPr>
        <w:rPr>
          <w:rFonts w:ascii="Arial" w:cs="Arial" w:eastAsia="Arial" w:hAnsi="Arial"/>
          <w:sz w:val="14"/>
          <w:szCs w:val="14"/>
          <w:color w:val="auto"/>
        </w:rPr>
      </w:pPr>
      <w:r>
        <w:rPr>
          <w:rFonts w:ascii="Arial" w:cs="Arial" w:eastAsia="Arial" w:hAnsi="Arial"/>
          <w:sz w:val="14"/>
          <w:szCs w:val="14"/>
          <w:color w:val="auto"/>
        </w:rPr>
        <w:t>Less than 1% of the total voting power of the outstanding shares of common stock.</w:t>
      </w:r>
    </w:p>
    <w:p>
      <w:pPr>
        <w:spacing w:after="0" w:line="40" w:lineRule="exact"/>
        <w:rPr>
          <w:sz w:val="20"/>
          <w:szCs w:val="20"/>
          <w:color w:val="auto"/>
        </w:rPr>
      </w:pPr>
    </w:p>
    <w:p>
      <w:pPr>
        <w:jc w:val="both"/>
        <w:ind w:left="600" w:hanging="433"/>
        <w:spacing w:after="0" w:line="259" w:lineRule="auto"/>
        <w:tabs>
          <w:tab w:leader="none" w:pos="600" w:val="left"/>
        </w:tabs>
        <w:numPr>
          <w:ilvl w:val="0"/>
          <w:numId w:val="97"/>
        </w:numPr>
        <w:rPr>
          <w:rFonts w:ascii="Arial" w:cs="Arial" w:eastAsia="Arial" w:hAnsi="Arial"/>
          <w:sz w:val="14"/>
          <w:szCs w:val="14"/>
          <w:color w:val="auto"/>
        </w:rPr>
      </w:pPr>
      <w:r>
        <w:rPr>
          <w:rFonts w:ascii="Arial" w:cs="Arial" w:eastAsia="Arial" w:hAnsi="Arial"/>
          <w:sz w:val="14"/>
          <w:szCs w:val="14"/>
          <w:color w:val="auto"/>
        </w:rPr>
        <w:t>This number includes shares of common stock issuable upon: (i) the exercise of options that are exercisable within 60 days of March 1, 2022; (ii) the vesting of RSUs that vest within 60 days of March 1, 2022; and (iii) the vesting of PBRSUs for which the performance criteria has been achieved and that vest within 60 days of March 1, 2022.</w:t>
      </w:r>
    </w:p>
    <w:p>
      <w:pPr>
        <w:ind w:left="600" w:hanging="433"/>
        <w:spacing w:after="0" w:line="269" w:lineRule="auto"/>
        <w:tabs>
          <w:tab w:leader="none" w:pos="600" w:val="left"/>
        </w:tabs>
        <w:numPr>
          <w:ilvl w:val="0"/>
          <w:numId w:val="97"/>
        </w:numPr>
        <w:rPr>
          <w:rFonts w:ascii="Arial" w:cs="Arial" w:eastAsia="Arial" w:hAnsi="Arial"/>
          <w:sz w:val="14"/>
          <w:szCs w:val="14"/>
          <w:color w:val="auto"/>
        </w:rPr>
      </w:pPr>
      <w:r>
        <w:rPr>
          <w:rFonts w:ascii="Arial" w:cs="Arial" w:eastAsia="Arial" w:hAnsi="Arial"/>
          <w:sz w:val="14"/>
          <w:szCs w:val="14"/>
          <w:color w:val="auto"/>
        </w:rPr>
        <w:t>This number reflects Mr. Gutmann’s beneficial ownership of our common stock as of March 31, 2021, which is the most recent practicable date for which such information was available.</w:t>
      </w:r>
    </w:p>
    <w:p>
      <w:pPr>
        <w:ind w:left="600" w:hanging="433"/>
        <w:spacing w:after="0" w:line="281" w:lineRule="auto"/>
        <w:tabs>
          <w:tab w:leader="none" w:pos="600" w:val="left"/>
        </w:tabs>
        <w:numPr>
          <w:ilvl w:val="0"/>
          <w:numId w:val="97"/>
        </w:numPr>
        <w:rPr>
          <w:rFonts w:ascii="Arial" w:cs="Arial" w:eastAsia="Arial" w:hAnsi="Arial"/>
          <w:sz w:val="14"/>
          <w:szCs w:val="14"/>
          <w:color w:val="auto"/>
        </w:rPr>
      </w:pPr>
      <w:r>
        <w:rPr>
          <w:rFonts w:ascii="Arial" w:cs="Arial" w:eastAsia="Arial" w:hAnsi="Arial"/>
          <w:sz w:val="14"/>
          <w:szCs w:val="14"/>
          <w:color w:val="auto"/>
        </w:rPr>
        <w:t>This number reflects the Mr. Hernandez’s beneficial ownership of our common stock as of April 3, 2021, which is the most recent practicable date for which such information was available.</w:t>
      </w:r>
    </w:p>
    <w:p>
      <w:pPr>
        <w:spacing w:after="0" w:line="91" w:lineRule="exact"/>
        <w:rPr>
          <w:sz w:val="20"/>
          <w:szCs w:val="20"/>
          <w:color w:val="auto"/>
        </w:rPr>
      </w:pPr>
    </w:p>
    <w:p>
      <w:pPr>
        <w:ind w:left="8820"/>
        <w:spacing w:after="0"/>
        <w:tabs>
          <w:tab w:leader="none" w:pos="10900" w:val="left"/>
        </w:tabs>
        <w:rPr>
          <w:sz w:val="20"/>
          <w:szCs w:val="20"/>
          <w:color w:val="auto"/>
        </w:rPr>
      </w:pPr>
      <w:r>
        <w:rPr>
          <w:rFonts w:ascii="Arial" w:cs="Arial" w:eastAsia="Arial" w:hAnsi="Arial"/>
          <w:sz w:val="14"/>
          <w:szCs w:val="14"/>
          <w:color w:val="F75E14"/>
        </w:rPr>
        <w:t>onsemi 2022 Proxy Statement</w:t>
        <w:tab/>
        <w:t>71</w:t>
      </w:r>
    </w:p>
    <w:p>
      <w:pPr>
        <w:sectPr>
          <w:pgSz w:w="11900" w:h="16838" w:orient="portrait"/>
          <w:cols w:equalWidth="0" w:num="1">
            <w:col w:w="11080"/>
          </w:cols>
          <w:pgMar w:left="320" w:top="454" w:right="499" w:bottom="1440" w:gutter="0" w:footer="0" w:header="0"/>
        </w:sectPr>
      </w:pPr>
    </w:p>
    <w:bookmarkStart w:id="75" w:name="page76"/>
    <w:bookmarkEnd w:id="7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6"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F75E14"/>
        </w:rPr>
        <w:t>SHARE-BASED COMPENSATION PLAN INFORMATION</w:t>
      </w:r>
    </w:p>
    <w:p>
      <w:pPr>
        <w:spacing w:after="0" w:line="30"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following table sets forth share-based compensation plan information as of December 31, 2021:</w:t>
      </w:r>
    </w:p>
    <w:p>
      <w:pPr>
        <w:spacing w:after="0" w:line="235" w:lineRule="exact"/>
        <w:rPr>
          <w:sz w:val="20"/>
          <w:szCs w:val="20"/>
          <w:color w:val="auto"/>
        </w:rPr>
      </w:pPr>
    </w:p>
    <w:tbl>
      <w:tblPr>
        <w:tblLayout w:type="fixed"/>
        <w:tblInd w:w="160" w:type="dxa"/>
        <w:tblCellMar>
          <w:top w:w="0" w:type="dxa"/>
          <w:left w:w="0" w:type="dxa"/>
          <w:bottom w:w="0" w:type="dxa"/>
          <w:right w:w="0" w:type="dxa"/>
        </w:tblCellMar>
      </w:tblPr>
      <w:tr>
        <w:trPr>
          <w:trHeight w:val="240"/>
        </w:trPr>
        <w:tc>
          <w:tcPr>
            <w:tcW w:w="2980" w:type="dxa"/>
            <w:vAlign w:val="bottom"/>
            <w:shd w:val="clear" w:color="auto" w:fill="F75E14"/>
          </w:tcPr>
          <w:p>
            <w:pPr>
              <w:spacing w:after="0"/>
              <w:rPr>
                <w:sz w:val="20"/>
                <w:szCs w:val="20"/>
                <w:color w:val="auto"/>
              </w:rPr>
            </w:pPr>
          </w:p>
        </w:tc>
        <w:tc>
          <w:tcPr>
            <w:tcW w:w="2680" w:type="dxa"/>
            <w:vAlign w:val="bottom"/>
            <w:shd w:val="clear" w:color="auto" w:fill="F75E14"/>
          </w:tcPr>
          <w:p>
            <w:pPr>
              <w:spacing w:after="0"/>
              <w:rPr>
                <w:sz w:val="20"/>
                <w:szCs w:val="20"/>
                <w:color w:val="auto"/>
              </w:rPr>
            </w:pPr>
          </w:p>
        </w:tc>
        <w:tc>
          <w:tcPr>
            <w:tcW w:w="2380" w:type="dxa"/>
            <w:vAlign w:val="bottom"/>
            <w:shd w:val="clear" w:color="auto" w:fill="F75E14"/>
          </w:tcPr>
          <w:p>
            <w:pPr>
              <w:spacing w:after="0"/>
              <w:rPr>
                <w:sz w:val="20"/>
                <w:szCs w:val="20"/>
                <w:color w:val="auto"/>
              </w:rPr>
            </w:pPr>
          </w:p>
        </w:tc>
        <w:tc>
          <w:tcPr>
            <w:tcW w:w="2880" w:type="dxa"/>
            <w:vAlign w:val="bottom"/>
            <w:shd w:val="clear" w:color="auto" w:fill="F75E14"/>
          </w:tcPr>
          <w:p>
            <w:pPr>
              <w:jc w:val="center"/>
              <w:spacing w:after="0"/>
              <w:rPr>
                <w:sz w:val="20"/>
                <w:szCs w:val="20"/>
                <w:color w:val="auto"/>
              </w:rPr>
            </w:pPr>
            <w:r>
              <w:rPr>
                <w:rFonts w:ascii="Arial" w:cs="Arial" w:eastAsia="Arial" w:hAnsi="Arial"/>
                <w:sz w:val="16"/>
                <w:szCs w:val="16"/>
                <w:b w:val="1"/>
                <w:bCs w:val="1"/>
                <w:color w:val="FFFFFF"/>
              </w:rPr>
              <w:t>Number of Securities</w:t>
            </w:r>
          </w:p>
        </w:tc>
      </w:tr>
      <w:tr>
        <w:trPr>
          <w:trHeight w:val="187"/>
        </w:trPr>
        <w:tc>
          <w:tcPr>
            <w:tcW w:w="2980" w:type="dxa"/>
            <w:vAlign w:val="bottom"/>
            <w:shd w:val="clear" w:color="auto" w:fill="F75E14"/>
          </w:tcPr>
          <w:p>
            <w:pPr>
              <w:spacing w:after="0"/>
              <w:rPr>
                <w:sz w:val="16"/>
                <w:szCs w:val="16"/>
                <w:color w:val="auto"/>
              </w:rPr>
            </w:pPr>
          </w:p>
        </w:tc>
        <w:tc>
          <w:tcPr>
            <w:tcW w:w="2680" w:type="dxa"/>
            <w:vAlign w:val="bottom"/>
            <w:shd w:val="clear" w:color="auto" w:fill="F75E14"/>
          </w:tcPr>
          <w:p>
            <w:pPr>
              <w:spacing w:after="0"/>
              <w:rPr>
                <w:sz w:val="16"/>
                <w:szCs w:val="16"/>
                <w:color w:val="auto"/>
              </w:rPr>
            </w:pPr>
          </w:p>
        </w:tc>
        <w:tc>
          <w:tcPr>
            <w:tcW w:w="2380" w:type="dxa"/>
            <w:vAlign w:val="bottom"/>
            <w:shd w:val="clear" w:color="auto" w:fill="F75E14"/>
          </w:tcPr>
          <w:p>
            <w:pPr>
              <w:jc w:val="center"/>
              <w:spacing w:after="0"/>
              <w:rPr>
                <w:sz w:val="20"/>
                <w:szCs w:val="20"/>
                <w:color w:val="auto"/>
              </w:rPr>
            </w:pPr>
            <w:r>
              <w:rPr>
                <w:rFonts w:ascii="Arial" w:cs="Arial" w:eastAsia="Arial" w:hAnsi="Arial"/>
                <w:sz w:val="16"/>
                <w:szCs w:val="16"/>
                <w:b w:val="1"/>
                <w:bCs w:val="1"/>
                <w:color w:val="FFFFFF"/>
                <w:w w:val="99"/>
              </w:rPr>
              <w:t>Weighted-Average</w:t>
            </w:r>
          </w:p>
        </w:tc>
        <w:tc>
          <w:tcPr>
            <w:tcW w:w="2880" w:type="dxa"/>
            <w:vAlign w:val="bottom"/>
            <w:shd w:val="clear" w:color="auto" w:fill="F75E14"/>
          </w:tcPr>
          <w:p>
            <w:pPr>
              <w:jc w:val="center"/>
              <w:spacing w:after="0"/>
              <w:rPr>
                <w:sz w:val="20"/>
                <w:szCs w:val="20"/>
                <w:color w:val="auto"/>
              </w:rPr>
            </w:pPr>
            <w:r>
              <w:rPr>
                <w:rFonts w:ascii="Arial" w:cs="Arial" w:eastAsia="Arial" w:hAnsi="Arial"/>
                <w:sz w:val="16"/>
                <w:szCs w:val="16"/>
                <w:b w:val="1"/>
                <w:bCs w:val="1"/>
                <w:color w:val="FFFFFF"/>
                <w:w w:val="99"/>
              </w:rPr>
              <w:t>Remaining Available for</w:t>
            </w:r>
          </w:p>
        </w:tc>
      </w:tr>
      <w:tr>
        <w:trPr>
          <w:trHeight w:val="187"/>
        </w:trPr>
        <w:tc>
          <w:tcPr>
            <w:tcW w:w="2980" w:type="dxa"/>
            <w:vAlign w:val="bottom"/>
            <w:shd w:val="clear" w:color="auto" w:fill="F75E14"/>
          </w:tcPr>
          <w:p>
            <w:pPr>
              <w:spacing w:after="0"/>
              <w:rPr>
                <w:sz w:val="16"/>
                <w:szCs w:val="16"/>
                <w:color w:val="auto"/>
              </w:rPr>
            </w:pPr>
          </w:p>
        </w:tc>
        <w:tc>
          <w:tcPr>
            <w:tcW w:w="2680" w:type="dxa"/>
            <w:vAlign w:val="bottom"/>
            <w:shd w:val="clear" w:color="auto" w:fill="F75E14"/>
          </w:tcPr>
          <w:p>
            <w:pPr>
              <w:jc w:val="center"/>
              <w:spacing w:after="0"/>
              <w:rPr>
                <w:sz w:val="20"/>
                <w:szCs w:val="20"/>
                <w:color w:val="auto"/>
              </w:rPr>
            </w:pPr>
            <w:r>
              <w:rPr>
                <w:rFonts w:ascii="Arial" w:cs="Arial" w:eastAsia="Arial" w:hAnsi="Arial"/>
                <w:sz w:val="16"/>
                <w:szCs w:val="16"/>
                <w:b w:val="1"/>
                <w:bCs w:val="1"/>
                <w:color w:val="FFFFFF"/>
                <w:w w:val="99"/>
              </w:rPr>
              <w:t>Number of Securities to</w:t>
            </w:r>
          </w:p>
        </w:tc>
        <w:tc>
          <w:tcPr>
            <w:tcW w:w="2380" w:type="dxa"/>
            <w:vAlign w:val="bottom"/>
            <w:shd w:val="clear" w:color="auto" w:fill="F75E14"/>
          </w:tcPr>
          <w:p>
            <w:pPr>
              <w:jc w:val="center"/>
              <w:spacing w:after="0"/>
              <w:rPr>
                <w:sz w:val="20"/>
                <w:szCs w:val="20"/>
                <w:color w:val="auto"/>
              </w:rPr>
            </w:pPr>
            <w:r>
              <w:rPr>
                <w:rFonts w:ascii="Arial" w:cs="Arial" w:eastAsia="Arial" w:hAnsi="Arial"/>
                <w:sz w:val="16"/>
                <w:szCs w:val="16"/>
                <w:b w:val="1"/>
                <w:bCs w:val="1"/>
                <w:color w:val="FFFFFF"/>
              </w:rPr>
              <w:t>Exercise Price of</w:t>
            </w:r>
          </w:p>
        </w:tc>
        <w:tc>
          <w:tcPr>
            <w:tcW w:w="2880" w:type="dxa"/>
            <w:vAlign w:val="bottom"/>
            <w:shd w:val="clear" w:color="auto" w:fill="F75E14"/>
          </w:tcPr>
          <w:p>
            <w:pPr>
              <w:jc w:val="center"/>
              <w:spacing w:after="0"/>
              <w:rPr>
                <w:sz w:val="20"/>
                <w:szCs w:val="20"/>
                <w:color w:val="auto"/>
              </w:rPr>
            </w:pPr>
            <w:r>
              <w:rPr>
                <w:rFonts w:ascii="Arial" w:cs="Arial" w:eastAsia="Arial" w:hAnsi="Arial"/>
                <w:sz w:val="16"/>
                <w:szCs w:val="16"/>
                <w:b w:val="1"/>
                <w:bCs w:val="1"/>
                <w:color w:val="FFFFFF"/>
              </w:rPr>
              <w:t>Future Issuance Under</w:t>
            </w:r>
          </w:p>
        </w:tc>
      </w:tr>
      <w:tr>
        <w:trPr>
          <w:trHeight w:val="187"/>
        </w:trPr>
        <w:tc>
          <w:tcPr>
            <w:tcW w:w="2980" w:type="dxa"/>
            <w:vAlign w:val="bottom"/>
            <w:shd w:val="clear" w:color="auto" w:fill="F75E14"/>
          </w:tcPr>
          <w:p>
            <w:pPr>
              <w:spacing w:after="0"/>
              <w:rPr>
                <w:sz w:val="16"/>
                <w:szCs w:val="16"/>
                <w:color w:val="auto"/>
              </w:rPr>
            </w:pPr>
          </w:p>
        </w:tc>
        <w:tc>
          <w:tcPr>
            <w:tcW w:w="2680" w:type="dxa"/>
            <w:vAlign w:val="bottom"/>
            <w:shd w:val="clear" w:color="auto" w:fill="F75E14"/>
          </w:tcPr>
          <w:p>
            <w:pPr>
              <w:jc w:val="center"/>
              <w:spacing w:after="0"/>
              <w:rPr>
                <w:sz w:val="20"/>
                <w:szCs w:val="20"/>
                <w:color w:val="auto"/>
              </w:rPr>
            </w:pPr>
            <w:r>
              <w:rPr>
                <w:rFonts w:ascii="Arial" w:cs="Arial" w:eastAsia="Arial" w:hAnsi="Arial"/>
                <w:sz w:val="16"/>
                <w:szCs w:val="16"/>
                <w:b w:val="1"/>
                <w:bCs w:val="1"/>
                <w:color w:val="FFFFFF"/>
              </w:rPr>
              <w:t>be Issued Upon Exercise</w:t>
            </w:r>
          </w:p>
        </w:tc>
        <w:tc>
          <w:tcPr>
            <w:tcW w:w="2380" w:type="dxa"/>
            <w:vAlign w:val="bottom"/>
            <w:shd w:val="clear" w:color="auto" w:fill="F75E14"/>
          </w:tcPr>
          <w:p>
            <w:pPr>
              <w:jc w:val="center"/>
              <w:spacing w:after="0"/>
              <w:rPr>
                <w:sz w:val="20"/>
                <w:szCs w:val="20"/>
                <w:color w:val="auto"/>
              </w:rPr>
            </w:pPr>
            <w:r>
              <w:rPr>
                <w:rFonts w:ascii="Arial" w:cs="Arial" w:eastAsia="Arial" w:hAnsi="Arial"/>
                <w:sz w:val="16"/>
                <w:szCs w:val="16"/>
                <w:b w:val="1"/>
                <w:bCs w:val="1"/>
                <w:color w:val="FFFFFF"/>
              </w:rPr>
              <w:t>Outstanding Options,</w:t>
            </w:r>
          </w:p>
        </w:tc>
        <w:tc>
          <w:tcPr>
            <w:tcW w:w="2880" w:type="dxa"/>
            <w:vAlign w:val="bottom"/>
            <w:shd w:val="clear" w:color="auto" w:fill="F75E14"/>
          </w:tcPr>
          <w:p>
            <w:pPr>
              <w:jc w:val="center"/>
              <w:spacing w:after="0"/>
              <w:rPr>
                <w:sz w:val="20"/>
                <w:szCs w:val="20"/>
                <w:color w:val="auto"/>
              </w:rPr>
            </w:pPr>
            <w:r>
              <w:rPr>
                <w:rFonts w:ascii="Arial" w:cs="Arial" w:eastAsia="Arial" w:hAnsi="Arial"/>
                <w:sz w:val="16"/>
                <w:szCs w:val="16"/>
                <w:b w:val="1"/>
                <w:bCs w:val="1"/>
                <w:color w:val="FFFFFF"/>
              </w:rPr>
              <w:t>Equity Compensation Plans</w:t>
            </w:r>
          </w:p>
        </w:tc>
      </w:tr>
      <w:tr>
        <w:trPr>
          <w:trHeight w:val="187"/>
        </w:trPr>
        <w:tc>
          <w:tcPr>
            <w:tcW w:w="2980" w:type="dxa"/>
            <w:vAlign w:val="bottom"/>
            <w:shd w:val="clear" w:color="auto" w:fill="F75E14"/>
          </w:tcPr>
          <w:p>
            <w:pPr>
              <w:spacing w:after="0"/>
              <w:rPr>
                <w:sz w:val="16"/>
                <w:szCs w:val="16"/>
                <w:color w:val="auto"/>
              </w:rPr>
            </w:pPr>
          </w:p>
        </w:tc>
        <w:tc>
          <w:tcPr>
            <w:tcW w:w="2680" w:type="dxa"/>
            <w:vAlign w:val="bottom"/>
            <w:shd w:val="clear" w:color="auto" w:fill="F75E14"/>
          </w:tcPr>
          <w:p>
            <w:pPr>
              <w:jc w:val="center"/>
              <w:spacing w:after="0"/>
              <w:rPr>
                <w:sz w:val="20"/>
                <w:szCs w:val="20"/>
                <w:color w:val="auto"/>
              </w:rPr>
            </w:pPr>
            <w:r>
              <w:rPr>
                <w:rFonts w:ascii="Arial" w:cs="Arial" w:eastAsia="Arial" w:hAnsi="Arial"/>
                <w:sz w:val="16"/>
                <w:szCs w:val="16"/>
                <w:b w:val="1"/>
                <w:bCs w:val="1"/>
                <w:color w:val="FFFFFF"/>
              </w:rPr>
              <w:t>of Outstanding Options,</w:t>
            </w:r>
          </w:p>
        </w:tc>
        <w:tc>
          <w:tcPr>
            <w:tcW w:w="2380" w:type="dxa"/>
            <w:vAlign w:val="bottom"/>
            <w:shd w:val="clear" w:color="auto" w:fill="F75E14"/>
          </w:tcPr>
          <w:p>
            <w:pPr>
              <w:jc w:val="center"/>
              <w:spacing w:after="0"/>
              <w:rPr>
                <w:sz w:val="20"/>
                <w:szCs w:val="20"/>
                <w:color w:val="auto"/>
              </w:rPr>
            </w:pPr>
            <w:r>
              <w:rPr>
                <w:rFonts w:ascii="Arial" w:cs="Arial" w:eastAsia="Arial" w:hAnsi="Arial"/>
                <w:sz w:val="16"/>
                <w:szCs w:val="16"/>
                <w:b w:val="1"/>
                <w:bCs w:val="1"/>
                <w:color w:val="FFFFFF"/>
                <w:w w:val="99"/>
              </w:rPr>
              <w:t>Warrants and Rights</w:t>
            </w:r>
          </w:p>
        </w:tc>
        <w:tc>
          <w:tcPr>
            <w:tcW w:w="2880" w:type="dxa"/>
            <w:vAlign w:val="bottom"/>
            <w:shd w:val="clear" w:color="auto" w:fill="F75E14"/>
          </w:tcPr>
          <w:p>
            <w:pPr>
              <w:jc w:val="center"/>
              <w:spacing w:after="0"/>
              <w:rPr>
                <w:sz w:val="20"/>
                <w:szCs w:val="20"/>
                <w:color w:val="auto"/>
              </w:rPr>
            </w:pPr>
            <w:r>
              <w:rPr>
                <w:rFonts w:ascii="Arial" w:cs="Arial" w:eastAsia="Arial" w:hAnsi="Arial"/>
                <w:sz w:val="16"/>
                <w:szCs w:val="16"/>
                <w:b w:val="1"/>
                <w:bCs w:val="1"/>
                <w:color w:val="FFFFFF"/>
              </w:rPr>
              <w:t>(Excluding Securities</w:t>
            </w:r>
          </w:p>
        </w:tc>
      </w:tr>
      <w:tr>
        <w:trPr>
          <w:trHeight w:val="248"/>
        </w:trPr>
        <w:tc>
          <w:tcPr>
            <w:tcW w:w="2980" w:type="dxa"/>
            <w:vAlign w:val="bottom"/>
            <w:tcBorders>
              <w:bottom w:val="single" w:sz="8" w:color="F75E14"/>
            </w:tcBorders>
            <w:shd w:val="clear" w:color="auto" w:fill="F75E14"/>
          </w:tcPr>
          <w:p>
            <w:pPr>
              <w:ind w:left="60"/>
              <w:spacing w:after="0"/>
              <w:rPr>
                <w:sz w:val="20"/>
                <w:szCs w:val="20"/>
                <w:color w:val="auto"/>
              </w:rPr>
            </w:pPr>
            <w:r>
              <w:rPr>
                <w:rFonts w:ascii="Arial" w:cs="Arial" w:eastAsia="Arial" w:hAnsi="Arial"/>
                <w:sz w:val="16"/>
                <w:szCs w:val="16"/>
                <w:b w:val="1"/>
                <w:bCs w:val="1"/>
                <w:color w:val="FFFFFF"/>
              </w:rPr>
              <w:t>Plan Category</w:t>
            </w:r>
          </w:p>
        </w:tc>
        <w:tc>
          <w:tcPr>
            <w:tcW w:w="2680" w:type="dxa"/>
            <w:vAlign w:val="bottom"/>
            <w:tcBorders>
              <w:bottom w:val="single" w:sz="8" w:color="F75E14"/>
            </w:tcBorders>
            <w:shd w:val="clear" w:color="auto" w:fill="F75E14"/>
          </w:tcPr>
          <w:p>
            <w:pPr>
              <w:jc w:val="center"/>
              <w:spacing w:after="0"/>
              <w:rPr>
                <w:sz w:val="20"/>
                <w:szCs w:val="20"/>
                <w:color w:val="auto"/>
              </w:rPr>
            </w:pPr>
            <w:r>
              <w:rPr>
                <w:rFonts w:ascii="Arial" w:cs="Arial" w:eastAsia="Arial" w:hAnsi="Arial"/>
                <w:sz w:val="16"/>
                <w:szCs w:val="16"/>
                <w:b w:val="1"/>
                <w:bCs w:val="1"/>
                <w:color w:val="FFFFFF"/>
                <w:w w:val="99"/>
              </w:rPr>
              <w:t>Warrants and Rights (a)</w:t>
            </w:r>
          </w:p>
        </w:tc>
        <w:tc>
          <w:tcPr>
            <w:tcW w:w="2380" w:type="dxa"/>
            <w:vAlign w:val="bottom"/>
            <w:tcBorders>
              <w:bottom w:val="single" w:sz="8" w:color="F75E14"/>
            </w:tcBorders>
            <w:shd w:val="clear" w:color="auto" w:fill="F75E14"/>
          </w:tcPr>
          <w:p>
            <w:pPr>
              <w:jc w:val="center"/>
              <w:spacing w:after="0"/>
              <w:rPr>
                <w:sz w:val="20"/>
                <w:szCs w:val="20"/>
                <w:color w:val="auto"/>
              </w:rPr>
            </w:pPr>
            <w:r>
              <w:rPr>
                <w:rFonts w:ascii="Arial" w:cs="Arial" w:eastAsia="Arial" w:hAnsi="Arial"/>
                <w:sz w:val="16"/>
                <w:szCs w:val="16"/>
                <w:b w:val="1"/>
                <w:bCs w:val="1"/>
                <w:color w:val="FFFFFF"/>
              </w:rPr>
              <w:t>(1) (b)</w:t>
            </w:r>
          </w:p>
        </w:tc>
        <w:tc>
          <w:tcPr>
            <w:tcW w:w="2880" w:type="dxa"/>
            <w:vAlign w:val="bottom"/>
            <w:tcBorders>
              <w:bottom w:val="single" w:sz="8" w:color="F75E14"/>
            </w:tcBorders>
            <w:shd w:val="clear" w:color="auto" w:fill="F75E14"/>
          </w:tcPr>
          <w:p>
            <w:pPr>
              <w:jc w:val="center"/>
              <w:spacing w:after="0"/>
              <w:rPr>
                <w:sz w:val="20"/>
                <w:szCs w:val="20"/>
                <w:color w:val="auto"/>
              </w:rPr>
            </w:pPr>
            <w:r>
              <w:rPr>
                <w:rFonts w:ascii="Arial" w:cs="Arial" w:eastAsia="Arial" w:hAnsi="Arial"/>
                <w:sz w:val="16"/>
                <w:szCs w:val="16"/>
                <w:b w:val="1"/>
                <w:bCs w:val="1"/>
                <w:color w:val="FFFFFF"/>
                <w:w w:val="99"/>
              </w:rPr>
              <w:t>Reflected in Column (a)) (c)</w:t>
            </w:r>
          </w:p>
        </w:tc>
      </w:tr>
      <w:tr>
        <w:trPr>
          <w:trHeight w:val="200"/>
        </w:trPr>
        <w:tc>
          <w:tcPr>
            <w:tcW w:w="2980" w:type="dxa"/>
            <w:vAlign w:val="bottom"/>
            <w:shd w:val="clear" w:color="auto" w:fill="D8E8EF"/>
          </w:tcPr>
          <w:p>
            <w:pPr>
              <w:ind w:left="300"/>
              <w:spacing w:after="0"/>
              <w:rPr>
                <w:sz w:val="20"/>
                <w:szCs w:val="20"/>
                <w:color w:val="auto"/>
              </w:rPr>
            </w:pPr>
            <w:r>
              <w:rPr>
                <w:rFonts w:ascii="Arial" w:cs="Arial" w:eastAsia="Arial" w:hAnsi="Arial"/>
                <w:sz w:val="16"/>
                <w:szCs w:val="16"/>
                <w:color w:val="auto"/>
              </w:rPr>
              <w:t>Equity Compensation Plans</w:t>
            </w:r>
          </w:p>
        </w:tc>
        <w:tc>
          <w:tcPr>
            <w:tcW w:w="2680" w:type="dxa"/>
            <w:vAlign w:val="bottom"/>
            <w:shd w:val="clear" w:color="auto" w:fill="D8E8EF"/>
          </w:tcPr>
          <w:p>
            <w:pPr>
              <w:spacing w:after="0"/>
              <w:rPr>
                <w:sz w:val="17"/>
                <w:szCs w:val="17"/>
                <w:color w:val="auto"/>
              </w:rPr>
            </w:pPr>
          </w:p>
        </w:tc>
        <w:tc>
          <w:tcPr>
            <w:tcW w:w="2380" w:type="dxa"/>
            <w:vAlign w:val="bottom"/>
            <w:shd w:val="clear" w:color="auto" w:fill="D8E8EF"/>
          </w:tcPr>
          <w:p>
            <w:pPr>
              <w:spacing w:after="0"/>
              <w:rPr>
                <w:sz w:val="17"/>
                <w:szCs w:val="17"/>
                <w:color w:val="auto"/>
              </w:rPr>
            </w:pPr>
          </w:p>
        </w:tc>
        <w:tc>
          <w:tcPr>
            <w:tcW w:w="2880" w:type="dxa"/>
            <w:vAlign w:val="bottom"/>
            <w:shd w:val="clear" w:color="auto" w:fill="D8E8EF"/>
          </w:tcPr>
          <w:p>
            <w:pPr>
              <w:spacing w:after="0"/>
              <w:rPr>
                <w:sz w:val="17"/>
                <w:szCs w:val="17"/>
                <w:color w:val="auto"/>
              </w:rPr>
            </w:pPr>
          </w:p>
        </w:tc>
      </w:tr>
      <w:tr>
        <w:trPr>
          <w:trHeight w:val="248"/>
        </w:trPr>
        <w:tc>
          <w:tcPr>
            <w:tcW w:w="2980" w:type="dxa"/>
            <w:vAlign w:val="bottom"/>
            <w:tcBorders>
              <w:bottom w:val="single" w:sz="8" w:color="D8E8EF"/>
            </w:tcBorders>
            <w:shd w:val="clear" w:color="auto" w:fill="D8E8EF"/>
          </w:tcPr>
          <w:p>
            <w:pPr>
              <w:ind w:left="460"/>
              <w:spacing w:after="0"/>
              <w:rPr>
                <w:sz w:val="20"/>
                <w:szCs w:val="20"/>
                <w:color w:val="auto"/>
              </w:rPr>
            </w:pPr>
            <w:r>
              <w:rPr>
                <w:rFonts w:ascii="Arial" w:cs="Arial" w:eastAsia="Arial" w:hAnsi="Arial"/>
                <w:sz w:val="16"/>
                <w:szCs w:val="16"/>
                <w:color w:val="auto"/>
              </w:rPr>
              <w:t>Approved By Security Holders (2)</w:t>
            </w:r>
          </w:p>
        </w:tc>
        <w:tc>
          <w:tcPr>
            <w:tcW w:w="2680" w:type="dxa"/>
            <w:vAlign w:val="bottom"/>
            <w:tcBorders>
              <w:bottom w:val="single" w:sz="8" w:color="D8E8EF"/>
            </w:tcBorders>
            <w:shd w:val="clear" w:color="auto" w:fill="D8E8EF"/>
          </w:tcPr>
          <w:p>
            <w:pPr>
              <w:jc w:val="right"/>
              <w:ind w:right="620"/>
              <w:spacing w:after="0"/>
              <w:rPr>
                <w:sz w:val="20"/>
                <w:szCs w:val="20"/>
                <w:color w:val="auto"/>
              </w:rPr>
            </w:pPr>
            <w:r>
              <w:rPr>
                <w:rFonts w:ascii="Arial" w:cs="Arial" w:eastAsia="Arial" w:hAnsi="Arial"/>
                <w:sz w:val="16"/>
                <w:szCs w:val="16"/>
                <w:color w:val="auto"/>
              </w:rPr>
              <w:t>6,164,659 (3)</w:t>
            </w:r>
          </w:p>
        </w:tc>
        <w:tc>
          <w:tcPr>
            <w:tcW w:w="2380" w:type="dxa"/>
            <w:vAlign w:val="bottom"/>
            <w:tcBorders>
              <w:bottom w:val="single" w:sz="8" w:color="D8E8EF"/>
            </w:tcBorders>
            <w:shd w:val="clear" w:color="auto" w:fill="D8E8EF"/>
          </w:tcPr>
          <w:p>
            <w:pPr>
              <w:jc w:val="right"/>
              <w:ind w:right="600"/>
              <w:spacing w:after="0"/>
              <w:rPr>
                <w:sz w:val="20"/>
                <w:szCs w:val="20"/>
                <w:color w:val="auto"/>
              </w:rPr>
            </w:pPr>
            <w:r>
              <w:rPr>
                <w:rFonts w:ascii="Arial" w:cs="Arial" w:eastAsia="Arial" w:hAnsi="Arial"/>
                <w:sz w:val="16"/>
                <w:szCs w:val="16"/>
                <w:color w:val="auto"/>
              </w:rPr>
              <w:t>$0.00</w:t>
            </w:r>
          </w:p>
        </w:tc>
        <w:tc>
          <w:tcPr>
            <w:tcW w:w="2880" w:type="dxa"/>
            <w:vAlign w:val="bottom"/>
            <w:tcBorders>
              <w:bottom w:val="single" w:sz="8" w:color="D8E8EF"/>
            </w:tcBorders>
            <w:shd w:val="clear" w:color="auto" w:fill="D8E8EF"/>
          </w:tcPr>
          <w:p>
            <w:pPr>
              <w:jc w:val="right"/>
              <w:ind w:right="600"/>
              <w:spacing w:after="0"/>
              <w:rPr>
                <w:sz w:val="20"/>
                <w:szCs w:val="20"/>
                <w:color w:val="auto"/>
              </w:rPr>
            </w:pPr>
            <w:r>
              <w:rPr>
                <w:rFonts w:ascii="Arial" w:cs="Arial" w:eastAsia="Arial" w:hAnsi="Arial"/>
                <w:sz w:val="16"/>
                <w:szCs w:val="16"/>
                <w:color w:val="auto"/>
              </w:rPr>
              <w:t>50,446,144 (4)</w:t>
            </w:r>
          </w:p>
        </w:tc>
      </w:tr>
      <w:tr>
        <w:trPr>
          <w:trHeight w:val="200"/>
        </w:trPr>
        <w:tc>
          <w:tcPr>
            <w:tcW w:w="2980" w:type="dxa"/>
            <w:vAlign w:val="bottom"/>
          </w:tcPr>
          <w:p>
            <w:pPr>
              <w:ind w:left="300"/>
              <w:spacing w:after="0"/>
              <w:rPr>
                <w:sz w:val="20"/>
                <w:szCs w:val="20"/>
                <w:color w:val="auto"/>
              </w:rPr>
            </w:pPr>
            <w:r>
              <w:rPr>
                <w:rFonts w:ascii="Arial" w:cs="Arial" w:eastAsia="Arial" w:hAnsi="Arial"/>
                <w:sz w:val="16"/>
                <w:szCs w:val="16"/>
                <w:color w:val="auto"/>
              </w:rPr>
              <w:t>Equity Compensation Plans</w:t>
            </w:r>
          </w:p>
        </w:tc>
        <w:tc>
          <w:tcPr>
            <w:tcW w:w="268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2880" w:type="dxa"/>
            <w:vAlign w:val="bottom"/>
          </w:tcPr>
          <w:p>
            <w:pPr>
              <w:spacing w:after="0"/>
              <w:rPr>
                <w:sz w:val="17"/>
                <w:szCs w:val="17"/>
                <w:color w:val="auto"/>
              </w:rPr>
            </w:pPr>
          </w:p>
        </w:tc>
      </w:tr>
      <w:tr>
        <w:trPr>
          <w:trHeight w:val="211"/>
        </w:trPr>
        <w:tc>
          <w:tcPr>
            <w:tcW w:w="2980" w:type="dxa"/>
            <w:vAlign w:val="bottom"/>
          </w:tcPr>
          <w:p>
            <w:pPr>
              <w:ind w:left="460"/>
              <w:spacing w:after="0"/>
              <w:rPr>
                <w:sz w:val="20"/>
                <w:szCs w:val="20"/>
                <w:color w:val="auto"/>
              </w:rPr>
            </w:pPr>
            <w:r>
              <w:rPr>
                <w:rFonts w:ascii="Arial" w:cs="Arial" w:eastAsia="Arial" w:hAnsi="Arial"/>
                <w:sz w:val="16"/>
                <w:szCs w:val="16"/>
                <w:color w:val="auto"/>
              </w:rPr>
              <w:t>Not Approved By Security Holders</w:t>
            </w:r>
          </w:p>
        </w:tc>
        <w:tc>
          <w:tcPr>
            <w:tcW w:w="2680" w:type="dxa"/>
            <w:vAlign w:val="bottom"/>
          </w:tcPr>
          <w:p>
            <w:pPr>
              <w:jc w:val="right"/>
              <w:ind w:right="620"/>
              <w:spacing w:after="0"/>
              <w:rPr>
                <w:sz w:val="20"/>
                <w:szCs w:val="20"/>
                <w:color w:val="auto"/>
              </w:rPr>
            </w:pPr>
            <w:r>
              <w:rPr>
                <w:rFonts w:ascii="Arial" w:cs="Arial" w:eastAsia="Arial" w:hAnsi="Arial"/>
                <w:sz w:val="16"/>
                <w:szCs w:val="16"/>
                <w:color w:val="auto"/>
              </w:rPr>
              <w:t>—</w:t>
            </w:r>
          </w:p>
        </w:tc>
        <w:tc>
          <w:tcPr>
            <w:tcW w:w="2380" w:type="dxa"/>
            <w:vAlign w:val="bottom"/>
          </w:tcPr>
          <w:p>
            <w:pPr>
              <w:jc w:val="right"/>
              <w:ind w:right="600"/>
              <w:spacing w:after="0"/>
              <w:rPr>
                <w:sz w:val="20"/>
                <w:szCs w:val="20"/>
                <w:color w:val="auto"/>
              </w:rPr>
            </w:pPr>
            <w:r>
              <w:rPr>
                <w:rFonts w:ascii="Arial" w:cs="Arial" w:eastAsia="Arial" w:hAnsi="Arial"/>
                <w:sz w:val="16"/>
                <w:szCs w:val="16"/>
                <w:color w:val="auto"/>
              </w:rPr>
              <w:t>—</w:t>
            </w:r>
          </w:p>
        </w:tc>
        <w:tc>
          <w:tcPr>
            <w:tcW w:w="2880" w:type="dxa"/>
            <w:vAlign w:val="bottom"/>
          </w:tcPr>
          <w:p>
            <w:pPr>
              <w:jc w:val="right"/>
              <w:ind w:right="600"/>
              <w:spacing w:after="0"/>
              <w:rPr>
                <w:sz w:val="20"/>
                <w:szCs w:val="20"/>
                <w:color w:val="auto"/>
              </w:rPr>
            </w:pPr>
            <w:r>
              <w:rPr>
                <w:rFonts w:ascii="Arial" w:cs="Arial" w:eastAsia="Arial" w:hAnsi="Arial"/>
                <w:sz w:val="16"/>
                <w:szCs w:val="16"/>
                <w:color w:val="auto"/>
              </w:rPr>
              <w:t>—</w:t>
            </w:r>
          </w:p>
        </w:tc>
      </w:tr>
      <w:tr>
        <w:trPr>
          <w:trHeight w:val="57"/>
        </w:trPr>
        <w:tc>
          <w:tcPr>
            <w:tcW w:w="2980" w:type="dxa"/>
            <w:vAlign w:val="bottom"/>
            <w:tcBorders>
              <w:bottom w:val="single" w:sz="8" w:color="D8E8EF"/>
            </w:tcBorders>
          </w:tcPr>
          <w:p>
            <w:pPr>
              <w:spacing w:after="0"/>
              <w:rPr>
                <w:sz w:val="4"/>
                <w:szCs w:val="4"/>
                <w:color w:val="auto"/>
              </w:rPr>
            </w:pPr>
          </w:p>
        </w:tc>
        <w:tc>
          <w:tcPr>
            <w:tcW w:w="2680" w:type="dxa"/>
            <w:vAlign w:val="bottom"/>
            <w:tcBorders>
              <w:bottom w:val="single" w:sz="8" w:color="auto"/>
            </w:tcBorders>
          </w:tcPr>
          <w:p>
            <w:pPr>
              <w:spacing w:after="0"/>
              <w:rPr>
                <w:sz w:val="4"/>
                <w:szCs w:val="4"/>
                <w:color w:val="auto"/>
              </w:rPr>
            </w:pPr>
          </w:p>
        </w:tc>
        <w:tc>
          <w:tcPr>
            <w:tcW w:w="2380" w:type="dxa"/>
            <w:vAlign w:val="bottom"/>
            <w:tcBorders>
              <w:bottom w:val="single" w:sz="8" w:color="D8E8EF"/>
            </w:tcBorders>
          </w:tcPr>
          <w:p>
            <w:pPr>
              <w:spacing w:after="0"/>
              <w:rPr>
                <w:sz w:val="4"/>
                <w:szCs w:val="4"/>
                <w:color w:val="auto"/>
              </w:rPr>
            </w:pPr>
          </w:p>
        </w:tc>
        <w:tc>
          <w:tcPr>
            <w:tcW w:w="2880" w:type="dxa"/>
            <w:vAlign w:val="bottom"/>
            <w:tcBorders>
              <w:bottom w:val="single" w:sz="8" w:color="auto"/>
            </w:tcBorders>
          </w:tcPr>
          <w:p>
            <w:pPr>
              <w:spacing w:after="0"/>
              <w:rPr>
                <w:sz w:val="4"/>
                <w:szCs w:val="4"/>
                <w:color w:val="auto"/>
              </w:rPr>
            </w:pPr>
          </w:p>
        </w:tc>
      </w:tr>
      <w:tr>
        <w:trPr>
          <w:trHeight w:val="241"/>
        </w:trPr>
        <w:tc>
          <w:tcPr>
            <w:tcW w:w="2980" w:type="dxa"/>
            <w:vAlign w:val="bottom"/>
            <w:tcBorders>
              <w:bottom w:val="single" w:sz="8" w:color="D8E8EF"/>
            </w:tcBorders>
            <w:shd w:val="clear" w:color="auto" w:fill="D8E8EF"/>
          </w:tcPr>
          <w:p>
            <w:pPr>
              <w:ind w:left="60"/>
              <w:spacing w:after="0"/>
              <w:rPr>
                <w:sz w:val="20"/>
                <w:szCs w:val="20"/>
                <w:color w:val="auto"/>
              </w:rPr>
            </w:pPr>
            <w:r>
              <w:rPr>
                <w:rFonts w:ascii="Arial" w:cs="Arial" w:eastAsia="Arial" w:hAnsi="Arial"/>
                <w:sz w:val="16"/>
                <w:szCs w:val="16"/>
                <w:color w:val="auto"/>
              </w:rPr>
              <w:t>Total</w:t>
            </w:r>
          </w:p>
        </w:tc>
        <w:tc>
          <w:tcPr>
            <w:tcW w:w="2680" w:type="dxa"/>
            <w:vAlign w:val="bottom"/>
            <w:tcBorders>
              <w:bottom w:val="single" w:sz="8" w:color="D8E8EF"/>
            </w:tcBorders>
            <w:shd w:val="clear" w:color="auto" w:fill="D8E8EF"/>
          </w:tcPr>
          <w:p>
            <w:pPr>
              <w:jc w:val="right"/>
              <w:ind w:right="620"/>
              <w:spacing w:after="0"/>
              <w:rPr>
                <w:sz w:val="20"/>
                <w:szCs w:val="20"/>
                <w:color w:val="auto"/>
              </w:rPr>
            </w:pPr>
            <w:r>
              <w:rPr>
                <w:rFonts w:ascii="Arial" w:cs="Arial" w:eastAsia="Arial" w:hAnsi="Arial"/>
                <w:sz w:val="16"/>
                <w:szCs w:val="16"/>
                <w:color w:val="auto"/>
              </w:rPr>
              <w:t>6,164,659</w:t>
            </w:r>
          </w:p>
        </w:tc>
        <w:tc>
          <w:tcPr>
            <w:tcW w:w="2380" w:type="dxa"/>
            <w:vAlign w:val="bottom"/>
            <w:tcBorders>
              <w:bottom w:val="single" w:sz="8" w:color="D8E8EF"/>
            </w:tcBorders>
            <w:shd w:val="clear" w:color="auto" w:fill="D8E8EF"/>
          </w:tcPr>
          <w:p>
            <w:pPr>
              <w:spacing w:after="0"/>
              <w:rPr>
                <w:sz w:val="20"/>
                <w:szCs w:val="20"/>
                <w:color w:val="auto"/>
              </w:rPr>
            </w:pPr>
          </w:p>
        </w:tc>
        <w:tc>
          <w:tcPr>
            <w:tcW w:w="2880" w:type="dxa"/>
            <w:vAlign w:val="bottom"/>
            <w:tcBorders>
              <w:bottom w:val="single" w:sz="8" w:color="D8E8EF"/>
            </w:tcBorders>
            <w:shd w:val="clear" w:color="auto" w:fill="D8E8EF"/>
          </w:tcPr>
          <w:p>
            <w:pPr>
              <w:jc w:val="right"/>
              <w:ind w:right="600"/>
              <w:spacing w:after="0"/>
              <w:rPr>
                <w:sz w:val="20"/>
                <w:szCs w:val="20"/>
                <w:color w:val="auto"/>
              </w:rPr>
            </w:pPr>
            <w:r>
              <w:rPr>
                <w:rFonts w:ascii="Arial" w:cs="Arial" w:eastAsia="Arial" w:hAnsi="Arial"/>
                <w:sz w:val="16"/>
                <w:szCs w:val="16"/>
                <w:color w:val="auto"/>
              </w:rPr>
              <w:t>50,446,144</w:t>
            </w:r>
          </w:p>
        </w:tc>
      </w:tr>
      <w:tr>
        <w:trPr>
          <w:trHeight w:val="20"/>
        </w:trPr>
        <w:tc>
          <w:tcPr>
            <w:tcW w:w="2980" w:type="dxa"/>
            <w:vAlign w:val="bottom"/>
            <w:shd w:val="clear" w:color="auto" w:fill="000000"/>
          </w:tcPr>
          <w:p>
            <w:pPr>
              <w:spacing w:after="0" w:line="20" w:lineRule="exact"/>
              <w:rPr>
                <w:sz w:val="1"/>
                <w:szCs w:val="1"/>
                <w:color w:val="auto"/>
              </w:rPr>
            </w:pPr>
          </w:p>
        </w:tc>
        <w:tc>
          <w:tcPr>
            <w:tcW w:w="2680" w:type="dxa"/>
            <w:vAlign w:val="bottom"/>
            <w:shd w:val="clear" w:color="auto" w:fill="000000"/>
          </w:tcPr>
          <w:p>
            <w:pPr>
              <w:spacing w:after="0" w:line="20" w:lineRule="exact"/>
              <w:rPr>
                <w:sz w:val="1"/>
                <w:szCs w:val="1"/>
                <w:color w:val="auto"/>
              </w:rPr>
            </w:pPr>
          </w:p>
        </w:tc>
        <w:tc>
          <w:tcPr>
            <w:tcW w:w="2380" w:type="dxa"/>
            <w:vAlign w:val="bottom"/>
            <w:shd w:val="clear" w:color="auto" w:fill="000000"/>
          </w:tcPr>
          <w:p>
            <w:pPr>
              <w:spacing w:after="0" w:line="20" w:lineRule="exact"/>
              <w:rPr>
                <w:sz w:val="1"/>
                <w:szCs w:val="1"/>
                <w:color w:val="auto"/>
              </w:rPr>
            </w:pPr>
          </w:p>
        </w:tc>
        <w:tc>
          <w:tcPr>
            <w:tcW w:w="2880" w:type="dxa"/>
            <w:vAlign w:val="bottom"/>
            <w:shd w:val="clear" w:color="auto" w:fill="000000"/>
          </w:tcPr>
          <w:p>
            <w:pPr>
              <w:spacing w:after="0" w:line="20" w:lineRule="exact"/>
              <w:rPr>
                <w:sz w:val="1"/>
                <w:szCs w:val="1"/>
                <w:color w:val="auto"/>
              </w:rPr>
            </w:pPr>
          </w:p>
        </w:tc>
      </w:tr>
    </w:tbl>
    <w:p>
      <w:pPr>
        <w:ind w:left="600" w:hanging="433"/>
        <w:spacing w:after="0" w:line="267" w:lineRule="auto"/>
        <w:tabs>
          <w:tab w:leader="none" w:pos="600" w:val="left"/>
        </w:tabs>
        <w:numPr>
          <w:ilvl w:val="0"/>
          <w:numId w:val="98"/>
        </w:numPr>
        <w:rPr>
          <w:rFonts w:ascii="Arial" w:cs="Arial" w:eastAsia="Arial" w:hAnsi="Arial"/>
          <w:sz w:val="14"/>
          <w:szCs w:val="14"/>
          <w:color w:val="auto"/>
        </w:rPr>
      </w:pPr>
      <w:r>
        <w:rPr>
          <w:rFonts w:ascii="Arial" w:cs="Arial" w:eastAsia="Arial" w:hAnsi="Arial"/>
          <w:sz w:val="14"/>
          <w:szCs w:val="14"/>
          <w:color w:val="auto"/>
        </w:rPr>
        <w:t>Calculated without taking into account shares of common stock subject to outstanding RSUs and PBRSUs (including any additional shares that may be earned based on performance for the latter) that will become issuable as those units vest without any cash consideration or other payment required for such shares.</w:t>
      </w:r>
    </w:p>
    <w:p>
      <w:pPr>
        <w:spacing w:after="0" w:line="33" w:lineRule="exact"/>
        <w:rPr>
          <w:rFonts w:ascii="Arial" w:cs="Arial" w:eastAsia="Arial" w:hAnsi="Arial"/>
          <w:sz w:val="14"/>
          <w:szCs w:val="14"/>
          <w:color w:val="auto"/>
        </w:rPr>
      </w:pPr>
    </w:p>
    <w:p>
      <w:pPr>
        <w:ind w:left="600" w:hanging="433"/>
        <w:spacing w:after="0"/>
        <w:tabs>
          <w:tab w:leader="none" w:pos="600" w:val="left"/>
        </w:tabs>
        <w:numPr>
          <w:ilvl w:val="0"/>
          <w:numId w:val="98"/>
        </w:numPr>
        <w:rPr>
          <w:rFonts w:ascii="Arial" w:cs="Arial" w:eastAsia="Arial" w:hAnsi="Arial"/>
          <w:sz w:val="14"/>
          <w:szCs w:val="14"/>
          <w:color w:val="auto"/>
        </w:rPr>
      </w:pPr>
      <w:r>
        <w:rPr>
          <w:rFonts w:ascii="Arial" w:cs="Arial" w:eastAsia="Arial" w:hAnsi="Arial"/>
          <w:sz w:val="14"/>
          <w:szCs w:val="14"/>
          <w:color w:val="auto"/>
        </w:rPr>
        <w:t>Consists of the SIP and the ESPP.</w:t>
      </w:r>
    </w:p>
    <w:p>
      <w:pPr>
        <w:spacing w:after="0" w:line="79" w:lineRule="exact"/>
        <w:rPr>
          <w:rFonts w:ascii="Arial" w:cs="Arial" w:eastAsia="Arial" w:hAnsi="Arial"/>
          <w:sz w:val="14"/>
          <w:szCs w:val="14"/>
          <w:color w:val="auto"/>
        </w:rPr>
      </w:pPr>
    </w:p>
    <w:p>
      <w:pPr>
        <w:jc w:val="both"/>
        <w:ind w:left="600" w:hanging="433"/>
        <w:spacing w:after="0" w:line="253" w:lineRule="auto"/>
        <w:tabs>
          <w:tab w:leader="none" w:pos="600" w:val="left"/>
        </w:tabs>
        <w:numPr>
          <w:ilvl w:val="0"/>
          <w:numId w:val="98"/>
        </w:numPr>
        <w:rPr>
          <w:rFonts w:ascii="Arial" w:cs="Arial" w:eastAsia="Arial" w:hAnsi="Arial"/>
          <w:sz w:val="14"/>
          <w:szCs w:val="14"/>
          <w:color w:val="auto"/>
        </w:rPr>
      </w:pPr>
      <w:r>
        <w:rPr>
          <w:rFonts w:ascii="Arial" w:cs="Arial" w:eastAsia="Arial" w:hAnsi="Arial"/>
          <w:sz w:val="14"/>
          <w:szCs w:val="14"/>
          <w:color w:val="auto"/>
        </w:rPr>
        <w:t>Includes 6,164,708 shares of common stock subject to RSUs and PBRSUs, which entitle each holder to one (or, in the case of PBRSUs, a maximum of two) share(s) of common stock for each unit that vests over the holder’s period of continued service or based on the achievement of certain performance criteria. This amount excludes purchase rights accruing under the ESPP that has a stockholder-approved reserve of 34,500,000 shares. As of December 31, 2021, there were approximately 8.2 million shares available for issuance under the ESPP. See footnote (4).</w:t>
      </w:r>
    </w:p>
    <w:p>
      <w:pPr>
        <w:spacing w:after="0" w:line="43" w:lineRule="exact"/>
        <w:rPr>
          <w:rFonts w:ascii="Arial" w:cs="Arial" w:eastAsia="Arial" w:hAnsi="Arial"/>
          <w:sz w:val="14"/>
          <w:szCs w:val="14"/>
          <w:color w:val="auto"/>
        </w:rPr>
      </w:pPr>
    </w:p>
    <w:p>
      <w:pPr>
        <w:jc w:val="both"/>
        <w:ind w:left="600" w:hanging="433"/>
        <w:spacing w:after="0" w:line="249" w:lineRule="auto"/>
        <w:tabs>
          <w:tab w:leader="none" w:pos="600" w:val="left"/>
        </w:tabs>
        <w:numPr>
          <w:ilvl w:val="0"/>
          <w:numId w:val="98"/>
        </w:numPr>
        <w:rPr>
          <w:rFonts w:ascii="Arial" w:cs="Arial" w:eastAsia="Arial" w:hAnsi="Arial"/>
          <w:sz w:val="14"/>
          <w:szCs w:val="14"/>
          <w:color w:val="auto"/>
        </w:rPr>
      </w:pPr>
      <w:r>
        <w:rPr>
          <w:rFonts w:ascii="Arial" w:cs="Arial" w:eastAsia="Arial" w:hAnsi="Arial"/>
          <w:sz w:val="14"/>
          <w:szCs w:val="14"/>
          <w:color w:val="auto"/>
        </w:rPr>
        <w:t>Includes 8,226,481 shares of common stock reserved for future issuance under the ESPP and 42,219,663 shares of common stock available for issuance under the SIP, as adjusted to account for full-value awards, which reduce the shares of common stock available for future issuance at a fungible ratio of 1:1.58 for each full-value award previously awarded. However, if an award under the SIP is forfeited, terminated, canceled, expires or is paid in cash, the shares subject to such award, to the extent of the forfeiture, termination, cancellation, expiration or cash payment, may be added back to the shares available for issuance under the SIP on a 1:1 basis for options and SARs and on a 1.58:1 basis for other awards.</w:t>
      </w:r>
    </w:p>
    <w:p>
      <w:pPr>
        <w:spacing w:after="0" w:line="166"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F75E14"/>
        </w:rPr>
        <w:t>RELATED PARTY TRANSACTIONS</w:t>
      </w:r>
    </w:p>
    <w:p>
      <w:pPr>
        <w:spacing w:after="0" w:line="30" w:lineRule="exact"/>
        <w:rPr>
          <w:sz w:val="20"/>
          <w:szCs w:val="20"/>
          <w:color w:val="auto"/>
        </w:rPr>
      </w:pPr>
    </w:p>
    <w:p>
      <w:pPr>
        <w:jc w:val="both"/>
        <w:ind w:left="160"/>
        <w:spacing w:after="0" w:line="246" w:lineRule="auto"/>
        <w:rPr>
          <w:sz w:val="20"/>
          <w:szCs w:val="20"/>
          <w:color w:val="auto"/>
        </w:rPr>
      </w:pPr>
      <w:r>
        <w:rPr>
          <w:rFonts w:ascii="Arial" w:cs="Arial" w:eastAsia="Arial" w:hAnsi="Arial"/>
          <w:sz w:val="17"/>
          <w:szCs w:val="17"/>
          <w:color w:val="auto"/>
        </w:rPr>
        <w:t>As set forth in the Audit Committee’s charter, unless submitted to another comparable independent body of the Board, and to the extent required under applicable federal securities laws and related rules and regulations and/or Nasdaq listing standards, related party transactions are submitted to the Audit Committee for review and oversight. We have a written policy on related party transactions (the “Policy”) to which all employees are required to adhere. The Policy provides for review and oversight requirements and related procedures with respect to transactions in which: (i) the Company was, is or will be a participant; (ii) the amount involved exceeds $120,000; and</w:t>
      </w:r>
    </w:p>
    <w:p>
      <w:pPr>
        <w:spacing w:after="0" w:line="1" w:lineRule="exact"/>
        <w:rPr>
          <w:sz w:val="20"/>
          <w:szCs w:val="20"/>
          <w:color w:val="auto"/>
        </w:rPr>
      </w:pPr>
    </w:p>
    <w:p>
      <w:pPr>
        <w:jc w:val="both"/>
        <w:ind w:left="160" w:firstLine="7"/>
        <w:spacing w:after="0" w:line="234" w:lineRule="auto"/>
        <w:tabs>
          <w:tab w:leader="none" w:pos="458" w:val="left"/>
        </w:tabs>
        <w:numPr>
          <w:ilvl w:val="0"/>
          <w:numId w:val="99"/>
        </w:numPr>
        <w:rPr>
          <w:rFonts w:ascii="Arial" w:cs="Arial" w:eastAsia="Arial" w:hAnsi="Arial"/>
          <w:sz w:val="18"/>
          <w:szCs w:val="18"/>
          <w:color w:val="auto"/>
        </w:rPr>
      </w:pPr>
      <w:r>
        <w:rPr>
          <w:rFonts w:ascii="Arial" w:cs="Arial" w:eastAsia="Arial" w:hAnsi="Arial"/>
          <w:sz w:val="18"/>
          <w:szCs w:val="18"/>
          <w:color w:val="auto"/>
        </w:rPr>
        <w:t>any related party had, has or will have a direct or indirect material interest. The Policy intentionally defines “related party” to not only include parties set forth under the definitions contained in SEC rules but also to include additional parties such as commonly controlled affiliates of the Company, certain investments in other entities and employee trusts. All related party transactions must be reviewed by our Corporate Controller’s Office, in conjunction with our Law Department, for potential conflict of interest situations and related matters on an ongoing basis. When review and oversight by the Audit Committee (or other independent body) is required, the Audit Committee (or other independent body) must be provided the details of such transactions, including, but not limited to, the terms of the transaction, the business purpose of the transaction and the benefits to the Company and to the other party. Although the Policy has not set standards for review or approval of related party transactions, our Audit Committee (or other independent body), Corporate Controller’s Office and Law Department seek to ensure that all related party transactions are conducted at arm’s-length, on terms that are fair to the Company and in the best interests of the Company and its stockholders. Since January 1, 2021, there have been no related party transactions that are required to be reported as such under SEC rules.</w:t>
      </w:r>
    </w:p>
    <w:p>
      <w:pPr>
        <w:spacing w:after="0" w:line="177"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F75E14"/>
        </w:rPr>
        <w:t>MISCELLANEOUS INFORMATION</w:t>
      </w:r>
    </w:p>
    <w:p>
      <w:pPr>
        <w:spacing w:after="0" w:line="221"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2B4772"/>
        </w:rPr>
        <w:t>Solicitation of Proxies</w:t>
      </w:r>
    </w:p>
    <w:p>
      <w:pPr>
        <w:spacing w:after="0" w:line="119" w:lineRule="exact"/>
        <w:rPr>
          <w:sz w:val="20"/>
          <w:szCs w:val="20"/>
          <w:color w:val="auto"/>
        </w:rPr>
      </w:pPr>
    </w:p>
    <w:p>
      <w:pPr>
        <w:jc w:val="both"/>
        <w:ind w:left="160"/>
        <w:spacing w:after="0" w:line="243" w:lineRule="auto"/>
        <w:rPr>
          <w:sz w:val="20"/>
          <w:szCs w:val="20"/>
          <w:color w:val="auto"/>
        </w:rPr>
      </w:pPr>
      <w:r>
        <w:rPr>
          <w:rFonts w:ascii="Arial" w:cs="Arial" w:eastAsia="Arial" w:hAnsi="Arial"/>
          <w:sz w:val="18"/>
          <w:szCs w:val="18"/>
          <w:color w:val="auto"/>
        </w:rPr>
        <w:t>The cost of soliciting proxies will be borne by us. We have retained Georgeson LLC (“Georgeson”) under an agreement to assist in the solicitation of proxies for the Annual Meeting. We have agreed to indemnify Georgeson against certain liabilities arising out of or in connection with the engagement and to limit its aggregate liability for its services. The estimated cost for such services is $12,250, plus additional fees relating to telephone solicitation of proxies and upon the</w:t>
      </w:r>
    </w:p>
    <w:p>
      <w:pPr>
        <w:spacing w:after="0" w:line="121" w:lineRule="exact"/>
        <w:rPr>
          <w:sz w:val="20"/>
          <w:szCs w:val="20"/>
          <w:color w:val="auto"/>
        </w:rPr>
      </w:pPr>
    </w:p>
    <w:p>
      <w:pPr>
        <w:ind w:left="160"/>
        <w:spacing w:after="0"/>
        <w:tabs>
          <w:tab w:leader="none" w:pos="500" w:val="left"/>
        </w:tabs>
        <w:rPr>
          <w:sz w:val="20"/>
          <w:szCs w:val="20"/>
          <w:color w:val="auto"/>
        </w:rPr>
      </w:pPr>
      <w:r>
        <w:rPr>
          <w:rFonts w:ascii="Arial" w:cs="Arial" w:eastAsia="Arial" w:hAnsi="Arial"/>
          <w:sz w:val="14"/>
          <w:szCs w:val="14"/>
          <w:color w:val="F75E14"/>
        </w:rPr>
        <w:t>72</w:t>
        <w:tab/>
        <w:t>onsemi 2022 Proxy Statement</w:t>
      </w:r>
    </w:p>
    <w:p>
      <w:pPr>
        <w:sectPr>
          <w:pgSz w:w="11900" w:h="16838" w:orient="portrait"/>
          <w:cols w:equalWidth="0" w:num="1">
            <w:col w:w="11080"/>
          </w:cols>
          <w:pgMar w:left="320" w:top="454" w:right="499" w:bottom="1440" w:gutter="0" w:footer="0" w:header="0"/>
        </w:sectPr>
      </w:pPr>
    </w:p>
    <w:bookmarkStart w:id="76" w:name="page77"/>
    <w:bookmarkEnd w:id="7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2" w:lineRule="exact"/>
        <w:rPr>
          <w:sz w:val="20"/>
          <w:szCs w:val="20"/>
          <w:color w:val="auto"/>
        </w:rPr>
      </w:pPr>
    </w:p>
    <w:p>
      <w:pPr>
        <w:ind w:left="9000"/>
        <w:spacing w:after="0"/>
        <w:rPr>
          <w:sz w:val="20"/>
          <w:szCs w:val="20"/>
          <w:color w:val="auto"/>
        </w:rPr>
      </w:pPr>
      <w:r>
        <w:rPr>
          <w:rFonts w:ascii="Arial" w:cs="Arial" w:eastAsia="Arial" w:hAnsi="Arial"/>
          <w:sz w:val="17"/>
          <w:szCs w:val="17"/>
          <w:color w:val="F75E14"/>
        </w:rPr>
        <w:t>Miscellaneous Information</w:t>
      </w:r>
    </w:p>
    <w:p>
      <w:pPr>
        <w:spacing w:after="0" w:line="152" w:lineRule="exact"/>
        <w:rPr>
          <w:sz w:val="20"/>
          <w:szCs w:val="20"/>
          <w:color w:val="auto"/>
        </w:rPr>
      </w:pPr>
    </w:p>
    <w:p>
      <w:pPr>
        <w:jc w:val="both"/>
        <w:ind w:left="160"/>
        <w:spacing w:after="0"/>
        <w:rPr>
          <w:sz w:val="20"/>
          <w:szCs w:val="20"/>
          <w:color w:val="auto"/>
        </w:rPr>
      </w:pPr>
      <w:r>
        <w:rPr>
          <w:rFonts w:ascii="Arial" w:cs="Arial" w:eastAsia="Arial" w:hAnsi="Arial"/>
          <w:sz w:val="18"/>
          <w:szCs w:val="18"/>
          <w:color w:val="auto"/>
        </w:rPr>
        <w:t>occurrence of certain other contingencies, as well as other customary costs. In addition to the above services, we will request Brokers and other record holders to send proxies and proxy materials to the beneficial owners of the stock and secure their voting instructions, if necessary. We will reimburse such record holders for their reasonable expenses in so doing. We may also use our directors, officers and/or regular employees, who will not be specially compensated, to solicit proxies personally or by telephone, email, facsimile or special delivery letter.</w:t>
      </w:r>
    </w:p>
    <w:p>
      <w:pPr>
        <w:spacing w:after="0" w:line="176"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2B4772"/>
        </w:rPr>
        <w:t>Annual Report/Form 10-K</w:t>
      </w:r>
    </w:p>
    <w:p>
      <w:pPr>
        <w:spacing w:after="0" w:line="119" w:lineRule="exact"/>
        <w:rPr>
          <w:sz w:val="20"/>
          <w:szCs w:val="20"/>
          <w:color w:val="auto"/>
        </w:rPr>
      </w:pPr>
    </w:p>
    <w:p>
      <w:pPr>
        <w:jc w:val="both"/>
        <w:ind w:left="160"/>
        <w:spacing w:after="0" w:line="241" w:lineRule="auto"/>
        <w:rPr>
          <w:sz w:val="20"/>
          <w:szCs w:val="20"/>
          <w:color w:val="auto"/>
        </w:rPr>
      </w:pPr>
      <w:r>
        <w:rPr>
          <w:rFonts w:ascii="Arial" w:cs="Arial" w:eastAsia="Arial" w:hAnsi="Arial"/>
          <w:sz w:val="18"/>
          <w:szCs w:val="18"/>
          <w:b w:val="1"/>
          <w:bCs w:val="1"/>
          <w:color w:val="auto"/>
        </w:rPr>
        <w:t xml:space="preserve">Our 2021 annual report to stockholders (the “Annual Report”), which includes the Form 10-K (without certain exhibits that are excluded from the Annual Report pursuant to Rule 14a-3(b) of the Exchange Act), is being delivered concurrently with this proxy statement to all stockholders of record as of the Record Date. Those exhibits that are excluded from the Annual Report as described above are available for the cost of photocopying. To receive a copy, please write to: Investor Relations, ON Semiconductor Corporation, 5005 East McDowell Road, Phoenix, Arizona 85008; call: Investor Relations at (602) 244-3437; send an email to: </w:t>
      </w:r>
      <w:r>
        <w:rPr>
          <w:rFonts w:ascii="Arial" w:cs="Arial" w:eastAsia="Arial" w:hAnsi="Arial"/>
          <w:sz w:val="18"/>
          <w:szCs w:val="18"/>
          <w:b w:val="1"/>
          <w:bCs w:val="1"/>
          <w:u w:val="single" w:color="auto"/>
          <w:color w:val="auto"/>
        </w:rPr>
        <w:t>investor@onsemi.com</w:t>
      </w:r>
      <w:r>
        <w:rPr>
          <w:rFonts w:ascii="Arial" w:cs="Arial" w:eastAsia="Arial" w:hAnsi="Arial"/>
          <w:sz w:val="18"/>
          <w:szCs w:val="18"/>
          <w:b w:val="1"/>
          <w:bCs w:val="1"/>
          <w:color w:val="auto"/>
        </w:rPr>
        <w:t xml:space="preserve">; or go to the Investor Relations section of our website at </w:t>
      </w:r>
      <w:r>
        <w:rPr>
          <w:rFonts w:ascii="Arial" w:cs="Arial" w:eastAsia="Arial" w:hAnsi="Arial"/>
          <w:sz w:val="18"/>
          <w:szCs w:val="18"/>
          <w:b w:val="1"/>
          <w:bCs w:val="1"/>
          <w:u w:val="single" w:color="auto"/>
          <w:color w:val="auto"/>
        </w:rPr>
        <w:t>www.onsemi.com</w:t>
      </w:r>
      <w:r>
        <w:rPr>
          <w:rFonts w:ascii="Arial" w:cs="Arial" w:eastAsia="Arial" w:hAnsi="Arial"/>
          <w:sz w:val="18"/>
          <w:szCs w:val="18"/>
          <w:b w:val="1"/>
          <w:bCs w:val="1"/>
          <w:color w:val="auto"/>
        </w:rPr>
        <w:t>.</w:t>
      </w:r>
    </w:p>
    <w:p>
      <w:pPr>
        <w:spacing w:after="0" w:line="165"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2B4772"/>
        </w:rPr>
        <w:t>Stockholders Sharing the Same Address</w:t>
      </w:r>
    </w:p>
    <w:p>
      <w:pPr>
        <w:spacing w:after="0" w:line="119" w:lineRule="exact"/>
        <w:rPr>
          <w:sz w:val="20"/>
          <w:szCs w:val="20"/>
          <w:color w:val="auto"/>
        </w:rPr>
      </w:pPr>
    </w:p>
    <w:p>
      <w:pPr>
        <w:jc w:val="both"/>
        <w:ind w:left="160"/>
        <w:spacing w:after="0" w:line="236" w:lineRule="auto"/>
        <w:rPr>
          <w:sz w:val="20"/>
          <w:szCs w:val="20"/>
          <w:color w:val="auto"/>
        </w:rPr>
      </w:pPr>
      <w:r>
        <w:rPr>
          <w:rFonts w:ascii="Arial" w:cs="Arial" w:eastAsia="Arial" w:hAnsi="Arial"/>
          <w:sz w:val="18"/>
          <w:szCs w:val="18"/>
          <w:color w:val="auto"/>
        </w:rPr>
        <w:t xml:space="preserve">If you hold your shares in “street name” and share the same address as another stockholder, you will receive only one Internet Notice or set of proxy materials, including the Annual Report, unless you have provided contrary instructions. If you hold your shares in “street name” and wish to receive a separate Internet Notice or set of proxy materials, or if you share the same address as another stockholder and are receiving multiple Internet Notices or sets of proxy materials and wish to receive only one Internet Notice or set of proxy materials, you will need to contact your Broker. Registered holders are each provided an Internet Notice or set of proxy materials; however, if you are a registered holder and would like an additional copy or, alternatively, if you share the same address as another stockholder and (i) are receiving a single Internet Notice or set of proxy materials and wish to receive multiple Internet Notices or sets or (ii) are receiving multiple Internet Notices or sets of proxy materials and wish to receive only one Internet Notice or set, please write to: Investor Relations, ON Semiconductor Corporation, 5005 East McDowell Road, Phoenix, Arizona 85008; call: Investor Relations at (602) 244-3437; send an email to: </w:t>
      </w:r>
      <w:r>
        <w:rPr>
          <w:rFonts w:ascii="Arial" w:cs="Arial" w:eastAsia="Arial" w:hAnsi="Arial"/>
          <w:sz w:val="18"/>
          <w:szCs w:val="18"/>
          <w:u w:val="single" w:color="auto"/>
          <w:color w:val="auto"/>
        </w:rPr>
        <w:t>investor@onsemi.com</w:t>
      </w:r>
      <w:r>
        <w:rPr>
          <w:rFonts w:ascii="Arial" w:cs="Arial" w:eastAsia="Arial" w:hAnsi="Arial"/>
          <w:sz w:val="18"/>
          <w:szCs w:val="18"/>
          <w:color w:val="auto"/>
        </w:rPr>
        <w:t xml:space="preserve">; or go to the Investor Relations section of our website at </w:t>
      </w:r>
      <w:r>
        <w:rPr>
          <w:rFonts w:ascii="Arial" w:cs="Arial" w:eastAsia="Arial" w:hAnsi="Arial"/>
          <w:sz w:val="18"/>
          <w:szCs w:val="18"/>
          <w:u w:val="single" w:color="auto"/>
          <w:color w:val="auto"/>
        </w:rPr>
        <w:t>www.onsemi.com</w:t>
      </w:r>
      <w:r>
        <w:rPr>
          <w:rFonts w:ascii="Arial" w:cs="Arial" w:eastAsia="Arial" w:hAnsi="Arial"/>
          <w:sz w:val="18"/>
          <w:szCs w:val="18"/>
          <w:color w:val="auto"/>
        </w:rPr>
        <w:t>. We will promptly provide a copy as requested.</w:t>
      </w:r>
    </w:p>
    <w:p>
      <w:pPr>
        <w:spacing w:after="0" w:line="176"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2B4772"/>
        </w:rPr>
        <w:t>Other Business</w:t>
      </w:r>
    </w:p>
    <w:p>
      <w:pPr>
        <w:spacing w:after="0" w:line="119" w:lineRule="exact"/>
        <w:rPr>
          <w:sz w:val="20"/>
          <w:szCs w:val="20"/>
          <w:color w:val="auto"/>
        </w:rPr>
      </w:pPr>
    </w:p>
    <w:p>
      <w:pPr>
        <w:jc w:val="both"/>
        <w:ind w:left="160"/>
        <w:spacing w:after="0" w:line="243" w:lineRule="auto"/>
        <w:rPr>
          <w:sz w:val="20"/>
          <w:szCs w:val="20"/>
          <w:color w:val="auto"/>
        </w:rPr>
      </w:pPr>
      <w:r>
        <w:rPr>
          <w:rFonts w:ascii="Arial" w:cs="Arial" w:eastAsia="Arial" w:hAnsi="Arial"/>
          <w:sz w:val="18"/>
          <w:szCs w:val="18"/>
          <w:color w:val="auto"/>
        </w:rPr>
        <w:t>Other than the proposals set forth in this proxy statement, we do not intend to bring, and we are not currently aware of, any other matters to be voted on at the Annual Meeting. If, however, other matters are properly presented at the Annual Meeting and you have signed and returned your proxy card, the proxies will have discretion to vote your shares on such matters to the extent authorized under the Exchange Act.</w:t>
      </w:r>
    </w:p>
    <w:p>
      <w:pPr>
        <w:spacing w:after="0" w:line="172"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2B4772"/>
        </w:rPr>
        <w:t>Stockholder Communications with the Board of Directors</w:t>
      </w:r>
    </w:p>
    <w:p>
      <w:pPr>
        <w:spacing w:after="0" w:line="119" w:lineRule="exact"/>
        <w:rPr>
          <w:sz w:val="20"/>
          <w:szCs w:val="20"/>
          <w:color w:val="auto"/>
        </w:rPr>
      </w:pPr>
    </w:p>
    <w:p>
      <w:pPr>
        <w:jc w:val="both"/>
        <w:ind w:left="160"/>
        <w:spacing w:after="0" w:line="239" w:lineRule="auto"/>
        <w:rPr>
          <w:sz w:val="20"/>
          <w:szCs w:val="20"/>
          <w:color w:val="auto"/>
        </w:rPr>
      </w:pPr>
      <w:r>
        <w:rPr>
          <w:rFonts w:ascii="Arial" w:cs="Arial" w:eastAsia="Arial" w:hAnsi="Arial"/>
          <w:sz w:val="18"/>
          <w:szCs w:val="18"/>
          <w:color w:val="auto"/>
        </w:rPr>
        <w:t>We have a process by which our stockholders can send communications to the Board, and every effort is made to ensure that the Board or individual Directors, as applicable, hear the views of our stockholders so that appropriate responses can be provided to our stockholders in a timely manner. Any matter intended for the Board, or for any individual member or members of the Board, should be directed to our Executive Vice President, Chief Legal Officer, Chief Compliance Officer and Secretary, Pamela Tondreau, at the address of our principal executive office, located at 5005 East McDowell Road, Phoenix, Arizona 85008, with a request to forward the same to the intended recipient. Substantive communications will generally be forwarded to the Board.</w:t>
      </w:r>
    </w:p>
    <w:p>
      <w:pPr>
        <w:spacing w:after="0" w:line="175"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2B4772"/>
        </w:rPr>
        <w:t>Stockholder Nominations and Proposals</w:t>
      </w:r>
    </w:p>
    <w:p>
      <w:pPr>
        <w:spacing w:after="0" w:line="119" w:lineRule="exact"/>
        <w:rPr>
          <w:sz w:val="20"/>
          <w:szCs w:val="20"/>
          <w:color w:val="auto"/>
        </w:rPr>
      </w:pPr>
    </w:p>
    <w:p>
      <w:pPr>
        <w:jc w:val="both"/>
        <w:ind w:left="160"/>
        <w:spacing w:after="0" w:line="238" w:lineRule="auto"/>
        <w:rPr>
          <w:sz w:val="20"/>
          <w:szCs w:val="20"/>
          <w:color w:val="auto"/>
        </w:rPr>
      </w:pPr>
      <w:r>
        <w:rPr>
          <w:rFonts w:ascii="Arial" w:cs="Arial" w:eastAsia="Arial" w:hAnsi="Arial"/>
          <w:sz w:val="18"/>
          <w:szCs w:val="18"/>
          <w:color w:val="auto"/>
        </w:rPr>
        <w:t>Stockholders may present, and our GS Committee will consider, proposals for action at a future meeting if they comply with our Bylaws and SEC rules. Pursuant to our Bylaws, a special meeting of stockholders may be called upon the written request (a “Special Meeting Request”) of stockholders who hold in the aggregate at least 25% of the voting power of our outstanding capital stock that is entitled to vote on the matters to be brought before the meeting. Subject to the provisions of our Bylaws, a special meeting so requested will be held at such date, time and place as may be fixed by the Board but not more than: (i) 120 days after receipt by our Secretary of the Special Meeting Request if the request relates to matters other than the election of Directors; and (ii) 180 days after receipt by our Secretary of the Special Meeting Request if the</w:t>
      </w:r>
    </w:p>
    <w:p>
      <w:pPr>
        <w:spacing w:after="0" w:line="124" w:lineRule="exact"/>
        <w:rPr>
          <w:sz w:val="20"/>
          <w:szCs w:val="20"/>
          <w:color w:val="auto"/>
        </w:rPr>
      </w:pPr>
    </w:p>
    <w:p>
      <w:pPr>
        <w:ind w:left="8820"/>
        <w:spacing w:after="0"/>
        <w:tabs>
          <w:tab w:leader="none" w:pos="10900" w:val="left"/>
        </w:tabs>
        <w:rPr>
          <w:sz w:val="20"/>
          <w:szCs w:val="20"/>
          <w:color w:val="auto"/>
        </w:rPr>
      </w:pPr>
      <w:r>
        <w:rPr>
          <w:rFonts w:ascii="Arial" w:cs="Arial" w:eastAsia="Arial" w:hAnsi="Arial"/>
          <w:sz w:val="14"/>
          <w:szCs w:val="14"/>
          <w:color w:val="F75E14"/>
        </w:rPr>
        <w:t>onsemi 2022 Proxy Statement</w:t>
        <w:tab/>
        <w:t>73</w:t>
      </w:r>
    </w:p>
    <w:p>
      <w:pPr>
        <w:sectPr>
          <w:pgSz w:w="11900" w:h="16838" w:orient="portrait"/>
          <w:cols w:equalWidth="0" w:num="1">
            <w:col w:w="11080"/>
          </w:cols>
          <w:pgMar w:left="320" w:top="454" w:right="499" w:bottom="1440" w:gutter="0" w:footer="0" w:header="0"/>
        </w:sectPr>
      </w:pPr>
    </w:p>
    <w:bookmarkStart w:id="77" w:name="page78"/>
    <w:bookmarkEnd w:id="7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2" w:lineRule="exact"/>
        <w:rPr>
          <w:sz w:val="20"/>
          <w:szCs w:val="20"/>
          <w:color w:val="auto"/>
        </w:rPr>
      </w:pPr>
    </w:p>
    <w:p>
      <w:pPr>
        <w:ind w:left="160"/>
        <w:spacing w:after="0"/>
        <w:rPr>
          <w:sz w:val="20"/>
          <w:szCs w:val="20"/>
          <w:color w:val="auto"/>
        </w:rPr>
      </w:pPr>
      <w:r>
        <w:rPr>
          <w:rFonts w:ascii="Arial" w:cs="Arial" w:eastAsia="Arial" w:hAnsi="Arial"/>
          <w:sz w:val="18"/>
          <w:szCs w:val="18"/>
          <w:color w:val="F75E14"/>
        </w:rPr>
        <w:t>Miscellaneous Information</w:t>
      </w:r>
    </w:p>
    <w:p>
      <w:pPr>
        <w:spacing w:after="0" w:line="141" w:lineRule="exact"/>
        <w:rPr>
          <w:sz w:val="20"/>
          <w:szCs w:val="20"/>
          <w:color w:val="auto"/>
        </w:rPr>
      </w:pPr>
    </w:p>
    <w:p>
      <w:pPr>
        <w:jc w:val="both"/>
        <w:ind w:left="160"/>
        <w:spacing w:after="0" w:line="235" w:lineRule="auto"/>
        <w:rPr>
          <w:sz w:val="20"/>
          <w:szCs w:val="20"/>
          <w:color w:val="auto"/>
        </w:rPr>
      </w:pPr>
      <w:r>
        <w:rPr>
          <w:rFonts w:ascii="Arial" w:cs="Arial" w:eastAsia="Arial" w:hAnsi="Arial"/>
          <w:sz w:val="18"/>
          <w:szCs w:val="18"/>
          <w:color w:val="auto"/>
        </w:rPr>
        <w:t>request relates to the election of Directors. The requesting stockholders are required to provide specified information as provided in our Bylaws relating to the matters to be considered at the special meeting. Unless the Board determines otherwise, the 2023 Annual Meeting will be held on May 25, 2023. Under SEC rules, stockholder proposals for the 2023 Annual Meeting must be received at our principal executive office, located at 5005 East McDowell Road, Phoenix, Arizona 85008, not later than December 7, 2022 to be considered for inclusion in next year’s proxy statement. The notice accompanying any stockholder proposal must set forth: (i) as to each matter the sponsoring stockholder proposes to bring before the annual meeting, a brief description of the proposal desired to be brought before the meeting and the reasons for conducting such business at the annual meeting; (ii) the name and address of the sponsoring stockholder as they appear on our books; (iii) the class and number of shares that are owned beneficially and of record by the sponsoring stockholder on the date of the notice; and (iv) any material interest of the sponsoring stockholder in such proposal. Proposals to be presented at such annual meeting that are not intended for inclusion in the proxy statement must be submitted in accordance with applicable advance notice provisions of our Bylaws. Additionally, to comply with the universal proxy rules (once effective), stockholders who intend to solicit proxies in support of director nominees other than the Company’s nominees must provide notice that sets forth the information required by Rule 14a-19 under the Exchange Act no later than March 27, 2023.</w:t>
      </w:r>
    </w:p>
    <w:p>
      <w:pPr>
        <w:spacing w:after="0" w:line="187" w:lineRule="exact"/>
        <w:rPr>
          <w:sz w:val="20"/>
          <w:szCs w:val="20"/>
          <w:color w:val="auto"/>
        </w:rPr>
      </w:pPr>
    </w:p>
    <w:p>
      <w:pPr>
        <w:jc w:val="both"/>
        <w:ind w:left="160"/>
        <w:spacing w:after="0" w:line="235" w:lineRule="auto"/>
        <w:rPr>
          <w:sz w:val="20"/>
          <w:szCs w:val="20"/>
          <w:color w:val="auto"/>
        </w:rPr>
      </w:pPr>
      <w:r>
        <w:rPr>
          <w:rFonts w:ascii="Arial" w:cs="Arial" w:eastAsia="Arial" w:hAnsi="Arial"/>
          <w:sz w:val="18"/>
          <w:szCs w:val="18"/>
          <w:color w:val="auto"/>
        </w:rPr>
        <w:t>Subject to advance notice provisions contained in our Bylaws, a stockholder of record may propose the nomination of someone for election as a Director at our annual meeting of stockholders by timely written notice to our Secretary. The notice must set forth: (i) with respect to each person whom such stockholder proposes to nominate for election or re-election as a Director, all information relating to such person as would be required to be disclosed under federal securities laws in a proxy statement relating to the election of Directors (including such person’s written consent to being named in the proxy statement as a nominee); (ii) the name and address of the nominating stockholder, as they appear on our books; and (iii) the class and number of shares that are owned beneficially and of record by the nominating stockholder on the date of the notice. Generally, a notice is timely if received by our Secretary not less than 90 days (by February 24, 2023) or more than 120 days (by January 25, 2023) before the date of the annual meeting. If, however, the date of the annual meeting has not been publicly disclosed or announced at least 105 days in advance of the annual meeting, then our Secretary must have received the notice within 15 days of such initial public disclosure or announcement. In addition, not more than 10 days after a request from our Secretary, the nominating or sponsoring stockholder must furnish to the Secretary such additional information as the Secretary may reasonably require. A nomination or stockholder proposal that does not comply with the above procedure and other procedures described in our Bylaws will be disregarded. You may contact our Secretary at the principal executive office to request a copy of the relevant bylaw provisions regarding the requirements for making stockholder nominations or proposals. If any such matter is brought before an annual meeting, our management will use its discretionary authority to vote the shares subject to the proxies as the Board may recommend, to the extent allowed by our Bylaws and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144145</wp:posOffset>
            </wp:positionV>
            <wp:extent cx="1503045" cy="39052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503045" cy="390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60"/>
        <w:spacing w:after="0"/>
        <w:rPr>
          <w:sz w:val="20"/>
          <w:szCs w:val="20"/>
          <w:color w:val="auto"/>
        </w:rPr>
      </w:pPr>
      <w:r>
        <w:rPr>
          <w:rFonts w:ascii="Arial" w:cs="Arial" w:eastAsia="Arial" w:hAnsi="Arial"/>
          <w:sz w:val="18"/>
          <w:szCs w:val="18"/>
          <w:color w:val="auto"/>
        </w:rPr>
        <w:t>PAMELA TONDREAU</w:t>
      </w:r>
    </w:p>
    <w:p>
      <w:pPr>
        <w:spacing w:after="0" w:line="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Executive Vice President, Chief Legal Officer, Chief Compliance</w:t>
      </w:r>
    </w:p>
    <w:p>
      <w:pPr>
        <w:ind w:left="160"/>
        <w:spacing w:after="0" w:line="232" w:lineRule="auto"/>
        <w:rPr>
          <w:sz w:val="20"/>
          <w:szCs w:val="20"/>
          <w:color w:val="auto"/>
        </w:rPr>
      </w:pPr>
      <w:r>
        <w:rPr>
          <w:rFonts w:ascii="Arial" w:cs="Arial" w:eastAsia="Arial" w:hAnsi="Arial"/>
          <w:sz w:val="18"/>
          <w:szCs w:val="18"/>
          <w:color w:val="auto"/>
        </w:rPr>
        <w:t>Officer and Secretary</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Dated: April 6, 2022</w:t>
      </w:r>
    </w:p>
    <w:p>
      <w:pPr>
        <w:spacing w:after="0" w:line="132" w:lineRule="exact"/>
        <w:rPr>
          <w:sz w:val="20"/>
          <w:szCs w:val="20"/>
          <w:color w:val="auto"/>
        </w:rPr>
      </w:pPr>
    </w:p>
    <w:p>
      <w:pPr>
        <w:ind w:left="160"/>
        <w:spacing w:after="0"/>
        <w:tabs>
          <w:tab w:leader="none" w:pos="500" w:val="left"/>
        </w:tabs>
        <w:rPr>
          <w:sz w:val="20"/>
          <w:szCs w:val="20"/>
          <w:color w:val="auto"/>
        </w:rPr>
      </w:pPr>
      <w:r>
        <w:rPr>
          <w:rFonts w:ascii="Arial" w:cs="Arial" w:eastAsia="Arial" w:hAnsi="Arial"/>
          <w:sz w:val="14"/>
          <w:szCs w:val="14"/>
          <w:color w:val="F75E14"/>
        </w:rPr>
        <w:t>74</w:t>
        <w:tab/>
        <w:t>onsemi 2022 Proxy Statement</w:t>
      </w:r>
    </w:p>
    <w:p>
      <w:pPr>
        <w:sectPr>
          <w:pgSz w:w="11900" w:h="16838" w:orient="portrait"/>
          <w:cols w:equalWidth="0" w:num="1">
            <w:col w:w="11080"/>
          </w:cols>
          <w:pgMar w:left="320" w:top="454" w:right="499" w:bottom="1440" w:gutter="0" w:footer="0" w:header="0"/>
        </w:sectPr>
      </w:pPr>
    </w:p>
    <w:bookmarkStart w:id="78" w:name="page79"/>
    <w:bookmarkEnd w:id="78"/>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4">
        <w:r>
          <w:rPr>
            <w:rFonts w:ascii="Times New Roman" w:cs="Times New Roman" w:eastAsia="Times New Roman" w:hAnsi="Times New Roman"/>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8066405</wp:posOffset>
            </wp:positionV>
            <wp:extent cx="1443990" cy="66230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443990" cy="662305"/>
                    </a:xfrm>
                    <a:prstGeom prst="rect">
                      <a:avLst/>
                    </a:prstGeom>
                    <a:noFill/>
                  </pic:spPr>
                </pic:pic>
              </a:graphicData>
            </a:graphic>
          </wp:anchor>
        </w:drawing>
      </w:r>
    </w:p>
    <w:p>
      <w:pPr>
        <w:sectPr>
          <w:pgSz w:w="11900" w:h="16838" w:orient="portrait"/>
          <w:cols w:equalWidth="0" w:num="1">
            <w:col w:w="10139"/>
          </w:cols>
          <w:pgMar w:left="320" w:top="454" w:right="1440" w:bottom="1440" w:gutter="0" w:footer="0" w:header="0"/>
        </w:sectPr>
      </w:pPr>
    </w:p>
    <w:bookmarkStart w:id="79" w:name="page80"/>
    <w:bookmarkEnd w:id="79"/>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4">
        <w:r>
          <w:rPr>
            <w:rFonts w:ascii="Times New Roman" w:cs="Times New Roman" w:eastAsia="Times New Roman" w:hAnsi="Times New Roman"/>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211455</wp:posOffset>
            </wp:positionV>
            <wp:extent cx="6964045" cy="901065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964045" cy="9010650"/>
                    </a:xfrm>
                    <a:prstGeom prst="rect">
                      <a:avLst/>
                    </a:prstGeom>
                    <a:noFill/>
                  </pic:spPr>
                </pic:pic>
              </a:graphicData>
            </a:graphic>
          </wp:anchor>
        </w:drawing>
      </w:r>
    </w:p>
    <w:p>
      <w:pPr>
        <w:sectPr>
          <w:pgSz w:w="11900" w:h="16838" w:orient="portrait"/>
          <w:cols w:equalWidth="0" w:num="1">
            <w:col w:w="10139"/>
          </w:cols>
          <w:pgMar w:left="320" w:top="454" w:right="1440" w:bottom="1440" w:gutter="0" w:footer="0" w:header="0"/>
        </w:sectPr>
      </w:pPr>
    </w:p>
    <w:bookmarkStart w:id="80" w:name="page81"/>
    <w:bookmarkEnd w:id="80"/>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4">
        <w:r>
          <w:rPr>
            <w:rFonts w:ascii="Times New Roman" w:cs="Times New Roman" w:eastAsia="Times New Roman" w:hAnsi="Times New Roman"/>
            <w:sz w:val="17"/>
            <w:szCs w:val="17"/>
            <w:b w:val="1"/>
            <w:bCs w:val="1"/>
            <w:u w:val="single" w:color="auto"/>
            <w:color w:val="0000EE"/>
          </w:rPr>
          <w:t>Table of Contents</w:t>
        </w:r>
      </w:hyperlink>
    </w:p>
    <w:sectPr>
      <w:pgSz w:w="11900" w:h="16838" w:orient="portrait"/>
      <w:cols w:equalWidth="0" w:num="1">
        <w:col w:w="10139"/>
      </w:cols>
      <w:pgMar w:left="320" w:top="45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9ABB43"/>
    <w:multiLevelType w:val="hybridMultilevel"/>
    <w:lvl w:ilvl="0">
      <w:lvlJc w:val="left"/>
      <w:lvlText w:val="☐"/>
      <w:numFmt w:val="bullet"/>
      <w:start w:val="1"/>
    </w:lvl>
  </w:abstractNum>
  <w:abstractNum w:abstractNumId="1">
    <w:nsid w:val="3DC240FB"/>
    <w:multiLevelType w:val="hybridMultilevel"/>
    <w:lvl w:ilvl="0">
      <w:lvlJc w:val="left"/>
      <w:lvlText w:val="☒"/>
      <w:numFmt w:val="bullet"/>
      <w:start w:val="1"/>
    </w:lvl>
  </w:abstractNum>
  <w:abstractNum w:abstractNumId="2">
    <w:nsid w:val="1BA026FA"/>
    <w:multiLevelType w:val="hybridMultilevel"/>
    <w:lvl w:ilvl="0">
      <w:lvlJc w:val="left"/>
      <w:lvlText w:val="☐"/>
      <w:numFmt w:val="bullet"/>
      <w:start w:val="1"/>
    </w:lvl>
  </w:abstractNum>
  <w:abstractNum w:abstractNumId="3">
    <w:nsid w:val="79A1DEAA"/>
    <w:multiLevelType w:val="hybridMultilevel"/>
    <w:lvl w:ilvl="0">
      <w:lvlJc w:val="left"/>
      <w:lvlText w:val="☒"/>
      <w:numFmt w:val="bullet"/>
      <w:start w:val="1"/>
    </w:lvl>
  </w:abstractNum>
  <w:abstractNum w:abstractNumId="4">
    <w:nsid w:val="75C6C33A"/>
    <w:multiLevelType w:val="hybridMultilevel"/>
    <w:lvl w:ilvl="0">
      <w:lvlJc w:val="left"/>
      <w:lvlText w:val="☐"/>
      <w:numFmt w:val="bullet"/>
      <w:start w:val="1"/>
    </w:lvl>
  </w:abstractNum>
  <w:abstractNum w:abstractNumId="5">
    <w:nsid w:val="12E685FB"/>
    <w:multiLevelType w:val="hybridMultilevel"/>
    <w:lvl w:ilvl="0">
      <w:lvlJc w:val="left"/>
      <w:lvlText w:val="•"/>
      <w:numFmt w:val="bullet"/>
      <w:start w:val="1"/>
    </w:lvl>
  </w:abstractNum>
  <w:abstractNum w:abstractNumId="6">
    <w:nsid w:val="70C6A529"/>
    <w:multiLevelType w:val="hybridMultilevel"/>
    <w:lvl w:ilvl="0">
      <w:lvlJc w:val="left"/>
      <w:lvlText w:val="2"/>
      <w:numFmt w:val="bullet"/>
      <w:start w:val="1"/>
    </w:lvl>
  </w:abstractNum>
  <w:abstractNum w:abstractNumId="7">
    <w:nsid w:val="520EEDD1"/>
    <w:multiLevelType w:val="hybridMultilevel"/>
    <w:lvl w:ilvl="0">
      <w:lvlJc w:val="left"/>
      <w:lvlText w:val="4"/>
      <w:numFmt w:val="bullet"/>
      <w:start w:val="1"/>
    </w:lvl>
  </w:abstractNum>
  <w:abstractNum w:abstractNumId="8">
    <w:nsid w:val="374A3FE6"/>
    <w:multiLevelType w:val="hybridMultilevel"/>
    <w:lvl w:ilvl="0">
      <w:lvlJc w:val="left"/>
      <w:lvlText w:val="∎"/>
      <w:numFmt w:val="bullet"/>
      <w:start w:val="1"/>
    </w:lvl>
    <w:lvl w:ilvl="1">
      <w:lvlJc w:val="left"/>
      <w:lvlText w:val="\emdash "/>
      <w:numFmt w:val="bullet"/>
      <w:start w:val="1"/>
    </w:lvl>
  </w:abstractNum>
  <w:abstractNum w:abstractNumId="9">
    <w:nsid w:val="4F4EF005"/>
    <w:multiLevelType w:val="hybridMultilevel"/>
    <w:lvl w:ilvl="0">
      <w:lvlJc w:val="left"/>
      <w:lvlText w:val="∎"/>
      <w:numFmt w:val="bullet"/>
      <w:start w:val="1"/>
    </w:lvl>
  </w:abstractNum>
  <w:abstractNum w:abstractNumId="10">
    <w:nsid w:val="23F9C13C"/>
    <w:multiLevelType w:val="hybridMultilevel"/>
    <w:lvl w:ilvl="0">
      <w:lvlJc w:val="left"/>
      <w:lvlText w:val=" "/>
      <w:numFmt w:val="bullet"/>
      <w:start w:val="1"/>
    </w:lvl>
  </w:abstractNum>
  <w:abstractNum w:abstractNumId="11">
    <w:nsid w:val="649BB77C"/>
    <w:multiLevelType w:val="hybridMultilevel"/>
    <w:lvl w:ilvl="0">
      <w:lvlJc w:val="left"/>
      <w:lvlText w:val="∎"/>
      <w:numFmt w:val="bullet"/>
      <w:start w:val="1"/>
    </w:lvl>
    <w:lvl w:ilvl="1">
      <w:lvlJc w:val="left"/>
      <w:lvlText w:val="\emdash "/>
      <w:numFmt w:val="bullet"/>
      <w:start w:val="1"/>
    </w:lvl>
  </w:abstractNum>
  <w:abstractNum w:abstractNumId="12">
    <w:nsid w:val="275AC794"/>
    <w:multiLevelType w:val="hybridMultilevel"/>
    <w:lvl w:ilvl="0">
      <w:lvlJc w:val="left"/>
      <w:lvlText w:val="6"/>
      <w:numFmt w:val="bullet"/>
      <w:start w:val="1"/>
    </w:lvl>
  </w:abstractNum>
  <w:abstractNum w:abstractNumId="13">
    <w:nsid w:val="39386575"/>
    <w:multiLevelType w:val="hybridMultilevel"/>
    <w:lvl w:ilvl="0">
      <w:lvlJc w:val="left"/>
      <w:lvlText w:val=" "/>
      <w:numFmt w:val="bullet"/>
      <w:start w:val="1"/>
    </w:lvl>
  </w:abstractNum>
  <w:abstractNum w:abstractNumId="14">
    <w:nsid w:val="1CF10FD8"/>
    <w:multiLevelType w:val="hybridMultilevel"/>
    <w:lvl w:ilvl="0">
      <w:lvlJc w:val="left"/>
      <w:lvlText w:val=" "/>
      <w:numFmt w:val="bullet"/>
      <w:start w:val="1"/>
    </w:lvl>
  </w:abstractNum>
  <w:abstractNum w:abstractNumId="15">
    <w:nsid w:val="180115BE"/>
    <w:multiLevelType w:val="hybridMultilevel"/>
    <w:lvl w:ilvl="0">
      <w:lvlJc w:val="left"/>
      <w:lvlText w:val="∎"/>
      <w:numFmt w:val="bullet"/>
      <w:start w:val="1"/>
    </w:lvl>
    <w:lvl w:ilvl="1">
      <w:lvlJc w:val="left"/>
      <w:lvlText w:val="\emdash "/>
      <w:numFmt w:val="bullet"/>
      <w:start w:val="1"/>
    </w:lvl>
  </w:abstractNum>
  <w:abstractNum w:abstractNumId="16">
    <w:nsid w:val="235BA861"/>
    <w:multiLevelType w:val="hybridMultilevel"/>
    <w:lvl w:ilvl="0">
      <w:lvlJc w:val="left"/>
      <w:lvlText w:val="∎"/>
      <w:numFmt w:val="bullet"/>
      <w:start w:val="1"/>
    </w:lvl>
  </w:abstractNum>
  <w:abstractNum w:abstractNumId="17">
    <w:nsid w:val="47398C89"/>
    <w:multiLevelType w:val="hybridMultilevel"/>
    <w:lvl w:ilvl="0">
      <w:lvlJc w:val="left"/>
      <w:lvlText w:val="∎"/>
      <w:numFmt w:val="bullet"/>
      <w:start w:val="1"/>
    </w:lvl>
    <w:lvl w:ilvl="1">
      <w:lvlJc w:val="left"/>
      <w:lvlText w:val="\emdash "/>
      <w:numFmt w:val="bullet"/>
      <w:start w:val="1"/>
    </w:lvl>
  </w:abstractNum>
  <w:abstractNum w:abstractNumId="18">
    <w:nsid w:val="354FE9F9"/>
    <w:multiLevelType w:val="hybridMultilevel"/>
    <w:lvl w:ilvl="0">
      <w:lvlJc w:val="left"/>
      <w:lvlText w:val=" "/>
      <w:numFmt w:val="bullet"/>
      <w:start w:val="1"/>
    </w:lvl>
  </w:abstractNum>
  <w:abstractNum w:abstractNumId="19">
    <w:nsid w:val="15B5AF5C"/>
    <w:multiLevelType w:val="hybridMultilevel"/>
    <w:lvl w:ilvl="0">
      <w:lvlJc w:val="left"/>
      <w:lvlText w:val="∎"/>
      <w:numFmt w:val="bullet"/>
      <w:start w:val="1"/>
    </w:lvl>
    <w:lvl w:ilvl="1">
      <w:lvlJc w:val="left"/>
      <w:lvlText w:val="\emdash "/>
      <w:numFmt w:val="bullet"/>
      <w:start w:val="1"/>
    </w:lvl>
  </w:abstractNum>
  <w:abstractNum w:abstractNumId="20">
    <w:nsid w:val="741226BB"/>
    <w:multiLevelType w:val="hybridMultilevel"/>
    <w:lvl w:ilvl="0">
      <w:lvlJc w:val="left"/>
      <w:lvlText w:val="∎"/>
      <w:numFmt w:val="bullet"/>
      <w:start w:val="1"/>
    </w:lvl>
  </w:abstractNum>
  <w:abstractNum w:abstractNumId="21">
    <w:nsid w:val="D34B6A8"/>
    <w:multiLevelType w:val="hybridMultilevel"/>
    <w:lvl w:ilvl="0">
      <w:lvlJc w:val="left"/>
      <w:lvlText w:val="8"/>
      <w:numFmt w:val="bullet"/>
      <w:start w:val="1"/>
    </w:lvl>
  </w:abstractNum>
  <w:abstractNum w:abstractNumId="22">
    <w:nsid w:val="10233C99"/>
    <w:multiLevelType w:val="hybridMultilevel"/>
    <w:lvl w:ilvl="0">
      <w:lvlJc w:val="left"/>
      <w:lvlText w:val="∎"/>
      <w:numFmt w:val="bullet"/>
      <w:start w:val="1"/>
    </w:lvl>
    <w:lvl w:ilvl="1">
      <w:lvlJc w:val="left"/>
      <w:lvlText w:val="\emdash "/>
      <w:numFmt w:val="bullet"/>
      <w:start w:val="1"/>
    </w:lvl>
  </w:abstractNum>
  <w:abstractNum w:abstractNumId="23">
    <w:nsid w:val="3F6AB60F"/>
    <w:multiLevelType w:val="hybridMultilevel"/>
    <w:lvl w:ilvl="0">
      <w:lvlJc w:val="left"/>
      <w:lvlText w:val=" "/>
      <w:numFmt w:val="bullet"/>
      <w:start w:val="1"/>
    </w:lvl>
  </w:abstractNum>
  <w:abstractNum w:abstractNumId="24">
    <w:nsid w:val="61574095"/>
    <w:multiLevelType w:val="hybridMultilevel"/>
    <w:lvl w:ilvl="0">
      <w:lvlJc w:val="left"/>
      <w:lvlText w:val="∎"/>
      <w:numFmt w:val="bullet"/>
      <w:start w:val="1"/>
    </w:lvl>
  </w:abstractNum>
  <w:abstractNum w:abstractNumId="25">
    <w:nsid w:val="7E0C57B1"/>
    <w:multiLevelType w:val="hybridMultilevel"/>
    <w:lvl w:ilvl="0">
      <w:lvlJc w:val="left"/>
      <w:lvlText w:val="•"/>
      <w:numFmt w:val="bullet"/>
      <w:start w:val="1"/>
    </w:lvl>
  </w:abstractNum>
  <w:abstractNum w:abstractNumId="26">
    <w:nsid w:val="77AE35EB"/>
    <w:multiLevelType w:val="hybridMultilevel"/>
    <w:lvl w:ilvl="0">
      <w:lvlJc w:val="left"/>
      <w:lvlText w:val="(%1)"/>
      <w:numFmt w:val="decimal"/>
      <w:start w:val="1"/>
    </w:lvl>
  </w:abstractNum>
  <w:abstractNum w:abstractNumId="27">
    <w:nsid w:val="579BE4F1"/>
    <w:multiLevelType w:val="hybridMultilevel"/>
    <w:lvl w:ilvl="0">
      <w:lvlJc w:val="left"/>
      <w:lvlText w:val="•"/>
      <w:numFmt w:val="bullet"/>
      <w:start w:val="1"/>
    </w:lvl>
  </w:abstractNum>
  <w:abstractNum w:abstractNumId="28">
    <w:nsid w:val="310C50B3"/>
    <w:multiLevelType w:val="hybridMultilevel"/>
    <w:lvl w:ilvl="0">
      <w:lvlJc w:val="left"/>
      <w:lvlText w:val="•"/>
      <w:numFmt w:val="bullet"/>
      <w:start w:val="1"/>
    </w:lvl>
  </w:abstractNum>
  <w:abstractNum w:abstractNumId="29">
    <w:nsid w:val="5FF87E05"/>
    <w:multiLevelType w:val="hybridMultilevel"/>
    <w:lvl w:ilvl="0">
      <w:lvlJc w:val="left"/>
      <w:lvlText w:val="∎"/>
      <w:numFmt w:val="bullet"/>
      <w:start w:val="1"/>
    </w:lvl>
  </w:abstractNum>
  <w:abstractNum w:abstractNumId="30">
    <w:nsid w:val="2F305DEF"/>
    <w:multiLevelType w:val="hybridMultilevel"/>
    <w:lvl w:ilvl="0">
      <w:lvlJc w:val="left"/>
      <w:lvlText w:val="∎"/>
      <w:numFmt w:val="bullet"/>
      <w:start w:val="1"/>
    </w:lvl>
  </w:abstractNum>
  <w:abstractNum w:abstractNumId="31">
    <w:nsid w:val="25A70BF7"/>
    <w:multiLevelType w:val="hybridMultilevel"/>
    <w:lvl w:ilvl="0">
      <w:lvlJc w:val="left"/>
      <w:lvlText w:val="∎"/>
      <w:numFmt w:val="bullet"/>
      <w:start w:val="1"/>
    </w:lvl>
  </w:abstractNum>
  <w:abstractNum w:abstractNumId="32">
    <w:nsid w:val="1DBABF00"/>
    <w:multiLevelType w:val="hybridMultilevel"/>
    <w:lvl w:ilvl="0">
      <w:lvlJc w:val="left"/>
      <w:lvlText w:val="∎"/>
      <w:numFmt w:val="bullet"/>
      <w:start w:val="1"/>
    </w:lvl>
    <w:lvl w:ilvl="1">
      <w:lvlJc w:val="left"/>
      <w:lvlText w:val="∎"/>
      <w:numFmt w:val="bullet"/>
      <w:start w:val="1"/>
    </w:lvl>
  </w:abstractNum>
  <w:abstractNum w:abstractNumId="33">
    <w:nsid w:val="4AD084E9"/>
    <w:multiLevelType w:val="hybridMultilevel"/>
    <w:lvl w:ilvl="0">
      <w:lvlJc w:val="left"/>
      <w:lvlText w:val="•"/>
      <w:numFmt w:val="bullet"/>
      <w:start w:val="1"/>
    </w:lvl>
  </w:abstractNum>
  <w:abstractNum w:abstractNumId="34">
    <w:nsid w:val="1F48EAA1"/>
    <w:multiLevelType w:val="hybridMultilevel"/>
    <w:lvl w:ilvl="0">
      <w:lvlJc w:val="left"/>
      <w:lvlText w:val="(%1)"/>
      <w:numFmt w:val="decimal"/>
      <w:start w:val="1"/>
    </w:lvl>
  </w:abstractNum>
  <w:abstractNum w:abstractNumId="35">
    <w:nsid w:val="1381823A"/>
    <w:multiLevelType w:val="hybridMultilevel"/>
    <w:lvl w:ilvl="0">
      <w:lvlJc w:val="left"/>
      <w:lvlText w:val="✓"/>
      <w:numFmt w:val="bullet"/>
      <w:start w:val="1"/>
    </w:lvl>
  </w:abstractNum>
  <w:abstractNum w:abstractNumId="36">
    <w:nsid w:val="5DB70AE5"/>
    <w:multiLevelType w:val="hybridMultilevel"/>
    <w:lvl w:ilvl="0">
      <w:lvlJc w:val="left"/>
      <w:lvlText w:val="✓"/>
      <w:numFmt w:val="bullet"/>
      <w:start w:val="1"/>
    </w:lvl>
  </w:abstractNum>
  <w:abstractNum w:abstractNumId="37">
    <w:nsid w:val="100F8FCA"/>
    <w:multiLevelType w:val="hybridMultilevel"/>
    <w:lvl w:ilvl="0">
      <w:lvlJc w:val="left"/>
      <w:lvlText w:val="✓"/>
      <w:numFmt w:val="bullet"/>
      <w:start w:val="1"/>
    </w:lvl>
  </w:abstractNum>
  <w:abstractNum w:abstractNumId="38">
    <w:nsid w:val="6590700B"/>
    <w:multiLevelType w:val="hybridMultilevel"/>
    <w:lvl w:ilvl="0">
      <w:lvlJc w:val="left"/>
      <w:lvlText w:val="✓"/>
      <w:numFmt w:val="bullet"/>
      <w:start w:val="1"/>
    </w:lvl>
  </w:abstractNum>
  <w:abstractNum w:abstractNumId="39">
    <w:nsid w:val="15014ACB"/>
    <w:multiLevelType w:val="hybridMultilevel"/>
    <w:lvl w:ilvl="0">
      <w:lvlJc w:val="left"/>
      <w:lvlText w:val="✓"/>
      <w:numFmt w:val="bullet"/>
      <w:start w:val="1"/>
    </w:lvl>
  </w:abstractNum>
  <w:abstractNum w:abstractNumId="40">
    <w:nsid w:val="5F5E7FD0"/>
    <w:multiLevelType w:val="hybridMultilevel"/>
    <w:lvl w:ilvl="0">
      <w:lvlJc w:val="left"/>
      <w:lvlText w:val="✓"/>
      <w:numFmt w:val="bullet"/>
      <w:start w:val="1"/>
    </w:lvl>
  </w:abstractNum>
  <w:abstractNum w:abstractNumId="41">
    <w:nsid w:val="98A3148"/>
    <w:multiLevelType w:val="hybridMultilevel"/>
    <w:lvl w:ilvl="0">
      <w:lvlJc w:val="left"/>
      <w:lvlText w:val="(%1)"/>
      <w:numFmt w:val="decimal"/>
      <w:start w:val="1"/>
    </w:lvl>
  </w:abstractNum>
  <w:abstractNum w:abstractNumId="42">
    <w:nsid w:val="799D0247"/>
    <w:multiLevelType w:val="hybridMultilevel"/>
    <w:lvl w:ilvl="0">
      <w:lvlJc w:val="left"/>
      <w:lvlText w:val="(%1)"/>
      <w:numFmt w:val="decimal"/>
      <w:start w:val="1"/>
    </w:lvl>
  </w:abstractNum>
  <w:abstractNum w:abstractNumId="43">
    <w:nsid w:val="6B94764"/>
    <w:multiLevelType w:val="hybridMultilevel"/>
    <w:lvl w:ilvl="0">
      <w:lvlJc w:val="left"/>
      <w:lvlText w:val="(%1)"/>
      <w:numFmt w:val="decimal"/>
      <w:start w:val="4"/>
    </w:lvl>
  </w:abstractNum>
  <w:abstractNum w:abstractNumId="44">
    <w:nsid w:val="42C296BD"/>
    <w:multiLevelType w:val="hybridMultilevel"/>
    <w:lvl w:ilvl="0">
      <w:lvlJc w:val="left"/>
      <w:lvlText w:val="•"/>
      <w:numFmt w:val="bullet"/>
      <w:start w:val="1"/>
    </w:lvl>
    <w:lvl w:ilvl="1">
      <w:lvlJc w:val="left"/>
      <w:lvlText w:val="○"/>
      <w:numFmt w:val="bullet"/>
      <w:start w:val="1"/>
    </w:lvl>
  </w:abstractNum>
  <w:abstractNum w:abstractNumId="45">
    <w:nsid w:val="168E121F"/>
    <w:multiLevelType w:val="hybridMultilevel"/>
    <w:lvl w:ilvl="0">
      <w:lvlJc w:val="left"/>
      <w:lvlText w:val="•"/>
      <w:numFmt w:val="bullet"/>
      <w:start w:val="1"/>
    </w:lvl>
  </w:abstractNum>
  <w:abstractNum w:abstractNumId="46">
    <w:nsid w:val="1EBA5D23"/>
    <w:multiLevelType w:val="hybridMultilevel"/>
    <w:lvl w:ilvl="0">
      <w:lvlJc w:val="left"/>
      <w:lvlText w:val="(%1)"/>
      <w:numFmt w:val="decimal"/>
      <w:start w:val="1"/>
    </w:lvl>
  </w:abstractNum>
  <w:abstractNum w:abstractNumId="47">
    <w:nsid w:val="661E3F1E"/>
    <w:multiLevelType w:val="hybridMultilevel"/>
    <w:lvl w:ilvl="0">
      <w:lvlJc w:val="left"/>
      <w:lvlText w:val="•"/>
      <w:numFmt w:val="bullet"/>
      <w:start w:val="1"/>
    </w:lvl>
  </w:abstractNum>
  <w:abstractNum w:abstractNumId="48">
    <w:nsid w:val="5DC79EA8"/>
    <w:multiLevelType w:val="hybridMultilevel"/>
    <w:lvl w:ilvl="0">
      <w:lvlJc w:val="left"/>
      <w:lvlText w:val="✓"/>
      <w:numFmt w:val="bullet"/>
      <w:start w:val="1"/>
    </w:lvl>
  </w:abstractNum>
  <w:abstractNum w:abstractNumId="49">
    <w:nsid w:val="540A471C"/>
    <w:multiLevelType w:val="hybridMultilevel"/>
    <w:lvl w:ilvl="0">
      <w:lvlJc w:val="left"/>
      <w:lvlText w:val="X"/>
      <w:numFmt w:val="bullet"/>
      <w:start w:val="1"/>
    </w:lvl>
  </w:abstractNum>
  <w:abstractNum w:abstractNumId="50">
    <w:nsid w:val="7BD3EE7B"/>
    <w:multiLevelType w:val="hybridMultilevel"/>
    <w:lvl w:ilvl="0">
      <w:lvlJc w:val="left"/>
      <w:lvlText w:val="(%1)"/>
      <w:numFmt w:val="decimal"/>
      <w:start w:val="1"/>
    </w:lvl>
  </w:abstractNum>
  <w:abstractNum w:abstractNumId="51">
    <w:nsid w:val="51D9C564"/>
    <w:multiLevelType w:val="hybridMultilevel"/>
    <w:lvl w:ilvl="0">
      <w:lvlJc w:val="left"/>
      <w:lvlText w:val="•"/>
      <w:numFmt w:val="bullet"/>
      <w:start w:val="1"/>
    </w:lvl>
  </w:abstractNum>
  <w:abstractNum w:abstractNumId="52">
    <w:nsid w:val="613EFDC5"/>
    <w:multiLevelType w:val="hybridMultilevel"/>
    <w:lvl w:ilvl="0">
      <w:lvlJc w:val="left"/>
      <w:lvlText w:val="•"/>
      <w:numFmt w:val="bullet"/>
      <w:start w:val="1"/>
    </w:lvl>
  </w:abstractNum>
  <w:abstractNum w:abstractNumId="53">
    <w:nsid w:val="BF72B14"/>
    <w:multiLevelType w:val="hybridMultilevel"/>
    <w:lvl w:ilvl="0">
      <w:lvlJc w:val="left"/>
      <w:lvlText w:val="•"/>
      <w:numFmt w:val="bullet"/>
      <w:start w:val="1"/>
    </w:lvl>
  </w:abstractNum>
  <w:abstractNum w:abstractNumId="54">
    <w:nsid w:val="11447B73"/>
    <w:multiLevelType w:val="hybridMultilevel"/>
    <w:lvl w:ilvl="0">
      <w:lvlJc w:val="left"/>
      <w:lvlText w:val="•"/>
      <w:numFmt w:val="bullet"/>
      <w:start w:val="1"/>
    </w:lvl>
  </w:abstractNum>
  <w:abstractNum w:abstractNumId="55">
    <w:nsid w:val="42963E5A"/>
    <w:multiLevelType w:val="hybridMultilevel"/>
    <w:lvl w:ilvl="0">
      <w:lvlJc w:val="left"/>
      <w:lvlText w:val="(%1)"/>
      <w:numFmt w:val="decimal"/>
      <w:start w:val="1"/>
    </w:lvl>
  </w:abstractNum>
  <w:abstractNum w:abstractNumId="56">
    <w:nsid w:val="A0382C5"/>
    <w:multiLevelType w:val="hybridMultilevel"/>
    <w:lvl w:ilvl="0">
      <w:lvlJc w:val="left"/>
      <w:lvlText w:val="(%1)"/>
      <w:numFmt w:val="decimal"/>
      <w:start w:val="1"/>
    </w:lvl>
  </w:abstractNum>
  <w:abstractNum w:abstractNumId="57">
    <w:nsid w:val="8F2B15E"/>
    <w:multiLevelType w:val="hybridMultilevel"/>
    <w:lvl w:ilvl="0">
      <w:lvlJc w:val="left"/>
      <w:lvlText w:val="(%1)"/>
      <w:numFmt w:val="decimal"/>
      <w:start w:val="1"/>
    </w:lvl>
  </w:abstractNum>
  <w:abstractNum w:abstractNumId="58">
    <w:nsid w:val="1A32234B"/>
    <w:multiLevelType w:val="hybridMultilevel"/>
    <w:lvl w:ilvl="0">
      <w:lvlJc w:val="left"/>
      <w:lvlText w:val="•"/>
      <w:numFmt w:val="bullet"/>
      <w:start w:val="1"/>
    </w:lvl>
  </w:abstractNum>
  <w:abstractNum w:abstractNumId="59">
    <w:nsid w:val="3B0FD379"/>
    <w:multiLevelType w:val="hybridMultilevel"/>
    <w:lvl w:ilvl="0">
      <w:lvlJc w:val="left"/>
      <w:lvlText w:val="•"/>
      <w:numFmt w:val="bullet"/>
      <w:start w:val="1"/>
    </w:lvl>
  </w:abstractNum>
  <w:abstractNum w:abstractNumId="60">
    <w:nsid w:val="68EB2F63"/>
    <w:multiLevelType w:val="hybridMultilevel"/>
    <w:lvl w:ilvl="0">
      <w:lvlJc w:val="left"/>
      <w:lvlText w:val="•"/>
      <w:numFmt w:val="bullet"/>
      <w:start w:val="1"/>
    </w:lvl>
  </w:abstractNum>
  <w:abstractNum w:abstractNumId="61">
    <w:nsid w:val="4962813B"/>
    <w:multiLevelType w:val="hybridMultilevel"/>
    <w:lvl w:ilvl="0">
      <w:lvlJc w:val="left"/>
      <w:lvlText w:val="•"/>
      <w:numFmt w:val="bullet"/>
      <w:start w:val="1"/>
    </w:lvl>
  </w:abstractNum>
  <w:abstractNum w:abstractNumId="62">
    <w:nsid w:val="60B6DF70"/>
    <w:multiLevelType w:val="hybridMultilevel"/>
    <w:lvl w:ilvl="0">
      <w:lvlJc w:val="left"/>
      <w:lvlText w:val="(%1)"/>
      <w:numFmt w:val="decimal"/>
      <w:start w:val="1"/>
    </w:lvl>
  </w:abstractNum>
  <w:abstractNum w:abstractNumId="63">
    <w:nsid w:val="6A5EE64"/>
    <w:multiLevelType w:val="hybridMultilevel"/>
    <w:lvl w:ilvl="0">
      <w:lvlJc w:val="left"/>
      <w:lvlText w:val="(%1)"/>
      <w:numFmt w:val="decimal"/>
      <w:start w:val="1"/>
    </w:lvl>
  </w:abstractNum>
  <w:abstractNum w:abstractNumId="64">
    <w:nsid w:val="14330624"/>
    <w:multiLevelType w:val="hybridMultilevel"/>
    <w:lvl w:ilvl="0">
      <w:lvlJc w:val="left"/>
      <w:lvlText w:val="(%1)"/>
      <w:numFmt w:val="decimal"/>
      <w:start w:val="1"/>
    </w:lvl>
  </w:abstractNum>
  <w:abstractNum w:abstractNumId="65">
    <w:nsid w:val="7FFFCA11"/>
    <w:multiLevelType w:val="hybridMultilevel"/>
    <w:lvl w:ilvl="0">
      <w:lvlJc w:val="left"/>
      <w:lvlText w:val="(%1)"/>
      <w:numFmt w:val="decimal"/>
      <w:start w:val="1"/>
    </w:lvl>
  </w:abstractNum>
  <w:abstractNum w:abstractNumId="66">
    <w:nsid w:val="1A27709E"/>
    <w:multiLevelType w:val="hybridMultilevel"/>
    <w:lvl w:ilvl="0">
      <w:lvlJc w:val="left"/>
      <w:lvlText w:val="•"/>
      <w:numFmt w:val="bullet"/>
      <w:start w:val="1"/>
    </w:lvl>
  </w:abstractNum>
  <w:abstractNum w:abstractNumId="67">
    <w:nsid w:val="71EA1109"/>
    <w:multiLevelType w:val="hybridMultilevel"/>
    <w:lvl w:ilvl="0">
      <w:lvlJc w:val="left"/>
      <w:lvlText w:val="•"/>
      <w:numFmt w:val="bullet"/>
      <w:start w:val="1"/>
    </w:lvl>
  </w:abstractNum>
  <w:abstractNum w:abstractNumId="68">
    <w:nsid w:val="100F59DC"/>
    <w:multiLevelType w:val="hybridMultilevel"/>
    <w:lvl w:ilvl="0">
      <w:lvlJc w:val="left"/>
      <w:lvlText w:val="•"/>
      <w:numFmt w:val="bullet"/>
      <w:start w:val="1"/>
    </w:lvl>
  </w:abstractNum>
  <w:abstractNum w:abstractNumId="69">
    <w:nsid w:val="7FB7E0AA"/>
    <w:multiLevelType w:val="hybridMultilevel"/>
    <w:lvl w:ilvl="0">
      <w:lvlJc w:val="left"/>
      <w:lvlText w:val="(%1)"/>
      <w:numFmt w:val="decimal"/>
      <w:start w:val="1"/>
    </w:lvl>
  </w:abstractNum>
  <w:abstractNum w:abstractNumId="70">
    <w:nsid w:val="6EB5BD4"/>
    <w:multiLevelType w:val="hybridMultilevel"/>
    <w:lvl w:ilvl="0">
      <w:lvlJc w:val="left"/>
      <w:lvlText w:val="•"/>
      <w:numFmt w:val="bullet"/>
      <w:start w:val="1"/>
    </w:lvl>
  </w:abstractNum>
  <w:abstractNum w:abstractNumId="71">
    <w:nsid w:val="6F6DD9AC"/>
    <w:multiLevelType w:val="hybridMultilevel"/>
    <w:lvl w:ilvl="0">
      <w:lvlJc w:val="left"/>
      <w:lvlText w:val="(%1)"/>
      <w:numFmt w:val="decimal"/>
      <w:start w:val="1"/>
    </w:lvl>
  </w:abstractNum>
  <w:abstractNum w:abstractNumId="72">
    <w:nsid w:val="94211F2"/>
    <w:multiLevelType w:val="hybridMultilevel"/>
    <w:lvl w:ilvl="0">
      <w:lvlJc w:val="left"/>
      <w:lvlText w:val="(%1)"/>
      <w:numFmt w:val="decimal"/>
      <w:start w:val="1"/>
    </w:lvl>
  </w:abstractNum>
  <w:abstractNum w:abstractNumId="73">
    <w:nsid w:val="885E1B"/>
    <w:multiLevelType w:val="hybridMultilevel"/>
    <w:lvl w:ilvl="0">
      <w:lvlJc w:val="left"/>
      <w:lvlText w:val="•"/>
      <w:numFmt w:val="bullet"/>
      <w:start w:val="1"/>
    </w:lvl>
  </w:abstractNum>
  <w:abstractNum w:abstractNumId="74">
    <w:nsid w:val="76272110"/>
    <w:multiLevelType w:val="hybridMultilevel"/>
    <w:lvl w:ilvl="0">
      <w:lvlJc w:val="left"/>
      <w:lvlText w:val="•"/>
      <w:numFmt w:val="bullet"/>
      <w:start w:val="1"/>
    </w:lvl>
  </w:abstractNum>
  <w:abstractNum w:abstractNumId="75">
    <w:nsid w:val="4C04A8AF"/>
    <w:multiLevelType w:val="hybridMultilevel"/>
    <w:lvl w:ilvl="0">
      <w:lvlJc w:val="left"/>
      <w:lvlText w:val="•"/>
      <w:numFmt w:val="bullet"/>
      <w:start w:val="1"/>
    </w:lvl>
  </w:abstractNum>
  <w:abstractNum w:abstractNumId="76">
    <w:nsid w:val="1716703B"/>
    <w:multiLevelType w:val="hybridMultilevel"/>
    <w:lvl w:ilvl="0">
      <w:lvlJc w:val="left"/>
      <w:lvlText w:val="•"/>
      <w:numFmt w:val="bullet"/>
      <w:start w:val="1"/>
    </w:lvl>
  </w:abstractNum>
  <w:abstractNum w:abstractNumId="77">
    <w:nsid w:val="14E17E33"/>
    <w:multiLevelType w:val="hybridMultilevel"/>
    <w:lvl w:ilvl="0">
      <w:lvlJc w:val="left"/>
      <w:lvlText w:val="(%1)"/>
      <w:numFmt w:val="decimal"/>
      <w:start w:val="1"/>
    </w:lvl>
  </w:abstractNum>
  <w:abstractNum w:abstractNumId="78">
    <w:nsid w:val="3222E7CD"/>
    <w:multiLevelType w:val="hybridMultilevel"/>
    <w:lvl w:ilvl="0">
      <w:lvlJc w:val="left"/>
      <w:lvlText w:val="(%1)"/>
      <w:numFmt w:val="decimal"/>
      <w:start w:val="4"/>
    </w:lvl>
  </w:abstractNum>
  <w:abstractNum w:abstractNumId="79">
    <w:nsid w:val="74DE0EE3"/>
    <w:multiLevelType w:val="hybridMultilevel"/>
    <w:lvl w:ilvl="0">
      <w:lvlJc w:val="left"/>
      <w:lvlText w:val="(%1)"/>
      <w:numFmt w:val="decimal"/>
      <w:start w:val="5"/>
    </w:lvl>
  </w:abstractNum>
  <w:abstractNum w:abstractNumId="80">
    <w:nsid w:val="68EBC550"/>
    <w:multiLevelType w:val="hybridMultilevel"/>
    <w:lvl w:ilvl="0">
      <w:lvlJc w:val="left"/>
      <w:lvlText w:val="(%1)"/>
      <w:numFmt w:val="decimal"/>
      <w:start w:val="1"/>
    </w:lvl>
  </w:abstractNum>
  <w:abstractNum w:abstractNumId="81">
    <w:nsid w:val="2DF6D648"/>
    <w:multiLevelType w:val="hybridMultilevel"/>
    <w:lvl w:ilvl="0">
      <w:lvlJc w:val="left"/>
      <w:lvlText w:val="(%1)"/>
      <w:numFmt w:val="decimal"/>
      <w:start w:val="5"/>
    </w:lvl>
  </w:abstractNum>
  <w:abstractNum w:abstractNumId="82">
    <w:nsid w:val="46B7D447"/>
    <w:multiLevelType w:val="hybridMultilevel"/>
    <w:lvl w:ilvl="0">
      <w:lvlJc w:val="left"/>
      <w:lvlText w:val="(%1)"/>
      <w:numFmt w:val="decimal"/>
      <w:start w:val="1"/>
    </w:lvl>
  </w:abstractNum>
  <w:abstractNum w:abstractNumId="83">
    <w:nsid w:val="4A2AC315"/>
    <w:multiLevelType w:val="hybridMultilevel"/>
    <w:lvl w:ilvl="0">
      <w:lvlJc w:val="left"/>
      <w:lvlText w:val="(%1)"/>
      <w:numFmt w:val="decimal"/>
      <w:start w:val="1"/>
    </w:lvl>
  </w:abstractNum>
  <w:abstractNum w:abstractNumId="84">
    <w:nsid w:val="39EE015C"/>
    <w:multiLevelType w:val="hybridMultilevel"/>
    <w:lvl w:ilvl="0">
      <w:lvlJc w:val="left"/>
      <w:lvlText w:val="(%1)"/>
      <w:numFmt w:val="decimal"/>
      <w:start w:val="1"/>
    </w:lvl>
  </w:abstractNum>
  <w:abstractNum w:abstractNumId="85">
    <w:nsid w:val="57FC4FBB"/>
    <w:multiLevelType w:val="hybridMultilevel"/>
    <w:lvl w:ilvl="0">
      <w:lvlJc w:val="left"/>
      <w:lvlText w:val="(%1)"/>
      <w:numFmt w:val="decimal"/>
      <w:start w:val="1"/>
    </w:lvl>
  </w:abstractNum>
  <w:abstractNum w:abstractNumId="86">
    <w:nsid w:val="CC1016F"/>
    <w:multiLevelType w:val="hybridMultilevel"/>
    <w:lvl w:ilvl="0">
      <w:lvlJc w:val="left"/>
      <w:lvlText w:val="(%1)"/>
      <w:numFmt w:val="decimal"/>
      <w:start w:val="1"/>
    </w:lvl>
  </w:abstractNum>
  <w:abstractNum w:abstractNumId="87">
    <w:nsid w:val="43F18422"/>
    <w:multiLevelType w:val="hybridMultilevel"/>
    <w:lvl w:ilvl="0">
      <w:lvlJc w:val="left"/>
      <w:lvlText w:val="(%1)"/>
      <w:numFmt w:val="decimal"/>
      <w:start w:val="1"/>
    </w:lvl>
  </w:abstractNum>
  <w:abstractNum w:abstractNumId="88">
    <w:nsid w:val="60EF0119"/>
    <w:multiLevelType w:val="hybridMultilevel"/>
    <w:lvl w:ilvl="0">
      <w:lvlJc w:val="left"/>
      <w:lvlText w:val="(%1)"/>
      <w:numFmt w:val="decimal"/>
      <w:start w:val="1"/>
    </w:lvl>
  </w:abstractNum>
  <w:abstractNum w:abstractNumId="89">
    <w:nsid w:val="26F324BA"/>
    <w:multiLevelType w:val="hybridMultilevel"/>
    <w:lvl w:ilvl="0">
      <w:lvlJc w:val="left"/>
      <w:lvlText w:val="(%1)"/>
      <w:numFmt w:val="decimal"/>
      <w:start w:val="1"/>
    </w:lvl>
  </w:abstractNum>
  <w:abstractNum w:abstractNumId="90">
    <w:nsid w:val="7F01579B"/>
    <w:multiLevelType w:val="hybridMultilevel"/>
    <w:lvl w:ilvl="0">
      <w:lvlJc w:val="left"/>
      <w:lvlText w:val="(%1)"/>
      <w:numFmt w:val="decimal"/>
      <w:start w:val="1"/>
    </w:lvl>
  </w:abstractNum>
  <w:abstractNum w:abstractNumId="91">
    <w:nsid w:val="49DA307D"/>
    <w:multiLevelType w:val="hybridMultilevel"/>
    <w:lvl w:ilvl="0">
      <w:lvlJc w:val="left"/>
      <w:lvlText w:val="(%1)"/>
      <w:numFmt w:val="decimal"/>
      <w:start w:val="1"/>
    </w:lvl>
  </w:abstractNum>
  <w:abstractNum w:abstractNumId="92">
    <w:nsid w:val="7055A5F5"/>
    <w:multiLevelType w:val="hybridMultilevel"/>
    <w:lvl w:ilvl="0">
      <w:lvlJc w:val="left"/>
      <w:lvlText w:val="•"/>
      <w:numFmt w:val="bullet"/>
      <w:start w:val="1"/>
    </w:lvl>
  </w:abstractNum>
  <w:abstractNum w:abstractNumId="93">
    <w:nsid w:val="5FB8370B"/>
    <w:multiLevelType w:val="hybridMultilevel"/>
    <w:lvl w:ilvl="0">
      <w:lvlJc w:val="left"/>
      <w:lvlText w:val="(%1)"/>
      <w:numFmt w:val="lowerRoman"/>
      <w:start w:val="1"/>
    </w:lvl>
  </w:abstractNum>
  <w:abstractNum w:abstractNumId="94">
    <w:nsid w:val="50801EE1"/>
    <w:multiLevelType w:val="hybridMultilevel"/>
    <w:lvl w:ilvl="0">
      <w:lvlJc w:val="left"/>
      <w:lvlText w:val="(%1)"/>
      <w:numFmt w:val="decimal"/>
      <w:start w:val="1"/>
    </w:lvl>
  </w:abstractNum>
  <w:abstractNum w:abstractNumId="95">
    <w:nsid w:val="488AC1A"/>
    <w:multiLevelType w:val="hybridMultilevel"/>
    <w:lvl w:ilvl="0">
      <w:lvlJc w:val="left"/>
      <w:lvlText w:val="*"/>
      <w:numFmt w:val="bullet"/>
      <w:start w:val="1"/>
    </w:lvl>
  </w:abstractNum>
  <w:abstractNum w:abstractNumId="96">
    <w:nsid w:val="5FB8011C"/>
    <w:multiLevelType w:val="hybridMultilevel"/>
    <w:lvl w:ilvl="0">
      <w:lvlJc w:val="left"/>
      <w:lvlText w:val="(%1)"/>
      <w:numFmt w:val="decimal"/>
      <w:start w:val="1"/>
    </w:lvl>
  </w:abstractNum>
  <w:abstractNum w:abstractNumId="97">
    <w:nsid w:val="6AA78F7F"/>
    <w:multiLevelType w:val="hybridMultilevel"/>
    <w:lvl w:ilvl="0">
      <w:lvlJc w:val="left"/>
      <w:lvlText w:val="(%1)"/>
      <w:numFmt w:val="decimal"/>
      <w:start w:val="1"/>
    </w:lvl>
  </w:abstractNum>
  <w:abstractNum w:abstractNumId="98">
    <w:nsid w:val="7672BD23"/>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jpe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jpe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jpe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jpe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jpeg"/><Relationship Id="rId194" Type="http://schemas.openxmlformats.org/officeDocument/2006/relationships/image" Target="media/image187.png"/><Relationship Id="rId195" Type="http://schemas.openxmlformats.org/officeDocument/2006/relationships/image" Target="media/image188.jpeg"/><Relationship Id="rId196" Type="http://schemas.openxmlformats.org/officeDocument/2006/relationships/image" Target="media/image189.png"/><Relationship Id="rId197" Type="http://schemas.openxmlformats.org/officeDocument/2006/relationships/image" Target="media/image190.jpeg"/><Relationship Id="rId198" Type="http://schemas.openxmlformats.org/officeDocument/2006/relationships/image" Target="media/image19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2022-04-06T08:05:40Z</dcterms:created>
  <dcterms:modified xsi:type="dcterms:W3CDTF">2022-04-06T08:05:40Z</dcterms:modified>
</cp:coreProperties>
</file>