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wp:posOffset>
            </wp:positionH>
            <wp:positionV relativeFrom="paragraph">
              <wp:posOffset>137160</wp:posOffset>
            </wp:positionV>
            <wp:extent cx="701230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12305" cy="8255"/>
                    </a:xfrm>
                    <a:prstGeom prst="rect">
                      <a:avLst/>
                    </a:prstGeom>
                    <a:noFill/>
                  </pic:spPr>
                </pic:pic>
              </a:graphicData>
            </a:graphic>
          </wp:anchor>
        </w:drawing>
        <w:drawing>
          <wp:anchor simplePos="0" relativeHeight="251657728" behindDoc="1" locked="0" layoutInCell="0" allowOverlap="1">
            <wp:simplePos x="0" y="0"/>
            <wp:positionH relativeFrom="column">
              <wp:posOffset>64770</wp:posOffset>
            </wp:positionH>
            <wp:positionV relativeFrom="paragraph">
              <wp:posOffset>102870</wp:posOffset>
            </wp:positionV>
            <wp:extent cx="701230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12305" cy="8255"/>
                    </a:xfrm>
                    <a:prstGeom prst="rect">
                      <a:avLst/>
                    </a:prstGeom>
                    <a:noFill/>
                  </pic:spPr>
                </pic:pic>
              </a:graphicData>
            </a:graphic>
          </wp:anchor>
        </w:drawing>
      </w:r>
    </w:p>
    <w:p>
      <w:pPr>
        <w:spacing w:after="0" w:line="2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87"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(Mark One)</w:t>
      </w:r>
    </w:p>
    <w:p>
      <w:pPr>
        <w:spacing w:after="0" w:line="46" w:lineRule="exact"/>
        <w:rPr>
          <w:sz w:val="24"/>
          <w:szCs w:val="24"/>
          <w:color w:val="auto"/>
        </w:rPr>
      </w:pPr>
    </w:p>
    <w:p>
      <w:pPr>
        <w:ind w:left="640" w:right="140" w:hanging="614"/>
        <w:spacing w:after="0" w:line="238" w:lineRule="auto"/>
        <w:tabs>
          <w:tab w:leader="none" w:pos="6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1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the quarterly period ended July 4, 2025</w:t>
      </w:r>
    </w:p>
    <w:p>
      <w:pPr>
        <w:spacing w:after="0" w:line="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35" w:lineRule="exact"/>
        <w:rPr>
          <w:sz w:val="24"/>
          <w:szCs w:val="24"/>
          <w:color w:val="auto"/>
        </w:rPr>
      </w:pPr>
    </w:p>
    <w:p>
      <w:pPr>
        <w:ind w:left="640" w:right="100" w:hanging="601"/>
        <w:spacing w:after="0" w:line="238" w:lineRule="auto"/>
        <w:tabs>
          <w:tab w:leader="none" w:pos="6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73" w:lineRule="exact"/>
        <w:rPr>
          <w:sz w:val="24"/>
          <w:szCs w:val="24"/>
          <w:color w:val="auto"/>
        </w:rPr>
      </w:pPr>
    </w:p>
    <w:p>
      <w:pPr>
        <w:ind w:left="3520"/>
        <w:spacing w:after="0"/>
        <w:tabs>
          <w:tab w:leader="none" w:pos="6620" w:val="left"/>
        </w:tabs>
        <w:rPr>
          <w:sz w:val="20"/>
          <w:szCs w:val="20"/>
          <w:color w:val="auto"/>
        </w:rPr>
      </w:pPr>
      <w:r>
        <w:rPr>
          <w:rFonts w:ascii="Times New Roman" w:cs="Times New Roman" w:eastAsia="Times New Roman" w:hAnsi="Times New Roman"/>
          <w:sz w:val="18"/>
          <w:szCs w:val="18"/>
          <w:color w:val="auto"/>
        </w:rPr>
        <w:t>For the transition period from</w:t>
      </w:r>
      <w:r>
        <w:rPr>
          <w:sz w:val="20"/>
          <w:szCs w:val="20"/>
          <w:color w:val="auto"/>
        </w:rPr>
        <w:tab/>
      </w:r>
      <w:r>
        <w:rPr>
          <w:rFonts w:ascii="Times New Roman" w:cs="Times New Roman" w:eastAsia="Times New Roman" w:hAnsi="Times New Roman"/>
          <w:sz w:val="17"/>
          <w:szCs w:val="17"/>
          <w:color w:val="auto"/>
        </w:rPr>
        <w:t>to</w:t>
      </w:r>
    </w:p>
    <w:p>
      <w:pPr>
        <w:spacing w:after="0" w:line="90"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color w:val="auto"/>
        </w:rPr>
        <w:t>(Commission File Number) 001-39317</w:t>
      </w:r>
    </w:p>
    <w:p>
      <w:pPr>
        <w:spacing w:after="0" w:line="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ON SEMICONDUCTOR CORPORATION</w:t>
      </w:r>
    </w:p>
    <w:p>
      <w:pPr>
        <w:spacing w:after="0" w:line="73"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ectPr>
          <w:pgSz w:w="11900" w:h="16838" w:orient="portrait"/>
          <w:cols w:equalWidth="0" w:num="1">
            <w:col w:w="11260"/>
          </w:cols>
          <w:pgMar w:left="320" w:top="526" w:right="319" w:bottom="1440" w:gutter="0" w:footer="0" w:header="0"/>
        </w:sectPr>
      </w:pPr>
    </w:p>
    <w:p>
      <w:pPr>
        <w:spacing w:after="0" w:line="57" w:lineRule="exact"/>
        <w:rPr>
          <w:sz w:val="24"/>
          <w:szCs w:val="24"/>
          <w:color w:val="auto"/>
        </w:rPr>
      </w:pPr>
    </w:p>
    <w:p>
      <w:pPr>
        <w:ind w:left="234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3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36-3840979</w:t>
      </w:r>
    </w:p>
    <w:p>
      <w:pPr>
        <w:spacing w:after="0" w:line="37" w:lineRule="exact"/>
        <w:rPr>
          <w:sz w:val="24"/>
          <w:szCs w:val="24"/>
          <w:color w:val="auto"/>
        </w:rPr>
      </w:pPr>
    </w:p>
    <w:p>
      <w:pPr>
        <w:sectPr>
          <w:pgSz w:w="11900" w:h="16838" w:orient="portrait"/>
          <w:cols w:equalWidth="0" w:num="2">
            <w:col w:w="7380" w:space="720"/>
            <w:col w:w="3160"/>
          </w:cols>
          <w:pgMar w:left="320" w:top="526" w:right="319" w:bottom="1440" w:gutter="0" w:footer="0" w:header="0"/>
          <w:type w:val="continuous"/>
        </w:sectPr>
      </w:pPr>
    </w:p>
    <w:p>
      <w:pPr>
        <w:ind w:left="180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ind w:left="176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74" w:lineRule="exact"/>
        <w:rPr>
          <w:sz w:val="24"/>
          <w:szCs w:val="24"/>
          <w:color w:val="auto"/>
        </w:rPr>
      </w:pPr>
    </w:p>
    <w:p>
      <w:pPr>
        <w:sectPr>
          <w:pgSz w:w="11900" w:h="16838" w:orient="portrait"/>
          <w:cols w:equalWidth="0" w:num="2">
            <w:col w:w="7240" w:space="720"/>
            <w:col w:w="3300"/>
          </w:cols>
          <w:pgMar w:left="320" w:top="526" w:right="31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b w:val="1"/>
          <w:bCs w:val="1"/>
          <w:color w:val="auto"/>
        </w:rPr>
        <w:t>5701 N. Pima Road</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Scottsdale, AZ 85250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(602) 244-6600</w:t>
      </w:r>
    </w:p>
    <w:p>
      <w:pPr>
        <w:sectPr>
          <w:pgSz w:w="11900" w:h="16838" w:orient="portrait"/>
          <w:cols w:equalWidth="0" w:num="1">
            <w:col w:w="11260"/>
          </w:cols>
          <w:pgMar w:left="320" w:top="526" w:right="319" w:bottom="1440" w:gutter="0" w:footer="0" w:header="0"/>
          <w:type w:val="continuous"/>
        </w:sectPr>
      </w:pPr>
    </w:p>
    <w:p>
      <w:pPr>
        <w:spacing w:after="0" w:line="22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(Address, zip code and telephone number, including area code, of principal executive offices)</w:t>
      </w:r>
    </w:p>
    <w:p>
      <w:pPr>
        <w:spacing w:after="0" w:line="260"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p>
      <w:pPr>
        <w:spacing w:after="0" w:line="44" w:lineRule="exact"/>
        <w:rPr>
          <w:sz w:val="24"/>
          <w:szCs w:val="24"/>
          <w:color w:val="auto"/>
        </w:rPr>
      </w:pPr>
    </w:p>
    <w:tbl>
      <w:tblPr>
        <w:tblLayout w:type="fixed"/>
        <w:tblInd w:w="10" w:type="dxa"/>
        <w:tblCellMar>
          <w:top w:w="0" w:type="dxa"/>
          <w:left w:w="0" w:type="dxa"/>
          <w:bottom w:w="0" w:type="dxa"/>
          <w:right w:w="0" w:type="dxa"/>
        </w:tblCellMar>
      </w:tblPr>
      <w:tr>
        <w:trPr>
          <w:trHeight w:val="209"/>
        </w:trPr>
        <w:tc>
          <w:tcPr>
            <w:tcW w:w="37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Title of each class</w:t>
            </w:r>
          </w:p>
        </w:tc>
        <w:tc>
          <w:tcPr>
            <w:tcW w:w="37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Trading Symbol(s)</w:t>
            </w:r>
          </w:p>
        </w:tc>
        <w:tc>
          <w:tcPr>
            <w:tcW w:w="37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r>
      <w:tr>
        <w:trPr>
          <w:trHeight w:val="196"/>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Common Stock, par value $0.01 per share</w:t>
            </w:r>
          </w:p>
        </w:tc>
        <w:tc>
          <w:tcPr>
            <w:tcW w:w="3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ON</w:t>
            </w:r>
          </w:p>
        </w:tc>
        <w:tc>
          <w:tcPr>
            <w:tcW w:w="3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bl>
    <w:p>
      <w:pPr>
        <w:spacing w:after="0" w:line="288" w:lineRule="exact"/>
        <w:rPr>
          <w:sz w:val="24"/>
          <w:szCs w:val="24"/>
          <w:color w:val="auto"/>
        </w:rPr>
      </w:pPr>
    </w:p>
    <w:p>
      <w:pPr>
        <w:jc w:val="both"/>
        <w:ind w:right="40"/>
        <w:spacing w:after="0" w:line="322"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o</w:t>
      </w:r>
    </w:p>
    <w:p>
      <w:pPr>
        <w:spacing w:after="0" w:line="176" w:lineRule="exact"/>
        <w:rPr>
          <w:sz w:val="24"/>
          <w:szCs w:val="24"/>
          <w:color w:val="auto"/>
        </w:rPr>
      </w:pPr>
    </w:p>
    <w:p>
      <w:pPr>
        <w:jc w:val="both"/>
        <w:ind w:right="20"/>
        <w:spacing w:after="0" w:line="322"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o</w:t>
      </w:r>
    </w:p>
    <w:p>
      <w:pPr>
        <w:spacing w:after="0" w:line="176" w:lineRule="exact"/>
        <w:rPr>
          <w:sz w:val="24"/>
          <w:szCs w:val="24"/>
          <w:color w:val="auto"/>
        </w:rPr>
      </w:pPr>
    </w:p>
    <w:p>
      <w:pPr>
        <w:ind w:right="480"/>
        <w:spacing w:after="0" w:line="26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20" w:type="dxa"/>
        <w:tblCellMar>
          <w:top w:w="0" w:type="dxa"/>
          <w:left w:w="0" w:type="dxa"/>
          <w:bottom w:w="0" w:type="dxa"/>
          <w:right w:w="0" w:type="dxa"/>
        </w:tblCellMar>
      </w:tblPr>
      <w:tr>
        <w:trPr>
          <w:trHeight w:val="235"/>
        </w:trPr>
        <w:tc>
          <w:tcPr>
            <w:tcW w:w="250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1420" w:type="dxa"/>
            <w:vAlign w:val="bottom"/>
          </w:tcPr>
          <w:p>
            <w:pPr>
              <w:ind w:left="1160"/>
              <w:spacing w:after="0" w:line="181" w:lineRule="exact"/>
              <w:rPr>
                <w:sz w:val="20"/>
                <w:szCs w:val="20"/>
                <w:color w:val="auto"/>
              </w:rPr>
            </w:pPr>
            <w:r>
              <w:rPr>
                <w:rFonts w:ascii="MS PGothic" w:cs="MS PGothic" w:eastAsia="MS PGothic" w:hAnsi="MS PGothic"/>
                <w:sz w:val="18"/>
                <w:szCs w:val="18"/>
                <w:color w:val="auto"/>
              </w:rPr>
              <w:t>☒</w:t>
            </w:r>
          </w:p>
        </w:tc>
        <w:tc>
          <w:tcPr>
            <w:tcW w:w="23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Accelerated filer</w:t>
            </w:r>
          </w:p>
        </w:tc>
        <w:tc>
          <w:tcPr>
            <w:tcW w:w="840" w:type="dxa"/>
            <w:vAlign w:val="bottom"/>
          </w:tcPr>
          <w:p>
            <w:pPr>
              <w:ind w:left="6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43"/>
        </w:trPr>
        <w:tc>
          <w:tcPr>
            <w:tcW w:w="250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1420" w:type="dxa"/>
            <w:vAlign w:val="bottom"/>
          </w:tcPr>
          <w:p>
            <w:pPr>
              <w:ind w:left="1160"/>
              <w:spacing w:after="0" w:line="181" w:lineRule="exact"/>
              <w:rPr>
                <w:sz w:val="20"/>
                <w:szCs w:val="20"/>
                <w:color w:val="auto"/>
              </w:rPr>
            </w:pPr>
            <w:r>
              <w:rPr>
                <w:rFonts w:ascii="MS PGothic" w:cs="MS PGothic" w:eastAsia="MS PGothic" w:hAnsi="MS PGothic"/>
                <w:sz w:val="18"/>
                <w:szCs w:val="18"/>
                <w:color w:val="auto"/>
              </w:rPr>
              <w:t>☐</w:t>
            </w:r>
          </w:p>
        </w:tc>
        <w:tc>
          <w:tcPr>
            <w:tcW w:w="23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840" w:type="dxa"/>
            <w:vAlign w:val="bottom"/>
          </w:tcPr>
          <w:p>
            <w:pPr>
              <w:ind w:left="6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5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3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Emerging growth company</w:t>
            </w:r>
          </w:p>
        </w:tc>
        <w:tc>
          <w:tcPr>
            <w:tcW w:w="840" w:type="dxa"/>
            <w:vAlign w:val="bottom"/>
          </w:tcPr>
          <w:p>
            <w:pPr>
              <w:ind w:left="6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87" w:lineRule="exact"/>
        <w:rPr>
          <w:sz w:val="24"/>
          <w:szCs w:val="24"/>
          <w:color w:val="auto"/>
        </w:rPr>
      </w:pPr>
    </w:p>
    <w:p>
      <w:pPr>
        <w:ind w:right="580"/>
        <w:spacing w:after="0" w:line="322" w:lineRule="auto"/>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4"/>
          <w:szCs w:val="14"/>
          <w:b w:val="1"/>
          <w:bCs w:val="1"/>
          <w:color w:val="auto"/>
        </w:rPr>
        <w:t>o</w:t>
      </w:r>
    </w:p>
    <w:p>
      <w:pPr>
        <w:spacing w:after="0" w:line="126" w:lineRule="exact"/>
        <w:rPr>
          <w:sz w:val="24"/>
          <w:szCs w:val="24"/>
          <w:color w:val="auto"/>
        </w:rPr>
      </w:pPr>
    </w:p>
    <w:p>
      <w:pPr>
        <w:spacing w:after="0" w:line="196" w:lineRule="exact"/>
        <w:tabs>
          <w:tab w:leader="none" w:pos="6720" w:val="left"/>
          <w:tab w:leader="none" w:pos="7300" w:val="left"/>
        </w:tabs>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7"/>
          <w:szCs w:val="17"/>
          <w:color w:val="auto"/>
        </w:rPr>
        <w:t>☐</w:t>
      </w:r>
      <w:r>
        <w:rPr>
          <w:rFonts w:ascii="Times New Roman" w:cs="Times New Roman" w:eastAsia="Times New Roman" w:hAnsi="Times New Roman"/>
          <w:sz w:val="14"/>
          <w:szCs w:val="14"/>
          <w:color w:val="auto"/>
        </w:rPr>
        <w:tab/>
        <w:t xml:space="preserve">No </w:t>
      </w:r>
      <w:r>
        <w:rPr>
          <w:rFonts w:ascii="Wingdings" w:cs="Wingdings" w:eastAsia="Wingdings" w:hAnsi="Wingdings"/>
          <w:sz w:val="14"/>
          <w:szCs w:val="14"/>
          <w:b w:val="1"/>
          <w:bCs w:val="1"/>
          <w:color w:val="auto"/>
        </w:rPr>
        <w:t>x</w:t>
      </w:r>
    </w:p>
    <w:p>
      <w:pPr>
        <w:spacing w:after="0" w:line="300"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The number of shares outstanding of the issuer's class of common stock as of the close of business on July 30, 2025:</w:t>
      </w:r>
    </w:p>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380" w:type="dxa"/>
            <w:vAlign w:val="bottom"/>
            <w:gridSpan w:val="2"/>
          </w:tcPr>
          <w:p>
            <w:pPr>
              <w:jc w:val="center"/>
              <w:ind w:right="1940"/>
              <w:spacing w:after="0"/>
              <w:rPr>
                <w:sz w:val="20"/>
                <w:szCs w:val="20"/>
                <w:color w:val="auto"/>
              </w:rPr>
            </w:pPr>
            <w:r>
              <w:rPr>
                <w:rFonts w:ascii="Times New Roman" w:cs="Times New Roman" w:eastAsia="Times New Roman" w:hAnsi="Times New Roman"/>
                <w:sz w:val="18"/>
                <w:szCs w:val="18"/>
                <w:b w:val="1"/>
                <w:bCs w:val="1"/>
                <w:color w:val="auto"/>
                <w:w w:val="99"/>
              </w:rPr>
              <w:t>Title of Each Class</w:t>
            </w:r>
          </w:p>
        </w:tc>
        <w:tc>
          <w:tcPr>
            <w:tcW w:w="6500" w:type="dxa"/>
            <w:vAlign w:val="bottom"/>
            <w:gridSpan w:val="4"/>
          </w:tcPr>
          <w:p>
            <w:pPr>
              <w:jc w:val="center"/>
              <w:ind w:right="2840"/>
              <w:spacing w:after="0"/>
              <w:rPr>
                <w:sz w:val="20"/>
                <w:szCs w:val="20"/>
                <w:color w:val="auto"/>
              </w:rPr>
            </w:pPr>
            <w:r>
              <w:rPr>
                <w:rFonts w:ascii="Times New Roman" w:cs="Times New Roman" w:eastAsia="Times New Roman" w:hAnsi="Times New Roman"/>
                <w:sz w:val="18"/>
                <w:szCs w:val="18"/>
                <w:b w:val="1"/>
                <w:bCs w:val="1"/>
                <w:color w:val="auto"/>
                <w:w w:val="98"/>
              </w:rPr>
              <w:t>Number of Shares</w:t>
            </w:r>
          </w:p>
        </w:tc>
      </w:tr>
      <w:tr>
        <w:trPr>
          <w:trHeight w:val="20"/>
        </w:trPr>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100" w:type="dxa"/>
            <w:vAlign w:val="bottom"/>
          </w:tcPr>
          <w:p>
            <w:pPr>
              <w:spacing w:after="0"/>
              <w:rPr>
                <w:sz w:val="21"/>
                <w:szCs w:val="21"/>
                <w:color w:val="auto"/>
              </w:rPr>
            </w:pPr>
          </w:p>
        </w:tc>
        <w:tc>
          <w:tcPr>
            <w:tcW w:w="4640" w:type="dxa"/>
            <w:vAlign w:val="bottom"/>
            <w:gridSpan w:val="3"/>
          </w:tcPr>
          <w:p>
            <w:pPr>
              <w:jc w:val="center"/>
              <w:ind w:right="680"/>
              <w:spacing w:after="0"/>
              <w:rPr>
                <w:sz w:val="20"/>
                <w:szCs w:val="20"/>
                <w:color w:val="auto"/>
              </w:rPr>
            </w:pPr>
            <w:r>
              <w:rPr>
                <w:rFonts w:ascii="Times New Roman" w:cs="Times New Roman" w:eastAsia="Times New Roman" w:hAnsi="Times New Roman"/>
                <w:sz w:val="18"/>
                <w:szCs w:val="18"/>
                <w:color w:val="auto"/>
              </w:rPr>
              <w:t>Common Stock, par value $0.01 per share</w:t>
            </w:r>
          </w:p>
        </w:tc>
        <w:tc>
          <w:tcPr>
            <w:tcW w:w="25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408,973,992</w:t>
            </w:r>
          </w:p>
        </w:tc>
        <w:tc>
          <w:tcPr>
            <w:tcW w:w="38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21"/>
        </w:trPr>
        <w:tc>
          <w:tcPr>
            <w:tcW w:w="100" w:type="dxa"/>
            <w:vAlign w:val="bottom"/>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1440" w:type="dxa"/>
            <w:vAlign w:val="bottom"/>
            <w:tcBorders>
              <w:bottom w:val="single" w:sz="8" w:color="auto"/>
            </w:tcBorders>
          </w:tcPr>
          <w:p>
            <w:pPr>
              <w:spacing w:after="0"/>
              <w:rPr>
                <w:sz w:val="10"/>
                <w:szCs w:val="10"/>
                <w:color w:val="auto"/>
              </w:rPr>
            </w:pPr>
          </w:p>
        </w:tc>
        <w:tc>
          <w:tcPr>
            <w:tcW w:w="194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tcPr>
          <w:p>
            <w:pPr>
              <w:spacing w:after="0"/>
              <w:rPr>
                <w:sz w:val="10"/>
                <w:szCs w:val="10"/>
                <w:color w:val="auto"/>
              </w:rPr>
            </w:pPr>
          </w:p>
        </w:tc>
        <w:tc>
          <w:tcPr>
            <w:tcW w:w="38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34"/>
        </w:trPr>
        <w:tc>
          <w:tcPr>
            <w:tcW w:w="1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932"/>
        </w:trPr>
        <w:tc>
          <w:tcPr>
            <w:tcW w:w="10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194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38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526" w:right="31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060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547"/>
        </w:trPr>
        <w:tc>
          <w:tcPr>
            <w:tcW w:w="1280" w:type="dxa"/>
            <w:vAlign w:val="bottom"/>
            <w:tcBorders>
              <w:top w:val="single" w:sz="8" w:color="0000FF"/>
            </w:tcBorders>
          </w:tcPr>
          <w:p>
            <w:pPr>
              <w:spacing w:after="0"/>
              <w:rPr>
                <w:sz w:val="24"/>
                <w:szCs w:val="24"/>
                <w:color w:val="auto"/>
              </w:rPr>
            </w:pPr>
          </w:p>
        </w:tc>
        <w:tc>
          <w:tcPr>
            <w:tcW w:w="9320" w:type="dxa"/>
            <w:vAlign w:val="bottom"/>
            <w:gridSpan w:val="5"/>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9"/>
              </w:rPr>
              <w:t>ON SEMICONDUCTOR CORPORATION FORM 10-Q</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59"/>
        </w:trPr>
        <w:tc>
          <w:tcPr>
            <w:tcW w:w="128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20" w:type="dxa"/>
            <w:vAlign w:val="bottom"/>
            <w:gridSpan w:val="3"/>
          </w:tcPr>
          <w:p>
            <w:pPr>
              <w:jc w:val="center"/>
              <w:ind w:right="394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8"/>
        </w:trPr>
        <w:tc>
          <w:tcPr>
            <w:tcW w:w="128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22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Part I: Financial Information</w:t>
            </w:r>
          </w:p>
        </w:tc>
        <w:tc>
          <w:tcPr>
            <w:tcW w:w="3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37"/>
        </w:trPr>
        <w:tc>
          <w:tcPr>
            <w:tcW w:w="10600" w:type="dxa"/>
            <w:vAlign w:val="bottom"/>
            <w:gridSpan w:val="6"/>
          </w:tcPr>
          <w:p>
            <w:pPr>
              <w:ind w:left="600"/>
              <w:spacing w:after="0"/>
              <w:rPr>
                <w:sz w:val="20"/>
                <w:szCs w:val="20"/>
                <w:color w:val="auto"/>
              </w:rPr>
            </w:pPr>
            <w:r>
              <w:rPr>
                <w:rFonts w:ascii="Times New Roman" w:cs="Times New Roman" w:eastAsia="Times New Roman" w:hAnsi="Times New Roman"/>
                <w:sz w:val="18"/>
                <w:szCs w:val="18"/>
                <w:color w:val="auto"/>
              </w:rPr>
              <w:t>Item 1. Financial Statements (unaudited)</w:t>
            </w:r>
          </w:p>
        </w:tc>
        <w:tc>
          <w:tcPr>
            <w:tcW w:w="40" w:type="dxa"/>
            <w:vAlign w:val="bottom"/>
          </w:tcPr>
          <w:p>
            <w:pPr>
              <w:spacing w:after="0"/>
              <w:rPr>
                <w:sz w:val="20"/>
                <w:szCs w:val="20"/>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4</w:t>
            </w:r>
          </w:p>
        </w:tc>
        <w:tc>
          <w:tcPr>
            <w:tcW w:w="40" w:type="dxa"/>
            <w:vAlign w:val="bottom"/>
          </w:tcPr>
          <w:p>
            <w:pPr>
              <w:spacing w:after="0"/>
              <w:rPr>
                <w:sz w:val="20"/>
                <w:szCs w:val="20"/>
                <w:color w:val="auto"/>
              </w:rPr>
            </w:pPr>
          </w:p>
        </w:tc>
      </w:tr>
      <w:tr>
        <w:trPr>
          <w:trHeight w:val="209"/>
        </w:trPr>
        <w:tc>
          <w:tcPr>
            <w:tcW w:w="10600" w:type="dxa"/>
            <w:vAlign w:val="bottom"/>
            <w:gridSpan w:val="6"/>
          </w:tcPr>
          <w:p>
            <w:pPr>
              <w:ind w:left="1140"/>
              <w:spacing w:after="0"/>
              <w:rPr>
                <w:sz w:val="20"/>
                <w:szCs w:val="20"/>
                <w:color w:val="auto"/>
              </w:rPr>
            </w:pPr>
            <w:r>
              <w:rPr>
                <w:rFonts w:ascii="Times New Roman" w:cs="Times New Roman" w:eastAsia="Times New Roman" w:hAnsi="Times New Roman"/>
                <w:sz w:val="18"/>
                <w:szCs w:val="18"/>
                <w:color w:val="auto"/>
              </w:rPr>
              <w:t>Consolidated Balance Sheets</w:t>
            </w:r>
          </w:p>
        </w:tc>
        <w:tc>
          <w:tcPr>
            <w:tcW w:w="40" w:type="dxa"/>
            <w:vAlign w:val="bottom"/>
          </w:tcPr>
          <w:p>
            <w:pPr>
              <w:spacing w:after="0"/>
              <w:rPr>
                <w:sz w:val="18"/>
                <w:szCs w:val="18"/>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4</w:t>
            </w:r>
          </w:p>
        </w:tc>
        <w:tc>
          <w:tcPr>
            <w:tcW w:w="40" w:type="dxa"/>
            <w:vAlign w:val="bottom"/>
          </w:tcPr>
          <w:p>
            <w:pPr>
              <w:spacing w:after="0"/>
              <w:rPr>
                <w:sz w:val="18"/>
                <w:szCs w:val="18"/>
                <w:color w:val="auto"/>
              </w:rPr>
            </w:pPr>
          </w:p>
        </w:tc>
      </w:tr>
      <w:tr>
        <w:trPr>
          <w:trHeight w:val="210"/>
        </w:trPr>
        <w:tc>
          <w:tcPr>
            <w:tcW w:w="10600" w:type="dxa"/>
            <w:vAlign w:val="bottom"/>
            <w:gridSpan w:val="6"/>
          </w:tcPr>
          <w:p>
            <w:pPr>
              <w:ind w:left="1140"/>
              <w:spacing w:after="0"/>
              <w:rPr>
                <w:sz w:val="20"/>
                <w:szCs w:val="20"/>
                <w:color w:val="auto"/>
              </w:rPr>
            </w:pPr>
            <w:r>
              <w:rPr>
                <w:rFonts w:ascii="Times New Roman" w:cs="Times New Roman" w:eastAsia="Times New Roman" w:hAnsi="Times New Roman"/>
                <w:sz w:val="18"/>
                <w:szCs w:val="18"/>
                <w:color w:val="auto"/>
              </w:rPr>
              <w:t>Consolidated Statements of Operations and Comprehensive Income</w:t>
            </w:r>
          </w:p>
        </w:tc>
        <w:tc>
          <w:tcPr>
            <w:tcW w:w="40" w:type="dxa"/>
            <w:vAlign w:val="bottom"/>
          </w:tcPr>
          <w:p>
            <w:pPr>
              <w:spacing w:after="0"/>
              <w:rPr>
                <w:sz w:val="18"/>
                <w:szCs w:val="18"/>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5</w:t>
            </w:r>
          </w:p>
        </w:tc>
        <w:tc>
          <w:tcPr>
            <w:tcW w:w="40" w:type="dxa"/>
            <w:vAlign w:val="bottom"/>
          </w:tcPr>
          <w:p>
            <w:pPr>
              <w:spacing w:after="0"/>
              <w:rPr>
                <w:sz w:val="18"/>
                <w:szCs w:val="18"/>
                <w:color w:val="auto"/>
              </w:rPr>
            </w:pPr>
          </w:p>
        </w:tc>
      </w:tr>
      <w:tr>
        <w:trPr>
          <w:trHeight w:val="209"/>
        </w:trPr>
        <w:tc>
          <w:tcPr>
            <w:tcW w:w="10600" w:type="dxa"/>
            <w:vAlign w:val="bottom"/>
            <w:gridSpan w:val="6"/>
          </w:tcPr>
          <w:p>
            <w:pPr>
              <w:ind w:left="1140"/>
              <w:spacing w:after="0"/>
              <w:rPr>
                <w:sz w:val="20"/>
                <w:szCs w:val="20"/>
                <w:color w:val="auto"/>
              </w:rPr>
            </w:pPr>
            <w:r>
              <w:rPr>
                <w:rFonts w:ascii="Times New Roman" w:cs="Times New Roman" w:eastAsia="Times New Roman" w:hAnsi="Times New Roman"/>
                <w:sz w:val="18"/>
                <w:szCs w:val="18"/>
                <w:color w:val="auto"/>
              </w:rPr>
              <w:t>Consolidated Statements of Stockholders' Equity</w:t>
            </w:r>
          </w:p>
        </w:tc>
        <w:tc>
          <w:tcPr>
            <w:tcW w:w="40" w:type="dxa"/>
            <w:vAlign w:val="bottom"/>
          </w:tcPr>
          <w:p>
            <w:pPr>
              <w:spacing w:after="0"/>
              <w:rPr>
                <w:sz w:val="18"/>
                <w:szCs w:val="18"/>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6</w:t>
            </w:r>
          </w:p>
        </w:tc>
        <w:tc>
          <w:tcPr>
            <w:tcW w:w="40" w:type="dxa"/>
            <w:vAlign w:val="bottom"/>
          </w:tcPr>
          <w:p>
            <w:pPr>
              <w:spacing w:after="0"/>
              <w:rPr>
                <w:sz w:val="18"/>
                <w:szCs w:val="18"/>
                <w:color w:val="auto"/>
              </w:rPr>
            </w:pPr>
          </w:p>
        </w:tc>
      </w:tr>
      <w:tr>
        <w:trPr>
          <w:trHeight w:val="209"/>
        </w:trPr>
        <w:tc>
          <w:tcPr>
            <w:tcW w:w="10600" w:type="dxa"/>
            <w:vAlign w:val="bottom"/>
            <w:gridSpan w:val="6"/>
          </w:tcPr>
          <w:p>
            <w:pPr>
              <w:ind w:left="1140"/>
              <w:spacing w:after="0"/>
              <w:rPr>
                <w:sz w:val="20"/>
                <w:szCs w:val="20"/>
                <w:color w:val="auto"/>
              </w:rPr>
            </w:pPr>
            <w:r>
              <w:rPr>
                <w:rFonts w:ascii="Times New Roman" w:cs="Times New Roman" w:eastAsia="Times New Roman" w:hAnsi="Times New Roman"/>
                <w:sz w:val="18"/>
                <w:szCs w:val="18"/>
                <w:color w:val="auto"/>
              </w:rPr>
              <w:t>Consolidated Statements of Cash Flows</w:t>
            </w:r>
          </w:p>
        </w:tc>
        <w:tc>
          <w:tcPr>
            <w:tcW w:w="40" w:type="dxa"/>
            <w:vAlign w:val="bottom"/>
          </w:tcPr>
          <w:p>
            <w:pPr>
              <w:spacing w:after="0"/>
              <w:rPr>
                <w:sz w:val="18"/>
                <w:szCs w:val="18"/>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8</w:t>
            </w:r>
          </w:p>
        </w:tc>
        <w:tc>
          <w:tcPr>
            <w:tcW w:w="40" w:type="dxa"/>
            <w:vAlign w:val="bottom"/>
          </w:tcPr>
          <w:p>
            <w:pPr>
              <w:spacing w:after="0"/>
              <w:rPr>
                <w:sz w:val="18"/>
                <w:szCs w:val="18"/>
                <w:color w:val="auto"/>
              </w:rPr>
            </w:pPr>
          </w:p>
        </w:tc>
      </w:tr>
      <w:tr>
        <w:trPr>
          <w:trHeight w:val="210"/>
        </w:trPr>
        <w:tc>
          <w:tcPr>
            <w:tcW w:w="10600" w:type="dxa"/>
            <w:vAlign w:val="bottom"/>
            <w:gridSpan w:val="6"/>
          </w:tcPr>
          <w:p>
            <w:pPr>
              <w:ind w:left="1140"/>
              <w:spacing w:after="0"/>
              <w:rPr>
                <w:sz w:val="20"/>
                <w:szCs w:val="20"/>
                <w:color w:val="auto"/>
              </w:rPr>
            </w:pPr>
            <w:r>
              <w:rPr>
                <w:rFonts w:ascii="Times New Roman" w:cs="Times New Roman" w:eastAsia="Times New Roman" w:hAnsi="Times New Roman"/>
                <w:sz w:val="18"/>
                <w:szCs w:val="18"/>
                <w:color w:val="auto"/>
              </w:rPr>
              <w:t>Notes to Consolidated Financial Statements</w:t>
            </w:r>
          </w:p>
        </w:tc>
        <w:tc>
          <w:tcPr>
            <w:tcW w:w="40" w:type="dxa"/>
            <w:vAlign w:val="bottom"/>
          </w:tcPr>
          <w:p>
            <w:pPr>
              <w:spacing w:after="0"/>
              <w:rPr>
                <w:sz w:val="18"/>
                <w:szCs w:val="18"/>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9</w:t>
            </w:r>
          </w:p>
        </w:tc>
        <w:tc>
          <w:tcPr>
            <w:tcW w:w="40" w:type="dxa"/>
            <w:vAlign w:val="bottom"/>
          </w:tcPr>
          <w:p>
            <w:pPr>
              <w:spacing w:after="0"/>
              <w:rPr>
                <w:sz w:val="18"/>
                <w:szCs w:val="18"/>
                <w:color w:val="auto"/>
              </w:rPr>
            </w:pPr>
          </w:p>
        </w:tc>
      </w:tr>
      <w:tr>
        <w:trPr>
          <w:trHeight w:val="209"/>
        </w:trPr>
        <w:tc>
          <w:tcPr>
            <w:tcW w:w="10600" w:type="dxa"/>
            <w:vAlign w:val="bottom"/>
            <w:gridSpan w:val="6"/>
          </w:tcPr>
          <w:p>
            <w:pPr>
              <w:ind w:left="600"/>
              <w:spacing w:after="0"/>
              <w:rPr>
                <w:sz w:val="20"/>
                <w:szCs w:val="20"/>
                <w:color w:val="auto"/>
              </w:rPr>
            </w:pPr>
            <w:r>
              <w:rPr>
                <w:rFonts w:ascii="Times New Roman" w:cs="Times New Roman" w:eastAsia="Times New Roman" w:hAnsi="Times New Roman"/>
                <w:sz w:val="18"/>
                <w:szCs w:val="18"/>
                <w:color w:val="auto"/>
              </w:rPr>
              <w:t>Item 2. Management's Discussion and Analysis of Financial Condition and Results of Operations</w:t>
            </w:r>
          </w:p>
        </w:tc>
        <w:tc>
          <w:tcPr>
            <w:tcW w:w="18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31</w:t>
            </w:r>
          </w:p>
        </w:tc>
      </w:tr>
      <w:tr>
        <w:trPr>
          <w:trHeight w:val="210"/>
        </w:trPr>
        <w:tc>
          <w:tcPr>
            <w:tcW w:w="10600" w:type="dxa"/>
            <w:vAlign w:val="bottom"/>
            <w:gridSpan w:val="6"/>
          </w:tcPr>
          <w:p>
            <w:pPr>
              <w:ind w:left="600"/>
              <w:spacing w:after="0"/>
              <w:rPr>
                <w:sz w:val="20"/>
                <w:szCs w:val="20"/>
                <w:color w:val="auto"/>
              </w:rPr>
            </w:pPr>
            <w:r>
              <w:rPr>
                <w:rFonts w:ascii="Times New Roman" w:cs="Times New Roman" w:eastAsia="Times New Roman" w:hAnsi="Times New Roman"/>
                <w:sz w:val="18"/>
                <w:szCs w:val="18"/>
                <w:color w:val="auto"/>
              </w:rPr>
              <w:t>Item 3. Quantitative and Qualitative Disclosures About Market Risk</w:t>
            </w:r>
          </w:p>
        </w:tc>
        <w:tc>
          <w:tcPr>
            <w:tcW w:w="18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41</w:t>
            </w:r>
          </w:p>
        </w:tc>
      </w:tr>
      <w:tr>
        <w:trPr>
          <w:trHeight w:val="209"/>
        </w:trPr>
        <w:tc>
          <w:tcPr>
            <w:tcW w:w="10600" w:type="dxa"/>
            <w:vAlign w:val="bottom"/>
            <w:gridSpan w:val="6"/>
          </w:tcPr>
          <w:p>
            <w:pPr>
              <w:ind w:left="600"/>
              <w:spacing w:after="0"/>
              <w:rPr>
                <w:sz w:val="20"/>
                <w:szCs w:val="20"/>
                <w:color w:val="auto"/>
              </w:rPr>
            </w:pPr>
            <w:r>
              <w:rPr>
                <w:rFonts w:ascii="Times New Roman" w:cs="Times New Roman" w:eastAsia="Times New Roman" w:hAnsi="Times New Roman"/>
                <w:sz w:val="18"/>
                <w:szCs w:val="18"/>
                <w:color w:val="auto"/>
              </w:rPr>
              <w:t>Item 4. Controls and Procedures</w:t>
            </w:r>
          </w:p>
        </w:tc>
        <w:tc>
          <w:tcPr>
            <w:tcW w:w="18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41</w:t>
            </w:r>
          </w:p>
        </w:tc>
      </w:tr>
      <w:tr>
        <w:trPr>
          <w:trHeight w:val="520"/>
        </w:trPr>
        <w:tc>
          <w:tcPr>
            <w:tcW w:w="128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20" w:type="dxa"/>
            <w:vAlign w:val="bottom"/>
            <w:gridSpan w:val="3"/>
          </w:tcPr>
          <w:p>
            <w:pPr>
              <w:jc w:val="center"/>
              <w:ind w:right="3940"/>
              <w:spacing w:after="0"/>
              <w:rPr>
                <w:sz w:val="20"/>
                <w:szCs w:val="20"/>
                <w:color w:val="auto"/>
              </w:rPr>
            </w:pPr>
            <w:r>
              <w:rPr>
                <w:rFonts w:ascii="Times New Roman" w:cs="Times New Roman" w:eastAsia="Times New Roman" w:hAnsi="Times New Roman"/>
                <w:sz w:val="18"/>
                <w:szCs w:val="18"/>
                <w:b w:val="1"/>
                <w:bCs w:val="1"/>
                <w:color w:val="auto"/>
              </w:rPr>
              <w:t>Part II: Other Information</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9"/>
        </w:trPr>
        <w:tc>
          <w:tcPr>
            <w:tcW w:w="458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Item 1. Legal Proceedings</w:t>
            </w:r>
          </w:p>
        </w:tc>
        <w:tc>
          <w:tcPr>
            <w:tcW w:w="2080" w:type="dxa"/>
            <w:vAlign w:val="bottom"/>
            <w:tcBorders>
              <w:top w:val="single" w:sz="8" w:color="auto"/>
            </w:tcBorders>
          </w:tcPr>
          <w:p>
            <w:pPr>
              <w:spacing w:after="0"/>
              <w:rPr>
                <w:sz w:val="18"/>
                <w:szCs w:val="18"/>
                <w:color w:val="auto"/>
              </w:rPr>
            </w:pPr>
          </w:p>
        </w:tc>
        <w:tc>
          <w:tcPr>
            <w:tcW w:w="3940" w:type="dxa"/>
            <w:vAlign w:val="bottom"/>
            <w:gridSpan w:val="2"/>
          </w:tcPr>
          <w:p>
            <w:pPr>
              <w:spacing w:after="0"/>
              <w:rPr>
                <w:sz w:val="18"/>
                <w:szCs w:val="18"/>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42</w:t>
            </w:r>
          </w:p>
        </w:tc>
      </w:tr>
      <w:tr>
        <w:trPr>
          <w:trHeight w:val="210"/>
        </w:trPr>
        <w:tc>
          <w:tcPr>
            <w:tcW w:w="10600" w:type="dxa"/>
            <w:vAlign w:val="bottom"/>
            <w:gridSpan w:val="6"/>
          </w:tcPr>
          <w:p>
            <w:pPr>
              <w:ind w:left="600"/>
              <w:spacing w:after="0"/>
              <w:rPr>
                <w:sz w:val="20"/>
                <w:szCs w:val="20"/>
                <w:color w:val="auto"/>
              </w:rPr>
            </w:pPr>
            <w:r>
              <w:rPr>
                <w:rFonts w:ascii="Times New Roman" w:cs="Times New Roman" w:eastAsia="Times New Roman" w:hAnsi="Times New Roman"/>
                <w:sz w:val="18"/>
                <w:szCs w:val="18"/>
                <w:color w:val="auto"/>
              </w:rPr>
              <w:t>Item 1A. Risk Factors</w:t>
            </w:r>
          </w:p>
        </w:tc>
        <w:tc>
          <w:tcPr>
            <w:tcW w:w="18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42</w:t>
            </w:r>
          </w:p>
        </w:tc>
      </w:tr>
      <w:tr>
        <w:trPr>
          <w:trHeight w:val="209"/>
        </w:trPr>
        <w:tc>
          <w:tcPr>
            <w:tcW w:w="10600" w:type="dxa"/>
            <w:vAlign w:val="bottom"/>
            <w:gridSpan w:val="6"/>
          </w:tcPr>
          <w:p>
            <w:pPr>
              <w:ind w:left="600"/>
              <w:spacing w:after="0"/>
              <w:rPr>
                <w:sz w:val="20"/>
                <w:szCs w:val="20"/>
                <w:color w:val="auto"/>
              </w:rPr>
            </w:pPr>
            <w:r>
              <w:rPr>
                <w:rFonts w:ascii="Times New Roman" w:cs="Times New Roman" w:eastAsia="Times New Roman" w:hAnsi="Times New Roman"/>
                <w:sz w:val="18"/>
                <w:szCs w:val="18"/>
                <w:color w:val="auto"/>
              </w:rPr>
              <w:t>Item 2. Unregistered Sales of Equity Securities and Use of Proceeds</w:t>
            </w:r>
          </w:p>
        </w:tc>
        <w:tc>
          <w:tcPr>
            <w:tcW w:w="18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43</w:t>
            </w:r>
          </w:p>
        </w:tc>
      </w:tr>
      <w:tr>
        <w:trPr>
          <w:trHeight w:val="209"/>
        </w:trPr>
        <w:tc>
          <w:tcPr>
            <w:tcW w:w="10600" w:type="dxa"/>
            <w:vAlign w:val="bottom"/>
            <w:gridSpan w:val="6"/>
          </w:tcPr>
          <w:p>
            <w:pPr>
              <w:ind w:left="600"/>
              <w:spacing w:after="0"/>
              <w:rPr>
                <w:sz w:val="20"/>
                <w:szCs w:val="20"/>
                <w:color w:val="auto"/>
              </w:rPr>
            </w:pPr>
            <w:r>
              <w:rPr>
                <w:rFonts w:ascii="Times New Roman" w:cs="Times New Roman" w:eastAsia="Times New Roman" w:hAnsi="Times New Roman"/>
                <w:sz w:val="18"/>
                <w:szCs w:val="18"/>
                <w:color w:val="auto"/>
              </w:rPr>
              <w:t>Item 3. Defaults Upon Senior Securities</w:t>
            </w:r>
          </w:p>
        </w:tc>
        <w:tc>
          <w:tcPr>
            <w:tcW w:w="18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43</w:t>
            </w:r>
          </w:p>
        </w:tc>
      </w:tr>
      <w:tr>
        <w:trPr>
          <w:trHeight w:val="210"/>
        </w:trPr>
        <w:tc>
          <w:tcPr>
            <w:tcW w:w="10600" w:type="dxa"/>
            <w:vAlign w:val="bottom"/>
            <w:gridSpan w:val="6"/>
          </w:tcPr>
          <w:p>
            <w:pPr>
              <w:ind w:left="600"/>
              <w:spacing w:after="0"/>
              <w:rPr>
                <w:sz w:val="20"/>
                <w:szCs w:val="20"/>
                <w:color w:val="auto"/>
              </w:rPr>
            </w:pPr>
            <w:r>
              <w:rPr>
                <w:rFonts w:ascii="Times New Roman" w:cs="Times New Roman" w:eastAsia="Times New Roman" w:hAnsi="Times New Roman"/>
                <w:sz w:val="18"/>
                <w:szCs w:val="18"/>
                <w:color w:val="auto"/>
              </w:rPr>
              <w:t>Item 4. Mine Safety Disclosures</w:t>
            </w:r>
          </w:p>
        </w:tc>
        <w:tc>
          <w:tcPr>
            <w:tcW w:w="18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43</w:t>
            </w:r>
          </w:p>
        </w:tc>
      </w:tr>
      <w:tr>
        <w:trPr>
          <w:trHeight w:val="209"/>
        </w:trPr>
        <w:tc>
          <w:tcPr>
            <w:tcW w:w="10600" w:type="dxa"/>
            <w:vAlign w:val="bottom"/>
            <w:gridSpan w:val="6"/>
          </w:tcPr>
          <w:p>
            <w:pPr>
              <w:ind w:left="600"/>
              <w:spacing w:after="0"/>
              <w:rPr>
                <w:sz w:val="20"/>
                <w:szCs w:val="20"/>
                <w:color w:val="auto"/>
              </w:rPr>
            </w:pPr>
            <w:r>
              <w:rPr>
                <w:rFonts w:ascii="Times New Roman" w:cs="Times New Roman" w:eastAsia="Times New Roman" w:hAnsi="Times New Roman"/>
                <w:sz w:val="18"/>
                <w:szCs w:val="18"/>
                <w:color w:val="auto"/>
              </w:rPr>
              <w:t>Item 5. Other Information</w:t>
            </w:r>
          </w:p>
        </w:tc>
        <w:tc>
          <w:tcPr>
            <w:tcW w:w="18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43</w:t>
            </w:r>
          </w:p>
        </w:tc>
      </w:tr>
      <w:tr>
        <w:trPr>
          <w:trHeight w:val="210"/>
        </w:trPr>
        <w:tc>
          <w:tcPr>
            <w:tcW w:w="10600" w:type="dxa"/>
            <w:vAlign w:val="bottom"/>
            <w:gridSpan w:val="6"/>
          </w:tcPr>
          <w:p>
            <w:pPr>
              <w:ind w:left="600"/>
              <w:spacing w:after="0"/>
              <w:rPr>
                <w:sz w:val="20"/>
                <w:szCs w:val="20"/>
                <w:color w:val="auto"/>
              </w:rPr>
            </w:pPr>
            <w:r>
              <w:rPr>
                <w:rFonts w:ascii="Times New Roman" w:cs="Times New Roman" w:eastAsia="Times New Roman" w:hAnsi="Times New Roman"/>
                <w:sz w:val="18"/>
                <w:szCs w:val="18"/>
                <w:color w:val="auto"/>
              </w:rPr>
              <w:t>Item 6. Exhibits</w:t>
            </w:r>
          </w:p>
        </w:tc>
        <w:tc>
          <w:tcPr>
            <w:tcW w:w="18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44</w:t>
            </w:r>
          </w:p>
        </w:tc>
      </w:tr>
      <w:tr>
        <w:trPr>
          <w:trHeight w:val="209"/>
        </w:trPr>
        <w:tc>
          <w:tcPr>
            <w:tcW w:w="10600" w:type="dxa"/>
            <w:vAlign w:val="bottom"/>
            <w:gridSpan w:val="6"/>
          </w:tcPr>
          <w:p>
            <w:pPr>
              <w:ind w:left="600"/>
              <w:spacing w:after="0"/>
              <w:rPr>
                <w:sz w:val="20"/>
                <w:szCs w:val="20"/>
                <w:color w:val="auto"/>
              </w:rPr>
            </w:pPr>
            <w:r>
              <w:rPr>
                <w:rFonts w:ascii="Times New Roman" w:cs="Times New Roman" w:eastAsia="Times New Roman" w:hAnsi="Times New Roman"/>
                <w:sz w:val="18"/>
                <w:szCs w:val="18"/>
                <w:color w:val="auto"/>
              </w:rPr>
              <w:t>Signatures</w:t>
            </w:r>
          </w:p>
        </w:tc>
        <w:tc>
          <w:tcPr>
            <w:tcW w:w="18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45</w:t>
            </w:r>
          </w:p>
        </w:tc>
      </w:tr>
    </w:tbl>
    <w:p>
      <w:pPr>
        <w:spacing w:after="0" w:line="34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(See the glossary of selected terms immediately following this table of contents for definitions of certain abbreviated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561975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80"/>
          </w:cols>
          <w:pgMar w:left="320" w:top="513" w:right="79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29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8320" w:type="dxa"/>
            <w:vAlign w:val="bottom"/>
          </w:tcPr>
          <w:p>
            <w:pPr>
              <w:spacing w:after="0"/>
              <w:rPr>
                <w:sz w:val="17"/>
                <w:szCs w:val="17"/>
                <w:color w:val="auto"/>
              </w:rPr>
            </w:pPr>
          </w:p>
        </w:tc>
      </w:tr>
      <w:tr>
        <w:trPr>
          <w:trHeight w:val="525"/>
        </w:trPr>
        <w:tc>
          <w:tcPr>
            <w:tcW w:w="40" w:type="dxa"/>
            <w:vAlign w:val="bottom"/>
            <w:tcBorders>
              <w:top w:val="single" w:sz="8" w:color="0000FF"/>
            </w:tcBorders>
          </w:tcPr>
          <w:p>
            <w:pPr>
              <w:spacing w:after="0"/>
              <w:rPr>
                <w:sz w:val="24"/>
                <w:szCs w:val="24"/>
                <w:color w:val="auto"/>
              </w:rPr>
            </w:pPr>
          </w:p>
        </w:tc>
        <w:tc>
          <w:tcPr>
            <w:tcW w:w="1240" w:type="dxa"/>
            <w:vAlign w:val="bottom"/>
            <w:tcBorders>
              <w:top w:val="single" w:sz="8" w:color="0000FF"/>
            </w:tcBorders>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320" w:type="dxa"/>
            <w:vAlign w:val="bottom"/>
          </w:tcPr>
          <w:p>
            <w:pPr>
              <w:jc w:val="center"/>
              <w:ind w:right="2790"/>
              <w:spacing w:after="0"/>
              <w:rPr>
                <w:sz w:val="20"/>
                <w:szCs w:val="20"/>
                <w:color w:val="auto"/>
              </w:rPr>
            </w:pPr>
            <w:r>
              <w:rPr>
                <w:rFonts w:ascii="Times New Roman" w:cs="Times New Roman" w:eastAsia="Times New Roman" w:hAnsi="Times New Roman"/>
                <w:sz w:val="18"/>
                <w:szCs w:val="18"/>
                <w:b w:val="1"/>
                <w:bCs w:val="1"/>
                <w:color w:val="auto"/>
                <w:w w:val="99"/>
              </w:rPr>
              <w:t>ON SEMICONDUCTOR CORPORATION</w:t>
            </w:r>
          </w:p>
        </w:tc>
      </w:tr>
      <w:tr>
        <w:trPr>
          <w:trHeight w:val="216"/>
        </w:trPr>
        <w:tc>
          <w:tcPr>
            <w:tcW w:w="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320" w:type="dxa"/>
            <w:vAlign w:val="bottom"/>
          </w:tcPr>
          <w:p>
            <w:pPr>
              <w:jc w:val="center"/>
              <w:ind w:right="2770"/>
              <w:spacing w:after="0"/>
              <w:rPr>
                <w:sz w:val="20"/>
                <w:szCs w:val="20"/>
                <w:color w:val="auto"/>
              </w:rPr>
            </w:pPr>
            <w:r>
              <w:rPr>
                <w:rFonts w:ascii="Times New Roman" w:cs="Times New Roman" w:eastAsia="Times New Roman" w:hAnsi="Times New Roman"/>
                <w:sz w:val="18"/>
                <w:szCs w:val="18"/>
                <w:b w:val="1"/>
                <w:bCs w:val="1"/>
                <w:color w:val="auto"/>
              </w:rPr>
              <w:t>FORM 10-Q</w:t>
            </w:r>
          </w:p>
        </w:tc>
      </w:tr>
      <w:tr>
        <w:trPr>
          <w:trHeight w:val="238"/>
        </w:trPr>
        <w:tc>
          <w:tcPr>
            <w:tcW w:w="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320" w:type="dxa"/>
            <w:vAlign w:val="bottom"/>
          </w:tcPr>
          <w:p>
            <w:pPr>
              <w:jc w:val="center"/>
              <w:ind w:right="2790"/>
              <w:spacing w:after="0"/>
              <w:rPr>
                <w:sz w:val="20"/>
                <w:szCs w:val="20"/>
                <w:color w:val="auto"/>
              </w:rPr>
            </w:pPr>
            <w:r>
              <w:rPr>
                <w:rFonts w:ascii="Times New Roman" w:cs="Times New Roman" w:eastAsia="Times New Roman" w:hAnsi="Times New Roman"/>
                <w:sz w:val="18"/>
                <w:szCs w:val="18"/>
                <w:b w:val="1"/>
                <w:bCs w:val="1"/>
                <w:color w:val="auto"/>
                <w:w w:val="99"/>
              </w:rPr>
              <w:t>GLOSSARY OF SELECTED ABBREVIATED TERMS*</w:t>
            </w:r>
          </w:p>
        </w:tc>
      </w:tr>
      <w:tr>
        <w:trPr>
          <w:trHeight w:val="499"/>
        </w:trPr>
        <w:tc>
          <w:tcPr>
            <w:tcW w:w="40" w:type="dxa"/>
            <w:vAlign w:val="bottom"/>
          </w:tcPr>
          <w:p>
            <w:pPr>
              <w:spacing w:after="0"/>
              <w:rPr>
                <w:sz w:val="24"/>
                <w:szCs w:val="24"/>
                <w:color w:val="auto"/>
              </w:rPr>
            </w:pPr>
          </w:p>
        </w:tc>
        <w:tc>
          <w:tcPr>
            <w:tcW w:w="2860" w:type="dxa"/>
            <w:vAlign w:val="bottom"/>
            <w:gridSpan w:val="3"/>
          </w:tcPr>
          <w:p>
            <w:pPr>
              <w:ind w:left="660"/>
              <w:spacing w:after="0"/>
              <w:rPr>
                <w:sz w:val="20"/>
                <w:szCs w:val="20"/>
                <w:color w:val="auto"/>
              </w:rPr>
            </w:pPr>
            <w:r>
              <w:rPr>
                <w:rFonts w:ascii="Times New Roman" w:cs="Times New Roman" w:eastAsia="Times New Roman" w:hAnsi="Times New Roman"/>
                <w:sz w:val="18"/>
                <w:szCs w:val="18"/>
                <w:b w:val="1"/>
                <w:bCs w:val="1"/>
                <w:color w:val="auto"/>
              </w:rPr>
              <w:t>Abbreviated Term</w:t>
            </w:r>
          </w:p>
        </w:tc>
        <w:tc>
          <w:tcPr>
            <w:tcW w:w="8320" w:type="dxa"/>
            <w:vAlign w:val="bottom"/>
          </w:tcPr>
          <w:p>
            <w:pPr>
              <w:ind w:left="3620"/>
              <w:spacing w:after="0"/>
              <w:rPr>
                <w:sz w:val="20"/>
                <w:szCs w:val="20"/>
                <w:color w:val="auto"/>
              </w:rPr>
            </w:pPr>
            <w:r>
              <w:rPr>
                <w:rFonts w:ascii="Times New Roman" w:cs="Times New Roman" w:eastAsia="Times New Roman" w:hAnsi="Times New Roman"/>
                <w:sz w:val="18"/>
                <w:szCs w:val="18"/>
                <w:b w:val="1"/>
                <w:bCs w:val="1"/>
                <w:color w:val="auto"/>
              </w:rPr>
              <w:t>Defined Term</w:t>
            </w:r>
          </w:p>
        </w:tc>
      </w:tr>
      <w:tr>
        <w:trPr>
          <w:trHeight w:val="223"/>
        </w:trPr>
        <w:tc>
          <w:tcPr>
            <w:tcW w:w="40" w:type="dxa"/>
            <w:vAlign w:val="bottom"/>
          </w:tcPr>
          <w:p>
            <w:pPr>
              <w:spacing w:after="0"/>
              <w:rPr>
                <w:sz w:val="19"/>
                <w:szCs w:val="19"/>
                <w:color w:val="auto"/>
              </w:rPr>
            </w:pPr>
          </w:p>
        </w:tc>
        <w:tc>
          <w:tcPr>
            <w:tcW w:w="274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0% Notes</w:t>
            </w:r>
          </w:p>
        </w:tc>
        <w:tc>
          <w:tcPr>
            <w:tcW w:w="120" w:type="dxa"/>
            <w:vAlign w:val="bottom"/>
            <w:tcBorders>
              <w:top w:val="single" w:sz="8" w:color="CCEEFF"/>
            </w:tcBorders>
            <w:shd w:val="clear" w:color="auto" w:fill="CCEEFF"/>
          </w:tcPr>
          <w:p>
            <w:pPr>
              <w:spacing w:after="0"/>
              <w:rPr>
                <w:sz w:val="19"/>
                <w:szCs w:val="19"/>
                <w:color w:val="auto"/>
              </w:rPr>
            </w:pPr>
          </w:p>
        </w:tc>
        <w:tc>
          <w:tcPr>
            <w:tcW w:w="83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0% Convertible Senior Notes due 2027</w:t>
            </w:r>
          </w:p>
        </w:tc>
      </w:tr>
      <w:tr>
        <w:trPr>
          <w:trHeight w:val="229"/>
        </w:trPr>
        <w:tc>
          <w:tcPr>
            <w:tcW w:w="40" w:type="dxa"/>
            <w:vAlign w:val="bottom"/>
          </w:tcPr>
          <w:p>
            <w:pPr>
              <w:spacing w:after="0"/>
              <w:rPr>
                <w:sz w:val="19"/>
                <w:szCs w:val="19"/>
                <w:color w:val="auto"/>
              </w:rPr>
            </w:pPr>
          </w:p>
        </w:tc>
        <w:tc>
          <w:tcPr>
            <w:tcW w:w="2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0.50% Notes</w:t>
            </w:r>
          </w:p>
        </w:tc>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0.50% Convertible Senior Notes due 2029</w:t>
            </w:r>
          </w:p>
        </w:tc>
      </w:tr>
      <w:tr>
        <w:trPr>
          <w:trHeight w:val="229"/>
        </w:trPr>
        <w:tc>
          <w:tcPr>
            <w:tcW w:w="40" w:type="dxa"/>
            <w:vAlign w:val="bottom"/>
          </w:tcPr>
          <w:p>
            <w:pPr>
              <w:spacing w:after="0"/>
              <w:rPr>
                <w:sz w:val="19"/>
                <w:szCs w:val="19"/>
                <w:color w:val="auto"/>
              </w:rPr>
            </w:pPr>
          </w:p>
        </w:tc>
        <w:tc>
          <w:tcPr>
            <w:tcW w:w="28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1.625% Notes</w:t>
            </w:r>
          </w:p>
        </w:tc>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1.625% Convertible Senior Notes due 2023</w:t>
            </w:r>
          </w:p>
        </w:tc>
      </w:tr>
      <w:tr>
        <w:trPr>
          <w:trHeight w:val="230"/>
        </w:trPr>
        <w:tc>
          <w:tcPr>
            <w:tcW w:w="40" w:type="dxa"/>
            <w:vAlign w:val="bottom"/>
          </w:tcPr>
          <w:p>
            <w:pPr>
              <w:spacing w:after="0"/>
              <w:rPr>
                <w:sz w:val="19"/>
                <w:szCs w:val="19"/>
                <w:color w:val="auto"/>
              </w:rPr>
            </w:pPr>
          </w:p>
        </w:tc>
        <w:tc>
          <w:tcPr>
            <w:tcW w:w="2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3.875% Notes</w:t>
            </w:r>
          </w:p>
        </w:tc>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3.875% Senior Notes due 2028</w:t>
            </w:r>
          </w:p>
        </w:tc>
      </w:tr>
      <w:tr>
        <w:trPr>
          <w:trHeight w:val="229"/>
        </w:trPr>
        <w:tc>
          <w:tcPr>
            <w:tcW w:w="40" w:type="dxa"/>
            <w:vAlign w:val="bottom"/>
          </w:tcPr>
          <w:p>
            <w:pPr>
              <w:spacing w:after="0"/>
              <w:rPr>
                <w:sz w:val="19"/>
                <w:szCs w:val="19"/>
                <w:color w:val="auto"/>
              </w:rPr>
            </w:pPr>
          </w:p>
        </w:tc>
        <w:tc>
          <w:tcPr>
            <w:tcW w:w="28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ADAS</w:t>
            </w:r>
          </w:p>
        </w:tc>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Advanced driver-assistance systems</w:t>
            </w:r>
          </w:p>
        </w:tc>
      </w:tr>
      <w:tr>
        <w:trPr>
          <w:trHeight w:val="230"/>
        </w:trPr>
        <w:tc>
          <w:tcPr>
            <w:tcW w:w="40" w:type="dxa"/>
            <w:vAlign w:val="bottom"/>
          </w:tcPr>
          <w:p>
            <w:pPr>
              <w:spacing w:after="0"/>
              <w:rPr>
                <w:sz w:val="19"/>
                <w:szCs w:val="19"/>
                <w:color w:val="auto"/>
              </w:rPr>
            </w:pPr>
          </w:p>
        </w:tc>
        <w:tc>
          <w:tcPr>
            <w:tcW w:w="2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AI</w:t>
            </w:r>
          </w:p>
        </w:tc>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Artificial Intelligence</w:t>
            </w:r>
          </w:p>
        </w:tc>
      </w:tr>
      <w:tr>
        <w:trPr>
          <w:trHeight w:val="229"/>
        </w:trPr>
        <w:tc>
          <w:tcPr>
            <w:tcW w:w="40" w:type="dxa"/>
            <w:vAlign w:val="bottom"/>
          </w:tcPr>
          <w:p>
            <w:pPr>
              <w:spacing w:after="0"/>
              <w:rPr>
                <w:sz w:val="19"/>
                <w:szCs w:val="19"/>
                <w:color w:val="auto"/>
              </w:rPr>
            </w:pPr>
          </w:p>
        </w:tc>
        <w:tc>
          <w:tcPr>
            <w:tcW w:w="28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Amended and Restated SIP</w:t>
            </w:r>
          </w:p>
        </w:tc>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ON Semiconductor Corporation Amended and Restated Stock Incentive Plan, as amended</w:t>
            </w:r>
          </w:p>
        </w:tc>
      </w:tr>
      <w:tr>
        <w:trPr>
          <w:trHeight w:val="229"/>
        </w:trPr>
        <w:tc>
          <w:tcPr>
            <w:tcW w:w="40" w:type="dxa"/>
            <w:vAlign w:val="bottom"/>
          </w:tcPr>
          <w:p>
            <w:pPr>
              <w:spacing w:after="0"/>
              <w:rPr>
                <w:sz w:val="19"/>
                <w:szCs w:val="19"/>
                <w:color w:val="auto"/>
              </w:rPr>
            </w:pPr>
          </w:p>
        </w:tc>
        <w:tc>
          <w:tcPr>
            <w:tcW w:w="2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ASU</w:t>
            </w:r>
          </w:p>
        </w:tc>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Accounting Standards Update</w:t>
            </w:r>
          </w:p>
        </w:tc>
      </w:tr>
      <w:tr>
        <w:trPr>
          <w:trHeight w:val="230"/>
        </w:trPr>
        <w:tc>
          <w:tcPr>
            <w:tcW w:w="40" w:type="dxa"/>
            <w:vAlign w:val="bottom"/>
          </w:tcPr>
          <w:p>
            <w:pPr>
              <w:spacing w:after="0"/>
              <w:rPr>
                <w:sz w:val="19"/>
                <w:szCs w:val="19"/>
                <w:color w:val="auto"/>
              </w:rPr>
            </w:pPr>
          </w:p>
        </w:tc>
        <w:tc>
          <w:tcPr>
            <w:tcW w:w="28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Commission or SEC</w:t>
            </w:r>
          </w:p>
        </w:tc>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Securities and Exchange Commission</w:t>
            </w:r>
          </w:p>
        </w:tc>
      </w:tr>
      <w:tr>
        <w:trPr>
          <w:trHeight w:val="175"/>
        </w:trPr>
        <w:tc>
          <w:tcPr>
            <w:tcW w:w="40" w:type="dxa"/>
            <w:vAlign w:val="bottom"/>
          </w:tcPr>
          <w:p>
            <w:pPr>
              <w:spacing w:after="0"/>
              <w:rPr>
                <w:sz w:val="15"/>
                <w:szCs w:val="15"/>
                <w:color w:val="auto"/>
              </w:rPr>
            </w:pPr>
          </w:p>
        </w:tc>
        <w:tc>
          <w:tcPr>
            <w:tcW w:w="286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Credit Agreement</w:t>
            </w:r>
          </w:p>
        </w:tc>
        <w:tc>
          <w:tcPr>
            <w:tcW w:w="83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Credit agreement, dated as of June 22, 2023, by and among the Company, as borrower, the several lenders party</w:t>
            </w:r>
          </w:p>
        </w:tc>
      </w:tr>
      <w:tr>
        <w:trPr>
          <w:trHeight w:val="184"/>
        </w:trPr>
        <w:tc>
          <w:tcPr>
            <w:tcW w:w="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32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thereto, JP Morgan Chase Bank, N.A., as administrative agent, and certain other parties, providing for the</w:t>
            </w:r>
          </w:p>
        </w:tc>
      </w:tr>
      <w:tr>
        <w:trPr>
          <w:trHeight w:val="234"/>
        </w:trPr>
        <w:tc>
          <w:tcPr>
            <w:tcW w:w="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Revolving Credit Facility</w:t>
            </w:r>
          </w:p>
        </w:tc>
      </w:tr>
      <w:tr>
        <w:trPr>
          <w:trHeight w:val="230"/>
        </w:trPr>
        <w:tc>
          <w:tcPr>
            <w:tcW w:w="40" w:type="dxa"/>
            <w:vAlign w:val="bottom"/>
          </w:tcPr>
          <w:p>
            <w:pPr>
              <w:spacing w:after="0"/>
              <w:rPr>
                <w:sz w:val="19"/>
                <w:szCs w:val="19"/>
                <w:color w:val="auto"/>
              </w:rPr>
            </w:pPr>
          </w:p>
        </w:tc>
        <w:tc>
          <w:tcPr>
            <w:tcW w:w="28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EFK</w:t>
            </w:r>
          </w:p>
        </w:tc>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East Fishkill, New York fabrication facility</w:t>
            </w:r>
          </w:p>
        </w:tc>
      </w:tr>
      <w:tr>
        <w:trPr>
          <w:trHeight w:val="229"/>
        </w:trPr>
        <w:tc>
          <w:tcPr>
            <w:tcW w:w="40" w:type="dxa"/>
            <w:vAlign w:val="bottom"/>
          </w:tcPr>
          <w:p>
            <w:pPr>
              <w:spacing w:after="0"/>
              <w:rPr>
                <w:sz w:val="19"/>
                <w:szCs w:val="19"/>
                <w:color w:val="auto"/>
              </w:rPr>
            </w:pPr>
          </w:p>
        </w:tc>
        <w:tc>
          <w:tcPr>
            <w:tcW w:w="2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ESPP</w:t>
            </w:r>
          </w:p>
        </w:tc>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ON Semiconductor Corporation 2000 Employee Stock Purchase Plan, as amended</w:t>
            </w:r>
          </w:p>
        </w:tc>
      </w:tr>
      <w:tr>
        <w:trPr>
          <w:trHeight w:val="230"/>
        </w:trPr>
        <w:tc>
          <w:tcPr>
            <w:tcW w:w="40" w:type="dxa"/>
            <w:vAlign w:val="bottom"/>
          </w:tcPr>
          <w:p>
            <w:pPr>
              <w:spacing w:after="0"/>
              <w:rPr>
                <w:sz w:val="19"/>
                <w:szCs w:val="19"/>
                <w:color w:val="auto"/>
              </w:rPr>
            </w:pPr>
          </w:p>
        </w:tc>
        <w:tc>
          <w:tcPr>
            <w:tcW w:w="28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Exchange Act</w:t>
            </w:r>
          </w:p>
        </w:tc>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Securities Exchange Act of 1934, as amended</w:t>
            </w:r>
          </w:p>
        </w:tc>
      </w:tr>
      <w:tr>
        <w:trPr>
          <w:trHeight w:val="229"/>
        </w:trPr>
        <w:tc>
          <w:tcPr>
            <w:tcW w:w="40" w:type="dxa"/>
            <w:vAlign w:val="bottom"/>
          </w:tcPr>
          <w:p>
            <w:pPr>
              <w:spacing w:after="0"/>
              <w:rPr>
                <w:sz w:val="19"/>
                <w:szCs w:val="19"/>
                <w:color w:val="auto"/>
              </w:rPr>
            </w:pPr>
          </w:p>
        </w:tc>
        <w:tc>
          <w:tcPr>
            <w:tcW w:w="2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IP</w:t>
            </w:r>
          </w:p>
        </w:tc>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Intellectual property</w:t>
            </w:r>
          </w:p>
        </w:tc>
      </w:tr>
      <w:tr>
        <w:trPr>
          <w:trHeight w:val="229"/>
        </w:trPr>
        <w:tc>
          <w:tcPr>
            <w:tcW w:w="40" w:type="dxa"/>
            <w:vAlign w:val="bottom"/>
          </w:tcPr>
          <w:p>
            <w:pPr>
              <w:spacing w:after="0"/>
              <w:rPr>
                <w:sz w:val="19"/>
                <w:szCs w:val="19"/>
                <w:color w:val="auto"/>
              </w:rPr>
            </w:pPr>
          </w:p>
        </w:tc>
        <w:tc>
          <w:tcPr>
            <w:tcW w:w="28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IRS</w:t>
            </w:r>
          </w:p>
        </w:tc>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 Internal Revenue Service</w:t>
            </w:r>
          </w:p>
        </w:tc>
      </w:tr>
      <w:tr>
        <w:trPr>
          <w:trHeight w:val="230"/>
        </w:trPr>
        <w:tc>
          <w:tcPr>
            <w:tcW w:w="40" w:type="dxa"/>
            <w:vAlign w:val="bottom"/>
          </w:tcPr>
          <w:p>
            <w:pPr>
              <w:spacing w:after="0"/>
              <w:rPr>
                <w:sz w:val="19"/>
                <w:szCs w:val="19"/>
                <w:color w:val="auto"/>
              </w:rPr>
            </w:pPr>
          </w:p>
        </w:tc>
        <w:tc>
          <w:tcPr>
            <w:tcW w:w="2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w:t>
            </w:r>
          </w:p>
        </w:tc>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Information Technology</w:t>
            </w:r>
          </w:p>
        </w:tc>
      </w:tr>
      <w:tr>
        <w:trPr>
          <w:trHeight w:val="229"/>
        </w:trPr>
        <w:tc>
          <w:tcPr>
            <w:tcW w:w="40" w:type="dxa"/>
            <w:vAlign w:val="bottom"/>
          </w:tcPr>
          <w:p>
            <w:pPr>
              <w:spacing w:after="0"/>
              <w:rPr>
                <w:sz w:val="19"/>
                <w:szCs w:val="19"/>
                <w:color w:val="auto"/>
              </w:rPr>
            </w:pPr>
          </w:p>
        </w:tc>
        <w:tc>
          <w:tcPr>
            <w:tcW w:w="28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Revolving Credit Facility</w:t>
            </w:r>
          </w:p>
        </w:tc>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 $1.5 billion senior revolving credit facility created pursuant to the Credit Agreement</w:t>
            </w:r>
          </w:p>
        </w:tc>
      </w:tr>
      <w:tr>
        <w:trPr>
          <w:trHeight w:val="230"/>
        </w:trPr>
        <w:tc>
          <w:tcPr>
            <w:tcW w:w="40" w:type="dxa"/>
            <w:vAlign w:val="bottom"/>
          </w:tcPr>
          <w:p>
            <w:pPr>
              <w:spacing w:after="0"/>
              <w:rPr>
                <w:sz w:val="19"/>
                <w:szCs w:val="19"/>
                <w:color w:val="auto"/>
              </w:rPr>
            </w:pPr>
          </w:p>
        </w:tc>
        <w:tc>
          <w:tcPr>
            <w:tcW w:w="2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ROU</w:t>
            </w:r>
          </w:p>
        </w:tc>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Right-of-use</w:t>
            </w:r>
          </w:p>
        </w:tc>
      </w:tr>
      <w:tr>
        <w:trPr>
          <w:trHeight w:val="230"/>
        </w:trPr>
        <w:tc>
          <w:tcPr>
            <w:tcW w:w="40" w:type="dxa"/>
            <w:vAlign w:val="bottom"/>
          </w:tcPr>
          <w:p>
            <w:pPr>
              <w:spacing w:after="0"/>
              <w:rPr>
                <w:sz w:val="19"/>
                <w:szCs w:val="19"/>
                <w:color w:val="auto"/>
              </w:rPr>
            </w:pPr>
          </w:p>
        </w:tc>
        <w:tc>
          <w:tcPr>
            <w:tcW w:w="28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RSU</w:t>
            </w:r>
          </w:p>
        </w:tc>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stock unit</w:t>
            </w:r>
          </w:p>
        </w:tc>
      </w:tr>
      <w:tr>
        <w:trPr>
          <w:trHeight w:val="229"/>
        </w:trPr>
        <w:tc>
          <w:tcPr>
            <w:tcW w:w="40" w:type="dxa"/>
            <w:vAlign w:val="bottom"/>
          </w:tcPr>
          <w:p>
            <w:pPr>
              <w:spacing w:after="0"/>
              <w:rPr>
                <w:sz w:val="19"/>
                <w:szCs w:val="19"/>
                <w:color w:val="auto"/>
              </w:rPr>
            </w:pPr>
          </w:p>
        </w:tc>
        <w:tc>
          <w:tcPr>
            <w:tcW w:w="2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SiC</w:t>
            </w:r>
          </w:p>
        </w:tc>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Silicon carbide</w:t>
            </w:r>
          </w:p>
        </w:tc>
      </w:tr>
      <w:tr>
        <w:trPr>
          <w:trHeight w:val="237"/>
        </w:trPr>
        <w:tc>
          <w:tcPr>
            <w:tcW w:w="40" w:type="dxa"/>
            <w:vAlign w:val="bottom"/>
          </w:tcPr>
          <w:p>
            <w:pPr>
              <w:spacing w:after="0"/>
              <w:rPr>
                <w:sz w:val="20"/>
                <w:szCs w:val="20"/>
                <w:color w:val="auto"/>
              </w:rPr>
            </w:pPr>
          </w:p>
        </w:tc>
        <w:tc>
          <w:tcPr>
            <w:tcW w:w="286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SiC JFET</w:t>
            </w:r>
          </w:p>
        </w:tc>
        <w:tc>
          <w:tcPr>
            <w:tcW w:w="8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Silicon Carbide Junction Field-Effect Transistor</w:t>
            </w:r>
          </w:p>
        </w:tc>
      </w:tr>
      <w:tr>
        <w:trPr>
          <w:trHeight w:val="230"/>
        </w:trPr>
        <w:tc>
          <w:tcPr>
            <w:tcW w:w="40" w:type="dxa"/>
            <w:vAlign w:val="bottom"/>
          </w:tcPr>
          <w:p>
            <w:pPr>
              <w:spacing w:after="0"/>
              <w:rPr>
                <w:sz w:val="19"/>
                <w:szCs w:val="19"/>
                <w:color w:val="auto"/>
              </w:rPr>
            </w:pPr>
          </w:p>
        </w:tc>
        <w:tc>
          <w:tcPr>
            <w:tcW w:w="2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Act</w:t>
            </w:r>
          </w:p>
        </w:tc>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Securities Act of 1933, as amended</w:t>
            </w:r>
          </w:p>
        </w:tc>
      </w:tr>
      <w:tr>
        <w:trPr>
          <w:trHeight w:val="229"/>
        </w:trPr>
        <w:tc>
          <w:tcPr>
            <w:tcW w:w="40" w:type="dxa"/>
            <w:vAlign w:val="bottom"/>
          </w:tcPr>
          <w:p>
            <w:pPr>
              <w:spacing w:after="0"/>
              <w:rPr>
                <w:sz w:val="19"/>
                <w:szCs w:val="19"/>
                <w:color w:val="auto"/>
              </w:rPr>
            </w:pPr>
          </w:p>
        </w:tc>
        <w:tc>
          <w:tcPr>
            <w:tcW w:w="28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U.S. or United States</w:t>
            </w:r>
          </w:p>
        </w:tc>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 of America</w:t>
            </w: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Terms used, but not defined, within the body of the Form 10-Q are defined in this Glossary.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561975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3"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1. Financial Statements (unaudited)</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ON SEMICONDUCTOR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millions, except share and per share data)</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7"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8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July 4,</w:t>
            </w:r>
          </w:p>
        </w:tc>
        <w:tc>
          <w:tcPr>
            <w:tcW w:w="160" w:type="dxa"/>
            <w:vAlign w:val="bottom"/>
          </w:tcPr>
          <w:p>
            <w:pPr>
              <w:spacing w:after="0"/>
              <w:rPr>
                <w:sz w:val="16"/>
                <w:szCs w:val="16"/>
                <w:color w:val="auto"/>
              </w:rPr>
            </w:pPr>
          </w:p>
        </w:tc>
        <w:tc>
          <w:tcPr>
            <w:tcW w:w="126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4"/>
        </w:trPr>
        <w:tc>
          <w:tcPr>
            <w:tcW w:w="82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198"/>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2,526.7</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2,691.3</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Short-term investments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300.0</w:t>
            </w:r>
          </w:p>
        </w:tc>
        <w:tc>
          <w:tcPr>
            <w:tcW w:w="0" w:type="dxa"/>
            <w:vAlign w:val="bottom"/>
          </w:tcPr>
          <w:p>
            <w:pPr>
              <w:spacing w:after="0"/>
              <w:rPr>
                <w:sz w:val="1"/>
                <w:szCs w:val="1"/>
                <w:color w:val="auto"/>
              </w:rPr>
            </w:pPr>
          </w:p>
        </w:tc>
      </w:tr>
      <w:tr>
        <w:trPr>
          <w:trHeight w:val="213"/>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Receivables, net</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927.0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1,160.1</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Inventories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2,087.1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2,242.0</w:t>
            </w: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Assets held-for-sale</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current assets</w:t>
            </w:r>
          </w:p>
        </w:tc>
        <w:tc>
          <w:tcPr>
            <w:tcW w:w="3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447.1</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353.3</w:t>
            </w:r>
          </w:p>
        </w:tc>
        <w:tc>
          <w:tcPr>
            <w:tcW w:w="0" w:type="dxa"/>
            <w:vAlign w:val="bottom"/>
          </w:tcPr>
          <w:p>
            <w:pPr>
              <w:spacing w:after="0"/>
              <w:rPr>
                <w:sz w:val="1"/>
                <w:szCs w:val="1"/>
                <w:color w:val="auto"/>
              </w:rPr>
            </w:pPr>
          </w:p>
        </w:tc>
      </w:tr>
      <w:tr>
        <w:trPr>
          <w:trHeight w:val="207"/>
        </w:trPr>
        <w:tc>
          <w:tcPr>
            <w:tcW w:w="82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 current assets</w:t>
            </w:r>
          </w:p>
        </w:tc>
        <w:tc>
          <w:tcPr>
            <w:tcW w:w="3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6,351.4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6,752.0</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3,714.9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4,361.4</w:t>
            </w:r>
          </w:p>
        </w:tc>
        <w:tc>
          <w:tcPr>
            <w:tcW w:w="0" w:type="dxa"/>
            <w:vAlign w:val="bottom"/>
          </w:tcPr>
          <w:p>
            <w:pPr>
              <w:spacing w:after="0"/>
              <w:rPr>
                <w:sz w:val="1"/>
                <w:szCs w:val="1"/>
                <w:color w:val="auto"/>
              </w:rPr>
            </w:pPr>
          </w:p>
        </w:tc>
      </w:tr>
      <w:tr>
        <w:trPr>
          <w:trHeight w:val="213"/>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1,641.6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1,587.9</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assets, net</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257.9</w:t>
            </w:r>
          </w:p>
        </w:tc>
        <w:tc>
          <w:tcPr>
            <w:tcW w:w="0" w:type="dxa"/>
            <w:vAlign w:val="bottom"/>
          </w:tcPr>
          <w:p>
            <w:pPr>
              <w:spacing w:after="0"/>
              <w:rPr>
                <w:sz w:val="1"/>
                <w:szCs w:val="1"/>
                <w:color w:val="auto"/>
              </w:rPr>
            </w:pPr>
          </w:p>
        </w:tc>
      </w:tr>
      <w:tr>
        <w:trPr>
          <w:trHeight w:val="213"/>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tax assets</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754.8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729.9</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ROU financing lease assets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w:t>
            </w:r>
          </w:p>
        </w:tc>
        <w:tc>
          <w:tcPr>
            <w:tcW w:w="0" w:type="dxa"/>
            <w:vAlign w:val="bottom"/>
          </w:tcPr>
          <w:p>
            <w:pPr>
              <w:spacing w:after="0"/>
              <w:rPr>
                <w:sz w:val="1"/>
                <w:szCs w:val="1"/>
                <w:color w:val="auto"/>
              </w:rPr>
            </w:pPr>
          </w:p>
        </w:tc>
      </w:tr>
      <w:tr>
        <w:trPr>
          <w:trHeight w:val="213"/>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327.3</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360.2</w:t>
            </w:r>
          </w:p>
        </w:tc>
        <w:tc>
          <w:tcPr>
            <w:tcW w:w="0" w:type="dxa"/>
            <w:vAlign w:val="bottom"/>
          </w:tcPr>
          <w:p>
            <w:pPr>
              <w:spacing w:after="0"/>
              <w:rPr>
                <w:sz w:val="1"/>
                <w:szCs w:val="1"/>
                <w:color w:val="auto"/>
              </w:rPr>
            </w:pPr>
          </w:p>
        </w:tc>
      </w:tr>
      <w:tr>
        <w:trPr>
          <w:trHeight w:val="237"/>
        </w:trPr>
        <w:tc>
          <w:tcPr>
            <w:tcW w:w="82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assets</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13,126.2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14,089.8</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824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Accounts payable</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474.3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574.5</w:t>
            </w:r>
          </w:p>
        </w:tc>
        <w:tc>
          <w:tcPr>
            <w:tcW w:w="0" w:type="dxa"/>
            <w:vAlign w:val="bottom"/>
          </w:tcPr>
          <w:p>
            <w:pPr>
              <w:spacing w:after="0"/>
              <w:rPr>
                <w:sz w:val="1"/>
                <w:szCs w:val="1"/>
                <w:color w:val="auto"/>
              </w:rPr>
            </w:pPr>
          </w:p>
        </w:tc>
      </w:tr>
      <w:tr>
        <w:trPr>
          <w:trHeight w:val="213"/>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760.0</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portion of financing lease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0" w:type="dxa"/>
            <w:vAlign w:val="bottom"/>
          </w:tcPr>
          <w:p>
            <w:pPr>
              <w:spacing w:after="0"/>
              <w:rPr>
                <w:sz w:val="1"/>
                <w:szCs w:val="1"/>
                <w:color w:val="auto"/>
              </w:rPr>
            </w:pPr>
          </w:p>
        </w:tc>
      </w:tr>
      <w:tr>
        <w:trPr>
          <w:trHeight w:val="207"/>
        </w:trPr>
        <w:tc>
          <w:tcPr>
            <w:tcW w:w="82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3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1,264.7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1,334.8</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debt</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3,350.7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3,345.9</w:t>
            </w:r>
          </w:p>
        </w:tc>
        <w:tc>
          <w:tcPr>
            <w:tcW w:w="0" w:type="dxa"/>
            <w:vAlign w:val="bottom"/>
          </w:tcPr>
          <w:p>
            <w:pPr>
              <w:spacing w:after="0"/>
              <w:rPr>
                <w:sz w:val="1"/>
                <w:szCs w:val="1"/>
                <w:color w:val="auto"/>
              </w:rPr>
            </w:pPr>
          </w:p>
        </w:tc>
      </w:tr>
      <w:tr>
        <w:trPr>
          <w:trHeight w:val="213"/>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tax liabilities</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37.6</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financing lease liabilities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w:t>
            </w:r>
          </w:p>
        </w:tc>
        <w:tc>
          <w:tcPr>
            <w:tcW w:w="0" w:type="dxa"/>
            <w:vAlign w:val="bottom"/>
          </w:tcPr>
          <w:p>
            <w:pPr>
              <w:spacing w:after="0"/>
              <w:rPr>
                <w:sz w:val="1"/>
                <w:szCs w:val="1"/>
                <w:color w:val="auto"/>
              </w:rPr>
            </w:pPr>
          </w:p>
        </w:tc>
      </w:tr>
      <w:tr>
        <w:trPr>
          <w:trHeight w:val="213"/>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486.0</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536.3</w:t>
            </w:r>
          </w:p>
        </w:tc>
        <w:tc>
          <w:tcPr>
            <w:tcW w:w="0" w:type="dxa"/>
            <w:vAlign w:val="bottom"/>
          </w:tcPr>
          <w:p>
            <w:pPr>
              <w:spacing w:after="0"/>
              <w:rPr>
                <w:sz w:val="1"/>
                <w:szCs w:val="1"/>
                <w:color w:val="auto"/>
              </w:rPr>
            </w:pPr>
          </w:p>
        </w:tc>
      </w:tr>
      <w:tr>
        <w:trPr>
          <w:trHeight w:val="212"/>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liabilities</w:t>
            </w:r>
          </w:p>
        </w:tc>
        <w:tc>
          <w:tcPr>
            <w:tcW w:w="3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5,165.0</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5,275.3</w:t>
            </w:r>
          </w:p>
        </w:tc>
        <w:tc>
          <w:tcPr>
            <w:tcW w:w="0" w:type="dxa"/>
            <w:vAlign w:val="bottom"/>
          </w:tcPr>
          <w:p>
            <w:pPr>
              <w:spacing w:after="0"/>
              <w:rPr>
                <w:sz w:val="1"/>
                <w:szCs w:val="1"/>
                <w:color w:val="auto"/>
              </w:rPr>
            </w:pPr>
          </w:p>
        </w:tc>
      </w:tr>
      <w:tr>
        <w:trPr>
          <w:trHeight w:val="193"/>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 10)</w:t>
            </w: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ON Semiconductor Corporation stockholders’ equity:</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824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Common stock ($0.01 par value, 1,250,000,000 shares authorized, 624,436,148 and 622,655,553 issued, 411,204,213 and</w:t>
            </w:r>
          </w:p>
        </w:tc>
        <w:tc>
          <w:tcPr>
            <w:tcW w:w="30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0" w:type="dxa"/>
            <w:vAlign w:val="bottom"/>
          </w:tcPr>
          <w:p>
            <w:pPr>
              <w:spacing w:after="0"/>
              <w:rPr>
                <w:sz w:val="1"/>
                <w:szCs w:val="1"/>
                <w:color w:val="auto"/>
              </w:rPr>
            </w:pPr>
          </w:p>
        </w:tc>
      </w:tr>
      <w:tr>
        <w:trPr>
          <w:trHeight w:val="213"/>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422,955,173 outstanding, respectively)</w:t>
            </w:r>
          </w:p>
        </w:tc>
        <w:tc>
          <w:tcPr>
            <w:tcW w:w="30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5,451.1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5,372.2</w:t>
            </w:r>
          </w:p>
        </w:tc>
        <w:tc>
          <w:tcPr>
            <w:tcW w:w="0" w:type="dxa"/>
            <w:vAlign w:val="bottom"/>
          </w:tcPr>
          <w:p>
            <w:pPr>
              <w:spacing w:after="0"/>
              <w:rPr>
                <w:sz w:val="1"/>
                <w:szCs w:val="1"/>
                <w:color w:val="auto"/>
              </w:rPr>
            </w:pPr>
          </w:p>
        </w:tc>
      </w:tr>
      <w:tr>
        <w:trPr>
          <w:trHeight w:val="213"/>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(62.4)</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Accumulated earnings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7,805.1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8,120.9</w:t>
            </w:r>
          </w:p>
        </w:tc>
        <w:tc>
          <w:tcPr>
            <w:tcW w:w="0" w:type="dxa"/>
            <w:vAlign w:val="bottom"/>
          </w:tcPr>
          <w:p>
            <w:pPr>
              <w:spacing w:after="0"/>
              <w:rPr>
                <w:sz w:val="1"/>
                <w:szCs w:val="1"/>
                <w:color w:val="auto"/>
              </w:rPr>
            </w:pPr>
          </w:p>
        </w:tc>
      </w:tr>
      <w:tr>
        <w:trPr>
          <w:trHeight w:val="213"/>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Treasury stock, at cost: 213,231,935 and 199,700,380 shares, respectively</w:t>
            </w: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(5,271.2)</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(4,640.5)</w:t>
            </w:r>
          </w:p>
        </w:tc>
        <w:tc>
          <w:tcPr>
            <w:tcW w:w="0" w:type="dxa"/>
            <w:vAlign w:val="bottom"/>
          </w:tcPr>
          <w:p>
            <w:pPr>
              <w:spacing w:after="0"/>
              <w:rPr>
                <w:sz w:val="1"/>
                <w:szCs w:val="1"/>
                <w:color w:val="auto"/>
              </w:rPr>
            </w:pPr>
          </w:p>
        </w:tc>
      </w:tr>
      <w:tr>
        <w:trPr>
          <w:trHeight w:val="212"/>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ON Semiconductor Corporation stockholders’ equity</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7,940.8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8,796.4</w:t>
            </w:r>
          </w:p>
        </w:tc>
        <w:tc>
          <w:tcPr>
            <w:tcW w:w="0" w:type="dxa"/>
            <w:vAlign w:val="bottom"/>
          </w:tcPr>
          <w:p>
            <w:pPr>
              <w:spacing w:after="0"/>
              <w:rPr>
                <w:sz w:val="1"/>
                <w:szCs w:val="1"/>
                <w:color w:val="auto"/>
              </w:rPr>
            </w:pPr>
          </w:p>
        </w:tc>
      </w:tr>
      <w:tr>
        <w:trPr>
          <w:trHeight w:val="213"/>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Non-controlling interest</w:t>
            </w: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20.4</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18.1</w:t>
            </w:r>
          </w:p>
        </w:tc>
        <w:tc>
          <w:tcPr>
            <w:tcW w:w="0" w:type="dxa"/>
            <w:vAlign w:val="bottom"/>
          </w:tcPr>
          <w:p>
            <w:pPr>
              <w:spacing w:after="0"/>
              <w:rPr>
                <w:sz w:val="1"/>
                <w:szCs w:val="1"/>
                <w:color w:val="auto"/>
              </w:rPr>
            </w:pPr>
          </w:p>
        </w:tc>
      </w:tr>
      <w:tr>
        <w:trPr>
          <w:trHeight w:val="209"/>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3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7,961.2</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8,814.5</w:t>
            </w:r>
          </w:p>
        </w:tc>
        <w:tc>
          <w:tcPr>
            <w:tcW w:w="0" w:type="dxa"/>
            <w:vAlign w:val="bottom"/>
          </w:tcPr>
          <w:p>
            <w:pPr>
              <w:spacing w:after="0"/>
              <w:rPr>
                <w:sz w:val="1"/>
                <w:szCs w:val="1"/>
                <w:color w:val="auto"/>
              </w:rPr>
            </w:pPr>
          </w:p>
        </w:tc>
      </w:tr>
      <w:tr>
        <w:trPr>
          <w:trHeight w:val="212"/>
        </w:trPr>
        <w:tc>
          <w:tcPr>
            <w:tcW w:w="82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13,126.2</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14,089.8</w:t>
            </w: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See accompanying notes to consolidated financial statements</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26"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ON SEMICONDUCTOR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80" w:type="dxa"/>
            <w:vAlign w:val="bottom"/>
            <w:gridSpan w:val="5"/>
          </w:tcPr>
          <w:p>
            <w:pPr>
              <w:ind w:left="500"/>
              <w:spacing w:after="0"/>
              <w:rPr>
                <w:sz w:val="20"/>
                <w:szCs w:val="20"/>
                <w:color w:val="auto"/>
              </w:rPr>
            </w:pPr>
            <w:r>
              <w:rPr>
                <w:rFonts w:ascii="Times New Roman" w:cs="Times New Roman" w:eastAsia="Times New Roman" w:hAnsi="Times New Roman"/>
                <w:sz w:val="16"/>
                <w:szCs w:val="16"/>
                <w:b w:val="1"/>
                <w:bCs w:val="1"/>
                <w:color w:val="auto"/>
              </w:rPr>
              <w:t>Quarters Ended</w:t>
            </w:r>
          </w:p>
        </w:tc>
        <w:tc>
          <w:tcPr>
            <w:tcW w:w="240" w:type="dxa"/>
            <w:vAlign w:val="bottom"/>
          </w:tcPr>
          <w:p>
            <w:pPr>
              <w:spacing w:after="0"/>
              <w:rPr>
                <w:sz w:val="18"/>
                <w:szCs w:val="18"/>
                <w:color w:val="auto"/>
              </w:rPr>
            </w:pPr>
          </w:p>
        </w:tc>
        <w:tc>
          <w:tcPr>
            <w:tcW w:w="2400" w:type="dxa"/>
            <w:vAlign w:val="bottom"/>
            <w:gridSpan w:val="4"/>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0" w:type="dxa"/>
            <w:vAlign w:val="bottom"/>
          </w:tcPr>
          <w:p>
            <w:pPr>
              <w:spacing w:after="0"/>
              <w:rPr>
                <w:sz w:val="1"/>
                <w:szCs w:val="1"/>
                <w:color w:val="auto"/>
              </w:rPr>
            </w:pPr>
          </w:p>
        </w:tc>
      </w:tr>
      <w:tr>
        <w:trPr>
          <w:trHeight w:val="158"/>
        </w:trPr>
        <w:tc>
          <w:tcPr>
            <w:tcW w:w="586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gridSpan w:val="2"/>
          </w:tcPr>
          <w:p>
            <w:pPr>
              <w:ind w:left="160"/>
              <w:spacing w:after="0" w:line="158" w:lineRule="exact"/>
              <w:rPr>
                <w:sz w:val="20"/>
                <w:szCs w:val="20"/>
                <w:color w:val="auto"/>
              </w:rPr>
            </w:pPr>
            <w:r>
              <w:rPr>
                <w:rFonts w:ascii="Times New Roman" w:cs="Times New Roman" w:eastAsia="Times New Roman" w:hAnsi="Times New Roman"/>
                <w:sz w:val="16"/>
                <w:szCs w:val="16"/>
                <w:b w:val="1"/>
                <w:bCs w:val="1"/>
                <w:color w:val="auto"/>
              </w:rPr>
              <w:t>July 4,</w:t>
            </w:r>
          </w:p>
        </w:tc>
        <w:tc>
          <w:tcPr>
            <w:tcW w:w="22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right"/>
              <w:ind w:right="279"/>
              <w:spacing w:after="0" w:line="158" w:lineRule="exact"/>
              <w:rPr>
                <w:sz w:val="20"/>
                <w:szCs w:val="20"/>
                <w:color w:val="auto"/>
              </w:rPr>
            </w:pPr>
            <w:r>
              <w:rPr>
                <w:rFonts w:ascii="Times New Roman" w:cs="Times New Roman" w:eastAsia="Times New Roman" w:hAnsi="Times New Roman"/>
                <w:sz w:val="16"/>
                <w:szCs w:val="16"/>
                <w:b w:val="1"/>
                <w:bCs w:val="1"/>
                <w:color w:val="auto"/>
              </w:rPr>
              <w:t>June 28,</w:t>
            </w:r>
          </w:p>
        </w:tc>
        <w:tc>
          <w:tcPr>
            <w:tcW w:w="8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gridSpan w:val="2"/>
          </w:tcPr>
          <w:p>
            <w:pPr>
              <w:ind w:left="160"/>
              <w:spacing w:after="0" w:line="158" w:lineRule="exact"/>
              <w:rPr>
                <w:sz w:val="20"/>
                <w:szCs w:val="20"/>
                <w:color w:val="auto"/>
              </w:rPr>
            </w:pPr>
            <w:r>
              <w:rPr>
                <w:rFonts w:ascii="Times New Roman" w:cs="Times New Roman" w:eastAsia="Times New Roman" w:hAnsi="Times New Roman"/>
                <w:sz w:val="16"/>
                <w:szCs w:val="16"/>
                <w:b w:val="1"/>
                <w:bCs w:val="1"/>
                <w:color w:val="auto"/>
              </w:rPr>
              <w:t>July 4,</w:t>
            </w:r>
          </w:p>
        </w:tc>
        <w:tc>
          <w:tcPr>
            <w:tcW w:w="22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right"/>
              <w:ind w:right="279"/>
              <w:spacing w:after="0" w:line="158" w:lineRule="exact"/>
              <w:rPr>
                <w:sz w:val="20"/>
                <w:szCs w:val="20"/>
                <w:color w:val="auto"/>
              </w:rPr>
            </w:pPr>
            <w:r>
              <w:rPr>
                <w:rFonts w:ascii="Times New Roman" w:cs="Times New Roman" w:eastAsia="Times New Roman" w:hAnsi="Times New Roman"/>
                <w:sz w:val="16"/>
                <w:szCs w:val="16"/>
                <w:b w:val="1"/>
                <w:bCs w:val="1"/>
                <w:color w:val="auto"/>
              </w:rPr>
              <w:t>June 28,</w:t>
            </w:r>
          </w:p>
        </w:tc>
        <w:tc>
          <w:tcPr>
            <w:tcW w:w="0" w:type="dxa"/>
            <w:vAlign w:val="bottom"/>
          </w:tcPr>
          <w:p>
            <w:pPr>
              <w:spacing w:after="0"/>
              <w:rPr>
                <w:sz w:val="1"/>
                <w:szCs w:val="1"/>
                <w:color w:val="auto"/>
              </w:rPr>
            </w:pPr>
          </w:p>
        </w:tc>
      </w:tr>
      <w:tr>
        <w:trPr>
          <w:trHeight w:val="214"/>
        </w:trPr>
        <w:tc>
          <w:tcPr>
            <w:tcW w:w="58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11"/>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1,468.7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1,735.2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2,914.4</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3,597.9</w:t>
            </w:r>
          </w:p>
        </w:tc>
        <w:tc>
          <w:tcPr>
            <w:tcW w:w="0" w:type="dxa"/>
            <w:vAlign w:val="bottom"/>
          </w:tcPr>
          <w:p>
            <w:pPr>
              <w:spacing w:after="0"/>
              <w:rPr>
                <w:sz w:val="1"/>
                <w:szCs w:val="1"/>
                <w:color w:val="auto"/>
              </w:rPr>
            </w:pPr>
          </w:p>
        </w:tc>
      </w:tr>
      <w:tr>
        <w:trPr>
          <w:trHeight w:val="213"/>
        </w:trPr>
        <w:tc>
          <w:tcPr>
            <w:tcW w:w="5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916.8</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951.2</w:t>
            </w: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2,068.7</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1,960.3</w:t>
            </w:r>
          </w:p>
        </w:tc>
        <w:tc>
          <w:tcPr>
            <w:tcW w:w="0" w:type="dxa"/>
            <w:vAlign w:val="bottom"/>
          </w:tcPr>
          <w:p>
            <w:pPr>
              <w:spacing w:after="0"/>
              <w:rPr>
                <w:sz w:val="1"/>
                <w:szCs w:val="1"/>
                <w:color w:val="auto"/>
              </w:rPr>
            </w:pPr>
          </w:p>
        </w:tc>
      </w:tr>
      <w:tr>
        <w:trPr>
          <w:trHeight w:val="212"/>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551.9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784.0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845.7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1,637.6</w:t>
            </w:r>
          </w:p>
        </w:tc>
        <w:tc>
          <w:tcPr>
            <w:tcW w:w="0" w:type="dxa"/>
            <w:vAlign w:val="bottom"/>
          </w:tcPr>
          <w:p>
            <w:pPr>
              <w:spacing w:after="0"/>
              <w:rPr>
                <w:sz w:val="1"/>
                <w:szCs w:val="1"/>
                <w:color w:val="auto"/>
              </w:rPr>
            </w:pPr>
          </w:p>
        </w:tc>
      </w:tr>
      <w:tr>
        <w:trPr>
          <w:trHeight w:val="213"/>
        </w:trPr>
        <w:tc>
          <w:tcPr>
            <w:tcW w:w="5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Research and development</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156.5</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306.5</w:t>
            </w:r>
          </w:p>
        </w:tc>
        <w:tc>
          <w:tcPr>
            <w:tcW w:w="0" w:type="dxa"/>
            <w:vAlign w:val="bottom"/>
          </w:tcPr>
          <w:p>
            <w:pPr>
              <w:spacing w:after="0"/>
              <w:rPr>
                <w:sz w:val="1"/>
                <w:szCs w:val="1"/>
                <w:color w:val="auto"/>
              </w:rPr>
            </w:pPr>
          </w:p>
        </w:tc>
      </w:tr>
      <w:tr>
        <w:trPr>
          <w:trHeight w:val="213"/>
        </w:trPr>
        <w:tc>
          <w:tcPr>
            <w:tcW w:w="58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Selling and marketing</w:t>
            </w: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137.7</w:t>
            </w:r>
          </w:p>
        </w:tc>
        <w:tc>
          <w:tcPr>
            <w:tcW w:w="0" w:type="dxa"/>
            <w:vAlign w:val="bottom"/>
          </w:tcPr>
          <w:p>
            <w:pPr>
              <w:spacing w:after="0"/>
              <w:rPr>
                <w:sz w:val="1"/>
                <w:szCs w:val="1"/>
                <w:color w:val="auto"/>
              </w:rPr>
            </w:pPr>
          </w:p>
        </w:tc>
      </w:tr>
      <w:tr>
        <w:trPr>
          <w:trHeight w:val="219"/>
        </w:trPr>
        <w:tc>
          <w:tcPr>
            <w:tcW w:w="5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180.3</w:t>
            </w:r>
          </w:p>
        </w:tc>
        <w:tc>
          <w:tcPr>
            <w:tcW w:w="0" w:type="dxa"/>
            <w:vAlign w:val="bottom"/>
          </w:tcPr>
          <w:p>
            <w:pPr>
              <w:spacing w:after="0"/>
              <w:rPr>
                <w:sz w:val="1"/>
                <w:szCs w:val="1"/>
                <w:color w:val="auto"/>
              </w:rPr>
            </w:pPr>
          </w:p>
        </w:tc>
      </w:tr>
      <w:tr>
        <w:trPr>
          <w:trHeight w:val="213"/>
        </w:trPr>
        <w:tc>
          <w:tcPr>
            <w:tcW w:w="58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Amortization of acquisition-related intangible assets</w:t>
            </w: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w:t>
            </w:r>
          </w:p>
        </w:tc>
        <w:tc>
          <w:tcPr>
            <w:tcW w:w="0" w:type="dxa"/>
            <w:vAlign w:val="bottom"/>
          </w:tcPr>
          <w:p>
            <w:pPr>
              <w:spacing w:after="0"/>
              <w:rPr>
                <w:sz w:val="1"/>
                <w:szCs w:val="1"/>
                <w:color w:val="auto"/>
              </w:rPr>
            </w:pPr>
          </w:p>
        </w:tc>
      </w:tr>
      <w:tr>
        <w:trPr>
          <w:trHeight w:val="219"/>
        </w:trPr>
        <w:tc>
          <w:tcPr>
            <w:tcW w:w="5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Restructuring, asset impairments and other, net</w:t>
            </w:r>
          </w:p>
        </w:tc>
        <w:tc>
          <w:tcPr>
            <w:tcW w:w="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72.5</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588.5</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73.9</w:t>
            </w:r>
          </w:p>
        </w:tc>
        <w:tc>
          <w:tcPr>
            <w:tcW w:w="0" w:type="dxa"/>
            <w:vAlign w:val="bottom"/>
          </w:tcPr>
          <w:p>
            <w:pPr>
              <w:spacing w:after="0"/>
              <w:rPr>
                <w:sz w:val="1"/>
                <w:szCs w:val="1"/>
                <w:color w:val="auto"/>
              </w:rPr>
            </w:pPr>
          </w:p>
        </w:tc>
      </w:tr>
      <w:tr>
        <w:trPr>
          <w:trHeight w:val="207"/>
        </w:trPr>
        <w:tc>
          <w:tcPr>
            <w:tcW w:w="586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6"/>
                <w:szCs w:val="16"/>
                <w:color w:val="auto"/>
              </w:rPr>
              <w:t>Total operating expenses</w:t>
            </w:r>
          </w:p>
        </w:tc>
        <w:tc>
          <w:tcPr>
            <w:tcW w:w="2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358.5</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395.5</w:t>
            </w: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1,226.0</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723.9</w:t>
            </w:r>
          </w:p>
        </w:tc>
        <w:tc>
          <w:tcPr>
            <w:tcW w:w="0" w:type="dxa"/>
            <w:vAlign w:val="bottom"/>
          </w:tcPr>
          <w:p>
            <w:pPr>
              <w:spacing w:after="0"/>
              <w:rPr>
                <w:sz w:val="1"/>
                <w:szCs w:val="1"/>
                <w:color w:val="auto"/>
              </w:rPr>
            </w:pPr>
          </w:p>
        </w:tc>
      </w:tr>
      <w:tr>
        <w:trPr>
          <w:trHeight w:val="212"/>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income (loss)</w:t>
            </w:r>
          </w:p>
        </w:tc>
        <w:tc>
          <w:tcPr>
            <w:tcW w:w="2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193.4</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388.5</w:t>
            </w: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(380.3)</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913.7</w:t>
            </w:r>
          </w:p>
        </w:tc>
        <w:tc>
          <w:tcPr>
            <w:tcW w:w="0" w:type="dxa"/>
            <w:vAlign w:val="bottom"/>
          </w:tcPr>
          <w:p>
            <w:pPr>
              <w:spacing w:after="0"/>
              <w:rPr>
                <w:sz w:val="1"/>
                <w:szCs w:val="1"/>
                <w:color w:val="auto"/>
              </w:rPr>
            </w:pPr>
          </w:p>
        </w:tc>
      </w:tr>
      <w:tr>
        <w:trPr>
          <w:trHeight w:val="193"/>
        </w:trPr>
        <w:tc>
          <w:tcPr>
            <w:tcW w:w="5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income (expense), net:</w:t>
            </w: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5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Interest expense</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w:t>
            </w:r>
          </w:p>
        </w:tc>
        <w:tc>
          <w:tcPr>
            <w:tcW w:w="0" w:type="dxa"/>
            <w:vAlign w:val="bottom"/>
          </w:tcPr>
          <w:p>
            <w:pPr>
              <w:spacing w:after="0"/>
              <w:rPr>
                <w:sz w:val="1"/>
                <w:szCs w:val="1"/>
                <w:color w:val="auto"/>
              </w:rPr>
            </w:pPr>
          </w:p>
        </w:tc>
      </w:tr>
      <w:tr>
        <w:trPr>
          <w:trHeight w:val="213"/>
        </w:trPr>
        <w:tc>
          <w:tcPr>
            <w:tcW w:w="58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Interest income</w:t>
            </w: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55.0</w:t>
            </w:r>
          </w:p>
        </w:tc>
        <w:tc>
          <w:tcPr>
            <w:tcW w:w="0" w:type="dxa"/>
            <w:vAlign w:val="bottom"/>
          </w:tcPr>
          <w:p>
            <w:pPr>
              <w:spacing w:after="0"/>
              <w:rPr>
                <w:sz w:val="1"/>
                <w:szCs w:val="1"/>
                <w:color w:val="auto"/>
              </w:rPr>
            </w:pPr>
          </w:p>
        </w:tc>
      </w:tr>
      <w:tr>
        <w:trPr>
          <w:trHeight w:val="219"/>
        </w:trPr>
        <w:tc>
          <w:tcPr>
            <w:tcW w:w="5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Other income</w:t>
            </w:r>
          </w:p>
        </w:tc>
        <w:tc>
          <w:tcPr>
            <w:tcW w:w="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0" w:type="dxa"/>
            <w:vAlign w:val="bottom"/>
          </w:tcPr>
          <w:p>
            <w:pPr>
              <w:spacing w:after="0"/>
              <w:rPr>
                <w:sz w:val="1"/>
                <w:szCs w:val="1"/>
                <w:color w:val="auto"/>
              </w:rPr>
            </w:pPr>
          </w:p>
        </w:tc>
      </w:tr>
      <w:tr>
        <w:trPr>
          <w:trHeight w:val="207"/>
        </w:trPr>
        <w:tc>
          <w:tcPr>
            <w:tcW w:w="586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6"/>
                <w:szCs w:val="16"/>
                <w:color w:val="auto"/>
              </w:rPr>
              <w:t>Other income (expense), net</w:t>
            </w:r>
          </w:p>
        </w:tc>
        <w:tc>
          <w:tcPr>
            <w:tcW w:w="2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21.5</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26.6</w:t>
            </w:r>
          </w:p>
        </w:tc>
        <w:tc>
          <w:tcPr>
            <w:tcW w:w="0" w:type="dxa"/>
            <w:vAlign w:val="bottom"/>
          </w:tcPr>
          <w:p>
            <w:pPr>
              <w:spacing w:after="0"/>
              <w:rPr>
                <w:sz w:val="1"/>
                <w:szCs w:val="1"/>
                <w:color w:val="auto"/>
              </w:rPr>
            </w:pPr>
          </w:p>
        </w:tc>
      </w:tr>
      <w:tr>
        <w:trPr>
          <w:trHeight w:val="212"/>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before income taxes</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402.1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(358.8)</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940.3</w:t>
            </w:r>
          </w:p>
        </w:tc>
        <w:tc>
          <w:tcPr>
            <w:tcW w:w="0" w:type="dxa"/>
            <w:vAlign w:val="bottom"/>
          </w:tcPr>
          <w:p>
            <w:pPr>
              <w:spacing w:after="0"/>
              <w:rPr>
                <w:sz w:val="1"/>
                <w:szCs w:val="1"/>
                <w:color w:val="auto"/>
              </w:rPr>
            </w:pPr>
          </w:p>
        </w:tc>
      </w:tr>
      <w:tr>
        <w:trPr>
          <w:trHeight w:val="213"/>
        </w:trPr>
        <w:tc>
          <w:tcPr>
            <w:tcW w:w="5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 tax (provision) benefit</w:t>
            </w: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(30.5)</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(63.7)</w:t>
            </w: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45.3</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(148.2)</w:t>
            </w:r>
          </w:p>
        </w:tc>
        <w:tc>
          <w:tcPr>
            <w:tcW w:w="0" w:type="dxa"/>
            <w:vAlign w:val="bottom"/>
          </w:tcPr>
          <w:p>
            <w:pPr>
              <w:spacing w:after="0"/>
              <w:rPr>
                <w:sz w:val="1"/>
                <w:szCs w:val="1"/>
                <w:color w:val="auto"/>
              </w:rPr>
            </w:pPr>
          </w:p>
        </w:tc>
      </w:tr>
      <w:tr>
        <w:trPr>
          <w:trHeight w:val="212"/>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(313.5)</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792.1</w:t>
            </w:r>
          </w:p>
        </w:tc>
        <w:tc>
          <w:tcPr>
            <w:tcW w:w="0" w:type="dxa"/>
            <w:vAlign w:val="bottom"/>
          </w:tcPr>
          <w:p>
            <w:pPr>
              <w:spacing w:after="0"/>
              <w:rPr>
                <w:sz w:val="1"/>
                <w:szCs w:val="1"/>
                <w:color w:val="auto"/>
              </w:rPr>
            </w:pPr>
          </w:p>
        </w:tc>
      </w:tr>
      <w:tr>
        <w:trPr>
          <w:trHeight w:val="213"/>
        </w:trPr>
        <w:tc>
          <w:tcPr>
            <w:tcW w:w="5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Net income attributable to non-controlling interest</w:t>
            </w: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0" w:type="dxa"/>
            <w:vAlign w:val="bottom"/>
          </w:tcPr>
          <w:p>
            <w:pPr>
              <w:spacing w:after="0"/>
              <w:rPr>
                <w:sz w:val="1"/>
                <w:szCs w:val="1"/>
                <w:color w:val="auto"/>
              </w:rPr>
            </w:pPr>
          </w:p>
        </w:tc>
      </w:tr>
      <w:tr>
        <w:trPr>
          <w:trHeight w:val="237"/>
        </w:trPr>
        <w:tc>
          <w:tcPr>
            <w:tcW w:w="5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 attributable to ON Semiconductor Corporation</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338.2</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(315.8)</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791.2</w:t>
            </w:r>
          </w:p>
        </w:tc>
        <w:tc>
          <w:tcPr>
            <w:tcW w:w="0" w:type="dxa"/>
            <w:vAlign w:val="bottom"/>
          </w:tcPr>
          <w:p>
            <w:pPr>
              <w:spacing w:after="0"/>
              <w:rPr>
                <w:sz w:val="1"/>
                <w:szCs w:val="1"/>
                <w:color w:val="auto"/>
              </w:rPr>
            </w:pP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586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Net income (loss) per share of common stock attributable to ON Semiconductor</w:t>
            </w:r>
          </w:p>
        </w:tc>
        <w:tc>
          <w:tcPr>
            <w:tcW w:w="2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Corporation:</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Basic</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0.41</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0.79</w:t>
            </w:r>
          </w:p>
        </w:tc>
        <w:tc>
          <w:tcPr>
            <w:tcW w:w="8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(0.76)</w:t>
            </w:r>
          </w:p>
        </w:tc>
        <w:tc>
          <w:tcPr>
            <w:tcW w:w="8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1.85</w:t>
            </w:r>
          </w:p>
        </w:tc>
        <w:tc>
          <w:tcPr>
            <w:tcW w:w="0" w:type="dxa"/>
            <w:vAlign w:val="bottom"/>
          </w:tcPr>
          <w:p>
            <w:pPr>
              <w:spacing w:after="0"/>
              <w:rPr>
                <w:sz w:val="1"/>
                <w:szCs w:val="1"/>
                <w:color w:val="auto"/>
              </w:rPr>
            </w:pPr>
          </w:p>
        </w:tc>
      </w:tr>
      <w:tr>
        <w:trPr>
          <w:trHeight w:val="20"/>
        </w:trPr>
        <w:tc>
          <w:tcPr>
            <w:tcW w:w="58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58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Diluted</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0.78</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(0.76)</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w:t>
            </w:r>
          </w:p>
        </w:tc>
        <w:tc>
          <w:tcPr>
            <w:tcW w:w="0" w:type="dxa"/>
            <w:vAlign w:val="bottom"/>
          </w:tcPr>
          <w:p>
            <w:pPr>
              <w:spacing w:after="0"/>
              <w:rPr>
                <w:sz w:val="1"/>
                <w:szCs w:val="1"/>
                <w:color w:val="auto"/>
              </w:rPr>
            </w:pPr>
          </w:p>
        </w:tc>
      </w:tr>
      <w:tr>
        <w:trPr>
          <w:trHeight w:val="20"/>
        </w:trPr>
        <w:tc>
          <w:tcPr>
            <w:tcW w:w="58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Weighted-average shares of common stock outstanding:</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586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4"/>
        </w:trPr>
        <w:tc>
          <w:tcPr>
            <w:tcW w:w="58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Basic</w:t>
            </w:r>
          </w:p>
        </w:tc>
        <w:tc>
          <w:tcPr>
            <w:tcW w:w="26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429.1</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418.0</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428.6</w:t>
            </w:r>
          </w:p>
        </w:tc>
        <w:tc>
          <w:tcPr>
            <w:tcW w:w="0" w:type="dxa"/>
            <w:vAlign w:val="bottom"/>
          </w:tcPr>
          <w:p>
            <w:pPr>
              <w:spacing w:after="0"/>
              <w:rPr>
                <w:sz w:val="1"/>
                <w:szCs w:val="1"/>
                <w:color w:val="auto"/>
              </w:rPr>
            </w:pP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8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Diluted</w:t>
            </w: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414.9</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433.2</w:t>
            </w:r>
          </w:p>
        </w:tc>
        <w:tc>
          <w:tcPr>
            <w:tcW w:w="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418.0</w:t>
            </w:r>
          </w:p>
        </w:tc>
        <w:tc>
          <w:tcPr>
            <w:tcW w:w="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434.9</w:t>
            </w:r>
          </w:p>
        </w:tc>
        <w:tc>
          <w:tcPr>
            <w:tcW w:w="0" w:type="dxa"/>
            <w:vAlign w:val="bottom"/>
          </w:tcPr>
          <w:p>
            <w:pPr>
              <w:spacing w:after="0"/>
              <w:rPr>
                <w:sz w:val="1"/>
                <w:szCs w:val="1"/>
                <w:color w:val="auto"/>
              </w:rPr>
            </w:pPr>
          </w:p>
        </w:tc>
      </w:tr>
      <w:tr>
        <w:trPr>
          <w:trHeight w:val="20"/>
        </w:trPr>
        <w:tc>
          <w:tcPr>
            <w:tcW w:w="58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8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5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Comprehensive income (loss), net of tax:</w:t>
            </w: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Net income (loss)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338.4</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(313.5)</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792.1</w:t>
            </w:r>
          </w:p>
        </w:tc>
        <w:tc>
          <w:tcPr>
            <w:tcW w:w="0" w:type="dxa"/>
            <w:vAlign w:val="bottom"/>
          </w:tcPr>
          <w:p>
            <w:pPr>
              <w:spacing w:after="0"/>
              <w:rPr>
                <w:sz w:val="1"/>
                <w:szCs w:val="1"/>
                <w:color w:val="auto"/>
              </w:rPr>
            </w:pPr>
          </w:p>
        </w:tc>
      </w:tr>
      <w:tr>
        <w:trPr>
          <w:trHeight w:val="207"/>
        </w:trPr>
        <w:tc>
          <w:tcPr>
            <w:tcW w:w="586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2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0" w:type="dxa"/>
            <w:vAlign w:val="bottom"/>
          </w:tcPr>
          <w:p>
            <w:pPr>
              <w:spacing w:after="0"/>
              <w:rPr>
                <w:sz w:val="1"/>
                <w:szCs w:val="1"/>
                <w:color w:val="auto"/>
              </w:rPr>
            </w:pPr>
          </w:p>
        </w:tc>
      </w:tr>
      <w:tr>
        <w:trPr>
          <w:trHeight w:val="219"/>
        </w:trPr>
        <w:tc>
          <w:tcPr>
            <w:tcW w:w="58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Effects of cash flow hedges and other adjustments</w:t>
            </w:r>
          </w:p>
        </w:tc>
        <w:tc>
          <w:tcPr>
            <w:tcW w:w="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0" w:type="dxa"/>
            <w:vAlign w:val="bottom"/>
          </w:tcPr>
          <w:p>
            <w:pPr>
              <w:spacing w:after="0"/>
              <w:rPr>
                <w:sz w:val="1"/>
                <w:szCs w:val="1"/>
                <w:color w:val="auto"/>
              </w:rPr>
            </w:pPr>
          </w:p>
        </w:tc>
      </w:tr>
      <w:tr>
        <w:trPr>
          <w:trHeight w:val="207"/>
        </w:trPr>
        <w:tc>
          <w:tcPr>
            <w:tcW w:w="5860" w:type="dxa"/>
            <w:vAlign w:val="bottom"/>
            <w:tcBorders>
              <w:bottom w:val="single" w:sz="8" w:color="CCEEFF"/>
            </w:tcBorders>
          </w:tcPr>
          <w:p>
            <w:pPr>
              <w:ind w:left="800"/>
              <w:spacing w:after="0"/>
              <w:rPr>
                <w:sz w:val="20"/>
                <w:szCs w:val="20"/>
                <w:color w:val="auto"/>
              </w:rPr>
            </w:pPr>
            <w:r>
              <w:rPr>
                <w:rFonts w:ascii="Times New Roman" w:cs="Times New Roman" w:eastAsia="Times New Roman" w:hAnsi="Times New Roman"/>
                <w:sz w:val="16"/>
                <w:szCs w:val="16"/>
                <w:color w:val="auto"/>
              </w:rPr>
              <w:t>Other comprehensive income (loss), net of tax</w:t>
            </w:r>
          </w:p>
        </w:tc>
        <w:tc>
          <w:tcPr>
            <w:tcW w:w="2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0" w:type="dxa"/>
            <w:vAlign w:val="bottom"/>
          </w:tcPr>
          <w:p>
            <w:pPr>
              <w:spacing w:after="0"/>
              <w:rPr>
                <w:sz w:val="1"/>
                <w:szCs w:val="1"/>
                <w:color w:val="auto"/>
              </w:rPr>
            </w:pPr>
          </w:p>
        </w:tc>
      </w:tr>
      <w:tr>
        <w:trPr>
          <w:trHeight w:val="212"/>
        </w:trPr>
        <w:tc>
          <w:tcPr>
            <w:tcW w:w="5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Comprehensive income (loss)</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(301.5)</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780.5</w:t>
            </w:r>
          </w:p>
        </w:tc>
        <w:tc>
          <w:tcPr>
            <w:tcW w:w="0" w:type="dxa"/>
            <w:vAlign w:val="bottom"/>
          </w:tcPr>
          <w:p>
            <w:pPr>
              <w:spacing w:after="0"/>
              <w:rPr>
                <w:sz w:val="1"/>
                <w:szCs w:val="1"/>
                <w:color w:val="auto"/>
              </w:rPr>
            </w:pPr>
          </w:p>
        </w:tc>
      </w:tr>
      <w:tr>
        <w:trPr>
          <w:trHeight w:val="213"/>
        </w:trPr>
        <w:tc>
          <w:tcPr>
            <w:tcW w:w="58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Comprehensive income attributable to non-controlling interest</w:t>
            </w: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0" w:type="dxa"/>
            <w:vAlign w:val="bottom"/>
          </w:tcPr>
          <w:p>
            <w:pPr>
              <w:spacing w:after="0"/>
              <w:rPr>
                <w:sz w:val="1"/>
                <w:szCs w:val="1"/>
                <w:color w:val="auto"/>
              </w:rPr>
            </w:pPr>
          </w:p>
        </w:tc>
      </w:tr>
      <w:tr>
        <w:trPr>
          <w:trHeight w:val="237"/>
        </w:trPr>
        <w:tc>
          <w:tcPr>
            <w:tcW w:w="5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Comprehensive income (loss) attributable to ON Semiconductor Corporation</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333.6</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(303.8)</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779.6</w:t>
            </w:r>
          </w:p>
        </w:tc>
        <w:tc>
          <w:tcPr>
            <w:tcW w:w="0" w:type="dxa"/>
            <w:vAlign w:val="bottom"/>
          </w:tcPr>
          <w:p>
            <w:pPr>
              <w:spacing w:after="0"/>
              <w:rPr>
                <w:sz w:val="1"/>
                <w:szCs w:val="1"/>
                <w:color w:val="auto"/>
              </w:rPr>
            </w:pP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accompanying notes to consolidated financial statements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ON SEMICONDUCTOR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millions, except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720" w:type="dxa"/>
            <w:vAlign w:val="bottom"/>
          </w:tcPr>
          <w:p>
            <w:pPr>
              <w:spacing w:after="0"/>
              <w:rPr>
                <w:sz w:val="16"/>
                <w:szCs w:val="16"/>
                <w:color w:val="auto"/>
              </w:rPr>
            </w:pPr>
          </w:p>
        </w:tc>
        <w:tc>
          <w:tcPr>
            <w:tcW w:w="1820" w:type="dxa"/>
            <w:vAlign w:val="bottom"/>
            <w:gridSpan w:val="5"/>
          </w:tcPr>
          <w:p>
            <w:pPr>
              <w:ind w:left="34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20" w:type="dxa"/>
            <w:vAlign w:val="bottom"/>
            <w:gridSpan w:val="4"/>
          </w:tcPr>
          <w:p>
            <w:pPr>
              <w:ind w:left="400"/>
              <w:spacing w:after="0"/>
              <w:rPr>
                <w:sz w:val="20"/>
                <w:szCs w:val="20"/>
                <w:color w:val="auto"/>
              </w:rPr>
            </w:pPr>
            <w:r>
              <w:rPr>
                <w:rFonts w:ascii="Times New Roman" w:cs="Times New Roman" w:eastAsia="Times New Roman" w:hAnsi="Times New Roman"/>
                <w:sz w:val="16"/>
                <w:szCs w:val="16"/>
                <w:b w:val="1"/>
                <w:bCs w:val="1"/>
                <w:color w:val="auto"/>
              </w:rPr>
              <w:t>Treasury Stock</w:t>
            </w: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
        </w:trPr>
        <w:tc>
          <w:tcPr>
            <w:tcW w:w="2720" w:type="dxa"/>
            <w:vAlign w:val="bottom"/>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860" w:type="dxa"/>
            <w:vAlign w:val="bottom"/>
            <w:gridSpan w:val="3"/>
            <w:vMerge w:val="restart"/>
          </w:tcPr>
          <w:p>
            <w:pPr>
              <w:ind w:left="20"/>
              <w:spacing w:after="0" w:line="162" w:lineRule="exact"/>
              <w:rPr>
                <w:sz w:val="20"/>
                <w:szCs w:val="20"/>
                <w:color w:val="auto"/>
              </w:rPr>
            </w:pPr>
            <w:r>
              <w:rPr>
                <w:rFonts w:ascii="Times New Roman" w:cs="Times New Roman" w:eastAsia="Times New Roman" w:hAnsi="Times New Roman"/>
                <w:sz w:val="16"/>
                <w:szCs w:val="16"/>
                <w:b w:val="1"/>
                <w:bCs w:val="1"/>
                <w:color w:val="auto"/>
              </w:rPr>
              <w:t>Additional</w:t>
            </w:r>
          </w:p>
        </w:tc>
        <w:tc>
          <w:tcPr>
            <w:tcW w:w="100" w:type="dxa"/>
            <w:vAlign w:val="bottom"/>
          </w:tcPr>
          <w:p>
            <w:pPr>
              <w:spacing w:after="0"/>
              <w:rPr>
                <w:sz w:val="3"/>
                <w:szCs w:val="3"/>
                <w:color w:val="auto"/>
              </w:rPr>
            </w:pPr>
          </w:p>
        </w:tc>
        <w:tc>
          <w:tcPr>
            <w:tcW w:w="1100" w:type="dxa"/>
            <w:vAlign w:val="bottom"/>
            <w:gridSpan w:val="2"/>
            <w:vMerge w:val="restart"/>
          </w:tcPr>
          <w:p>
            <w:pPr>
              <w:jc w:val="center"/>
              <w:ind w:right="160"/>
              <w:spacing w:after="0" w:line="162" w:lineRule="exact"/>
              <w:rPr>
                <w:sz w:val="20"/>
                <w:szCs w:val="20"/>
                <w:color w:val="auto"/>
              </w:rPr>
            </w:pPr>
            <w:r>
              <w:rPr>
                <w:rFonts w:ascii="Times New Roman" w:cs="Times New Roman" w:eastAsia="Times New Roman" w:hAnsi="Times New Roman"/>
                <w:sz w:val="16"/>
                <w:szCs w:val="16"/>
                <w:b w:val="1"/>
                <w:bCs w:val="1"/>
                <w:color w:val="auto"/>
              </w:rPr>
              <w:t>Other</w:t>
            </w: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gridSpan w:val="2"/>
            <w:vMerge w:val="restart"/>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Non-</w:t>
            </w: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2"/>
        </w:trPr>
        <w:tc>
          <w:tcPr>
            <w:tcW w:w="2720" w:type="dxa"/>
            <w:vAlign w:val="bottom"/>
          </w:tcPr>
          <w:p>
            <w:pPr>
              <w:spacing w:after="0"/>
              <w:rPr>
                <w:sz w:val="8"/>
                <w:szCs w:val="8"/>
                <w:color w:val="auto"/>
              </w:rPr>
            </w:pPr>
          </w:p>
        </w:tc>
        <w:tc>
          <w:tcPr>
            <w:tcW w:w="10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100" w:type="dxa"/>
            <w:vAlign w:val="bottom"/>
          </w:tcPr>
          <w:p>
            <w:pPr>
              <w:spacing w:after="0"/>
              <w:rPr>
                <w:sz w:val="8"/>
                <w:szCs w:val="8"/>
                <w:color w:val="auto"/>
              </w:rPr>
            </w:pPr>
          </w:p>
        </w:tc>
        <w:tc>
          <w:tcPr>
            <w:tcW w:w="70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At Par</w:t>
            </w:r>
          </w:p>
        </w:tc>
        <w:tc>
          <w:tcPr>
            <w:tcW w:w="860" w:type="dxa"/>
            <w:vAlign w:val="bottom"/>
            <w:gridSpan w:val="3"/>
            <w:vMerge w:val="continue"/>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gridSpan w:val="2"/>
            <w:vMerge w:val="continue"/>
          </w:tcPr>
          <w:p>
            <w:pPr>
              <w:spacing w:after="0"/>
              <w:rPr>
                <w:sz w:val="8"/>
                <w:szCs w:val="8"/>
                <w:color w:val="auto"/>
              </w:rPr>
            </w:pPr>
          </w:p>
        </w:tc>
        <w:tc>
          <w:tcPr>
            <w:tcW w:w="104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0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62"/>
        </w:trPr>
        <w:tc>
          <w:tcPr>
            <w:tcW w:w="272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6"/>
                <w:szCs w:val="16"/>
                <w:b w:val="1"/>
                <w:bCs w:val="1"/>
                <w:color w:val="auto"/>
              </w:rPr>
              <w:t>Paid-in</w:t>
            </w:r>
          </w:p>
        </w:tc>
        <w:tc>
          <w:tcPr>
            <w:tcW w:w="1200" w:type="dxa"/>
            <w:vAlign w:val="bottom"/>
            <w:gridSpan w:val="3"/>
          </w:tcPr>
          <w:p>
            <w:pPr>
              <w:ind w:left="20"/>
              <w:spacing w:after="0" w:line="162"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1040" w:type="dxa"/>
            <w:vAlign w:val="bottom"/>
            <w:gridSpan w:val="3"/>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At Cost</w:t>
            </w:r>
          </w:p>
        </w:tc>
        <w:tc>
          <w:tcPr>
            <w:tcW w:w="920" w:type="dxa"/>
            <w:vAlign w:val="bottom"/>
            <w:gridSpan w:val="3"/>
          </w:tcPr>
          <w:p>
            <w:pPr>
              <w:ind w:left="20"/>
              <w:spacing w:after="0" w:line="162" w:lineRule="exact"/>
              <w:rPr>
                <w:sz w:val="20"/>
                <w:szCs w:val="20"/>
                <w:color w:val="auto"/>
              </w:rPr>
            </w:pPr>
            <w:r>
              <w:rPr>
                <w:rFonts w:ascii="Times New Roman" w:cs="Times New Roman" w:eastAsia="Times New Roman" w:hAnsi="Times New Roman"/>
                <w:sz w:val="16"/>
                <w:szCs w:val="16"/>
                <w:b w:val="1"/>
                <w:bCs w:val="1"/>
                <w:color w:val="auto"/>
              </w:rPr>
              <w:t>Controlling</w:t>
            </w:r>
          </w:p>
        </w:tc>
        <w:tc>
          <w:tcPr>
            <w:tcW w:w="12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2720" w:type="dxa"/>
            <w:vAlign w:val="bottom"/>
          </w:tcPr>
          <w:p>
            <w:pPr>
              <w:spacing w:after="0"/>
              <w:rPr>
                <w:sz w:val="18"/>
                <w:szCs w:val="18"/>
                <w:color w:val="auto"/>
              </w:rPr>
            </w:pP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00" w:type="dxa"/>
            <w:vAlign w:val="bottom"/>
          </w:tcPr>
          <w:p>
            <w:pPr>
              <w:spacing w:after="0"/>
              <w:rPr>
                <w:sz w:val="18"/>
                <w:szCs w:val="18"/>
                <w:color w:val="auto"/>
              </w:rPr>
            </w:pPr>
          </w:p>
        </w:tc>
        <w:tc>
          <w:tcPr>
            <w:tcW w:w="70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120" w:type="dxa"/>
            <w:vAlign w:val="bottom"/>
          </w:tcPr>
          <w:p>
            <w:pPr>
              <w:spacing w:after="0"/>
              <w:rPr>
                <w:sz w:val="18"/>
                <w:szCs w:val="18"/>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00" w:type="dxa"/>
            <w:vAlign w:val="bottom"/>
          </w:tcPr>
          <w:p>
            <w:pPr>
              <w:spacing w:after="0"/>
              <w:rPr>
                <w:sz w:val="18"/>
                <w:szCs w:val="18"/>
                <w:color w:val="auto"/>
              </w:rPr>
            </w:pPr>
          </w:p>
        </w:tc>
        <w:tc>
          <w:tcPr>
            <w:tcW w:w="110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6"/>
              </w:rPr>
              <w:t>Loss</w:t>
            </w:r>
          </w:p>
        </w:tc>
        <w:tc>
          <w:tcPr>
            <w:tcW w:w="140" w:type="dxa"/>
            <w:vAlign w:val="bottom"/>
          </w:tcPr>
          <w:p>
            <w:pPr>
              <w:spacing w:after="0"/>
              <w:rPr>
                <w:sz w:val="18"/>
                <w:szCs w:val="18"/>
                <w:color w:val="auto"/>
              </w:rPr>
            </w:pP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040" w:type="dxa"/>
            <w:vAlign w:val="bottom"/>
            <w:gridSpan w:val="2"/>
          </w:tcPr>
          <w:p>
            <w:pPr>
              <w:ind w:left="26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8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120" w:type="dxa"/>
            <w:vAlign w:val="bottom"/>
          </w:tcPr>
          <w:p>
            <w:pPr>
              <w:spacing w:after="0"/>
              <w:rPr>
                <w:sz w:val="18"/>
                <w:szCs w:val="18"/>
                <w:color w:val="auto"/>
              </w:rPr>
            </w:pPr>
          </w:p>
        </w:tc>
        <w:tc>
          <w:tcPr>
            <w:tcW w:w="64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0" w:type="dxa"/>
            <w:vAlign w:val="bottom"/>
          </w:tcPr>
          <w:p>
            <w:pPr>
              <w:spacing w:after="0"/>
              <w:rPr>
                <w:sz w:val="1"/>
                <w:szCs w:val="1"/>
                <w:color w:val="auto"/>
              </w:rPr>
            </w:pPr>
          </w:p>
        </w:tc>
      </w:tr>
      <w:tr>
        <w:trPr>
          <w:trHeight w:val="211"/>
        </w:trPr>
        <w:tc>
          <w:tcPr>
            <w:tcW w:w="2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April 4, 2025</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624,118,249</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5,411.4</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(56.5)</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7,634.8</w:t>
            </w:r>
          </w:p>
        </w:tc>
        <w:tc>
          <w:tcPr>
            <w:tcW w:w="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(206,251,615)</w:t>
            </w:r>
          </w:p>
        </w:tc>
        <w:tc>
          <w:tcPr>
            <w:tcW w:w="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(4,966.0)</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8,048.9</w:t>
            </w:r>
          </w:p>
        </w:tc>
        <w:tc>
          <w:tcPr>
            <w:tcW w:w="0" w:type="dxa"/>
            <w:vAlign w:val="bottom"/>
          </w:tcPr>
          <w:p>
            <w:pPr>
              <w:spacing w:after="0"/>
              <w:rPr>
                <w:sz w:val="1"/>
                <w:szCs w:val="1"/>
                <w:color w:val="auto"/>
              </w:rPr>
            </w:pPr>
          </w:p>
        </w:tc>
      </w:tr>
      <w:tr>
        <w:trPr>
          <w:trHeight w:val="213"/>
        </w:trPr>
        <w:tc>
          <w:tcPr>
            <w:tcW w:w="2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Shares issued pursuant to the ESPP</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155,504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0" w:type="dxa"/>
            <w:vAlign w:val="bottom"/>
          </w:tcPr>
          <w:p>
            <w:pPr>
              <w:spacing w:after="0"/>
              <w:rPr>
                <w:sz w:val="1"/>
                <w:szCs w:val="1"/>
                <w:color w:val="auto"/>
              </w:rPr>
            </w:pPr>
          </w:p>
        </w:tc>
      </w:tr>
      <w:tr>
        <w:trPr>
          <w:trHeight w:val="165"/>
        </w:trPr>
        <w:tc>
          <w:tcPr>
            <w:tcW w:w="272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RSUs released and stock grant awards</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162,395</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7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11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vMerge w:val="restart"/>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vMerge w:val="restart"/>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issued</w:t>
            </w:r>
          </w:p>
        </w:tc>
        <w:tc>
          <w:tcPr>
            <w:tcW w:w="9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Payment of tax withholding for RSUs</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(45,895)</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0" w:type="dxa"/>
            <w:vAlign w:val="bottom"/>
          </w:tcPr>
          <w:p>
            <w:pPr>
              <w:spacing w:after="0"/>
              <w:rPr>
                <w:sz w:val="1"/>
                <w:szCs w:val="1"/>
                <w:color w:val="auto"/>
              </w:rPr>
            </w:pPr>
          </w:p>
        </w:tc>
      </w:tr>
      <w:tr>
        <w:trPr>
          <w:trHeight w:val="219"/>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Share-based compensation</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w:t>
            </w:r>
          </w:p>
        </w:tc>
        <w:tc>
          <w:tcPr>
            <w:tcW w:w="0" w:type="dxa"/>
            <w:vAlign w:val="bottom"/>
          </w:tcPr>
          <w:p>
            <w:pPr>
              <w:spacing w:after="0"/>
              <w:rPr>
                <w:sz w:val="1"/>
                <w:szCs w:val="1"/>
                <w:color w:val="auto"/>
              </w:rPr>
            </w:pPr>
          </w:p>
        </w:tc>
      </w:tr>
      <w:tr>
        <w:trPr>
          <w:trHeight w:val="213"/>
        </w:trPr>
        <w:tc>
          <w:tcPr>
            <w:tcW w:w="2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(6,934,425)</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(303.0)</w:t>
            </w:r>
          </w:p>
        </w:tc>
        <w:tc>
          <w:tcPr>
            <w:tcW w:w="0" w:type="dxa"/>
            <w:vAlign w:val="bottom"/>
          </w:tcPr>
          <w:p>
            <w:pPr>
              <w:spacing w:after="0"/>
              <w:rPr>
                <w:sz w:val="1"/>
                <w:szCs w:val="1"/>
                <w:color w:val="auto"/>
              </w:rPr>
            </w:pPr>
          </w:p>
        </w:tc>
      </w:tr>
      <w:tr>
        <w:trPr>
          <w:trHeight w:val="216"/>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Comprehensive income</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170.3</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177.8</w:t>
            </w:r>
          </w:p>
        </w:tc>
        <w:tc>
          <w:tcPr>
            <w:tcW w:w="0" w:type="dxa"/>
            <w:vAlign w:val="bottom"/>
          </w:tcPr>
          <w:p>
            <w:pPr>
              <w:spacing w:after="0"/>
              <w:rPr>
                <w:sz w:val="1"/>
                <w:szCs w:val="1"/>
                <w:color w:val="auto"/>
              </w:rPr>
            </w:pPr>
          </w:p>
        </w:tc>
      </w:tr>
      <w:tr>
        <w:trPr>
          <w:trHeight w:val="212"/>
        </w:trPr>
        <w:tc>
          <w:tcPr>
            <w:tcW w:w="2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at July 4, 2025</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624,436,148</w:t>
            </w: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5,451.1</w:t>
            </w: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(50.4)</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7,805.1</w:t>
            </w:r>
          </w:p>
        </w:tc>
        <w:tc>
          <w:tcPr>
            <w:tcW w:w="8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(213,231,935)</w:t>
            </w:r>
          </w:p>
        </w:tc>
        <w:tc>
          <w:tcPr>
            <w:tcW w:w="8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(5,271.2)</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20.4</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7,961.2</w:t>
            </w:r>
          </w:p>
        </w:tc>
        <w:tc>
          <w:tcPr>
            <w:tcW w:w="0" w:type="dxa"/>
            <w:vAlign w:val="bottom"/>
          </w:tcPr>
          <w:p>
            <w:pPr>
              <w:spacing w:after="0"/>
              <w:rPr>
                <w:sz w:val="1"/>
                <w:szCs w:val="1"/>
                <w:color w:val="auto"/>
              </w:rPr>
            </w:pPr>
          </w:p>
        </w:tc>
      </w:tr>
      <w:tr>
        <w:trPr>
          <w:trHeight w:val="20"/>
        </w:trPr>
        <w:tc>
          <w:tcPr>
            <w:tcW w:w="27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7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at December 31, 2024</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622,655,553</w:t>
            </w: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80" w:type="dxa"/>
            <w:vAlign w:val="bottom"/>
          </w:tcPr>
          <w:p>
            <w:pPr>
              <w:spacing w:after="0"/>
              <w:rPr>
                <w:sz w:val="18"/>
                <w:szCs w:val="18"/>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5,372.2</w:t>
            </w:r>
          </w:p>
        </w:tc>
        <w:tc>
          <w:tcPr>
            <w:tcW w:w="80" w:type="dxa"/>
            <w:vAlign w:val="bottom"/>
          </w:tcPr>
          <w:p>
            <w:pPr>
              <w:spacing w:after="0"/>
              <w:rPr>
                <w:sz w:val="18"/>
                <w:szCs w:val="18"/>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(62.4)</w:t>
            </w:r>
          </w:p>
        </w:tc>
        <w:tc>
          <w:tcPr>
            <w:tcW w:w="80" w:type="dxa"/>
            <w:vAlign w:val="bottom"/>
          </w:tcPr>
          <w:p>
            <w:pPr>
              <w:spacing w:after="0"/>
              <w:rPr>
                <w:sz w:val="18"/>
                <w:szCs w:val="18"/>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8,120.9</w:t>
            </w: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(199,700,380)</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(4,640.5)</w:t>
            </w:r>
          </w:p>
        </w:tc>
        <w:tc>
          <w:tcPr>
            <w:tcW w:w="80" w:type="dxa"/>
            <w:vAlign w:val="bottom"/>
          </w:tcPr>
          <w:p>
            <w:pPr>
              <w:spacing w:after="0"/>
              <w:rPr>
                <w:sz w:val="18"/>
                <w:szCs w:val="18"/>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8,814.5</w:t>
            </w:r>
          </w:p>
        </w:tc>
        <w:tc>
          <w:tcPr>
            <w:tcW w:w="0" w:type="dxa"/>
            <w:vAlign w:val="bottom"/>
          </w:tcPr>
          <w:p>
            <w:pPr>
              <w:spacing w:after="0"/>
              <w:rPr>
                <w:sz w:val="1"/>
                <w:szCs w:val="1"/>
                <w:color w:val="auto"/>
              </w:rPr>
            </w:pPr>
          </w:p>
        </w:tc>
      </w:tr>
      <w:tr>
        <w:trPr>
          <w:trHeight w:val="219"/>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Shares issued pursuant to the ESPP</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308,882</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0" w:type="dxa"/>
            <w:vAlign w:val="bottom"/>
          </w:tcPr>
          <w:p>
            <w:pPr>
              <w:spacing w:after="0"/>
              <w:rPr>
                <w:sz w:val="1"/>
                <w:szCs w:val="1"/>
                <w:color w:val="auto"/>
              </w:rPr>
            </w:pPr>
          </w:p>
        </w:tc>
      </w:tr>
      <w:tr>
        <w:trPr>
          <w:trHeight w:val="162"/>
        </w:trPr>
        <w:tc>
          <w:tcPr>
            <w:tcW w:w="27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RSUs released and stock grant awards</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1,471,710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7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11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vMerge w:val="restart"/>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vMerge w:val="restart"/>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2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issued</w:t>
            </w:r>
          </w:p>
        </w:tc>
        <w:tc>
          <w:tcPr>
            <w:tcW w:w="9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Partial settlement - 0% Notes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2"/>
        </w:trPr>
        <w:tc>
          <w:tcPr>
            <w:tcW w:w="27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Partial settlement of Warrants - 0%</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7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11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vMerge w:val="restart"/>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vMerge w:val="restart"/>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2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Notes</w:t>
            </w:r>
          </w:p>
        </w:tc>
        <w:tc>
          <w:tcPr>
            <w:tcW w:w="9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Payment of tax withholding for RSUs</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(518,625)</w:t>
            </w: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w:t>
            </w:r>
          </w:p>
        </w:tc>
        <w:tc>
          <w:tcPr>
            <w:tcW w:w="0" w:type="dxa"/>
            <w:vAlign w:val="bottom"/>
          </w:tcPr>
          <w:p>
            <w:pPr>
              <w:spacing w:after="0"/>
              <w:rPr>
                <w:sz w:val="1"/>
                <w:szCs w:val="1"/>
                <w:color w:val="auto"/>
              </w:rPr>
            </w:pPr>
          </w:p>
        </w:tc>
      </w:tr>
      <w:tr>
        <w:trPr>
          <w:trHeight w:val="213"/>
        </w:trPr>
        <w:tc>
          <w:tcPr>
            <w:tcW w:w="2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Share-based compensation</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68.3</w:t>
            </w:r>
          </w:p>
        </w:tc>
        <w:tc>
          <w:tcPr>
            <w:tcW w:w="0" w:type="dxa"/>
            <w:vAlign w:val="bottom"/>
          </w:tcPr>
          <w:p>
            <w:pPr>
              <w:spacing w:after="0"/>
              <w:rPr>
                <w:sz w:val="1"/>
                <w:szCs w:val="1"/>
                <w:color w:val="auto"/>
              </w:rPr>
            </w:pPr>
          </w:p>
        </w:tc>
      </w:tr>
      <w:tr>
        <w:trPr>
          <w:trHeight w:val="219"/>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(13,012,930)</w:t>
            </w: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(605.6)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(605.6)</w:t>
            </w:r>
          </w:p>
        </w:tc>
        <w:tc>
          <w:tcPr>
            <w:tcW w:w="0" w:type="dxa"/>
            <w:vAlign w:val="bottom"/>
          </w:tcPr>
          <w:p>
            <w:pPr>
              <w:spacing w:after="0"/>
              <w:rPr>
                <w:sz w:val="1"/>
                <w:szCs w:val="1"/>
                <w:color w:val="auto"/>
              </w:rPr>
            </w:pPr>
          </w:p>
        </w:tc>
      </w:tr>
      <w:tr>
        <w:trPr>
          <w:trHeight w:val="213"/>
        </w:trPr>
        <w:tc>
          <w:tcPr>
            <w:tcW w:w="2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Comprehensive income (loss)</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(315.8)</w:t>
            </w:r>
          </w:p>
        </w:tc>
        <w:tc>
          <w:tcPr>
            <w:tcW w:w="80" w:type="dxa"/>
            <w:vAlign w:val="bottom"/>
          </w:tcPr>
          <w:p>
            <w:pPr>
              <w:spacing w:after="0"/>
              <w:rPr>
                <w:sz w:val="18"/>
                <w:szCs w:val="18"/>
                <w:color w:val="auto"/>
              </w:rPr>
            </w:pPr>
          </w:p>
        </w:tc>
        <w:tc>
          <w:tcPr>
            <w:tcW w:w="1040" w:type="dxa"/>
            <w:vAlign w:val="bottom"/>
            <w:gridSpan w:val="2"/>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(301.5)</w:t>
            </w:r>
          </w:p>
        </w:tc>
        <w:tc>
          <w:tcPr>
            <w:tcW w:w="0" w:type="dxa"/>
            <w:vAlign w:val="bottom"/>
          </w:tcPr>
          <w:p>
            <w:pPr>
              <w:spacing w:after="0"/>
              <w:rPr>
                <w:sz w:val="1"/>
                <w:szCs w:val="1"/>
                <w:color w:val="auto"/>
              </w:rPr>
            </w:pPr>
          </w:p>
        </w:tc>
      </w:tr>
      <w:tr>
        <w:trPr>
          <w:trHeight w:val="237"/>
        </w:trPr>
        <w:tc>
          <w:tcPr>
            <w:tcW w:w="2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July 4, 2025</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624,436,148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5,451.1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(50.4)</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7,805.1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(213,231,935)</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(5,271.2)</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7,961.2</w:t>
            </w:r>
          </w:p>
        </w:tc>
        <w:tc>
          <w:tcPr>
            <w:tcW w:w="0" w:type="dxa"/>
            <w:vAlign w:val="bottom"/>
          </w:tcPr>
          <w:p>
            <w:pPr>
              <w:spacing w:after="0"/>
              <w:rPr>
                <w:sz w:val="1"/>
                <w:szCs w:val="1"/>
                <w:color w:val="auto"/>
              </w:rPr>
            </w:pPr>
          </w:p>
        </w:tc>
      </w:tr>
      <w:tr>
        <w:trPr>
          <w:trHeight w:val="20"/>
        </w:trPr>
        <w:tc>
          <w:tcPr>
            <w:tcW w:w="27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720" w:type="dxa"/>
            <w:vAlign w:val="bottom"/>
          </w:tcPr>
          <w:p>
            <w:pPr>
              <w:spacing w:after="0"/>
              <w:rPr>
                <w:sz w:val="16"/>
                <w:szCs w:val="16"/>
                <w:color w:val="auto"/>
              </w:rPr>
            </w:pPr>
          </w:p>
        </w:tc>
        <w:tc>
          <w:tcPr>
            <w:tcW w:w="1820" w:type="dxa"/>
            <w:vAlign w:val="bottom"/>
            <w:gridSpan w:val="5"/>
          </w:tcPr>
          <w:p>
            <w:pPr>
              <w:ind w:left="34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20" w:type="dxa"/>
            <w:vAlign w:val="bottom"/>
            <w:gridSpan w:val="4"/>
          </w:tcPr>
          <w:p>
            <w:pPr>
              <w:ind w:left="400"/>
              <w:spacing w:after="0"/>
              <w:rPr>
                <w:sz w:val="20"/>
                <w:szCs w:val="20"/>
                <w:color w:val="auto"/>
              </w:rPr>
            </w:pPr>
            <w:r>
              <w:rPr>
                <w:rFonts w:ascii="Times New Roman" w:cs="Times New Roman" w:eastAsia="Times New Roman" w:hAnsi="Times New Roman"/>
                <w:sz w:val="16"/>
                <w:szCs w:val="16"/>
                <w:b w:val="1"/>
                <w:bCs w:val="1"/>
                <w:color w:val="auto"/>
              </w:rPr>
              <w:t>Treasury Stock</w:t>
            </w: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2720" w:type="dxa"/>
            <w:vAlign w:val="bottom"/>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860" w:type="dxa"/>
            <w:vAlign w:val="bottom"/>
            <w:gridSpan w:val="3"/>
            <w:vMerge w:val="restart"/>
          </w:tcPr>
          <w:p>
            <w:pPr>
              <w:ind w:left="20"/>
              <w:spacing w:after="0" w:line="162" w:lineRule="exact"/>
              <w:rPr>
                <w:sz w:val="20"/>
                <w:szCs w:val="20"/>
                <w:color w:val="auto"/>
              </w:rPr>
            </w:pPr>
            <w:r>
              <w:rPr>
                <w:rFonts w:ascii="Times New Roman" w:cs="Times New Roman" w:eastAsia="Times New Roman" w:hAnsi="Times New Roman"/>
                <w:sz w:val="16"/>
                <w:szCs w:val="16"/>
                <w:b w:val="1"/>
                <w:bCs w:val="1"/>
                <w:color w:val="auto"/>
              </w:rPr>
              <w:t>Additional</w:t>
            </w:r>
          </w:p>
        </w:tc>
        <w:tc>
          <w:tcPr>
            <w:tcW w:w="100" w:type="dxa"/>
            <w:vAlign w:val="bottom"/>
          </w:tcPr>
          <w:p>
            <w:pPr>
              <w:spacing w:after="0"/>
              <w:rPr>
                <w:sz w:val="4"/>
                <w:szCs w:val="4"/>
                <w:color w:val="auto"/>
              </w:rPr>
            </w:pPr>
          </w:p>
        </w:tc>
        <w:tc>
          <w:tcPr>
            <w:tcW w:w="1100" w:type="dxa"/>
            <w:vAlign w:val="bottom"/>
            <w:gridSpan w:val="2"/>
            <w:vMerge w:val="restart"/>
          </w:tcPr>
          <w:p>
            <w:pPr>
              <w:jc w:val="center"/>
              <w:ind w:right="160"/>
              <w:spacing w:after="0" w:line="162" w:lineRule="exact"/>
              <w:rPr>
                <w:sz w:val="20"/>
                <w:szCs w:val="20"/>
                <w:color w:val="auto"/>
              </w:rPr>
            </w:pPr>
            <w:r>
              <w:rPr>
                <w:rFonts w:ascii="Times New Roman" w:cs="Times New Roman" w:eastAsia="Times New Roman" w:hAnsi="Times New Roman"/>
                <w:sz w:val="16"/>
                <w:szCs w:val="16"/>
                <w:b w:val="1"/>
                <w:bCs w:val="1"/>
                <w:color w:val="auto"/>
              </w:rPr>
              <w:t>Other</w:t>
            </w:r>
          </w:p>
        </w:tc>
        <w:tc>
          <w:tcPr>
            <w:tcW w:w="14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gridSpan w:val="2"/>
            <w:vMerge w:val="restart"/>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Non-</w:t>
            </w: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8"/>
        </w:trPr>
        <w:tc>
          <w:tcPr>
            <w:tcW w:w="2720" w:type="dxa"/>
            <w:vAlign w:val="bottom"/>
          </w:tcPr>
          <w:p>
            <w:pPr>
              <w:spacing w:after="0"/>
              <w:rPr>
                <w:sz w:val="7"/>
                <w:szCs w:val="7"/>
                <w:color w:val="auto"/>
              </w:rPr>
            </w:pPr>
          </w:p>
        </w:tc>
        <w:tc>
          <w:tcPr>
            <w:tcW w:w="10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100" w:type="dxa"/>
            <w:vAlign w:val="bottom"/>
          </w:tcPr>
          <w:p>
            <w:pPr>
              <w:spacing w:after="0"/>
              <w:rPr>
                <w:sz w:val="7"/>
                <w:szCs w:val="7"/>
                <w:color w:val="auto"/>
              </w:rPr>
            </w:pPr>
          </w:p>
        </w:tc>
        <w:tc>
          <w:tcPr>
            <w:tcW w:w="70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At Par</w:t>
            </w:r>
          </w:p>
        </w:tc>
        <w:tc>
          <w:tcPr>
            <w:tcW w:w="86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1100" w:type="dxa"/>
            <w:vAlign w:val="bottom"/>
            <w:gridSpan w:val="2"/>
            <w:vMerge w:val="continue"/>
          </w:tcPr>
          <w:p>
            <w:pPr>
              <w:spacing w:after="0"/>
              <w:rPr>
                <w:sz w:val="7"/>
                <w:szCs w:val="7"/>
                <w:color w:val="auto"/>
              </w:rPr>
            </w:pPr>
          </w:p>
        </w:tc>
        <w:tc>
          <w:tcPr>
            <w:tcW w:w="104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0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62"/>
        </w:trPr>
        <w:tc>
          <w:tcPr>
            <w:tcW w:w="272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6"/>
                <w:szCs w:val="16"/>
                <w:b w:val="1"/>
                <w:bCs w:val="1"/>
                <w:color w:val="auto"/>
              </w:rPr>
              <w:t>Paid-in</w:t>
            </w:r>
          </w:p>
        </w:tc>
        <w:tc>
          <w:tcPr>
            <w:tcW w:w="1200" w:type="dxa"/>
            <w:vAlign w:val="bottom"/>
            <w:gridSpan w:val="3"/>
          </w:tcPr>
          <w:p>
            <w:pPr>
              <w:ind w:left="20"/>
              <w:spacing w:after="0" w:line="162"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1040" w:type="dxa"/>
            <w:vAlign w:val="bottom"/>
            <w:gridSpan w:val="3"/>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At Cost</w:t>
            </w:r>
          </w:p>
        </w:tc>
        <w:tc>
          <w:tcPr>
            <w:tcW w:w="920" w:type="dxa"/>
            <w:vAlign w:val="bottom"/>
            <w:gridSpan w:val="3"/>
          </w:tcPr>
          <w:p>
            <w:pPr>
              <w:ind w:left="20"/>
              <w:spacing w:after="0" w:line="162" w:lineRule="exact"/>
              <w:rPr>
                <w:sz w:val="20"/>
                <w:szCs w:val="20"/>
                <w:color w:val="auto"/>
              </w:rPr>
            </w:pPr>
            <w:r>
              <w:rPr>
                <w:rFonts w:ascii="Times New Roman" w:cs="Times New Roman" w:eastAsia="Times New Roman" w:hAnsi="Times New Roman"/>
                <w:sz w:val="16"/>
                <w:szCs w:val="16"/>
                <w:b w:val="1"/>
                <w:bCs w:val="1"/>
                <w:color w:val="auto"/>
              </w:rPr>
              <w:t>Controlling</w:t>
            </w:r>
          </w:p>
        </w:tc>
        <w:tc>
          <w:tcPr>
            <w:tcW w:w="12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2720" w:type="dxa"/>
            <w:vAlign w:val="bottom"/>
          </w:tcPr>
          <w:p>
            <w:pPr>
              <w:spacing w:after="0"/>
              <w:rPr>
                <w:sz w:val="18"/>
                <w:szCs w:val="18"/>
                <w:color w:val="auto"/>
              </w:rPr>
            </w:pP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00" w:type="dxa"/>
            <w:vAlign w:val="bottom"/>
          </w:tcPr>
          <w:p>
            <w:pPr>
              <w:spacing w:after="0"/>
              <w:rPr>
                <w:sz w:val="18"/>
                <w:szCs w:val="18"/>
                <w:color w:val="auto"/>
              </w:rPr>
            </w:pPr>
          </w:p>
        </w:tc>
        <w:tc>
          <w:tcPr>
            <w:tcW w:w="70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120" w:type="dxa"/>
            <w:vAlign w:val="bottom"/>
          </w:tcPr>
          <w:p>
            <w:pPr>
              <w:spacing w:after="0"/>
              <w:rPr>
                <w:sz w:val="18"/>
                <w:szCs w:val="18"/>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00" w:type="dxa"/>
            <w:vAlign w:val="bottom"/>
          </w:tcPr>
          <w:p>
            <w:pPr>
              <w:spacing w:after="0"/>
              <w:rPr>
                <w:sz w:val="18"/>
                <w:szCs w:val="18"/>
                <w:color w:val="auto"/>
              </w:rPr>
            </w:pPr>
          </w:p>
        </w:tc>
        <w:tc>
          <w:tcPr>
            <w:tcW w:w="110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6"/>
              </w:rPr>
              <w:t>Loss</w:t>
            </w:r>
          </w:p>
        </w:tc>
        <w:tc>
          <w:tcPr>
            <w:tcW w:w="140" w:type="dxa"/>
            <w:vAlign w:val="bottom"/>
          </w:tcPr>
          <w:p>
            <w:pPr>
              <w:spacing w:after="0"/>
              <w:rPr>
                <w:sz w:val="18"/>
                <w:szCs w:val="18"/>
                <w:color w:val="auto"/>
              </w:rPr>
            </w:pP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040" w:type="dxa"/>
            <w:vAlign w:val="bottom"/>
            <w:gridSpan w:val="2"/>
          </w:tcPr>
          <w:p>
            <w:pPr>
              <w:ind w:left="26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8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120" w:type="dxa"/>
            <w:vAlign w:val="bottom"/>
          </w:tcPr>
          <w:p>
            <w:pPr>
              <w:spacing w:after="0"/>
              <w:rPr>
                <w:sz w:val="18"/>
                <w:szCs w:val="18"/>
                <w:color w:val="auto"/>
              </w:rPr>
            </w:pPr>
          </w:p>
        </w:tc>
        <w:tc>
          <w:tcPr>
            <w:tcW w:w="64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0" w:type="dxa"/>
            <w:vAlign w:val="bottom"/>
          </w:tcPr>
          <w:p>
            <w:pPr>
              <w:spacing w:after="0"/>
              <w:rPr>
                <w:sz w:val="1"/>
                <w:szCs w:val="1"/>
                <w:color w:val="auto"/>
              </w:rPr>
            </w:pPr>
          </w:p>
        </w:tc>
      </w:tr>
      <w:tr>
        <w:trPr>
          <w:trHeight w:val="211"/>
        </w:trPr>
        <w:tc>
          <w:tcPr>
            <w:tcW w:w="2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March 29, 2024</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621,590,872</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5,243.9</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(52.2)</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7,001.1</w:t>
            </w:r>
          </w:p>
        </w:tc>
        <w:tc>
          <w:tcPr>
            <w:tcW w:w="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(191,656,539)</w:t>
            </w:r>
          </w:p>
        </w:tc>
        <w:tc>
          <w:tcPr>
            <w:tcW w:w="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(4,075.1)</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8,142.6</w:t>
            </w:r>
          </w:p>
        </w:tc>
        <w:tc>
          <w:tcPr>
            <w:tcW w:w="0" w:type="dxa"/>
            <w:vAlign w:val="bottom"/>
          </w:tcPr>
          <w:p>
            <w:pPr>
              <w:spacing w:after="0"/>
              <w:rPr>
                <w:sz w:val="1"/>
                <w:szCs w:val="1"/>
                <w:color w:val="auto"/>
              </w:rPr>
            </w:pPr>
          </w:p>
        </w:tc>
      </w:tr>
      <w:tr>
        <w:trPr>
          <w:trHeight w:val="213"/>
        </w:trPr>
        <w:tc>
          <w:tcPr>
            <w:tcW w:w="2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Shares issued pursuant to the ESPP</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115,991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0" w:type="dxa"/>
            <w:vAlign w:val="bottom"/>
          </w:tcPr>
          <w:p>
            <w:pPr>
              <w:spacing w:after="0"/>
              <w:rPr>
                <w:sz w:val="1"/>
                <w:szCs w:val="1"/>
                <w:color w:val="auto"/>
              </w:rPr>
            </w:pPr>
          </w:p>
        </w:tc>
      </w:tr>
      <w:tr>
        <w:trPr>
          <w:trHeight w:val="165"/>
        </w:trPr>
        <w:tc>
          <w:tcPr>
            <w:tcW w:w="272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RSUs released and stock grant awards</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361,389</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7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1100" w:type="dxa"/>
            <w:vAlign w:val="bottom"/>
            <w:gridSpan w:val="2"/>
            <w:vMerge w:val="restart"/>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vMerge w:val="restart"/>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vMerge w:val="restart"/>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issued</w:t>
            </w:r>
          </w:p>
        </w:tc>
        <w:tc>
          <w:tcPr>
            <w:tcW w:w="9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Partial settlement - 0% Notes</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100" w:type="dxa"/>
            <w:vAlign w:val="bottom"/>
            <w:gridSpan w:val="2"/>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5"/>
        </w:trPr>
        <w:tc>
          <w:tcPr>
            <w:tcW w:w="272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Partial settlement of bond hedges - 0%</w:t>
            </w:r>
          </w:p>
        </w:tc>
        <w:tc>
          <w:tcPr>
            <w:tcW w:w="10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7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1100" w:type="dxa"/>
            <w:vAlign w:val="bottom"/>
            <w:gridSpan w:val="2"/>
            <w:vMerge w:val="restart"/>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8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Notes</w:t>
            </w:r>
          </w:p>
        </w:tc>
        <w:tc>
          <w:tcPr>
            <w:tcW w:w="102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Partial settlement of warrants - 0% Notes</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100" w:type="dxa"/>
            <w:vAlign w:val="bottom"/>
            <w:gridSpan w:val="2"/>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Payment of tax withholding for RSUs</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(106,969)</w:t>
            </w: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0" w:type="dxa"/>
            <w:vAlign w:val="bottom"/>
          </w:tcPr>
          <w:p>
            <w:pPr>
              <w:spacing w:after="0"/>
              <w:rPr>
                <w:sz w:val="1"/>
                <w:szCs w:val="1"/>
                <w:color w:val="auto"/>
              </w:rPr>
            </w:pPr>
          </w:p>
        </w:tc>
      </w:tr>
      <w:tr>
        <w:trPr>
          <w:trHeight w:val="213"/>
        </w:trPr>
        <w:tc>
          <w:tcPr>
            <w:tcW w:w="2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Share-based compensation</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w:t>
            </w:r>
          </w:p>
        </w:tc>
        <w:tc>
          <w:tcPr>
            <w:tcW w:w="0" w:type="dxa"/>
            <w:vAlign w:val="bottom"/>
          </w:tcPr>
          <w:p>
            <w:pPr>
              <w:spacing w:after="0"/>
              <w:rPr>
                <w:sz w:val="1"/>
                <w:szCs w:val="1"/>
                <w:color w:val="auto"/>
              </w:rPr>
            </w:pPr>
          </w:p>
        </w:tc>
      </w:tr>
      <w:tr>
        <w:trPr>
          <w:trHeight w:val="219"/>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(2,086,874)</w:t>
            </w: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w:t>
            </w:r>
          </w:p>
        </w:tc>
        <w:tc>
          <w:tcPr>
            <w:tcW w:w="0" w:type="dxa"/>
            <w:vAlign w:val="bottom"/>
          </w:tcPr>
          <w:p>
            <w:pPr>
              <w:spacing w:after="0"/>
              <w:rPr>
                <w:sz w:val="1"/>
                <w:szCs w:val="1"/>
                <w:color w:val="auto"/>
              </w:rPr>
            </w:pPr>
          </w:p>
        </w:tc>
      </w:tr>
      <w:tr>
        <w:trPr>
          <w:trHeight w:val="213"/>
        </w:trPr>
        <w:tc>
          <w:tcPr>
            <w:tcW w:w="2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Comprehensive income (loss)</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338.2</w:t>
            </w:r>
          </w:p>
        </w:tc>
        <w:tc>
          <w:tcPr>
            <w:tcW w:w="80" w:type="dxa"/>
            <w:vAlign w:val="bottom"/>
          </w:tcPr>
          <w:p>
            <w:pPr>
              <w:spacing w:after="0"/>
              <w:rPr>
                <w:sz w:val="18"/>
                <w:szCs w:val="18"/>
                <w:color w:val="auto"/>
              </w:rPr>
            </w:pPr>
          </w:p>
        </w:tc>
        <w:tc>
          <w:tcPr>
            <w:tcW w:w="1040" w:type="dxa"/>
            <w:vAlign w:val="bottom"/>
            <w:gridSpan w:val="2"/>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333.8</w:t>
            </w:r>
          </w:p>
        </w:tc>
        <w:tc>
          <w:tcPr>
            <w:tcW w:w="0" w:type="dxa"/>
            <w:vAlign w:val="bottom"/>
          </w:tcPr>
          <w:p>
            <w:pPr>
              <w:spacing w:after="0"/>
              <w:rPr>
                <w:sz w:val="1"/>
                <w:szCs w:val="1"/>
                <w:color w:val="auto"/>
              </w:rPr>
            </w:pPr>
          </w:p>
        </w:tc>
      </w:tr>
      <w:tr>
        <w:trPr>
          <w:trHeight w:val="237"/>
        </w:trPr>
        <w:tc>
          <w:tcPr>
            <w:tcW w:w="2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June 28, 2024</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622,068,261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5,283.3</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7,339.3</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(193,850,387)</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(4,232.5)</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8,358.4</w:t>
            </w:r>
          </w:p>
        </w:tc>
        <w:tc>
          <w:tcPr>
            <w:tcW w:w="0" w:type="dxa"/>
            <w:vAlign w:val="bottom"/>
          </w:tcPr>
          <w:p>
            <w:pPr>
              <w:spacing w:after="0"/>
              <w:rPr>
                <w:sz w:val="1"/>
                <w:szCs w:val="1"/>
                <w:color w:val="auto"/>
              </w:rPr>
            </w:pPr>
          </w:p>
        </w:tc>
      </w:tr>
      <w:tr>
        <w:trPr>
          <w:trHeight w:val="20"/>
        </w:trPr>
        <w:tc>
          <w:tcPr>
            <w:tcW w:w="27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7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December 31, 2023</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616,281,996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5,210.9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6,548.1</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(189,895,570)</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(3,937.4)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7,800.6</w:t>
            </w:r>
          </w:p>
        </w:tc>
        <w:tc>
          <w:tcPr>
            <w:tcW w:w="0" w:type="dxa"/>
            <w:vAlign w:val="bottom"/>
          </w:tcPr>
          <w:p>
            <w:pPr>
              <w:spacing w:after="0"/>
              <w:rPr>
                <w:sz w:val="1"/>
                <w:szCs w:val="1"/>
                <w:color w:val="auto"/>
              </w:rPr>
            </w:pPr>
          </w:p>
        </w:tc>
      </w:tr>
      <w:tr>
        <w:trPr>
          <w:trHeight w:val="213"/>
        </w:trPr>
        <w:tc>
          <w:tcPr>
            <w:tcW w:w="2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Shares issued pursuant to the ESPP</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115,991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0" w:type="dxa"/>
            <w:vAlign w:val="bottom"/>
          </w:tcPr>
          <w:p>
            <w:pPr>
              <w:spacing w:after="0"/>
              <w:rPr>
                <w:sz w:val="1"/>
                <w:szCs w:val="1"/>
                <w:color w:val="auto"/>
              </w:rPr>
            </w:pPr>
          </w:p>
        </w:tc>
      </w:tr>
      <w:tr>
        <w:trPr>
          <w:trHeight w:val="165"/>
        </w:trPr>
        <w:tc>
          <w:tcPr>
            <w:tcW w:w="272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RSUs released and stock grant awards</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1,642,003</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7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1100" w:type="dxa"/>
            <w:vAlign w:val="bottom"/>
            <w:gridSpan w:val="2"/>
            <w:vMerge w:val="restart"/>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vMerge w:val="restart"/>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vMerge w:val="restart"/>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issued</w:t>
            </w:r>
          </w:p>
        </w:tc>
        <w:tc>
          <w:tcPr>
            <w:tcW w:w="9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Partial settlement - 0% Notes</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100" w:type="dxa"/>
            <w:vAlign w:val="bottom"/>
            <w:gridSpan w:val="2"/>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5"/>
        </w:trPr>
        <w:tc>
          <w:tcPr>
            <w:tcW w:w="272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Partial settlement of bond hedges - 0%</w:t>
            </w:r>
          </w:p>
        </w:tc>
        <w:tc>
          <w:tcPr>
            <w:tcW w:w="10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7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1100" w:type="dxa"/>
            <w:vAlign w:val="bottom"/>
            <w:gridSpan w:val="2"/>
            <w:vMerge w:val="restart"/>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8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Notes</w:t>
            </w:r>
          </w:p>
        </w:tc>
        <w:tc>
          <w:tcPr>
            <w:tcW w:w="102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Partial settlement of warrants - 0% Notes</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100" w:type="dxa"/>
            <w:vAlign w:val="bottom"/>
            <w:gridSpan w:val="2"/>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Partial settlement - 1.625% Notes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4,028,216</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2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Payment of tax withholding for RSUs</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100" w:type="dxa"/>
            <w:vAlign w:val="bottom"/>
            <w:gridSpan w:val="2"/>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(595,230)</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(45.1)</w:t>
            </w:r>
          </w:p>
        </w:tc>
        <w:tc>
          <w:tcPr>
            <w:tcW w:w="0" w:type="dxa"/>
            <w:vAlign w:val="bottom"/>
          </w:tcPr>
          <w:p>
            <w:pPr>
              <w:spacing w:after="0"/>
              <w:rPr>
                <w:sz w:val="1"/>
                <w:szCs w:val="1"/>
                <w:color w:val="auto"/>
              </w:rPr>
            </w:pPr>
          </w:p>
        </w:tc>
      </w:tr>
      <w:tr>
        <w:trPr>
          <w:trHeight w:val="219"/>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Share-based compensation</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65.3</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65.3</w:t>
            </w:r>
          </w:p>
        </w:tc>
        <w:tc>
          <w:tcPr>
            <w:tcW w:w="0" w:type="dxa"/>
            <w:vAlign w:val="bottom"/>
          </w:tcPr>
          <w:p>
            <w:pPr>
              <w:spacing w:after="0"/>
              <w:rPr>
                <w:sz w:val="1"/>
                <w:szCs w:val="1"/>
                <w:color w:val="auto"/>
              </w:rPr>
            </w:pPr>
          </w:p>
        </w:tc>
      </w:tr>
      <w:tr>
        <w:trPr>
          <w:trHeight w:val="213"/>
        </w:trPr>
        <w:tc>
          <w:tcPr>
            <w:tcW w:w="2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100" w:type="dxa"/>
            <w:vAlign w:val="bottom"/>
            <w:gridSpan w:val="2"/>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(3,359,547)</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(250.0)</w:t>
            </w:r>
          </w:p>
        </w:tc>
        <w:tc>
          <w:tcPr>
            <w:tcW w:w="0" w:type="dxa"/>
            <w:vAlign w:val="bottom"/>
          </w:tcPr>
          <w:p>
            <w:pPr>
              <w:spacing w:after="0"/>
              <w:rPr>
                <w:sz w:val="1"/>
                <w:szCs w:val="1"/>
                <w:color w:val="auto"/>
              </w:rPr>
            </w:pPr>
          </w:p>
        </w:tc>
      </w:tr>
      <w:tr>
        <w:trPr>
          <w:trHeight w:val="216"/>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Comprehensive income (loss)</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791.2</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780.5</w:t>
            </w:r>
          </w:p>
        </w:tc>
        <w:tc>
          <w:tcPr>
            <w:tcW w:w="0" w:type="dxa"/>
            <w:vAlign w:val="bottom"/>
          </w:tcPr>
          <w:p>
            <w:pPr>
              <w:spacing w:after="0"/>
              <w:rPr>
                <w:sz w:val="1"/>
                <w:szCs w:val="1"/>
                <w:color w:val="auto"/>
              </w:rPr>
            </w:pPr>
          </w:p>
        </w:tc>
      </w:tr>
      <w:tr>
        <w:trPr>
          <w:trHeight w:val="212"/>
        </w:trPr>
        <w:tc>
          <w:tcPr>
            <w:tcW w:w="2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at June 28, 2024</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622,068,261</w:t>
            </w: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5,283.3</w:t>
            </w: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(56.8)</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7,339.3</w:t>
            </w:r>
          </w:p>
        </w:tc>
        <w:tc>
          <w:tcPr>
            <w:tcW w:w="8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(193,850,387)</w:t>
            </w:r>
          </w:p>
        </w:tc>
        <w:tc>
          <w:tcPr>
            <w:tcW w:w="8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(4,232.5)</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18.9</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8,358.4</w:t>
            </w:r>
          </w:p>
        </w:tc>
        <w:tc>
          <w:tcPr>
            <w:tcW w:w="0" w:type="dxa"/>
            <w:vAlign w:val="bottom"/>
          </w:tcPr>
          <w:p>
            <w:pPr>
              <w:spacing w:after="0"/>
              <w:rPr>
                <w:sz w:val="1"/>
                <w:szCs w:val="1"/>
                <w:color w:val="auto"/>
              </w:rPr>
            </w:pPr>
          </w:p>
        </w:tc>
      </w:tr>
      <w:tr>
        <w:trPr>
          <w:trHeight w:val="21"/>
        </w:trPr>
        <w:tc>
          <w:tcPr>
            <w:tcW w:w="27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accompanying notes to consolidated financial statements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ON SEMICONDUCTOR CORPORATION</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CONSOLIDATED STATEMENTS OF CASH FLOWS</w:t>
      </w:r>
    </w:p>
    <w:p>
      <w:pPr>
        <w:spacing w:after="0" w:line="8"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6"/>
          <w:szCs w:val="16"/>
          <w:b w:val="1"/>
          <w:bCs w:val="1"/>
          <w:color w:val="auto"/>
        </w:rPr>
        <w:t>(in millions)</w:t>
      </w:r>
    </w:p>
    <w:p>
      <w:pPr>
        <w:spacing w:after="0" w:line="15"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73"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8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60" w:type="dxa"/>
            <w:vAlign w:val="bottom"/>
            <w:gridSpan w:val="4"/>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3"/>
        </w:trPr>
        <w:tc>
          <w:tcPr>
            <w:tcW w:w="82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29"/>
        </w:trPr>
        <w:tc>
          <w:tcPr>
            <w:tcW w:w="8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200"/>
              <w:spacing w:after="0" w:line="129" w:lineRule="exact"/>
              <w:rPr>
                <w:sz w:val="20"/>
                <w:szCs w:val="20"/>
                <w:color w:val="auto"/>
              </w:rPr>
            </w:pPr>
            <w:r>
              <w:rPr>
                <w:rFonts w:ascii="Times New Roman" w:cs="Times New Roman" w:eastAsia="Times New Roman" w:hAnsi="Times New Roman"/>
                <w:sz w:val="14"/>
                <w:szCs w:val="14"/>
                <w:b w:val="1"/>
                <w:bCs w:val="1"/>
                <w:color w:val="auto"/>
              </w:rPr>
              <w:t>July 4,</w:t>
            </w:r>
          </w:p>
        </w:tc>
        <w:tc>
          <w:tcPr>
            <w:tcW w:w="280" w:type="dxa"/>
            <w:vAlign w:val="bottom"/>
          </w:tcPr>
          <w:p>
            <w:pPr>
              <w:spacing w:after="0"/>
              <w:rPr>
                <w:sz w:val="11"/>
                <w:szCs w:val="11"/>
                <w:color w:val="auto"/>
              </w:rPr>
            </w:pPr>
          </w:p>
        </w:tc>
        <w:tc>
          <w:tcPr>
            <w:tcW w:w="1140" w:type="dxa"/>
            <w:vAlign w:val="bottom"/>
          </w:tcPr>
          <w:p>
            <w:pPr>
              <w:jc w:val="right"/>
              <w:ind w:right="380"/>
              <w:spacing w:after="0" w:line="129" w:lineRule="exact"/>
              <w:rPr>
                <w:sz w:val="20"/>
                <w:szCs w:val="20"/>
                <w:color w:val="auto"/>
              </w:rPr>
            </w:pPr>
            <w:r>
              <w:rPr>
                <w:rFonts w:ascii="Times New Roman" w:cs="Times New Roman" w:eastAsia="Times New Roman" w:hAnsi="Times New Roman"/>
                <w:sz w:val="14"/>
                <w:szCs w:val="14"/>
                <w:b w:val="1"/>
                <w:bCs w:val="1"/>
                <w:color w:val="auto"/>
              </w:rPr>
              <w:t>June 28,</w:t>
            </w:r>
          </w:p>
        </w:tc>
      </w:tr>
      <w:tr>
        <w:trPr>
          <w:trHeight w:val="196"/>
        </w:trPr>
        <w:tc>
          <w:tcPr>
            <w:tcW w:w="82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02"/>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13"/>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(313.5)</w:t>
            </w: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792.1</w:t>
            </w:r>
          </w:p>
        </w:tc>
      </w:tr>
      <w:tr>
        <w:trPr>
          <w:trHeight w:val="21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income (loss) to net cash provided by operating activities: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13"/>
        </w:trPr>
        <w:tc>
          <w:tcPr>
            <w:tcW w:w="82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324.6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314.5</w:t>
            </w:r>
          </w:p>
        </w:tc>
      </w:tr>
      <w:tr>
        <w:trPr>
          <w:trHeight w:val="219"/>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(Gain) loss on sale or disposal of fixed assets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213"/>
        </w:trPr>
        <w:tc>
          <w:tcPr>
            <w:tcW w:w="82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Amortization of debt discount and issuance costs</w:t>
            </w: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w:t>
            </w:r>
          </w:p>
        </w:tc>
      </w:tr>
      <w:tr>
        <w:trPr>
          <w:trHeight w:val="219"/>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Share-based compensation</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65.3</w:t>
            </w:r>
          </w:p>
        </w:tc>
      </w:tr>
      <w:tr>
        <w:trPr>
          <w:trHeight w:val="213"/>
        </w:trPr>
        <w:tc>
          <w:tcPr>
            <w:tcW w:w="82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Non-cash asset impairment charges</w:t>
            </w: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472.1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w:t>
            </w:r>
          </w:p>
        </w:tc>
      </w:tr>
      <w:tr>
        <w:trPr>
          <w:trHeight w:val="219"/>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Change in deferred tax balances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(76.5)</w:t>
            </w:r>
          </w:p>
        </w:tc>
      </w:tr>
      <w:tr>
        <w:trPr>
          <w:trHeight w:val="213"/>
        </w:trPr>
        <w:tc>
          <w:tcPr>
            <w:tcW w:w="82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Other</w:t>
            </w: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w:t>
            </w:r>
          </w:p>
        </w:tc>
      </w:tr>
      <w:tr>
        <w:trPr>
          <w:trHeight w:val="21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Changes in assets and liabilities (exclusive of acquisitions):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13"/>
        </w:trPr>
        <w:tc>
          <w:tcPr>
            <w:tcW w:w="82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Receivables</w:t>
            </w: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35.9</w:t>
            </w:r>
          </w:p>
        </w:tc>
      </w:tr>
      <w:tr>
        <w:trPr>
          <w:trHeight w:val="219"/>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Inventories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(113.4)</w:t>
            </w:r>
          </w:p>
        </w:tc>
      </w:tr>
      <w:tr>
        <w:trPr>
          <w:trHeight w:val="213"/>
        </w:trPr>
        <w:tc>
          <w:tcPr>
            <w:tcW w:w="82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Other assets</w:t>
            </w: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(99.2)</w:t>
            </w:r>
          </w:p>
        </w:tc>
      </w:tr>
      <w:tr>
        <w:trPr>
          <w:trHeight w:val="219"/>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Accounts payable</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w:t>
            </w:r>
          </w:p>
        </w:tc>
      </w:tr>
      <w:tr>
        <w:trPr>
          <w:trHeight w:val="213"/>
        </w:trPr>
        <w:tc>
          <w:tcPr>
            <w:tcW w:w="82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r>
      <w:tr>
        <w:trPr>
          <w:trHeight w:val="219"/>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(43.9)</w:t>
            </w:r>
          </w:p>
        </w:tc>
      </w:tr>
      <w:tr>
        <w:trPr>
          <w:trHeight w:val="207"/>
        </w:trPr>
        <w:tc>
          <w:tcPr>
            <w:tcW w:w="8240" w:type="dxa"/>
            <w:vAlign w:val="bottom"/>
            <w:tcBorders>
              <w:bottom w:val="single" w:sz="8" w:color="CCEEFF"/>
            </w:tcBorders>
          </w:tcPr>
          <w:p>
            <w:pPr>
              <w:ind w:left="58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786.6</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860.9</w:t>
            </w:r>
          </w:p>
        </w:tc>
      </w:tr>
      <w:tr>
        <w:trPr>
          <w:trHeight w:val="19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13"/>
        </w:trPr>
        <w:tc>
          <w:tcPr>
            <w:tcW w:w="82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Payments for acquisition of property, plant and equipment</w:t>
            </w: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(375.0)</w:t>
            </w:r>
          </w:p>
        </w:tc>
      </w:tr>
      <w:tr>
        <w:trPr>
          <w:trHeight w:val="219"/>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Proceeds from sale of property, plant and equipment</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r>
      <w:tr>
        <w:trPr>
          <w:trHeight w:val="213"/>
        </w:trPr>
        <w:tc>
          <w:tcPr>
            <w:tcW w:w="82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Purchase of short-term investments</w:t>
            </w: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(550.0)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(450.0)</w:t>
            </w:r>
          </w:p>
        </w:tc>
      </w:tr>
      <w:tr>
        <w:trPr>
          <w:trHeight w:val="219"/>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Proceeds from the maturity of short-term investments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82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Purchase of a business, net of cash acquired</w:t>
            </w: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Other</w:t>
            </w:r>
          </w:p>
        </w:tc>
        <w:tc>
          <w:tcPr>
            <w:tcW w:w="3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r>
      <w:tr>
        <w:trPr>
          <w:trHeight w:val="207"/>
        </w:trPr>
        <w:tc>
          <w:tcPr>
            <w:tcW w:w="8240" w:type="dxa"/>
            <w:vAlign w:val="bottom"/>
            <w:tcBorders>
              <w:bottom w:val="single" w:sz="8" w:color="CCEEFF"/>
            </w:tcBorders>
          </w:tcPr>
          <w:p>
            <w:pPr>
              <w:ind w:left="58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30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(336.6)</w:t>
            </w:r>
          </w:p>
        </w:tc>
        <w:tc>
          <w:tcPr>
            <w:tcW w:w="12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(826.2)</w:t>
            </w:r>
          </w:p>
        </w:tc>
      </w:tr>
      <w:tr>
        <w:trPr>
          <w:trHeight w:val="19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13"/>
        </w:trPr>
        <w:tc>
          <w:tcPr>
            <w:tcW w:w="82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Proceeds for the issuance of common stock under the ESPP</w:t>
            </w: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w:t>
            </w:r>
          </w:p>
        </w:tc>
      </w:tr>
      <w:tr>
        <w:trPr>
          <w:trHeight w:val="219"/>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Payment of tax withholding for RSUs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(45.2)</w:t>
            </w:r>
          </w:p>
        </w:tc>
      </w:tr>
      <w:tr>
        <w:trPr>
          <w:trHeight w:val="213"/>
        </w:trPr>
        <w:tc>
          <w:tcPr>
            <w:tcW w:w="82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(602.4)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(250.0)</w:t>
            </w:r>
          </w:p>
        </w:tc>
      </w:tr>
      <w:tr>
        <w:trPr>
          <w:trHeight w:val="219"/>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Payment of financing lease obligations</w:t>
            </w: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r>
      <w:tr>
        <w:trPr>
          <w:trHeight w:val="207"/>
        </w:trPr>
        <w:tc>
          <w:tcPr>
            <w:tcW w:w="8240" w:type="dxa"/>
            <w:vAlign w:val="bottom"/>
            <w:tcBorders>
              <w:bottom w:val="single" w:sz="8" w:color="CCEEFF"/>
            </w:tcBorders>
          </w:tcPr>
          <w:p>
            <w:pPr>
              <w:ind w:left="58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(617.7)</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(283.5)</w:t>
            </w:r>
          </w:p>
        </w:tc>
      </w:tr>
      <w:tr>
        <w:trPr>
          <w:trHeight w:val="212"/>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 cash equivalents and restricted cash</w:t>
            </w:r>
          </w:p>
        </w:tc>
        <w:tc>
          <w:tcPr>
            <w:tcW w:w="3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r>
      <w:tr>
        <w:trPr>
          <w:trHeight w:val="207"/>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decrease in cash, cash equivalents and restricted cash</w:t>
            </w:r>
          </w:p>
        </w:tc>
        <w:tc>
          <w:tcPr>
            <w:tcW w:w="3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(163.8)</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(251.9)</w:t>
            </w:r>
          </w:p>
        </w:tc>
      </w:tr>
      <w:tr>
        <w:trPr>
          <w:trHeight w:val="216"/>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beginning of period (Note 6)</w:t>
            </w:r>
          </w:p>
        </w:tc>
        <w:tc>
          <w:tcPr>
            <w:tcW w:w="3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2,693.4</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2,485.0</w:t>
            </w:r>
          </w:p>
        </w:tc>
      </w:tr>
      <w:tr>
        <w:trPr>
          <w:trHeight w:val="212"/>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end of period (Note 6)</w:t>
            </w: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2,529.6</w:t>
            </w:r>
          </w:p>
        </w:tc>
        <w:tc>
          <w:tcPr>
            <w:tcW w:w="12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2,233.1</w:t>
            </w:r>
          </w:p>
        </w:tc>
      </w:tr>
      <w:tr>
        <w:trPr>
          <w:trHeight w:val="21"/>
        </w:trPr>
        <w:tc>
          <w:tcPr>
            <w:tcW w:w="8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See accompanying notes to consolidated financial statements</w:t>
      </w: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26"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line="255" w:lineRule="auto"/>
        <w:rPr>
          <w:sz w:val="20"/>
          <w:szCs w:val="20"/>
          <w:color w:val="auto"/>
        </w:rPr>
      </w:pPr>
      <w:r>
        <w:rPr>
          <w:rFonts w:ascii="Times New Roman" w:cs="Times New Roman" w:eastAsia="Times New Roman" w:hAnsi="Times New Roman"/>
          <w:sz w:val="18"/>
          <w:szCs w:val="18"/>
          <w:b w:val="1"/>
          <w:bCs w:val="1"/>
          <w:color w:val="auto"/>
        </w:rPr>
        <w:t>ON SEMICONDUCTOR CORPORATION NOTES TO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Background and Basis of Presentation</w:t>
      </w:r>
    </w:p>
    <w:p>
      <w:pPr>
        <w:spacing w:after="0" w:line="25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ON Semiconductor Corporation (“onsemi,” “we,” “us,” “our,” or the “Company”), with its wholly and majority-owned subsidiaries, operates under the onsemi</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brand. The Company is organized into three operating and reportable segments: the Power Solutions Group ("PSG"), the Analog and Mixed-Signal Group ("AMG"), and the Intelligent Sensing Group ("ISG").</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fiscal calendar year begins on January 1 and ends on December 31, with each fiscal quarter containing a thirteen-week accounting period. The quarters ended July 4, 2025 and June 28, 2024 each contained 91 days. The six months ended July 4, 2025 and June 28, 2024 contained 185 days and 180 days, respectively.</w:t>
      </w:r>
    </w:p>
    <w:p>
      <w:pPr>
        <w:spacing w:after="0" w:line="20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accompanying unaudited financial statements as of and for the quarter and six months ended July 4, 2025 have been prepared following generally accepted accounting principles in the United States of America ("GAAP") for interim financial reporting and the rules and regulations of the SEC for interim reporting. Accordingly, the unaudited financial statements do not include all of the information and footnotes required by GAAP for audited financial statements. The balance sheet as of December 31, 2024 was derived from the Company's audited financial statements but does not include all disclosures required by GAAP for annual financial statements. In management's opinion, the interim information contains all adjustments, which include normal recurring adjustments necessary for a fair statement of the results for the interim periods. The footnote disclosures related to the interim financial information contained herein are also unaudited. Such financial information should be read in conjunction with the consolidated financial statements and related notes thereto for the year ended December 31, 2024, included in the Company's Annual Report on Form 10-K for the year ended December 31, 2024, which was filed with the SEC on February 10, 2025 (the "2024 Form 10-K"). Certain reclassifications within the Consolidated Balance Sheets and Statements of Cash Flows have been made to prior period amounts to conform to current period presentation.</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preparation of financial statements in accordance with GAAP requires management to make estimates and assumptions that affect the reported amount of assets and liabilities as of the date of the financial statements and the reported amount of revenue and expenses during the reporting period. Management evaluates these estimates and judgments on an ongoing basis and bases its estimates on experience, current and expected future conditions, third-party evaluations, and various other assumptions that management believes are reasonable under the circumstances. Significant estimates have been used by management in conjunction with the following: (i) calculation of future payouts for customer incentives and amounts subject to allowances and returns; (ii) valuation and obsolescence relating to inventories; (iii) measurement of valuation allowances against deferred tax assets and evaluations of uncertain tax positions; (iv) testing for impairment of long-lived assets and goodwill; and (v) assumptions used in business combinations and the valuation of assets held-for-sale. Actual results may differ from the estimates and assumptions used in the consolidated financial statements.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Accounting Policies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accounting policy surrounding property, plant and equipment as disclosed in the 2024 Form 10-K is included under the heading "Property, Plant and Equipment." Certain enhancements to the policy under the heading "Long-Lived Assets Held and Used" and "Assets Held-for-Sale" are provided herein in light of events that occurred during the first two quarters of 2025, and do not represent significant changes.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Property, Plant and Equipment</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Property, plant and equipment are recorded at cost and are depreciated over estimated useful lives of 30 years for buildings and 3-20 years for computers, machinery and equipment using straight-line methods. Expenditures for maintenance and repairs are charged to operations in the period in which the expenses are incurred. When assets are retired or otherwise disposed of, the related costs and accumulated depreciation are removed from the balance sheet and any resulting gain or loss is reflected in operations in the period realized.</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line="255" w:lineRule="auto"/>
        <w:rPr>
          <w:sz w:val="20"/>
          <w:szCs w:val="20"/>
          <w:color w:val="auto"/>
        </w:rPr>
      </w:pPr>
      <w:r>
        <w:rPr>
          <w:rFonts w:ascii="Times New Roman" w:cs="Times New Roman" w:eastAsia="Times New Roman" w:hAnsi="Times New Roman"/>
          <w:sz w:val="18"/>
          <w:szCs w:val="18"/>
          <w:b w:val="1"/>
          <w:bCs w:val="1"/>
          <w:color w:val="auto"/>
        </w:rPr>
        <w:t>ON SEMICONDUCTOR CORPORATION NOTES TO CONSOLIDATED FINANCIAL STATEMENTS - Continued (unaudited)</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Long-Lived Assets Held and Used</w:t>
      </w:r>
    </w:p>
    <w:p>
      <w:pPr>
        <w:spacing w:after="0" w:line="2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evaluates the recoverability of the carrying amount of its long-lived assets whenever events or changes in circumstances indicate that the carrying value of an asset group may not be fully recoverable. For assets to be held and used, the Company groups a long-lived asset or assets with other assets and liabilities at the lowest level for which identifiable cash flows are largely independent of the cash flows of other assets and liabilities. Estimates of future cash flows used to test the recoverability of a long-lived asset group include only the future cash flows that are directly associated with and that are expected to arise as a direct result of the use and eventual disposition of the asset group. A potential impairment charge is evaluated when the undiscounted expected cash flows derived from an asset group are less than its carrying amount. Impairment losses, if applicable, are measured as the amount by which the carrying value of an asset group exceeds its fair value. Judgment is used when applying these impairment rules to determine the timing of the impairment test, the undiscounted cash flows used to assess impairments and the fair value of the asset group.</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Assets Held-for-Sale</w:t>
      </w:r>
    </w:p>
    <w:p>
      <w:pPr>
        <w:spacing w:after="0" w:line="2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classifies assets as held-for-sale in the period when all of the following conditions are met: (i) management, having the authority to approve the action, commits to a plan to sell the assets; (ii) the assets are available for immediate sale in their present condition subject only to terms that are usual and customary for sales of such assets; (iii) an active program to locate a buyer and other actions required to complete the plan to sell the assets have been initiated; (iv) the sale of the assets is probable, and transfer of the assets is expected to qualify for recognition as a completed sale within one year, except if events or circumstances beyond the Company's control extend the period of time required to sell the assets beyond one year; (v) the assets are being actively marketed for sale at a price that is reasonable in relation to its current fair value; and (vi) actions required to complete the plan indicate that it is unlikely that significant changes to the plan will be made or that the plan will be withdrawn.</w:t>
      </w:r>
    </w:p>
    <w:p>
      <w:pPr>
        <w:spacing w:after="0" w:line="21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assets that are classified as held-for-sale are initially measured at the lower of their carrying value or fair value less any costs to sell. The determination of the fair value less costs to sell may require management to make judgments on significant estimates and assumptions including, but not limited to, indicative sales values, current market conditions and available data for transactions for similar assets. The Company may use third-party valuation specialists to assist in the determination of such estimates. Any impairment loss resulting from this measurement is recorded in Restructuring, asset impairments and other, net on the Consolidated Statements of Operations and the assets held-for-sale are recorded as a separate line within the Consolidated Balance Sheets. Gains or losses are not recognized on assets held-for-sale until the date of sale.</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fair values of assets less any costs to sell are assessed each reporting period for which they remain classified as held-for-sale, and any subsequent change is reported as an adjustment to the carrying value of the assets, as long as the new carrying value does not exceed the carrying value of the asset at the time it was initially classified as held-for-sale.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Segments and Revenue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is organized into three operating and reportable segments consisting of PSG, AMG and ISG. These segments represent management's view of the business for which separate financial information is available and evaluated regularly by the Chief Operating Decision Maker ("CODM"), which is the Company’s Chief Executive Officer. The CODM uses segment gross profit for evaluating product pricing, factory utilization, allocation of capital and the assessment of segment profitability.</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line="255" w:lineRule="auto"/>
        <w:rPr>
          <w:sz w:val="20"/>
          <w:szCs w:val="20"/>
          <w:color w:val="auto"/>
        </w:rPr>
      </w:pPr>
      <w:r>
        <w:rPr>
          <w:rFonts w:ascii="Times New Roman" w:cs="Times New Roman" w:eastAsia="Times New Roman" w:hAnsi="Times New Roman"/>
          <w:sz w:val="18"/>
          <w:szCs w:val="18"/>
          <w:b w:val="1"/>
          <w:bCs w:val="1"/>
          <w:color w:val="auto"/>
        </w:rPr>
        <w:t>ON SEMICONDUCTOR CORPORATION NOTES TO CONSOLIDATED FINANCIAL STATEMENTS - Continued (unaudited)</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and gross profit for the operating and reportable segments were as follows (in millions):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PSG</w:t>
            </w:r>
          </w:p>
        </w:tc>
        <w:tc>
          <w:tcPr>
            <w:tcW w:w="260" w:type="dxa"/>
            <w:vAlign w:val="bottom"/>
          </w:tcPr>
          <w:p>
            <w:pPr>
              <w:spacing w:after="0"/>
              <w:rPr>
                <w:sz w:val="18"/>
                <w:szCs w:val="18"/>
                <w:color w:val="auto"/>
              </w:rPr>
            </w:pPr>
          </w:p>
        </w:tc>
        <w:tc>
          <w:tcPr>
            <w:tcW w:w="104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AMG</w:t>
            </w:r>
          </w:p>
        </w:tc>
        <w:tc>
          <w:tcPr>
            <w:tcW w:w="280" w:type="dxa"/>
            <w:vAlign w:val="bottom"/>
          </w:tcPr>
          <w:p>
            <w:pPr>
              <w:spacing w:after="0"/>
              <w:rPr>
                <w:sz w:val="18"/>
                <w:szCs w:val="18"/>
                <w:color w:val="auto"/>
              </w:rPr>
            </w:pPr>
          </w:p>
        </w:tc>
        <w:tc>
          <w:tcPr>
            <w:tcW w:w="102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ISG</w:t>
            </w:r>
          </w:p>
        </w:tc>
        <w:tc>
          <w:tcPr>
            <w:tcW w:w="260" w:type="dxa"/>
            <w:vAlign w:val="bottom"/>
          </w:tcPr>
          <w:p>
            <w:pPr>
              <w:spacing w:after="0"/>
              <w:rPr>
                <w:sz w:val="18"/>
                <w:szCs w:val="18"/>
                <w:color w:val="auto"/>
              </w:rPr>
            </w:pPr>
          </w:p>
        </w:tc>
        <w:tc>
          <w:tcPr>
            <w:tcW w:w="940" w:type="dxa"/>
            <w:vAlign w:val="bottom"/>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2"/>
        </w:trPr>
        <w:tc>
          <w:tcPr>
            <w:tcW w:w="6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 the quarter ended July 4, 2025:</w:t>
            </w:r>
          </w:p>
        </w:tc>
        <w:tc>
          <w:tcPr>
            <w:tcW w:w="2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r>
      <w:tr>
        <w:trPr>
          <w:trHeight w:val="230"/>
        </w:trPr>
        <w:tc>
          <w:tcPr>
            <w:tcW w:w="6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Revenue from external customers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698.2</w:t>
            </w:r>
          </w:p>
        </w:tc>
        <w:tc>
          <w:tcPr>
            <w:tcW w:w="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555.9</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214.6</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1,468.7</w:t>
            </w:r>
          </w:p>
        </w:tc>
      </w:tr>
      <w:tr>
        <w:trPr>
          <w:trHeight w:val="229"/>
        </w:trPr>
        <w:tc>
          <w:tcPr>
            <w:tcW w:w="6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Cost of revenue</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517.4</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916.8</w:t>
            </w:r>
          </w:p>
        </w:tc>
      </w:tr>
      <w:tr>
        <w:trPr>
          <w:trHeight w:val="223"/>
        </w:trPr>
        <w:tc>
          <w:tcPr>
            <w:tcW w:w="6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Segment gross profit</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180.8</w:t>
            </w:r>
          </w:p>
        </w:tc>
        <w:tc>
          <w:tcPr>
            <w:tcW w:w="8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281.8</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89.3</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551.9</w:t>
            </w:r>
          </w:p>
        </w:tc>
      </w:tr>
      <w:tr>
        <w:trPr>
          <w:trHeight w:val="20"/>
        </w:trPr>
        <w:tc>
          <w:tcPr>
            <w:tcW w:w="61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96"/>
        </w:trPr>
        <w:tc>
          <w:tcPr>
            <w:tcW w:w="61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For the quarter ended June 28, 2024:</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30"/>
        </w:trPr>
        <w:tc>
          <w:tcPr>
            <w:tcW w:w="6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Revenue from external customers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835.2</w:t>
            </w:r>
          </w:p>
        </w:tc>
        <w:tc>
          <w:tcPr>
            <w:tcW w:w="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647.8</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252.2</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1,735.2</w:t>
            </w:r>
          </w:p>
        </w:tc>
      </w:tr>
      <w:tr>
        <w:trPr>
          <w:trHeight w:val="229"/>
        </w:trPr>
        <w:tc>
          <w:tcPr>
            <w:tcW w:w="6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Cost of revenue</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486.4</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951.2</w:t>
            </w:r>
          </w:p>
        </w:tc>
      </w:tr>
      <w:tr>
        <w:trPr>
          <w:trHeight w:val="223"/>
        </w:trPr>
        <w:tc>
          <w:tcPr>
            <w:tcW w:w="6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Segment gross profit</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348.8</w:t>
            </w:r>
          </w:p>
        </w:tc>
        <w:tc>
          <w:tcPr>
            <w:tcW w:w="8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321.9</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113.3</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784.0</w:t>
            </w:r>
          </w:p>
        </w:tc>
      </w:tr>
      <w:tr>
        <w:trPr>
          <w:trHeight w:val="20"/>
        </w:trPr>
        <w:tc>
          <w:tcPr>
            <w:tcW w:w="61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97"/>
        </w:trPr>
        <w:tc>
          <w:tcPr>
            <w:tcW w:w="61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For the six months ended July 4, 2025:</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29"/>
        </w:trPr>
        <w:tc>
          <w:tcPr>
            <w:tcW w:w="6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Revenue from external customers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1,343.3</w:t>
            </w:r>
          </w:p>
        </w:tc>
        <w:tc>
          <w:tcPr>
            <w:tcW w:w="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1,122.3</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448.8</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2,914.4</w:t>
            </w:r>
          </w:p>
        </w:tc>
      </w:tr>
      <w:tr>
        <w:trPr>
          <w:trHeight w:val="229"/>
        </w:trPr>
        <w:tc>
          <w:tcPr>
            <w:tcW w:w="6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Cost of revenue</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1,039.3</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2,068.7</w:t>
            </w:r>
          </w:p>
        </w:tc>
      </w:tr>
      <w:tr>
        <w:trPr>
          <w:trHeight w:val="223"/>
        </w:trPr>
        <w:tc>
          <w:tcPr>
            <w:tcW w:w="6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Segment gross profit (loss)</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304.0</w:t>
            </w:r>
          </w:p>
        </w:tc>
        <w:tc>
          <w:tcPr>
            <w:tcW w:w="8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582.7</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845.7</w:t>
            </w:r>
          </w:p>
        </w:tc>
      </w:tr>
      <w:tr>
        <w:trPr>
          <w:trHeight w:val="20"/>
        </w:trPr>
        <w:tc>
          <w:tcPr>
            <w:tcW w:w="61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97"/>
        </w:trPr>
        <w:tc>
          <w:tcPr>
            <w:tcW w:w="61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For the six months ended June 28, 2024:</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29"/>
        </w:trPr>
        <w:tc>
          <w:tcPr>
            <w:tcW w:w="6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Revenue from external customers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1,709.5</w:t>
            </w:r>
          </w:p>
        </w:tc>
        <w:tc>
          <w:tcPr>
            <w:tcW w:w="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1,344.8</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543.6</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3,597.9</w:t>
            </w:r>
          </w:p>
        </w:tc>
      </w:tr>
      <w:tr>
        <w:trPr>
          <w:trHeight w:val="229"/>
        </w:trPr>
        <w:tc>
          <w:tcPr>
            <w:tcW w:w="6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Cost of revenue</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995.3</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1,960.3</w:t>
            </w:r>
          </w:p>
        </w:tc>
      </w:tr>
      <w:tr>
        <w:trPr>
          <w:trHeight w:val="223"/>
        </w:trPr>
        <w:tc>
          <w:tcPr>
            <w:tcW w:w="6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Segment gross profit</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714.2</w:t>
            </w:r>
          </w:p>
        </w:tc>
        <w:tc>
          <w:tcPr>
            <w:tcW w:w="8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660.7</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262.7</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1,637.6</w:t>
            </w:r>
          </w:p>
        </w:tc>
      </w:tr>
      <w:tr>
        <w:trPr>
          <w:trHeight w:val="21"/>
        </w:trPr>
        <w:tc>
          <w:tcPr>
            <w:tcW w:w="6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had one customer, a distributor, whose revenue accounted for approximately 12% of total revenue for the quarters ended July 4, 2025 and June 28, 2024 and approximately 11% of the total revenue for the six months ended July 4, 2025 and June 28, 2024 across all reportable segments. One customer, a distributor, accounted for approximately 10% of the Company's accounts receivable balance as of July 4, 2025, and one customer, a distributor, had an accounts receivable concentration of 13% as of December 31, 2024 across all reportable segments.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line="255" w:lineRule="auto"/>
        <w:rPr>
          <w:sz w:val="20"/>
          <w:szCs w:val="20"/>
          <w:color w:val="auto"/>
        </w:rPr>
      </w:pPr>
      <w:r>
        <w:rPr>
          <w:rFonts w:ascii="Times New Roman" w:cs="Times New Roman" w:eastAsia="Times New Roman" w:hAnsi="Times New Roman"/>
          <w:sz w:val="18"/>
          <w:szCs w:val="18"/>
          <w:b w:val="1"/>
          <w:bCs w:val="1"/>
          <w:color w:val="auto"/>
        </w:rPr>
        <w:t>ON SEMICONDUCTOR CORPORATION NOTES TO CONSOLIDATED FINANCIAL STATEMENTS - Continued (unaudited)</w:t>
      </w:r>
    </w:p>
    <w:p>
      <w:pPr>
        <w:spacing w:after="0" w:line="200" w:lineRule="exact"/>
        <w:rPr>
          <w:sz w:val="20"/>
          <w:szCs w:val="20"/>
          <w:color w:val="auto"/>
        </w:rPr>
      </w:pPr>
    </w:p>
    <w:p>
      <w:pPr>
        <w:spacing w:after="0" w:line="256"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Revenue for the operating and reportable segments disaggregated into geographic locations based on sales billed from the respective country and sales channel was as follows (in millions):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1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gridSpan w:val="5"/>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Quarter Ended July 4, 2025</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r>
      <w:tr>
        <w:trPr>
          <w:trHeight w:val="211"/>
        </w:trPr>
        <w:tc>
          <w:tcPr>
            <w:tcW w:w="6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PSG</w:t>
            </w:r>
          </w:p>
        </w:tc>
        <w:tc>
          <w:tcPr>
            <w:tcW w:w="140" w:type="dxa"/>
            <w:vAlign w:val="bottom"/>
          </w:tcPr>
          <w:p>
            <w:pPr>
              <w:spacing w:after="0"/>
              <w:rPr>
                <w:sz w:val="18"/>
                <w:szCs w:val="18"/>
                <w:color w:val="auto"/>
              </w:rPr>
            </w:pPr>
          </w:p>
        </w:tc>
        <w:tc>
          <w:tcPr>
            <w:tcW w:w="1160" w:type="dxa"/>
            <w:vAlign w:val="bottom"/>
            <w:gridSpan w:val="2"/>
          </w:tcPr>
          <w:p>
            <w:pPr>
              <w:ind w:left="260"/>
              <w:spacing w:after="0"/>
              <w:rPr>
                <w:sz w:val="20"/>
                <w:szCs w:val="20"/>
                <w:color w:val="auto"/>
              </w:rPr>
            </w:pPr>
            <w:r>
              <w:rPr>
                <w:rFonts w:ascii="Times New Roman" w:cs="Times New Roman" w:eastAsia="Times New Roman" w:hAnsi="Times New Roman"/>
                <w:sz w:val="16"/>
                <w:szCs w:val="16"/>
                <w:b w:val="1"/>
                <w:bCs w:val="1"/>
                <w:color w:val="auto"/>
              </w:rPr>
              <w:t>AMG</w:t>
            </w:r>
          </w:p>
        </w:tc>
        <w:tc>
          <w:tcPr>
            <w:tcW w:w="280" w:type="dxa"/>
            <w:vAlign w:val="bottom"/>
          </w:tcPr>
          <w:p>
            <w:pPr>
              <w:spacing w:after="0"/>
              <w:rPr>
                <w:sz w:val="18"/>
                <w:szCs w:val="18"/>
                <w:color w:val="auto"/>
              </w:rPr>
            </w:pPr>
          </w:p>
        </w:tc>
        <w:tc>
          <w:tcPr>
            <w:tcW w:w="102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ISG</w:t>
            </w:r>
          </w:p>
        </w:tc>
        <w:tc>
          <w:tcPr>
            <w:tcW w:w="260" w:type="dxa"/>
            <w:vAlign w:val="bottom"/>
          </w:tcPr>
          <w:p>
            <w:pPr>
              <w:spacing w:after="0"/>
              <w:rPr>
                <w:sz w:val="18"/>
                <w:szCs w:val="18"/>
                <w:color w:val="auto"/>
              </w:rPr>
            </w:pPr>
          </w:p>
        </w:tc>
        <w:tc>
          <w:tcPr>
            <w:tcW w:w="940" w:type="dxa"/>
            <w:vAlign w:val="bottom"/>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1"/>
        </w:trPr>
        <w:tc>
          <w:tcPr>
            <w:tcW w:w="6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Geographic Location:</w:t>
            </w:r>
          </w:p>
        </w:tc>
        <w:tc>
          <w:tcPr>
            <w:tcW w:w="2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r>
      <w:tr>
        <w:trPr>
          <w:trHeight w:val="229"/>
        </w:trPr>
        <w:tc>
          <w:tcPr>
            <w:tcW w:w="6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Hong Kong</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201.3</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157.9</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413.3</w:t>
            </w:r>
          </w:p>
        </w:tc>
      </w:tr>
      <w:tr>
        <w:trPr>
          <w:trHeight w:val="230"/>
        </w:trPr>
        <w:tc>
          <w:tcPr>
            <w:tcW w:w="6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Singapore</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326.9</w:t>
            </w:r>
          </w:p>
        </w:tc>
      </w:tr>
      <w:tr>
        <w:trPr>
          <w:trHeight w:val="229"/>
        </w:trPr>
        <w:tc>
          <w:tcPr>
            <w:tcW w:w="6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United Kingdom</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327.4</w:t>
            </w:r>
          </w:p>
        </w:tc>
      </w:tr>
      <w:tr>
        <w:trPr>
          <w:trHeight w:val="229"/>
        </w:trPr>
        <w:tc>
          <w:tcPr>
            <w:tcW w:w="6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United States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277.9</w:t>
            </w:r>
          </w:p>
        </w:tc>
      </w:tr>
      <w:tr>
        <w:trPr>
          <w:trHeight w:val="230"/>
        </w:trPr>
        <w:tc>
          <w:tcPr>
            <w:tcW w:w="61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123.2</w:t>
            </w:r>
          </w:p>
        </w:tc>
      </w:tr>
      <w:tr>
        <w:trPr>
          <w:trHeight w:val="248"/>
        </w:trPr>
        <w:tc>
          <w:tcPr>
            <w:tcW w:w="61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698.2</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1,468.7</w:t>
            </w: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29"/>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Sales Channel:</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0"/>
        </w:trPr>
        <w:tc>
          <w:tcPr>
            <w:tcW w:w="6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Distributors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438.9</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303.3</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97.4</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839.6</w:t>
            </w:r>
          </w:p>
        </w:tc>
      </w:tr>
      <w:tr>
        <w:trPr>
          <w:trHeight w:val="229"/>
        </w:trPr>
        <w:tc>
          <w:tcPr>
            <w:tcW w:w="6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Direct customers</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259.3</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629.1</w:t>
            </w:r>
          </w:p>
        </w:tc>
      </w:tr>
      <w:tr>
        <w:trPr>
          <w:trHeight w:val="223"/>
        </w:trPr>
        <w:tc>
          <w:tcPr>
            <w:tcW w:w="61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698.2</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555.9</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214.6</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1,468.7</w:t>
            </w:r>
          </w:p>
        </w:tc>
      </w:tr>
      <w:tr>
        <w:trPr>
          <w:trHeight w:val="20"/>
        </w:trPr>
        <w:tc>
          <w:tcPr>
            <w:tcW w:w="6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396"/>
        </w:trPr>
        <w:tc>
          <w:tcPr>
            <w:tcW w:w="61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5"/>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Six Months Ended July 4, 2025</w:t>
            </w: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r>
      <w:tr>
        <w:trPr>
          <w:trHeight w:val="211"/>
        </w:trPr>
        <w:tc>
          <w:tcPr>
            <w:tcW w:w="6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PSG</w:t>
            </w:r>
          </w:p>
        </w:tc>
        <w:tc>
          <w:tcPr>
            <w:tcW w:w="140" w:type="dxa"/>
            <w:vAlign w:val="bottom"/>
          </w:tcPr>
          <w:p>
            <w:pPr>
              <w:spacing w:after="0"/>
              <w:rPr>
                <w:sz w:val="18"/>
                <w:szCs w:val="18"/>
                <w:color w:val="auto"/>
              </w:rPr>
            </w:pPr>
          </w:p>
        </w:tc>
        <w:tc>
          <w:tcPr>
            <w:tcW w:w="1160" w:type="dxa"/>
            <w:vAlign w:val="bottom"/>
            <w:gridSpan w:val="2"/>
          </w:tcPr>
          <w:p>
            <w:pPr>
              <w:ind w:left="260"/>
              <w:spacing w:after="0"/>
              <w:rPr>
                <w:sz w:val="20"/>
                <w:szCs w:val="20"/>
                <w:color w:val="auto"/>
              </w:rPr>
            </w:pPr>
            <w:r>
              <w:rPr>
                <w:rFonts w:ascii="Times New Roman" w:cs="Times New Roman" w:eastAsia="Times New Roman" w:hAnsi="Times New Roman"/>
                <w:sz w:val="16"/>
                <w:szCs w:val="16"/>
                <w:b w:val="1"/>
                <w:bCs w:val="1"/>
                <w:color w:val="auto"/>
              </w:rPr>
              <w:t>AMG</w:t>
            </w:r>
          </w:p>
        </w:tc>
        <w:tc>
          <w:tcPr>
            <w:tcW w:w="280" w:type="dxa"/>
            <w:vAlign w:val="bottom"/>
          </w:tcPr>
          <w:p>
            <w:pPr>
              <w:spacing w:after="0"/>
              <w:rPr>
                <w:sz w:val="18"/>
                <w:szCs w:val="18"/>
                <w:color w:val="auto"/>
              </w:rPr>
            </w:pPr>
          </w:p>
        </w:tc>
        <w:tc>
          <w:tcPr>
            <w:tcW w:w="102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ISG</w:t>
            </w:r>
          </w:p>
        </w:tc>
        <w:tc>
          <w:tcPr>
            <w:tcW w:w="260" w:type="dxa"/>
            <w:vAlign w:val="bottom"/>
          </w:tcPr>
          <w:p>
            <w:pPr>
              <w:spacing w:after="0"/>
              <w:rPr>
                <w:sz w:val="18"/>
                <w:szCs w:val="18"/>
                <w:color w:val="auto"/>
              </w:rPr>
            </w:pPr>
          </w:p>
        </w:tc>
        <w:tc>
          <w:tcPr>
            <w:tcW w:w="940" w:type="dxa"/>
            <w:vAlign w:val="bottom"/>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1"/>
        </w:trPr>
        <w:tc>
          <w:tcPr>
            <w:tcW w:w="6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Geographic Location:</w:t>
            </w:r>
          </w:p>
        </w:tc>
        <w:tc>
          <w:tcPr>
            <w:tcW w:w="2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r>
      <w:tr>
        <w:trPr>
          <w:trHeight w:val="229"/>
        </w:trPr>
        <w:tc>
          <w:tcPr>
            <w:tcW w:w="6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Hong Kong</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366.4</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301.3</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115.7</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783.4</w:t>
            </w:r>
          </w:p>
        </w:tc>
      </w:tr>
      <w:tr>
        <w:trPr>
          <w:trHeight w:val="230"/>
        </w:trPr>
        <w:tc>
          <w:tcPr>
            <w:tcW w:w="6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Singapore</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600.7</w:t>
            </w:r>
          </w:p>
        </w:tc>
      </w:tr>
      <w:tr>
        <w:trPr>
          <w:trHeight w:val="229"/>
        </w:trPr>
        <w:tc>
          <w:tcPr>
            <w:tcW w:w="6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United Kingdom</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694.9</w:t>
            </w:r>
          </w:p>
        </w:tc>
      </w:tr>
      <w:tr>
        <w:trPr>
          <w:trHeight w:val="230"/>
        </w:trPr>
        <w:tc>
          <w:tcPr>
            <w:tcW w:w="6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United States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570.5</w:t>
            </w:r>
          </w:p>
        </w:tc>
      </w:tr>
      <w:tr>
        <w:trPr>
          <w:trHeight w:val="230"/>
        </w:trPr>
        <w:tc>
          <w:tcPr>
            <w:tcW w:w="61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105.5</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264.9</w:t>
            </w:r>
          </w:p>
        </w:tc>
      </w:tr>
      <w:tr>
        <w:trPr>
          <w:trHeight w:val="248"/>
        </w:trPr>
        <w:tc>
          <w:tcPr>
            <w:tcW w:w="61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1,343.3</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2,914.4</w:t>
            </w: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30"/>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Sales Channel:</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9"/>
        </w:trPr>
        <w:tc>
          <w:tcPr>
            <w:tcW w:w="6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Distributors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774.5</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579.4</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194.8</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1,548.7</w:t>
            </w:r>
          </w:p>
        </w:tc>
      </w:tr>
      <w:tr>
        <w:trPr>
          <w:trHeight w:val="230"/>
        </w:trPr>
        <w:tc>
          <w:tcPr>
            <w:tcW w:w="6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Direct customers</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568.8</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1,365.7</w:t>
            </w:r>
          </w:p>
        </w:tc>
      </w:tr>
      <w:tr>
        <w:trPr>
          <w:trHeight w:val="223"/>
        </w:trPr>
        <w:tc>
          <w:tcPr>
            <w:tcW w:w="61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1,343.3</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1,122.3</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448.8</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2,914.4</w:t>
            </w:r>
          </w:p>
        </w:tc>
      </w:tr>
      <w:tr>
        <w:trPr>
          <w:trHeight w:val="20"/>
        </w:trPr>
        <w:tc>
          <w:tcPr>
            <w:tcW w:w="6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line="255" w:lineRule="auto"/>
        <w:rPr>
          <w:sz w:val="20"/>
          <w:szCs w:val="20"/>
          <w:color w:val="auto"/>
        </w:rPr>
      </w:pPr>
      <w:r>
        <w:rPr>
          <w:rFonts w:ascii="Times New Roman" w:cs="Times New Roman" w:eastAsia="Times New Roman" w:hAnsi="Times New Roman"/>
          <w:sz w:val="18"/>
          <w:szCs w:val="18"/>
          <w:b w:val="1"/>
          <w:bCs w:val="1"/>
          <w:color w:val="auto"/>
        </w:rPr>
        <w:t>ON SEMICONDUCTOR CORPORATION NOTES TO CONSOLIDATED FINANCIAL STATEMENTS - Continued (unaudited)</w:t>
      </w:r>
    </w:p>
    <w:p>
      <w:pPr>
        <w:spacing w:after="0" w:line="200" w:lineRule="exact"/>
        <w:rPr>
          <w:sz w:val="20"/>
          <w:szCs w:val="20"/>
          <w:color w:val="auto"/>
        </w:rPr>
      </w:pPr>
    </w:p>
    <w:p>
      <w:pPr>
        <w:spacing w:after="0" w:line="299"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6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5"/>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Quarter Ended June 28, 2024</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r>
      <w:tr>
        <w:trPr>
          <w:trHeight w:val="211"/>
        </w:trPr>
        <w:tc>
          <w:tcPr>
            <w:tcW w:w="6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PSG</w:t>
            </w:r>
          </w:p>
        </w:tc>
        <w:tc>
          <w:tcPr>
            <w:tcW w:w="100" w:type="dxa"/>
            <w:vAlign w:val="bottom"/>
          </w:tcPr>
          <w:p>
            <w:pPr>
              <w:spacing w:after="0"/>
              <w:rPr>
                <w:sz w:val="18"/>
                <w:szCs w:val="18"/>
                <w:color w:val="auto"/>
              </w:rPr>
            </w:pPr>
          </w:p>
        </w:tc>
        <w:tc>
          <w:tcPr>
            <w:tcW w:w="1180" w:type="dxa"/>
            <w:vAlign w:val="bottom"/>
            <w:gridSpan w:val="2"/>
          </w:tcPr>
          <w:p>
            <w:pPr>
              <w:ind w:left="300"/>
              <w:spacing w:after="0"/>
              <w:rPr>
                <w:sz w:val="20"/>
                <w:szCs w:val="20"/>
                <w:color w:val="auto"/>
              </w:rPr>
            </w:pPr>
            <w:r>
              <w:rPr>
                <w:rFonts w:ascii="Times New Roman" w:cs="Times New Roman" w:eastAsia="Times New Roman" w:hAnsi="Times New Roman"/>
                <w:sz w:val="16"/>
                <w:szCs w:val="16"/>
                <w:b w:val="1"/>
                <w:bCs w:val="1"/>
                <w:color w:val="auto"/>
              </w:rPr>
              <w:t>AMG</w:t>
            </w:r>
          </w:p>
        </w:tc>
        <w:tc>
          <w:tcPr>
            <w:tcW w:w="300" w:type="dxa"/>
            <w:vAlign w:val="bottom"/>
          </w:tcPr>
          <w:p>
            <w:pPr>
              <w:spacing w:after="0"/>
              <w:rPr>
                <w:sz w:val="18"/>
                <w:szCs w:val="18"/>
                <w:color w:val="auto"/>
              </w:rPr>
            </w:pPr>
          </w:p>
        </w:tc>
        <w:tc>
          <w:tcPr>
            <w:tcW w:w="100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ISG</w:t>
            </w:r>
          </w:p>
        </w:tc>
        <w:tc>
          <w:tcPr>
            <w:tcW w:w="280" w:type="dxa"/>
            <w:vAlign w:val="bottom"/>
          </w:tcPr>
          <w:p>
            <w:pPr>
              <w:spacing w:after="0"/>
              <w:rPr>
                <w:sz w:val="18"/>
                <w:szCs w:val="18"/>
                <w:color w:val="auto"/>
              </w:rPr>
            </w:pPr>
          </w:p>
        </w:tc>
        <w:tc>
          <w:tcPr>
            <w:tcW w:w="920" w:type="dxa"/>
            <w:vAlign w:val="bottom"/>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1"/>
        </w:trPr>
        <w:tc>
          <w:tcPr>
            <w:tcW w:w="6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Geographic Location:</w:t>
            </w:r>
          </w:p>
        </w:tc>
        <w:tc>
          <w:tcPr>
            <w:tcW w:w="2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r>
      <w:tr>
        <w:trPr>
          <w:trHeight w:val="229"/>
        </w:trPr>
        <w:tc>
          <w:tcPr>
            <w:tcW w:w="6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Hong Kong</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230.3</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162.2</w:t>
            </w:r>
          </w:p>
        </w:tc>
        <w:tc>
          <w:tcPr>
            <w:tcW w:w="8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453.5</w:t>
            </w:r>
          </w:p>
        </w:tc>
      </w:tr>
      <w:tr>
        <w:trPr>
          <w:trHeight w:val="229"/>
        </w:trPr>
        <w:tc>
          <w:tcPr>
            <w:tcW w:w="6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Singapore</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160.8</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390.3</w:t>
            </w:r>
          </w:p>
        </w:tc>
      </w:tr>
      <w:tr>
        <w:trPr>
          <w:trHeight w:val="230"/>
        </w:trPr>
        <w:tc>
          <w:tcPr>
            <w:tcW w:w="6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United Kingdom</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122.7</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103.4</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413.8</w:t>
            </w:r>
          </w:p>
        </w:tc>
      </w:tr>
      <w:tr>
        <w:trPr>
          <w:trHeight w:val="229"/>
        </w:trPr>
        <w:tc>
          <w:tcPr>
            <w:tcW w:w="6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United States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145.7</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324.9</w:t>
            </w:r>
          </w:p>
        </w:tc>
      </w:tr>
      <w:tr>
        <w:trPr>
          <w:trHeight w:val="230"/>
        </w:trPr>
        <w:tc>
          <w:tcPr>
            <w:tcW w:w="61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152.7</w:t>
            </w:r>
          </w:p>
        </w:tc>
      </w:tr>
      <w:tr>
        <w:trPr>
          <w:trHeight w:val="248"/>
        </w:trPr>
        <w:tc>
          <w:tcPr>
            <w:tcW w:w="612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647.8</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252.2</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1,735.2</w:t>
            </w: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30"/>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Sales Channel:</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9"/>
        </w:trPr>
        <w:tc>
          <w:tcPr>
            <w:tcW w:w="6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Distributors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515.2</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348.4</w:t>
            </w:r>
          </w:p>
        </w:tc>
        <w:tc>
          <w:tcPr>
            <w:tcW w:w="8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w:t>
            </w:r>
          </w:p>
        </w:tc>
        <w:tc>
          <w:tcPr>
            <w:tcW w:w="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955.0</w:t>
            </w:r>
          </w:p>
        </w:tc>
      </w:tr>
      <w:tr>
        <w:trPr>
          <w:trHeight w:val="230"/>
        </w:trPr>
        <w:tc>
          <w:tcPr>
            <w:tcW w:w="6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Direct customers</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320.0</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299.4</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160.8</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780.2</w:t>
            </w:r>
          </w:p>
        </w:tc>
      </w:tr>
      <w:tr>
        <w:trPr>
          <w:trHeight w:val="223"/>
        </w:trPr>
        <w:tc>
          <w:tcPr>
            <w:tcW w:w="61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835.2</w:t>
            </w:r>
          </w:p>
        </w:tc>
        <w:tc>
          <w:tcPr>
            <w:tcW w:w="1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647.8</w:t>
            </w: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252.2</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1,735.2</w:t>
            </w:r>
          </w:p>
        </w:tc>
      </w:tr>
      <w:tr>
        <w:trPr>
          <w:trHeight w:val="21"/>
        </w:trPr>
        <w:tc>
          <w:tcPr>
            <w:tcW w:w="6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450"/>
        </w:trPr>
        <w:tc>
          <w:tcPr>
            <w:tcW w:w="6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5"/>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Six Months Ended June 28, 2024</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r>
      <w:tr>
        <w:trPr>
          <w:trHeight w:val="211"/>
        </w:trPr>
        <w:tc>
          <w:tcPr>
            <w:tcW w:w="6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PSG</w:t>
            </w:r>
          </w:p>
        </w:tc>
        <w:tc>
          <w:tcPr>
            <w:tcW w:w="100" w:type="dxa"/>
            <w:vAlign w:val="bottom"/>
          </w:tcPr>
          <w:p>
            <w:pPr>
              <w:spacing w:after="0"/>
              <w:rPr>
                <w:sz w:val="18"/>
                <w:szCs w:val="18"/>
                <w:color w:val="auto"/>
              </w:rPr>
            </w:pPr>
          </w:p>
        </w:tc>
        <w:tc>
          <w:tcPr>
            <w:tcW w:w="1180" w:type="dxa"/>
            <w:vAlign w:val="bottom"/>
            <w:gridSpan w:val="2"/>
          </w:tcPr>
          <w:p>
            <w:pPr>
              <w:ind w:left="300"/>
              <w:spacing w:after="0"/>
              <w:rPr>
                <w:sz w:val="20"/>
                <w:szCs w:val="20"/>
                <w:color w:val="auto"/>
              </w:rPr>
            </w:pPr>
            <w:r>
              <w:rPr>
                <w:rFonts w:ascii="Times New Roman" w:cs="Times New Roman" w:eastAsia="Times New Roman" w:hAnsi="Times New Roman"/>
                <w:sz w:val="16"/>
                <w:szCs w:val="16"/>
                <w:b w:val="1"/>
                <w:bCs w:val="1"/>
                <w:color w:val="auto"/>
              </w:rPr>
              <w:t>AMG</w:t>
            </w:r>
          </w:p>
        </w:tc>
        <w:tc>
          <w:tcPr>
            <w:tcW w:w="300" w:type="dxa"/>
            <w:vAlign w:val="bottom"/>
          </w:tcPr>
          <w:p>
            <w:pPr>
              <w:spacing w:after="0"/>
              <w:rPr>
                <w:sz w:val="18"/>
                <w:szCs w:val="18"/>
                <w:color w:val="auto"/>
              </w:rPr>
            </w:pPr>
          </w:p>
        </w:tc>
        <w:tc>
          <w:tcPr>
            <w:tcW w:w="100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ISG</w:t>
            </w:r>
          </w:p>
        </w:tc>
        <w:tc>
          <w:tcPr>
            <w:tcW w:w="280" w:type="dxa"/>
            <w:vAlign w:val="bottom"/>
          </w:tcPr>
          <w:p>
            <w:pPr>
              <w:spacing w:after="0"/>
              <w:rPr>
                <w:sz w:val="18"/>
                <w:szCs w:val="18"/>
                <w:color w:val="auto"/>
              </w:rPr>
            </w:pPr>
          </w:p>
        </w:tc>
        <w:tc>
          <w:tcPr>
            <w:tcW w:w="920" w:type="dxa"/>
            <w:vAlign w:val="bottom"/>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1"/>
        </w:trPr>
        <w:tc>
          <w:tcPr>
            <w:tcW w:w="6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Geographic Location:</w:t>
            </w:r>
          </w:p>
        </w:tc>
        <w:tc>
          <w:tcPr>
            <w:tcW w:w="2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r>
      <w:tr>
        <w:trPr>
          <w:trHeight w:val="229"/>
        </w:trPr>
        <w:tc>
          <w:tcPr>
            <w:tcW w:w="6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Hong Kong</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433.6</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312.0</w:t>
            </w:r>
          </w:p>
        </w:tc>
        <w:tc>
          <w:tcPr>
            <w:tcW w:w="8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113.3</w:t>
            </w:r>
          </w:p>
        </w:tc>
        <w:tc>
          <w:tcPr>
            <w:tcW w:w="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858.9</w:t>
            </w:r>
          </w:p>
        </w:tc>
      </w:tr>
      <w:tr>
        <w:trPr>
          <w:trHeight w:val="229"/>
        </w:trPr>
        <w:tc>
          <w:tcPr>
            <w:tcW w:w="6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Singapore</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346.9</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823.5</w:t>
            </w:r>
          </w:p>
        </w:tc>
      </w:tr>
      <w:tr>
        <w:trPr>
          <w:trHeight w:val="230"/>
        </w:trPr>
        <w:tc>
          <w:tcPr>
            <w:tcW w:w="6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United Kingdom</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256.5</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211.1</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857.8</w:t>
            </w:r>
          </w:p>
        </w:tc>
      </w:tr>
      <w:tr>
        <w:trPr>
          <w:trHeight w:val="229"/>
        </w:trPr>
        <w:tc>
          <w:tcPr>
            <w:tcW w:w="6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United States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305.1</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743.9</w:t>
            </w:r>
          </w:p>
        </w:tc>
      </w:tr>
      <w:tr>
        <w:trPr>
          <w:trHeight w:val="230"/>
        </w:trPr>
        <w:tc>
          <w:tcPr>
            <w:tcW w:w="61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119.1</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124.3</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313.8</w:t>
            </w:r>
          </w:p>
        </w:tc>
      </w:tr>
      <w:tr>
        <w:trPr>
          <w:trHeight w:val="248"/>
        </w:trPr>
        <w:tc>
          <w:tcPr>
            <w:tcW w:w="612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1,709.5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1,344.8</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543.6</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3,597.9</w:t>
            </w: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29"/>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Sales Channel:</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0"/>
        </w:trPr>
        <w:tc>
          <w:tcPr>
            <w:tcW w:w="6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Distributors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965.6</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692.0</w:t>
            </w:r>
          </w:p>
        </w:tc>
        <w:tc>
          <w:tcPr>
            <w:tcW w:w="8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203.4</w:t>
            </w:r>
          </w:p>
        </w:tc>
        <w:tc>
          <w:tcPr>
            <w:tcW w:w="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1,861.0</w:t>
            </w:r>
          </w:p>
        </w:tc>
      </w:tr>
      <w:tr>
        <w:trPr>
          <w:trHeight w:val="230"/>
        </w:trPr>
        <w:tc>
          <w:tcPr>
            <w:tcW w:w="6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Direct customers</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743.9</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652.8</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340.2</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1,736.9</w:t>
            </w:r>
          </w:p>
        </w:tc>
      </w:tr>
      <w:tr>
        <w:trPr>
          <w:trHeight w:val="223"/>
        </w:trPr>
        <w:tc>
          <w:tcPr>
            <w:tcW w:w="61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1,709.5</w:t>
            </w:r>
          </w:p>
        </w:tc>
        <w:tc>
          <w:tcPr>
            <w:tcW w:w="1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1,344.8</w:t>
            </w: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543.6</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3,597.9</w:t>
            </w:r>
          </w:p>
        </w:tc>
      </w:tr>
      <w:tr>
        <w:trPr>
          <w:trHeight w:val="20"/>
        </w:trPr>
        <w:tc>
          <w:tcPr>
            <w:tcW w:w="6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operates in various geographic locations. Sales to external customers have little correlation to where products are manufactured or the location of the end-customer. It is, therefore, not meaningful to present operating profit by geographical location.</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does not discretely allocate assets to its operating segments, nor does management evaluate operating segments using discrete asset information. The consolidated assets used in manufacturing are generally shared and are not specifically ascribed to operating and reportable segments.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line="255" w:lineRule="auto"/>
        <w:rPr>
          <w:sz w:val="20"/>
          <w:szCs w:val="20"/>
          <w:color w:val="auto"/>
        </w:rPr>
      </w:pPr>
      <w:r>
        <w:rPr>
          <w:rFonts w:ascii="Times New Roman" w:cs="Times New Roman" w:eastAsia="Times New Roman" w:hAnsi="Times New Roman"/>
          <w:sz w:val="18"/>
          <w:szCs w:val="18"/>
          <w:b w:val="1"/>
          <w:bCs w:val="1"/>
          <w:color w:val="auto"/>
        </w:rPr>
        <w:t>ON SEMICONDUCTOR CORPORATION NOTES TO CONSOLIDATED FINANCIAL STATEMENTS - Continued (unaudited)</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plant and equipment, net by geographic location, is summarized below (in millions):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3"/>
          </w:tcPr>
          <w:p>
            <w:pPr>
              <w:jc w:val="right"/>
              <w:ind w:right="253"/>
              <w:spacing w:after="0"/>
              <w:rPr>
                <w:sz w:val="20"/>
                <w:szCs w:val="20"/>
                <w:color w:val="auto"/>
              </w:rPr>
            </w:pPr>
            <w:r>
              <w:rPr>
                <w:rFonts w:ascii="Times New Roman" w:cs="Times New Roman" w:eastAsia="Times New Roman" w:hAnsi="Times New Roman"/>
                <w:sz w:val="16"/>
                <w:szCs w:val="16"/>
                <w:b w:val="1"/>
                <w:bCs w:val="1"/>
                <w:color w:val="auto"/>
              </w:rPr>
              <w:t>As of</w:t>
            </w:r>
          </w:p>
        </w:tc>
        <w:tc>
          <w:tcPr>
            <w:tcW w:w="960" w:type="dxa"/>
            <w:vAlign w:val="bottom"/>
            <w:tcBorders>
              <w:bottom w:val="single" w:sz="8" w:color="auto"/>
            </w:tcBorders>
          </w:tcPr>
          <w:p>
            <w:pPr>
              <w:spacing w:after="0"/>
              <w:rPr>
                <w:sz w:val="18"/>
                <w:szCs w:val="18"/>
                <w:color w:val="auto"/>
              </w:rPr>
            </w:pPr>
          </w:p>
        </w:tc>
      </w:tr>
      <w:tr>
        <w:trPr>
          <w:trHeight w:val="211"/>
        </w:trPr>
        <w:tc>
          <w:tcPr>
            <w:tcW w:w="8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July 4, 2025</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25"/>
        </w:trPr>
        <w:tc>
          <w:tcPr>
            <w:tcW w:w="8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South Korea</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1,236.0</w:t>
            </w:r>
          </w:p>
        </w:tc>
        <w:tc>
          <w:tcPr>
            <w:tcW w:w="8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ind w:right="273"/>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1,423.8</w:t>
            </w:r>
          </w:p>
        </w:tc>
      </w:tr>
      <w:tr>
        <w:trPr>
          <w:trHeight w:val="229"/>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1,199.0</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1,410.8</w:t>
            </w:r>
          </w:p>
        </w:tc>
      </w:tr>
      <w:tr>
        <w:trPr>
          <w:trHeight w:val="23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Czech Republic</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457.7</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612.3</w:t>
            </w:r>
          </w:p>
        </w:tc>
      </w:tr>
      <w:tr>
        <w:trPr>
          <w:trHeight w:val="229"/>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204.6</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228.8</w:t>
            </w:r>
          </w:p>
        </w:tc>
      </w:tr>
      <w:tr>
        <w:trPr>
          <w:trHeight w:val="23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Philippines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182.5</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208.1</w:t>
            </w:r>
          </w:p>
        </w:tc>
      </w:tr>
      <w:tr>
        <w:trPr>
          <w:trHeight w:val="229"/>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Malaysia</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158.8</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183.1</w:t>
            </w:r>
          </w:p>
        </w:tc>
      </w:tr>
      <w:tr>
        <w:trPr>
          <w:trHeight w:val="22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Vietnam</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147.4</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155.3</w:t>
            </w:r>
          </w:p>
        </w:tc>
      </w:tr>
      <w:tr>
        <w:trPr>
          <w:trHeight w:val="230"/>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128.9</w:t>
            </w: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139.2</w:t>
            </w:r>
          </w:p>
        </w:tc>
      </w:tr>
      <w:tr>
        <w:trPr>
          <w:trHeight w:val="248"/>
        </w:trPr>
        <w:tc>
          <w:tcPr>
            <w:tcW w:w="82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3,714.9</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3"/>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4,361.4</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revenue derives primarily from product sales and to a much lesser extent from manufacturing services and product development agreements. For the quarters ended July 4, 2025 and June 28, 2024, revenue recognized from product sales as a percentage of total revenue was approximately 100% and 98%, respectively, and revenue recognized from manufacturing services and product development agreements was immaterial and approximately 2%, respectively.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disaggregated by end-markets and product technologies was as follows (in millions):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40" w:type="dxa"/>
            <w:vAlign w:val="bottom"/>
            <w:gridSpan w:val="5"/>
          </w:tcPr>
          <w:p>
            <w:pPr>
              <w:ind w:left="720"/>
              <w:spacing w:after="0"/>
              <w:rPr>
                <w:sz w:val="20"/>
                <w:szCs w:val="20"/>
                <w:color w:val="auto"/>
              </w:rPr>
            </w:pPr>
            <w:r>
              <w:rPr>
                <w:rFonts w:ascii="Times New Roman" w:cs="Times New Roman" w:eastAsia="Times New Roman" w:hAnsi="Times New Roman"/>
                <w:sz w:val="16"/>
                <w:szCs w:val="16"/>
                <w:b w:val="1"/>
                <w:bCs w:val="1"/>
                <w:color w:val="auto"/>
              </w:rPr>
              <w:t>Quarters Ended</w:t>
            </w:r>
          </w:p>
        </w:tc>
        <w:tc>
          <w:tcPr>
            <w:tcW w:w="200" w:type="dxa"/>
            <w:vAlign w:val="bottom"/>
          </w:tcPr>
          <w:p>
            <w:pPr>
              <w:spacing w:after="0"/>
              <w:rPr>
                <w:sz w:val="18"/>
                <w:szCs w:val="18"/>
                <w:color w:val="auto"/>
              </w:rPr>
            </w:pPr>
          </w:p>
        </w:tc>
        <w:tc>
          <w:tcPr>
            <w:tcW w:w="2760" w:type="dxa"/>
            <w:vAlign w:val="bottom"/>
            <w:gridSpan w:val="4"/>
          </w:tcPr>
          <w:p>
            <w:pPr>
              <w:jc w:val="right"/>
              <w:ind w:right="751"/>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0" w:type="dxa"/>
            <w:vAlign w:val="bottom"/>
          </w:tcPr>
          <w:p>
            <w:pPr>
              <w:spacing w:after="0"/>
              <w:rPr>
                <w:sz w:val="1"/>
                <w:szCs w:val="1"/>
                <w:color w:val="auto"/>
              </w:rPr>
            </w:pPr>
          </w:p>
        </w:tc>
      </w:tr>
      <w:tr>
        <w:trPr>
          <w:trHeight w:val="211"/>
        </w:trPr>
        <w:tc>
          <w:tcPr>
            <w:tcW w:w="52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July 4, 2025</w:t>
            </w:r>
          </w:p>
        </w:tc>
        <w:tc>
          <w:tcPr>
            <w:tcW w:w="18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151"/>
              <w:spacing w:after="0"/>
              <w:rPr>
                <w:sz w:val="20"/>
                <w:szCs w:val="20"/>
                <w:color w:val="auto"/>
              </w:rPr>
            </w:pPr>
            <w:r>
              <w:rPr>
                <w:rFonts w:ascii="Times New Roman" w:cs="Times New Roman" w:eastAsia="Times New Roman" w:hAnsi="Times New Roman"/>
                <w:sz w:val="16"/>
                <w:szCs w:val="16"/>
                <w:b w:val="1"/>
                <w:bCs w:val="1"/>
                <w:color w:val="auto"/>
              </w:rPr>
              <w:t>June 28, 2024</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July 4, 2025</w:t>
            </w:r>
          </w:p>
        </w:tc>
        <w:tc>
          <w:tcPr>
            <w:tcW w:w="1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51"/>
              <w:spacing w:after="0"/>
              <w:rPr>
                <w:sz w:val="20"/>
                <w:szCs w:val="20"/>
                <w:color w:val="auto"/>
              </w:rPr>
            </w:pPr>
            <w:r>
              <w:rPr>
                <w:rFonts w:ascii="Times New Roman" w:cs="Times New Roman" w:eastAsia="Times New Roman" w:hAnsi="Times New Roman"/>
                <w:sz w:val="16"/>
                <w:szCs w:val="16"/>
                <w:b w:val="1"/>
                <w:bCs w:val="1"/>
                <w:color w:val="auto"/>
              </w:rPr>
              <w:t>June 28, 2024</w:t>
            </w:r>
          </w:p>
        </w:tc>
        <w:tc>
          <w:tcPr>
            <w:tcW w:w="0" w:type="dxa"/>
            <w:vAlign w:val="bottom"/>
          </w:tcPr>
          <w:p>
            <w:pPr>
              <w:spacing w:after="0"/>
              <w:rPr>
                <w:sz w:val="1"/>
                <w:szCs w:val="1"/>
                <w:color w:val="auto"/>
              </w:rPr>
            </w:pPr>
          </w:p>
        </w:tc>
      </w:tr>
      <w:tr>
        <w:trPr>
          <w:trHeight w:val="211"/>
        </w:trPr>
        <w:tc>
          <w:tcPr>
            <w:tcW w:w="5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End-Markets:</w:t>
            </w:r>
          </w:p>
        </w:tc>
        <w:tc>
          <w:tcPr>
            <w:tcW w:w="20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Automotive</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906.9</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1,495.1</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1,924.1</w:t>
            </w: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Industrial</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944.1</w:t>
            </w:r>
          </w:p>
        </w:tc>
        <w:tc>
          <w:tcPr>
            <w:tcW w:w="0" w:type="dxa"/>
            <w:vAlign w:val="bottom"/>
          </w:tcPr>
          <w:p>
            <w:pPr>
              <w:spacing w:after="0"/>
              <w:rPr>
                <w:sz w:val="1"/>
                <w:szCs w:val="1"/>
                <w:color w:val="auto"/>
              </w:rPr>
            </w:pPr>
          </w:p>
        </w:tc>
      </w:tr>
      <w:tr>
        <w:trPr>
          <w:trHeight w:val="229"/>
        </w:trPr>
        <w:tc>
          <w:tcPr>
            <w:tcW w:w="52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613.1</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729.7</w:t>
            </w:r>
          </w:p>
        </w:tc>
        <w:tc>
          <w:tcPr>
            <w:tcW w:w="0" w:type="dxa"/>
            <w:vAlign w:val="bottom"/>
          </w:tcPr>
          <w:p>
            <w:pPr>
              <w:spacing w:after="0"/>
              <w:rPr>
                <w:sz w:val="1"/>
                <w:szCs w:val="1"/>
                <w:color w:val="auto"/>
              </w:rPr>
            </w:pPr>
          </w:p>
        </w:tc>
      </w:tr>
      <w:tr>
        <w:trPr>
          <w:trHeight w:val="248"/>
        </w:trPr>
        <w:tc>
          <w:tcPr>
            <w:tcW w:w="52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1,468.7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1,735.2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2,914.4</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3,597.9</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180" w:type="dxa"/>
            <w:vAlign w:val="bottom"/>
            <w:gridSpan w:val="6"/>
          </w:tcPr>
          <w:p>
            <w:pPr>
              <w:ind w:left="20"/>
              <w:spacing w:after="0" w:line="176" w:lineRule="exact"/>
              <w:rPr>
                <w:sz w:val="20"/>
                <w:szCs w:val="20"/>
                <w:color w:val="auto"/>
              </w:rPr>
            </w:pPr>
            <w:r>
              <w:rPr>
                <w:rFonts w:ascii="Times New Roman" w:cs="Times New Roman" w:eastAsia="Times New Roman" w:hAnsi="Times New Roman"/>
                <w:sz w:val="18"/>
                <w:szCs w:val="18"/>
                <w:color w:val="auto"/>
              </w:rPr>
              <w:t>* Other primarily includes the end-markets of computing, consumer, networking and communications.</w:t>
            </w:r>
          </w:p>
        </w:tc>
        <w:tc>
          <w:tcPr>
            <w:tcW w:w="10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52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Product Technologies:</w:t>
            </w: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Intelligent Power</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1,851.4</w:t>
            </w:r>
          </w:p>
        </w:tc>
        <w:tc>
          <w:tcPr>
            <w:tcW w:w="0" w:type="dxa"/>
            <w:vAlign w:val="bottom"/>
          </w:tcPr>
          <w:p>
            <w:pPr>
              <w:spacing w:after="0"/>
              <w:rPr>
                <w:sz w:val="1"/>
                <w:szCs w:val="1"/>
                <w:color w:val="auto"/>
              </w:rPr>
            </w:pPr>
          </w:p>
        </w:tc>
      </w:tr>
      <w:tr>
        <w:trPr>
          <w:trHeight w:val="229"/>
        </w:trPr>
        <w:tc>
          <w:tcPr>
            <w:tcW w:w="5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Intelligent Sensing</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673.7</w:t>
            </w: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888.3</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1,072.8</w:t>
            </w:r>
          </w:p>
        </w:tc>
        <w:tc>
          <w:tcPr>
            <w:tcW w:w="0" w:type="dxa"/>
            <w:vAlign w:val="bottom"/>
          </w:tcPr>
          <w:p>
            <w:pPr>
              <w:spacing w:after="0"/>
              <w:rPr>
                <w:sz w:val="1"/>
                <w:szCs w:val="1"/>
                <w:color w:val="auto"/>
              </w:rPr>
            </w:pPr>
          </w:p>
        </w:tc>
      </w:tr>
      <w:tr>
        <w:trPr>
          <w:trHeight w:val="223"/>
        </w:trPr>
        <w:tc>
          <w:tcPr>
            <w:tcW w:w="52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1,468.7</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1,735.2</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2,914.4</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3,597.9</w:t>
            </w:r>
          </w:p>
        </w:tc>
        <w:tc>
          <w:tcPr>
            <w:tcW w:w="0" w:type="dxa"/>
            <w:vAlign w:val="bottom"/>
          </w:tcPr>
          <w:p>
            <w:pPr>
              <w:spacing w:after="0"/>
              <w:rPr>
                <w:sz w:val="1"/>
                <w:szCs w:val="1"/>
                <w:color w:val="auto"/>
              </w:rPr>
            </w:pPr>
          </w:p>
        </w:tc>
      </w:tr>
      <w:tr>
        <w:trPr>
          <w:trHeight w:val="21"/>
        </w:trPr>
        <w:tc>
          <w:tcPr>
            <w:tcW w:w="5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Remaining Performance Obligations</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portion of the Company's orders are firm commitments that are non-cancellable, including certain orders or contracts with a duration of less than one year. Certain of the Company's customer contracts are multi-year agreements that include committed amounts ("Long-term Supply Agreements" or "LTSAs") for which the remaining performance obligations as of July 4, 2025 were approximately $9.6 billion (excluding the remaining performance obligations for contracts having a duration of one year or less). If products are shipped according to the terms of these contracts, the Company expects to recognize approximately 36% of this amount as revenue over the next 12 months. Total revenue estimates are based on negotiated contract prices and demand quantities, and could be influenced by risks and uncertainties, including manufacturing or supply chain constraints, modifications to customer agreements, and regulatory changes, among other factors. The timing, pricing or amounts of products delivered under LTSAs may be modified or canceled in certain circumstances, and the actual revenue recognized for the remaining performance obligations in future periods may significantly differ from current estimates.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line="255" w:lineRule="auto"/>
        <w:rPr>
          <w:sz w:val="20"/>
          <w:szCs w:val="20"/>
          <w:color w:val="auto"/>
        </w:rPr>
      </w:pPr>
      <w:r>
        <w:rPr>
          <w:rFonts w:ascii="Times New Roman" w:cs="Times New Roman" w:eastAsia="Times New Roman" w:hAnsi="Times New Roman"/>
          <w:sz w:val="18"/>
          <w:szCs w:val="18"/>
          <w:b w:val="1"/>
          <w:bCs w:val="1"/>
          <w:color w:val="auto"/>
        </w:rPr>
        <w:t>ON SEMICONDUCTOR CORPORATION NOTES TO CONSOLIDATED FINANCIAL STATEMENTS - Continued (unaudited)</w:t>
      </w:r>
    </w:p>
    <w:p>
      <w:pPr>
        <w:spacing w:after="0" w:line="200" w:lineRule="exact"/>
        <w:rPr>
          <w:sz w:val="20"/>
          <w:szCs w:val="20"/>
          <w:color w:val="auto"/>
        </w:rPr>
      </w:pP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Certain LTSAs include non-cancellable capacity payments from the customer, which are generally due within 30 days of the agreement. These payments reserve production availability or are prepayments for the same purpose and are not recognized as revenue until the performance obligations are satisfied. Payments received in advance of the satisfaction of performance obligations are recorded as contract liabilities. The Company fulfilled certain performance obligations and recognized revenue of $24.4 million and $23.3 million for the quarters ended July 4, 2025 and June 28, 2024, respectively, and $48.4 million and $35.4 million for the six months ended July 4, 2025 and June 28, 2024, respectively, related to contract liabilities outstanding as of the end of each respective prior year.</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Balances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Contract assets and contract liabilities were as follows (in millions):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3"/>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As of</w:t>
            </w:r>
          </w:p>
        </w:tc>
        <w:tc>
          <w:tcPr>
            <w:tcW w:w="880" w:type="dxa"/>
            <w:vAlign w:val="bottom"/>
            <w:tcBorders>
              <w:bottom w:val="single" w:sz="8" w:color="auto"/>
            </w:tcBorders>
          </w:tcPr>
          <w:p>
            <w:pPr>
              <w:spacing w:after="0"/>
              <w:rPr>
                <w:sz w:val="18"/>
                <w:szCs w:val="18"/>
                <w:color w:val="auto"/>
              </w:rPr>
            </w:pPr>
          </w:p>
        </w:tc>
      </w:tr>
      <w:tr>
        <w:trPr>
          <w:trHeight w:val="211"/>
        </w:trPr>
        <w:tc>
          <w:tcPr>
            <w:tcW w:w="8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July 4, 2025</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11"/>
        </w:trPr>
        <w:tc>
          <w:tcPr>
            <w:tcW w:w="8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assets included in:</w:t>
            </w:r>
          </w:p>
        </w:tc>
        <w:tc>
          <w:tcPr>
            <w:tcW w:w="2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r>
      <w:tr>
        <w:trPr>
          <w:trHeight w:val="203"/>
        </w:trPr>
        <w:tc>
          <w:tcPr>
            <w:tcW w:w="8280" w:type="dxa"/>
            <w:vAlign w:val="bottom"/>
          </w:tcPr>
          <w:p>
            <w:pPr>
              <w:ind w:left="240"/>
              <w:spacing w:after="0" w:line="202" w:lineRule="exact"/>
              <w:rPr>
                <w:sz w:val="20"/>
                <w:szCs w:val="20"/>
                <w:color w:val="auto"/>
              </w:rPr>
            </w:pPr>
            <w:r>
              <w:rPr>
                <w:rFonts w:ascii="Times New Roman" w:cs="Times New Roman" w:eastAsia="Times New Roman" w:hAnsi="Times New Roman"/>
                <w:sz w:val="18"/>
                <w:szCs w:val="18"/>
                <w:color w:val="auto"/>
              </w:rPr>
              <w:t>Other current assets</w:t>
            </w:r>
          </w:p>
        </w:tc>
        <w:tc>
          <w:tcPr>
            <w:tcW w:w="20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45.2</w:t>
            </w:r>
          </w:p>
        </w:tc>
        <w:tc>
          <w:tcPr>
            <w:tcW w:w="80" w:type="dxa"/>
            <w:vAlign w:val="bottom"/>
          </w:tcPr>
          <w:p>
            <w:pPr>
              <w:spacing w:after="0"/>
              <w:rPr>
                <w:sz w:val="17"/>
                <w:szCs w:val="17"/>
                <w:color w:val="auto"/>
              </w:rPr>
            </w:pPr>
          </w:p>
        </w:tc>
        <w:tc>
          <w:tcPr>
            <w:tcW w:w="560" w:type="dxa"/>
            <w:vAlign w:val="bottom"/>
            <w:tcBorders>
              <w:bottom w:val="single" w:sz="8" w:color="auto"/>
            </w:tcBorders>
          </w:tcPr>
          <w:p>
            <w:pPr>
              <w:jc w:val="right"/>
              <w:ind w:right="352"/>
              <w:spacing w:after="0" w:line="202"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39.9</w:t>
            </w:r>
          </w:p>
        </w:tc>
      </w:tr>
      <w:tr>
        <w:trPr>
          <w:trHeight w:val="20"/>
        </w:trPr>
        <w:tc>
          <w:tcPr>
            <w:tcW w:w="82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37"/>
        </w:trPr>
        <w:tc>
          <w:tcPr>
            <w:tcW w:w="82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r>
      <w:tr>
        <w:trPr>
          <w:trHeight w:val="229"/>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liabilities included in:</w:t>
            </w: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9"/>
        </w:trPr>
        <w:tc>
          <w:tcPr>
            <w:tcW w:w="8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w:t>
            </w:r>
          </w:p>
        </w:tc>
      </w:tr>
      <w:tr>
        <w:trPr>
          <w:trHeight w:val="230"/>
        </w:trPr>
        <w:tc>
          <w:tcPr>
            <w:tcW w:w="82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8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120.9</w:t>
            </w:r>
          </w:p>
        </w:tc>
      </w:tr>
      <w:tr>
        <w:trPr>
          <w:trHeight w:val="248"/>
        </w:trPr>
        <w:tc>
          <w:tcPr>
            <w:tcW w:w="82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184.5</w:t>
            </w:r>
          </w:p>
        </w:tc>
        <w:tc>
          <w:tcPr>
            <w:tcW w:w="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219.1</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Recent Accounting Pronouncements and Other Developments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Pending Adoption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Statement (Subtopic 220-40): Reporting Comprehensive Income - Expense Disaggregation Disclosures ("ASU 2024-03")</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November 2024, the Financial Accounting Standards Board ("FASB") issued ASU 2024-03, which requires public business entities to expand disclosures about specific expense categories. The amendments in this ASU require a public entity to disclose, in tabular format, in the notes to the financial statements, specific information about certain costs and expenses. Although the ASU does not change the expense captions an entity presents on the face of the statement of operations, it requires disaggregation of certain expense captions into specified categories. For public business entities, the provisions of ASU 2024-03 are effective for fiscal years beginning after December 15, 2026. Early adoption is permitted. Management is currently evaluating the requirements under this new standard.</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 (Topic 740): Improvements to Income Tax Disclosures ("ASU 2023-09")</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December 2023, the FASB issued ASU 2023-09 to enhance disclosures about income taxes. The amendments in this ASU require a public entity to disclose in tabular format, using both percentages and reporting currency amounts, specific categories in the rate reconciliation and to provide additional information for reconciling items that meet a quantitative threshold. The amendments in this ASU also require taxes paid (net of refunds received) to be disaggregated by federal, state, and foreign taxes and further disaggregated for specific jurisdictions to the extent the related amounts exceed a quantitative threshold. For public business entities, the provisions of ASU 2023-09, which are required on an annual basis, are effective for fiscal years beginning after December 15, 2024 and can be applied on either a prospective or retrospective basis. The Company expects to adopt this ASU on a prospective basis. The adoption will impact the Company's disclosures but is not expected to have a material impact on the Company's results of operations or financial condition.</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line="255" w:lineRule="auto"/>
        <w:rPr>
          <w:sz w:val="20"/>
          <w:szCs w:val="20"/>
          <w:color w:val="auto"/>
        </w:rPr>
      </w:pPr>
      <w:r>
        <w:rPr>
          <w:rFonts w:ascii="Times New Roman" w:cs="Times New Roman" w:eastAsia="Times New Roman" w:hAnsi="Times New Roman"/>
          <w:sz w:val="18"/>
          <w:szCs w:val="18"/>
          <w:b w:val="1"/>
          <w:bCs w:val="1"/>
          <w:color w:val="auto"/>
        </w:rPr>
        <w:t>ON SEMICONDUCTOR CORPORATION NOTES TO CONSOLIDATED FINANCIAL STATEMENTS - Continued (unaudited)</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 and Legislative Developments</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July 4, 2025, the One Big Beautiful Bill Act (“OBBBA”) was signed into law. The OBBBA includes significant provisions, such as the permanent extension and modification of certain expiring provisions of the Tax Cuts and Jobs Act, modifications to the international tax framework, and the restoration of favorable tax treatment for certain business provisions, which become effective on various dates. The provisions impacting the Company have been reflected in the consolidated financial statements for the quarter ended July 4, 2025, and did not have a material impact. The Company will continue to monitor, assess, and update the potential impact on its consolidated financial statements as new information becomes available. Should future results and forecasts differ from management’s estimates, it is possible there could be future adjustments that may result in an increase or decrease in tax expense, deferred taxes, or valuation allowances in the period such changes in estimates are made.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Acquisition</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January 14, 2025, the Company acquired all of the outstanding equity of the SiC JFET technology business from Qorvo US, Inc., and certain of its subsidiaries, for $118.8 million in cash, subject to working capital adjustments. The Company believes the acquired SiC JFET technology complements the Company's EliteSiC power portfolio within the PSG reportable segment and enables the Company to help address the need for high energy efficiency and power density in the AC-DC stage in power supply units for AI data centers.</w:t>
      </w:r>
    </w:p>
    <w:p>
      <w:pPr>
        <w:spacing w:after="0" w:line="207"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The preliminary allocation of the purchase price to the assets acquired and liabilities assumed, based on their relative fair values, was as follows (in millions):</w:t>
      </w:r>
    </w:p>
    <w:tbl>
      <w:tblPr>
        <w:tblLayout w:type="fixed"/>
        <w:tblInd w:w="20" w:type="dxa"/>
        <w:tblCellMar>
          <w:top w:w="0" w:type="dxa"/>
          <w:left w:w="0" w:type="dxa"/>
          <w:bottom w:w="0" w:type="dxa"/>
          <w:right w:w="0" w:type="dxa"/>
        </w:tblCellMar>
      </w:tblPr>
      <w:tr>
        <w:trPr>
          <w:trHeight w:val="165"/>
        </w:trPr>
        <w:tc>
          <w:tcPr>
            <w:tcW w:w="9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tcPr>
          <w:p>
            <w:pPr>
              <w:jc w:val="right"/>
              <w:ind w:right="211"/>
              <w:spacing w:after="0" w:line="165" w:lineRule="exact"/>
              <w:rPr>
                <w:sz w:val="20"/>
                <w:szCs w:val="20"/>
                <w:color w:val="auto"/>
              </w:rPr>
            </w:pPr>
            <w:r>
              <w:rPr>
                <w:rFonts w:ascii="Times New Roman" w:cs="Times New Roman" w:eastAsia="Times New Roman" w:hAnsi="Times New Roman"/>
                <w:sz w:val="16"/>
                <w:szCs w:val="16"/>
                <w:b w:val="1"/>
                <w:bCs w:val="1"/>
                <w:color w:val="auto"/>
              </w:rPr>
              <w:t>Purchase Price</w:t>
            </w:r>
          </w:p>
        </w:tc>
      </w:tr>
      <w:tr>
        <w:trPr>
          <w:trHeight w:val="214"/>
        </w:trPr>
        <w:tc>
          <w:tcPr>
            <w:tcW w:w="95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Allocation</w:t>
            </w:r>
          </w:p>
        </w:tc>
      </w:tr>
      <w:tr>
        <w:trPr>
          <w:trHeight w:val="225"/>
        </w:trPr>
        <w:tc>
          <w:tcPr>
            <w:tcW w:w="9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29"/>
        </w:trPr>
        <w:tc>
          <w:tcPr>
            <w:tcW w:w="9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r>
      <w:tr>
        <w:trPr>
          <w:trHeight w:val="230"/>
        </w:trPr>
        <w:tc>
          <w:tcPr>
            <w:tcW w:w="9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30"/>
        </w:trPr>
        <w:tc>
          <w:tcPr>
            <w:tcW w:w="9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w:t>
            </w:r>
          </w:p>
        </w:tc>
      </w:tr>
      <w:tr>
        <w:trPr>
          <w:trHeight w:val="230"/>
        </w:trPr>
        <w:tc>
          <w:tcPr>
            <w:tcW w:w="9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w:t>
            </w:r>
          </w:p>
        </w:tc>
      </w:tr>
      <w:tr>
        <w:trPr>
          <w:trHeight w:val="230"/>
        </w:trPr>
        <w:tc>
          <w:tcPr>
            <w:tcW w:w="9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23"/>
        </w:trPr>
        <w:tc>
          <w:tcPr>
            <w:tcW w:w="9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assets acquired</w:t>
            </w: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147.3</w:t>
            </w:r>
          </w:p>
        </w:tc>
      </w:tr>
      <w:tr>
        <w:trPr>
          <w:trHeight w:val="223"/>
        </w:trPr>
        <w:tc>
          <w:tcPr>
            <w:tcW w:w="9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 and other accrued liabilities</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r>
      <w:tr>
        <w:trPr>
          <w:trHeight w:val="230"/>
        </w:trPr>
        <w:tc>
          <w:tcPr>
            <w:tcW w:w="9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23"/>
        </w:trPr>
        <w:tc>
          <w:tcPr>
            <w:tcW w:w="95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liabilities assumed</w:t>
            </w: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w:t>
            </w:r>
          </w:p>
        </w:tc>
      </w:tr>
      <w:tr>
        <w:trPr>
          <w:trHeight w:val="248"/>
        </w:trPr>
        <w:tc>
          <w:tcPr>
            <w:tcW w:w="95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assets acquired/purchase price</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w:t>
            </w:r>
          </w:p>
        </w:tc>
      </w:tr>
      <w:tr>
        <w:trPr>
          <w:trHeight w:val="20"/>
        </w:trPr>
        <w:tc>
          <w:tcPr>
            <w:tcW w:w="95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Acquired intangible assets consisted primarily of developed technology of $56.0 million, customer relationships of $7.0 million and a trade name of $1.0 million.</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goodwill generated from the acquisition is primarily attributable to synergies that are expected to be achieved from the integration of the business and is not deductible for tax purposes. Consistent with the assignment of goodwill, the consolidated results of the acquired business are included within the Company's PSG operating and reportable segment following the acquisition.</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purchase price allocation is considered preliminary as the Company finalizes its determination relating to the valuation of assets and liabilities, including working capital settlement, and finalizes key assumptions, approaches and judgments with respect to intangible assets acquired and the related tax effects.</w:t>
      </w:r>
    </w:p>
    <w:p>
      <w:pPr>
        <w:spacing w:after="0" w:line="20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Unaudited pro-forma consolidated results of operations are not included considering the level of significance of the acquisition to the results of the Company. Acquisition-related costs of approximately $3.0 million were expensed as incurred.</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line="255" w:lineRule="auto"/>
        <w:rPr>
          <w:sz w:val="20"/>
          <w:szCs w:val="20"/>
          <w:color w:val="auto"/>
        </w:rPr>
      </w:pPr>
      <w:r>
        <w:rPr>
          <w:rFonts w:ascii="Times New Roman" w:cs="Times New Roman" w:eastAsia="Times New Roman" w:hAnsi="Times New Roman"/>
          <w:sz w:val="18"/>
          <w:szCs w:val="18"/>
          <w:b w:val="1"/>
          <w:bCs w:val="1"/>
          <w:color w:val="auto"/>
        </w:rPr>
        <w:t>ON SEMICONDUCTOR CORPORATION NOTES TO CONSOLIDATED FINANCIAL STATEMENTS - Continued (unaudited)</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Restructuring, Asset Impairments and Other, Net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Details of restructuring, asset impairments and other, net were as follows (in millions):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4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Restructuring</w:t>
            </w:r>
          </w:p>
        </w:tc>
        <w:tc>
          <w:tcPr>
            <w:tcW w:w="152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Asset Impairments</w:t>
            </w:r>
          </w:p>
        </w:tc>
        <w:tc>
          <w:tcPr>
            <w:tcW w:w="300" w:type="dxa"/>
            <w:vAlign w:val="bottom"/>
          </w:tcPr>
          <w:p>
            <w:pPr>
              <w:spacing w:after="0"/>
              <w:rPr>
                <w:sz w:val="18"/>
                <w:szCs w:val="18"/>
                <w:color w:val="auto"/>
              </w:rPr>
            </w:pPr>
          </w:p>
        </w:tc>
        <w:tc>
          <w:tcPr>
            <w:tcW w:w="120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340" w:type="dxa"/>
            <w:vAlign w:val="bottom"/>
          </w:tcPr>
          <w:p>
            <w:pPr>
              <w:spacing w:after="0"/>
              <w:rPr>
                <w:sz w:val="18"/>
                <w:szCs w:val="18"/>
                <w:color w:val="auto"/>
              </w:rPr>
            </w:pPr>
          </w:p>
        </w:tc>
        <w:tc>
          <w:tcPr>
            <w:tcW w:w="1100" w:type="dxa"/>
            <w:vAlign w:val="bottom"/>
          </w:tcPr>
          <w:p>
            <w:pPr>
              <w:jc w:val="right"/>
              <w:ind w:right="451"/>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3"/>
        </w:trPr>
        <w:tc>
          <w:tcPr>
            <w:tcW w:w="52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Quarter ended July 4, 2025:</w:t>
            </w:r>
          </w:p>
        </w:tc>
        <w:tc>
          <w:tcPr>
            <w:tcW w:w="18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r>
      <w:tr>
        <w:trPr>
          <w:trHeight w:val="230"/>
        </w:trPr>
        <w:tc>
          <w:tcPr>
            <w:tcW w:w="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2025</w:t>
            </w: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Manufacturing Realignment Program</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9"/>
                <w:szCs w:val="19"/>
                <w:color w:val="auto"/>
              </w:rPr>
            </w:pPr>
          </w:p>
        </w:tc>
        <w:tc>
          <w:tcPr>
            <w:tcW w:w="520" w:type="dxa"/>
            <w:vAlign w:val="bottom"/>
          </w:tcPr>
          <w:p>
            <w:pPr>
              <w:jc w:val="right"/>
              <w:ind w:right="33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w:t>
            </w:r>
          </w:p>
        </w:tc>
      </w:tr>
      <w:tr>
        <w:trPr>
          <w:trHeight w:val="229"/>
        </w:trPr>
        <w:tc>
          <w:tcPr>
            <w:tcW w:w="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2024</w:t>
            </w:r>
          </w:p>
        </w:tc>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Business Realignment</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3"/>
        </w:trPr>
        <w:tc>
          <w:tcPr>
            <w:tcW w:w="52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8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w:t>
            </w:r>
          </w:p>
        </w:tc>
      </w:tr>
      <w:tr>
        <w:trPr>
          <w:trHeight w:val="20"/>
        </w:trPr>
        <w:tc>
          <w:tcPr>
            <w:tcW w:w="640" w:type="dxa"/>
            <w:vAlign w:val="bottom"/>
            <w:tcBorders>
              <w:bottom w:val="single" w:sz="8" w:color="CCEEFF"/>
            </w:tcBorders>
          </w:tcPr>
          <w:p>
            <w:pPr>
              <w:spacing w:after="0" w:line="20" w:lineRule="exact"/>
              <w:rPr>
                <w:sz w:val="1"/>
                <w:szCs w:val="1"/>
                <w:color w:val="auto"/>
              </w:rPr>
            </w:pPr>
          </w:p>
        </w:tc>
        <w:tc>
          <w:tcPr>
            <w:tcW w:w="46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37"/>
        </w:trPr>
        <w:tc>
          <w:tcPr>
            <w:tcW w:w="640" w:type="dxa"/>
            <w:vAlign w:val="bottom"/>
            <w:shd w:val="clear" w:color="auto" w:fill="CCEEFF"/>
          </w:tcPr>
          <w:p>
            <w:pPr>
              <w:spacing w:after="0"/>
              <w:rPr>
                <w:sz w:val="20"/>
                <w:szCs w:val="20"/>
                <w:color w:val="auto"/>
              </w:rPr>
            </w:pPr>
          </w:p>
        </w:tc>
        <w:tc>
          <w:tcPr>
            <w:tcW w:w="46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29"/>
        </w:trPr>
        <w:tc>
          <w:tcPr>
            <w:tcW w:w="5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Quarter ended June 28, 2024:</w:t>
            </w: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52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2024 Business Realignment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w:t>
            </w:r>
          </w:p>
        </w:tc>
      </w:tr>
      <w:tr>
        <w:trPr>
          <w:trHeight w:val="229"/>
        </w:trPr>
        <w:tc>
          <w:tcPr>
            <w:tcW w:w="64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7"/>
              </w:rPr>
              <w:t>Other</w:t>
            </w:r>
          </w:p>
        </w:tc>
        <w:tc>
          <w:tcPr>
            <w:tcW w:w="4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48"/>
        </w:trPr>
        <w:tc>
          <w:tcPr>
            <w:tcW w:w="5240" w:type="dxa"/>
            <w:vAlign w:val="bottom"/>
            <w:tcBorders>
              <w:top w:val="single" w:sz="8" w:color="CCEEFF"/>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auto"/>
            </w:tcBorders>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w:t>
            </w:r>
          </w:p>
        </w:tc>
      </w:tr>
      <w:tr>
        <w:trPr>
          <w:trHeight w:val="20"/>
        </w:trPr>
        <w:tc>
          <w:tcPr>
            <w:tcW w:w="640" w:type="dxa"/>
            <w:vAlign w:val="bottom"/>
            <w:tcBorders>
              <w:top w:val="single" w:sz="8" w:color="CCEEFF"/>
            </w:tcBorders>
          </w:tcPr>
          <w:p>
            <w:pPr>
              <w:spacing w:after="0" w:line="20" w:lineRule="exact"/>
              <w:rPr>
                <w:sz w:val="1"/>
                <w:szCs w:val="1"/>
                <w:color w:val="auto"/>
              </w:rPr>
            </w:pPr>
          </w:p>
        </w:tc>
        <w:tc>
          <w:tcPr>
            <w:tcW w:w="46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309"/>
        </w:trPr>
        <w:tc>
          <w:tcPr>
            <w:tcW w:w="64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Restructuring</w:t>
            </w:r>
          </w:p>
        </w:tc>
        <w:tc>
          <w:tcPr>
            <w:tcW w:w="152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Asset Impairments</w:t>
            </w:r>
          </w:p>
        </w:tc>
        <w:tc>
          <w:tcPr>
            <w:tcW w:w="300" w:type="dxa"/>
            <w:vAlign w:val="bottom"/>
          </w:tcPr>
          <w:p>
            <w:pPr>
              <w:spacing w:after="0"/>
              <w:rPr>
                <w:sz w:val="24"/>
                <w:szCs w:val="24"/>
                <w:color w:val="auto"/>
              </w:rPr>
            </w:pPr>
          </w:p>
        </w:tc>
        <w:tc>
          <w:tcPr>
            <w:tcW w:w="120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340" w:type="dxa"/>
            <w:vAlign w:val="bottom"/>
          </w:tcPr>
          <w:p>
            <w:pPr>
              <w:spacing w:after="0"/>
              <w:rPr>
                <w:sz w:val="24"/>
                <w:szCs w:val="24"/>
                <w:color w:val="auto"/>
              </w:rPr>
            </w:pPr>
          </w:p>
        </w:tc>
        <w:tc>
          <w:tcPr>
            <w:tcW w:w="1100" w:type="dxa"/>
            <w:vAlign w:val="bottom"/>
          </w:tcPr>
          <w:p>
            <w:pPr>
              <w:jc w:val="right"/>
              <w:ind w:right="451"/>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2"/>
        </w:trPr>
        <w:tc>
          <w:tcPr>
            <w:tcW w:w="52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Sixth months ended July 4, 2025</w:t>
            </w:r>
          </w:p>
        </w:tc>
        <w:tc>
          <w:tcPr>
            <w:tcW w:w="18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r>
      <w:tr>
        <w:trPr>
          <w:trHeight w:val="229"/>
        </w:trPr>
        <w:tc>
          <w:tcPr>
            <w:tcW w:w="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2025</w:t>
            </w: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Manufacturing Realignment Program</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100" w:type="dxa"/>
            <w:vAlign w:val="bottom"/>
          </w:tcPr>
          <w:p>
            <w:pPr>
              <w:spacing w:after="0"/>
              <w:rPr>
                <w:sz w:val="19"/>
                <w:szCs w:val="19"/>
                <w:color w:val="auto"/>
              </w:rPr>
            </w:pPr>
          </w:p>
        </w:tc>
        <w:tc>
          <w:tcPr>
            <w:tcW w:w="520" w:type="dxa"/>
            <w:vAlign w:val="bottom"/>
          </w:tcPr>
          <w:p>
            <w:pPr>
              <w:jc w:val="right"/>
              <w:ind w:right="33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472.1</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585.7</w:t>
            </w:r>
          </w:p>
        </w:tc>
      </w:tr>
      <w:tr>
        <w:trPr>
          <w:trHeight w:val="230"/>
        </w:trPr>
        <w:tc>
          <w:tcPr>
            <w:tcW w:w="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2024</w:t>
            </w:r>
          </w:p>
        </w:tc>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Business Realignment</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23"/>
        </w:trPr>
        <w:tc>
          <w:tcPr>
            <w:tcW w:w="52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10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472.1</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8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588.5</w:t>
            </w:r>
          </w:p>
        </w:tc>
      </w:tr>
      <w:tr>
        <w:trPr>
          <w:trHeight w:val="20"/>
        </w:trPr>
        <w:tc>
          <w:tcPr>
            <w:tcW w:w="640" w:type="dxa"/>
            <w:vAlign w:val="bottom"/>
            <w:tcBorders>
              <w:bottom w:val="single" w:sz="8" w:color="CCEEFF"/>
            </w:tcBorders>
          </w:tcPr>
          <w:p>
            <w:pPr>
              <w:spacing w:after="0" w:line="20" w:lineRule="exact"/>
              <w:rPr>
                <w:sz w:val="1"/>
                <w:szCs w:val="1"/>
                <w:color w:val="auto"/>
              </w:rPr>
            </w:pPr>
          </w:p>
        </w:tc>
        <w:tc>
          <w:tcPr>
            <w:tcW w:w="46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37"/>
        </w:trPr>
        <w:tc>
          <w:tcPr>
            <w:tcW w:w="640" w:type="dxa"/>
            <w:vAlign w:val="bottom"/>
            <w:shd w:val="clear" w:color="auto" w:fill="CCEEFF"/>
          </w:tcPr>
          <w:p>
            <w:pPr>
              <w:spacing w:after="0"/>
              <w:rPr>
                <w:sz w:val="20"/>
                <w:szCs w:val="20"/>
                <w:color w:val="auto"/>
              </w:rPr>
            </w:pPr>
          </w:p>
        </w:tc>
        <w:tc>
          <w:tcPr>
            <w:tcW w:w="46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29"/>
        </w:trPr>
        <w:tc>
          <w:tcPr>
            <w:tcW w:w="5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Sixth months ended June 28, 2024</w:t>
            </w: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52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2024 Business Realignment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w:t>
            </w:r>
          </w:p>
        </w:tc>
      </w:tr>
      <w:tr>
        <w:trPr>
          <w:trHeight w:val="229"/>
        </w:trPr>
        <w:tc>
          <w:tcPr>
            <w:tcW w:w="64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7"/>
              </w:rPr>
              <w:t>Other</w:t>
            </w:r>
          </w:p>
        </w:tc>
        <w:tc>
          <w:tcPr>
            <w:tcW w:w="4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48"/>
        </w:trPr>
        <w:tc>
          <w:tcPr>
            <w:tcW w:w="5240" w:type="dxa"/>
            <w:vAlign w:val="bottom"/>
            <w:tcBorders>
              <w:top w:val="single" w:sz="8" w:color="CCEEFF"/>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auto"/>
            </w:tcBorders>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w:t>
            </w:r>
          </w:p>
        </w:tc>
      </w:tr>
      <w:tr>
        <w:trPr>
          <w:trHeight w:val="20"/>
        </w:trPr>
        <w:tc>
          <w:tcPr>
            <w:tcW w:w="640" w:type="dxa"/>
            <w:vAlign w:val="bottom"/>
            <w:tcBorders>
              <w:top w:val="single" w:sz="8" w:color="CCEEFF"/>
            </w:tcBorders>
          </w:tcPr>
          <w:p>
            <w:pPr>
              <w:spacing w:after="0" w:line="20" w:lineRule="exact"/>
              <w:rPr>
                <w:sz w:val="1"/>
                <w:szCs w:val="1"/>
                <w:color w:val="auto"/>
              </w:rPr>
            </w:pPr>
          </w:p>
        </w:tc>
        <w:tc>
          <w:tcPr>
            <w:tcW w:w="46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changes in the accrued restructuring balance by program was as follows (in millions):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0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w w:val="96"/>
              </w:rPr>
              <w:t>As of</w:t>
            </w:r>
          </w:p>
        </w:tc>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ind w:right="454"/>
              <w:spacing w:after="0"/>
              <w:rPr>
                <w:sz w:val="20"/>
                <w:szCs w:val="20"/>
                <w:color w:val="auto"/>
              </w:rPr>
            </w:pPr>
            <w:r>
              <w:rPr>
                <w:rFonts w:ascii="Times New Roman" w:cs="Times New Roman" w:eastAsia="Times New Roman" w:hAnsi="Times New Roman"/>
                <w:sz w:val="16"/>
                <w:szCs w:val="16"/>
                <w:b w:val="1"/>
                <w:bCs w:val="1"/>
                <w:color w:val="auto"/>
              </w:rPr>
              <w:t>As of</w:t>
            </w:r>
          </w:p>
        </w:tc>
      </w:tr>
      <w:tr>
        <w:trPr>
          <w:trHeight w:val="219"/>
        </w:trPr>
        <w:tc>
          <w:tcPr>
            <w:tcW w:w="40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52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Charges</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Usage</w:t>
            </w:r>
          </w:p>
        </w:tc>
        <w:tc>
          <w:tcPr>
            <w:tcW w:w="220" w:type="dxa"/>
            <w:vAlign w:val="bottom"/>
          </w:tcPr>
          <w:p>
            <w:pPr>
              <w:spacing w:after="0"/>
              <w:rPr>
                <w:sz w:val="19"/>
                <w:szCs w:val="19"/>
                <w:color w:val="auto"/>
              </w:rPr>
            </w:pPr>
          </w:p>
        </w:tc>
        <w:tc>
          <w:tcPr>
            <w:tcW w:w="1220" w:type="dxa"/>
            <w:vAlign w:val="bottom"/>
          </w:tcPr>
          <w:p>
            <w:pPr>
              <w:jc w:val="right"/>
              <w:ind w:right="214"/>
              <w:spacing w:after="0"/>
              <w:rPr>
                <w:sz w:val="20"/>
                <w:szCs w:val="20"/>
                <w:color w:val="auto"/>
              </w:rPr>
            </w:pPr>
            <w:r>
              <w:rPr>
                <w:rFonts w:ascii="Times New Roman" w:cs="Times New Roman" w:eastAsia="Times New Roman" w:hAnsi="Times New Roman"/>
                <w:sz w:val="16"/>
                <w:szCs w:val="16"/>
                <w:b w:val="1"/>
                <w:bCs w:val="1"/>
                <w:color w:val="auto"/>
              </w:rPr>
              <w:t>July 4, 2025</w:t>
            </w:r>
          </w:p>
        </w:tc>
      </w:tr>
      <w:tr>
        <w:trPr>
          <w:trHeight w:val="226"/>
        </w:trPr>
        <w:tc>
          <w:tcPr>
            <w:tcW w:w="4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2025</w:t>
            </w:r>
          </w:p>
        </w:tc>
        <w:tc>
          <w:tcPr>
            <w:tcW w:w="484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Manufacturing Realignment Program</w:t>
            </w:r>
          </w:p>
        </w:tc>
        <w:tc>
          <w:tcPr>
            <w:tcW w:w="32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ind w:right="833"/>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30"/>
        </w:trPr>
        <w:tc>
          <w:tcPr>
            <w:tcW w:w="4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99"/>
              </w:rPr>
              <w:t>2024</w:t>
            </w:r>
          </w:p>
        </w:tc>
        <w:tc>
          <w:tcPr>
            <w:tcW w:w="48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Business Realignment</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1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w:t>
            </w:r>
          </w:p>
        </w:tc>
      </w:tr>
      <w:tr>
        <w:trPr>
          <w:trHeight w:val="248"/>
        </w:trPr>
        <w:tc>
          <w:tcPr>
            <w:tcW w:w="524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833"/>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w:t>
            </w:r>
          </w:p>
        </w:tc>
      </w:tr>
      <w:tr>
        <w:trPr>
          <w:trHeight w:val="20"/>
        </w:trPr>
        <w:tc>
          <w:tcPr>
            <w:tcW w:w="400" w:type="dxa"/>
            <w:vAlign w:val="bottom"/>
            <w:tcBorders>
              <w:top w:val="single" w:sz="8" w:color="CCEEFF"/>
            </w:tcBorders>
          </w:tcPr>
          <w:p>
            <w:pPr>
              <w:spacing w:after="0" w:line="20" w:lineRule="exact"/>
              <w:rPr>
                <w:sz w:val="1"/>
                <w:szCs w:val="1"/>
                <w:color w:val="auto"/>
              </w:rPr>
            </w:pPr>
          </w:p>
        </w:tc>
        <w:tc>
          <w:tcPr>
            <w:tcW w:w="48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2025 Manufacturing Realignment Program</w:t>
      </w:r>
    </w:p>
    <w:p>
      <w:pPr>
        <w:spacing w:after="0" w:line="24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During the first quarter of 2025, the Company announced restructuring and cost reduction initiatives based on an evaluation of its operating structure, business strategy, manufacturing technologies and internal capabilities to realign internal manufacturing capacity and capabilities with anticipated long-term needs. The program also included certain business strategy changes primarily related to headcount reductions in the sales and engineering teams within the ISG reportable segment. These initiatives resulted in a reduction of global workforce, impairments of certain long-lived assets that met the held-for-sale criteria, inventory obsolescence and certain other charges during the quarter ended July 4, 2025.</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Restructuring</w:t>
      </w:r>
    </w:p>
    <w:p>
      <w:pPr>
        <w:spacing w:after="0" w:line="22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Restructuring charges include estimated severance payments and related benefit expenses for employees who were notified of their employment termination or terminated during the period.</w:t>
      </w:r>
    </w:p>
    <w:p>
      <w:pPr>
        <w:spacing w:after="0" w:line="18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On February 24, 2025, the Company initiated a restructuring plan that involves reducing its global workforce by approximately 2,400 employees, and in connection with such plan, the Company expects to incur total severance and other related benefit expenses of approximately $64 million. Of this, approximately $2.9 million and $63.1 million was recognized during the</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line="255" w:lineRule="auto"/>
        <w:rPr>
          <w:sz w:val="20"/>
          <w:szCs w:val="20"/>
          <w:color w:val="auto"/>
        </w:rPr>
      </w:pPr>
      <w:r>
        <w:rPr>
          <w:rFonts w:ascii="Times New Roman" w:cs="Times New Roman" w:eastAsia="Times New Roman" w:hAnsi="Times New Roman"/>
          <w:sz w:val="18"/>
          <w:szCs w:val="18"/>
          <w:b w:val="1"/>
          <w:bCs w:val="1"/>
          <w:color w:val="auto"/>
        </w:rPr>
        <w:t>ON SEMICONDUCTOR CORPORATION NOTES TO CONSOLIDATED FINANCIAL STATEMENTS - Continued (unaudited)</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quarter and six months ended July 4, 2025, respectively. Substantially all of the remaining charges are expected to be recognized during 2025.</w:t>
      </w:r>
    </w:p>
    <w:p>
      <w:pPr>
        <w:spacing w:after="0" w:line="23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Of the aggregate expenses relating to the actions announced so far in 2025, the Company paid approximately $54.0 million to approximately 2,300 terminated employees and had approximately $9.1 million accrued as of July 4, 2025. The remaining employees subject to this restructuring program are expected to be terminated over the next 12 months and substantially all applicable severance and benefit payments are expected to be paid over the same time period.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Asset Impairment</w:t>
      </w:r>
    </w:p>
    <w:p>
      <w:pPr>
        <w:spacing w:after="0" w:line="241"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The Company recorded impairment charges of $40.6 million and $472.1 million during the quarter and six months ended July 4, 2025, respectively, related to previous investments in manufacturing equipment at certain manufacturing facilities pursuant to held-for-sale accounting guidance. During each respective quarter of 2025, it was determined that the assets identified by the Company met all criteria to be classified as assets held-for-sale with the expectation that these assets would be disposed of within 12 months from the date impairment was identified. The impairment charges were determined as the difference between the carrying value of these long-lived assets and their estimated fair values, less estimated costs to sell such assets. Fair values were determined primarily using unobservable inputs such as estimated sales prices based on available market prices, underlying equipment condition and market demand for similar equipment, inputs categorized as Level 3 within the fair value hierarchy. The Company utilized a third-party valuation specialist to assist in the determination of assets held-for-sale.</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Additional impairment charges for manufacturing equipment may be incurred in future periods pursuant to the timing of meeting the necessary criteria for being classified as held-for-sale.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w:t>
      </w:r>
    </w:p>
    <w:p>
      <w:pPr>
        <w:spacing w:after="0" w:line="24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Other charges noted in the table above of $5.6 million and $50.5 million for the quarter and six months ended July 4, 2025, respectively, consisted primarily of estimated costs associated with selling the equipment and contract termination costs related to adjusting the Company's operating structure in connection with the 2025 Manufacturing Realignment Program. The estimated costs associated with selling equipment of $7.3 million and $35.6 million for the quarter and six months ended July 4, 2025, respectively, were primarily comprised of dismantling costs and brokerage fees which have not yet been paid and are included within Accrued expenses and other current liabilities on the Consolidated Balance Sheet.</w:t>
      </w:r>
    </w:p>
    <w:p>
      <w:pPr>
        <w:spacing w:after="0" w:line="21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During the six months ended July 4, 2025, the Company also recorded $45.7 million related to the write-off of consumables, manufacturing supplies and obligations for certain unfulfilled purchase commitments due to the manufacturing capacity reduction actions taken under the 2025 Manufacturing Realignment Program. These charges were recorded within Cost of revenue in the Consolidated Statement of Operations.</w:t>
      </w:r>
    </w:p>
    <w:p>
      <w:pPr>
        <w:spacing w:after="0" w:line="20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During the six months ended July 4, 2025, the Company recorded $235.8 million related to excess and obsolete inventory charges. Of the total reserves recorded, $230.3 million related to inventory primarily considered work in progress within the ISG reportable segment as a result of changes in business strategy due to the 2025 Manufacturing Realignment Program. These charges were recorded within Cost of revenue in the Consolidated Statement of Operations.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continues to evaluate for potential operating improvements and efficiencies.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line="255" w:lineRule="auto"/>
        <w:rPr>
          <w:sz w:val="20"/>
          <w:szCs w:val="20"/>
          <w:color w:val="auto"/>
        </w:rPr>
      </w:pPr>
      <w:r>
        <w:rPr>
          <w:rFonts w:ascii="Times New Roman" w:cs="Times New Roman" w:eastAsia="Times New Roman" w:hAnsi="Times New Roman"/>
          <w:sz w:val="18"/>
          <w:szCs w:val="18"/>
          <w:b w:val="1"/>
          <w:bCs w:val="1"/>
          <w:color w:val="auto"/>
        </w:rPr>
        <w:t>ON SEMICONDUCTOR CORPORATION NOTES TO CONSOLIDATED FINANCIAL STATEMENTS - Continued (unaudited)</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Balance Sheet Information and Other Supplemental Disclosures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Goodwill is tested for impairment annually on the first day of the fourth quarter, or more frequently, if events or changes in circumstances would more likely-than-not reduce the fair value of a reporting unit below its carrying value.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goodwill by operating and reportable segments (in millions):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300" w:type="dxa"/>
            <w:vAlign w:val="bottom"/>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30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July 4, 2025</w:t>
            </w: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4"/>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2300" w:type="dxa"/>
            <w:vAlign w:val="bottom"/>
          </w:tcPr>
          <w:p>
            <w:pPr>
              <w:spacing w:after="0"/>
              <w:rPr>
                <w:sz w:val="13"/>
                <w:szCs w:val="13"/>
                <w:color w:val="auto"/>
              </w:rPr>
            </w:pPr>
          </w:p>
        </w:tc>
        <w:tc>
          <w:tcPr>
            <w:tcW w:w="1500" w:type="dxa"/>
            <w:vAlign w:val="bottom"/>
            <w:gridSpan w:val="3"/>
            <w:vMerge w:val="restart"/>
          </w:tcPr>
          <w:p>
            <w:pPr>
              <w:ind w:left="380"/>
              <w:spacing w:after="0"/>
              <w:rPr>
                <w:sz w:val="20"/>
                <w:szCs w:val="20"/>
                <w:color w:val="auto"/>
              </w:rPr>
            </w:pPr>
            <w:r>
              <w:rPr>
                <w:rFonts w:ascii="Times New Roman" w:cs="Times New Roman" w:eastAsia="Times New Roman" w:hAnsi="Times New Roman"/>
                <w:sz w:val="16"/>
                <w:szCs w:val="16"/>
                <w:b w:val="1"/>
                <w:bCs w:val="1"/>
                <w:color w:val="auto"/>
              </w:rPr>
              <w:t>Goodwill</w:t>
            </w:r>
          </w:p>
        </w:tc>
        <w:tc>
          <w:tcPr>
            <w:tcW w:w="180" w:type="dxa"/>
            <w:vAlign w:val="bottom"/>
          </w:tcPr>
          <w:p>
            <w:pPr>
              <w:spacing w:after="0"/>
              <w:rPr>
                <w:sz w:val="13"/>
                <w:szCs w:val="13"/>
                <w:color w:val="auto"/>
              </w:rPr>
            </w:pPr>
          </w:p>
        </w:tc>
        <w:tc>
          <w:tcPr>
            <w:tcW w:w="1340" w:type="dxa"/>
            <w:vAlign w:val="bottom"/>
            <w:gridSpan w:val="2"/>
          </w:tcPr>
          <w:p>
            <w:pPr>
              <w:jc w:val="center"/>
              <w:ind w:right="280"/>
              <w:spacing w:after="0" w:line="158" w:lineRule="exact"/>
              <w:rPr>
                <w:sz w:val="20"/>
                <w:szCs w:val="20"/>
                <w:color w:val="auto"/>
              </w:rPr>
            </w:pPr>
            <w:r>
              <w:rPr>
                <w:rFonts w:ascii="Times New Roman" w:cs="Times New Roman" w:eastAsia="Times New Roman" w:hAnsi="Times New Roman"/>
                <w:sz w:val="16"/>
                <w:szCs w:val="16"/>
                <w:b w:val="1"/>
                <w:bCs w:val="1"/>
                <w:color w:val="auto"/>
                <w:w w:val="99"/>
              </w:rPr>
              <w:t>Accumulated</w:t>
            </w:r>
          </w:p>
        </w:tc>
        <w:tc>
          <w:tcPr>
            <w:tcW w:w="140" w:type="dxa"/>
            <w:vAlign w:val="bottom"/>
          </w:tcPr>
          <w:p>
            <w:pPr>
              <w:spacing w:after="0"/>
              <w:rPr>
                <w:sz w:val="13"/>
                <w:szCs w:val="13"/>
                <w:color w:val="auto"/>
              </w:rPr>
            </w:pPr>
          </w:p>
        </w:tc>
        <w:tc>
          <w:tcPr>
            <w:tcW w:w="13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Carrying Value</w:t>
            </w:r>
          </w:p>
        </w:tc>
        <w:tc>
          <w:tcPr>
            <w:tcW w:w="260" w:type="dxa"/>
            <w:vAlign w:val="bottom"/>
          </w:tcPr>
          <w:p>
            <w:pPr>
              <w:spacing w:after="0"/>
              <w:rPr>
                <w:sz w:val="13"/>
                <w:szCs w:val="13"/>
                <w:color w:val="auto"/>
              </w:rPr>
            </w:pPr>
          </w:p>
        </w:tc>
        <w:tc>
          <w:tcPr>
            <w:tcW w:w="12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Goodwill</w:t>
            </w:r>
          </w:p>
        </w:tc>
        <w:tc>
          <w:tcPr>
            <w:tcW w:w="160" w:type="dxa"/>
            <w:vAlign w:val="bottom"/>
          </w:tcPr>
          <w:p>
            <w:pPr>
              <w:spacing w:after="0"/>
              <w:rPr>
                <w:sz w:val="13"/>
                <w:szCs w:val="13"/>
                <w:color w:val="auto"/>
              </w:rPr>
            </w:pPr>
          </w:p>
        </w:tc>
        <w:tc>
          <w:tcPr>
            <w:tcW w:w="1340" w:type="dxa"/>
            <w:vAlign w:val="bottom"/>
            <w:gridSpan w:val="3"/>
          </w:tcPr>
          <w:p>
            <w:pPr>
              <w:jc w:val="center"/>
              <w:ind w:right="260"/>
              <w:spacing w:after="0" w:line="158"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140" w:type="dxa"/>
            <w:vAlign w:val="bottom"/>
          </w:tcPr>
          <w:p>
            <w:pPr>
              <w:spacing w:after="0"/>
              <w:rPr>
                <w:sz w:val="13"/>
                <w:szCs w:val="13"/>
                <w:color w:val="auto"/>
              </w:rPr>
            </w:pPr>
          </w:p>
        </w:tc>
        <w:tc>
          <w:tcPr>
            <w:tcW w:w="1280" w:type="dxa"/>
            <w:vAlign w:val="bottom"/>
            <w:vMerge w:val="restart"/>
          </w:tcPr>
          <w:p>
            <w:pPr>
              <w:jc w:val="right"/>
              <w:ind w:right="91"/>
              <w:spacing w:after="0"/>
              <w:rPr>
                <w:sz w:val="20"/>
                <w:szCs w:val="20"/>
                <w:color w:val="auto"/>
              </w:rPr>
            </w:pPr>
            <w:r>
              <w:rPr>
                <w:rFonts w:ascii="Times New Roman" w:cs="Times New Roman" w:eastAsia="Times New Roman" w:hAnsi="Times New Roman"/>
                <w:sz w:val="16"/>
                <w:szCs w:val="16"/>
                <w:b w:val="1"/>
                <w:bCs w:val="1"/>
                <w:color w:val="auto"/>
              </w:rPr>
              <w:t>Carrying Value</w:t>
            </w:r>
          </w:p>
        </w:tc>
        <w:tc>
          <w:tcPr>
            <w:tcW w:w="0" w:type="dxa"/>
            <w:vAlign w:val="bottom"/>
          </w:tcPr>
          <w:p>
            <w:pPr>
              <w:spacing w:after="0"/>
              <w:rPr>
                <w:sz w:val="1"/>
                <w:szCs w:val="1"/>
                <w:color w:val="auto"/>
              </w:rPr>
            </w:pPr>
          </w:p>
        </w:tc>
      </w:tr>
      <w:tr>
        <w:trPr>
          <w:trHeight w:val="214"/>
        </w:trPr>
        <w:tc>
          <w:tcPr>
            <w:tcW w:w="230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Operating and Reportable</w:t>
            </w:r>
          </w:p>
        </w:tc>
        <w:tc>
          <w:tcPr>
            <w:tcW w:w="1500" w:type="dxa"/>
            <w:vAlign w:val="bottom"/>
            <w:gridSpan w:val="3"/>
            <w:vMerge w:val="continue"/>
          </w:tcPr>
          <w:p>
            <w:pPr>
              <w:spacing w:after="0"/>
              <w:rPr>
                <w:sz w:val="18"/>
                <w:szCs w:val="18"/>
                <w:color w:val="auto"/>
              </w:rPr>
            </w:pPr>
          </w:p>
        </w:tc>
        <w:tc>
          <w:tcPr>
            <w:tcW w:w="152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Impairment Losses</w:t>
            </w:r>
          </w:p>
        </w:tc>
        <w:tc>
          <w:tcPr>
            <w:tcW w:w="14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1500" w:type="dxa"/>
            <w:vAlign w:val="bottom"/>
            <w:gridSpan w:val="4"/>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Impairment Losses</w:t>
            </w:r>
          </w:p>
        </w:tc>
        <w:tc>
          <w:tcPr>
            <w:tcW w:w="140" w:type="dxa"/>
            <w:vAlign w:val="bottom"/>
          </w:tcPr>
          <w:p>
            <w:pPr>
              <w:spacing w:after="0"/>
              <w:rPr>
                <w:sz w:val="18"/>
                <w:szCs w:val="18"/>
                <w:color w:val="auto"/>
              </w:rPr>
            </w:pPr>
          </w:p>
        </w:tc>
        <w:tc>
          <w:tcPr>
            <w:tcW w:w="12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2300" w:type="dxa"/>
            <w:vAlign w:val="bottom"/>
            <w:vMerge w:val="continue"/>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40"/>
        </w:trPr>
        <w:tc>
          <w:tcPr>
            <w:tcW w:w="23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Segments:</w:t>
            </w: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2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AMG</w:t>
            </w:r>
          </w:p>
        </w:tc>
        <w:tc>
          <w:tcPr>
            <w:tcW w:w="680" w:type="dxa"/>
            <w:vAlign w:val="bottom"/>
            <w:shd w:val="clear" w:color="auto" w:fill="CCEEFF"/>
          </w:tcPr>
          <w:p>
            <w:pPr>
              <w:jc w:val="right"/>
              <w:ind w:right="473"/>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1,562.3</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(748.9)</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813.4</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1,562.3</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(748.9)</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813.4</w:t>
            </w:r>
          </w:p>
        </w:tc>
        <w:tc>
          <w:tcPr>
            <w:tcW w:w="0" w:type="dxa"/>
            <w:vAlign w:val="bottom"/>
          </w:tcPr>
          <w:p>
            <w:pPr>
              <w:spacing w:after="0"/>
              <w:rPr>
                <w:sz w:val="1"/>
                <w:szCs w:val="1"/>
                <w:color w:val="auto"/>
              </w:rPr>
            </w:pPr>
          </w:p>
        </w:tc>
      </w:tr>
      <w:tr>
        <w:trPr>
          <w:trHeight w:val="229"/>
        </w:trPr>
        <w:tc>
          <w:tcPr>
            <w:tcW w:w="2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PSG</w:t>
            </w:r>
          </w:p>
        </w:tc>
        <w:tc>
          <w:tcPr>
            <w:tcW w:w="6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650.2</w:t>
            </w:r>
          </w:p>
        </w:tc>
        <w:tc>
          <w:tcPr>
            <w:tcW w:w="0" w:type="dxa"/>
            <w:vAlign w:val="bottom"/>
          </w:tcPr>
          <w:p>
            <w:pPr>
              <w:spacing w:after="0"/>
              <w:rPr>
                <w:sz w:val="1"/>
                <w:szCs w:val="1"/>
                <w:color w:val="auto"/>
              </w:rPr>
            </w:pPr>
          </w:p>
        </w:tc>
      </w:tr>
      <w:tr>
        <w:trPr>
          <w:trHeight w:val="230"/>
        </w:trPr>
        <w:tc>
          <w:tcPr>
            <w:tcW w:w="2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ISG</w:t>
            </w:r>
          </w:p>
        </w:tc>
        <w:tc>
          <w:tcPr>
            <w:tcW w:w="6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gridSpan w:val="3"/>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w:t>
            </w:r>
          </w:p>
        </w:tc>
        <w:tc>
          <w:tcPr>
            <w:tcW w:w="0" w:type="dxa"/>
            <w:vAlign w:val="bottom"/>
          </w:tcPr>
          <w:p>
            <w:pPr>
              <w:spacing w:after="0"/>
              <w:rPr>
                <w:sz w:val="1"/>
                <w:szCs w:val="1"/>
                <w:color w:val="auto"/>
              </w:rPr>
            </w:pPr>
          </w:p>
        </w:tc>
      </w:tr>
      <w:tr>
        <w:trPr>
          <w:trHeight w:val="223"/>
        </w:trPr>
        <w:tc>
          <w:tcPr>
            <w:tcW w:w="23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w:t>
            </w:r>
          </w:p>
        </w:tc>
        <w:tc>
          <w:tcPr>
            <w:tcW w:w="680" w:type="dxa"/>
            <w:vAlign w:val="bottom"/>
            <w:tcBorders>
              <w:top w:val="single" w:sz="8" w:color="auto"/>
              <w:bottom w:val="single" w:sz="8" w:color="auto"/>
            </w:tcBorders>
          </w:tcPr>
          <w:p>
            <w:pPr>
              <w:jc w:val="right"/>
              <w:ind w:right="473"/>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2,422.4</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(780.8)</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1,641.6</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2,368.7</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(780.8)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1,587.9</w:t>
            </w:r>
          </w:p>
        </w:tc>
        <w:tc>
          <w:tcPr>
            <w:tcW w:w="0" w:type="dxa"/>
            <w:vAlign w:val="bottom"/>
          </w:tcPr>
          <w:p>
            <w:pPr>
              <w:spacing w:after="0"/>
              <w:rPr>
                <w:sz w:val="1"/>
                <w:szCs w:val="1"/>
                <w:color w:val="auto"/>
              </w:rPr>
            </w:pPr>
          </w:p>
        </w:tc>
      </w:tr>
      <w:tr>
        <w:trPr>
          <w:trHeight w:val="21"/>
        </w:trPr>
        <w:tc>
          <w:tcPr>
            <w:tcW w:w="2300" w:type="dxa"/>
            <w:vAlign w:val="bottom"/>
          </w:tcPr>
          <w:p>
            <w:pPr>
              <w:spacing w:after="0" w:line="20" w:lineRule="exact"/>
              <w:rPr>
                <w:sz w:val="1"/>
                <w:szCs w:val="1"/>
                <w:color w:val="auto"/>
              </w:rPr>
            </w:pPr>
          </w:p>
        </w:tc>
        <w:tc>
          <w:tcPr>
            <w:tcW w:w="14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832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The change in the goodwill balance from December 31, 2024 to July 4, 2025 was as follows (in millions):</w:t>
            </w: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980" w:type="dxa"/>
            <w:vAlign w:val="bottom"/>
            <w:gridSpan w:val="2"/>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balance as of December 31, 2024</w:t>
            </w: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1,587.9</w:t>
            </w:r>
          </w:p>
        </w:tc>
        <w:tc>
          <w:tcPr>
            <w:tcW w:w="0" w:type="dxa"/>
            <w:vAlign w:val="bottom"/>
          </w:tcPr>
          <w:p>
            <w:pPr>
              <w:spacing w:after="0"/>
              <w:rPr>
                <w:sz w:val="1"/>
                <w:szCs w:val="1"/>
                <w:color w:val="auto"/>
              </w:rPr>
            </w:pPr>
          </w:p>
        </w:tc>
      </w:tr>
      <w:tr>
        <w:trPr>
          <w:trHeight w:val="230"/>
        </w:trPr>
        <w:tc>
          <w:tcPr>
            <w:tcW w:w="29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Addition related to business acquisition</w:t>
            </w:r>
          </w:p>
        </w:tc>
        <w:tc>
          <w:tcPr>
            <w:tcW w:w="7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0" w:type="dxa"/>
            <w:vAlign w:val="bottom"/>
          </w:tcPr>
          <w:p>
            <w:pPr>
              <w:spacing w:after="0"/>
              <w:rPr>
                <w:sz w:val="1"/>
                <w:szCs w:val="1"/>
                <w:color w:val="auto"/>
              </w:rPr>
            </w:pPr>
          </w:p>
        </w:tc>
      </w:tr>
      <w:tr>
        <w:trPr>
          <w:trHeight w:val="248"/>
        </w:trPr>
        <w:tc>
          <w:tcPr>
            <w:tcW w:w="298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balance as of July 4, 2025</w:t>
            </w: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1,641.6</w:t>
            </w:r>
          </w:p>
        </w:tc>
        <w:tc>
          <w:tcPr>
            <w:tcW w:w="0" w:type="dxa"/>
            <w:vAlign w:val="bottom"/>
          </w:tcPr>
          <w:p>
            <w:pPr>
              <w:spacing w:after="0"/>
              <w:rPr>
                <w:sz w:val="1"/>
                <w:szCs w:val="1"/>
                <w:color w:val="auto"/>
              </w:rPr>
            </w:pPr>
          </w:p>
        </w:tc>
      </w:tr>
      <w:tr>
        <w:trPr>
          <w:trHeight w:val="20"/>
        </w:trPr>
        <w:tc>
          <w:tcPr>
            <w:tcW w:w="23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See Note 4: ''Acquisition'' for further discussion on the acquisition of the SiC JFET technology business from Qorvo US, Inc., and certain of its subsidiaries within the PSG operating and reportable segment.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Details of inventories were as follows (in millions):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3"/>
          </w:tcPr>
          <w:p>
            <w:pPr>
              <w:jc w:val="right"/>
              <w:ind w:right="253"/>
              <w:spacing w:after="0"/>
              <w:rPr>
                <w:sz w:val="20"/>
                <w:szCs w:val="20"/>
                <w:color w:val="auto"/>
              </w:rPr>
            </w:pPr>
            <w:r>
              <w:rPr>
                <w:rFonts w:ascii="Times New Roman" w:cs="Times New Roman" w:eastAsia="Times New Roman" w:hAnsi="Times New Roman"/>
                <w:sz w:val="16"/>
                <w:szCs w:val="16"/>
                <w:b w:val="1"/>
                <w:bCs w:val="1"/>
                <w:color w:val="auto"/>
              </w:rPr>
              <w:t>As of</w:t>
            </w:r>
          </w:p>
        </w:tc>
        <w:tc>
          <w:tcPr>
            <w:tcW w:w="960" w:type="dxa"/>
            <w:vAlign w:val="bottom"/>
            <w:tcBorders>
              <w:bottom w:val="single" w:sz="8" w:color="auto"/>
            </w:tcBorders>
          </w:tcPr>
          <w:p>
            <w:pPr>
              <w:spacing w:after="0"/>
              <w:rPr>
                <w:sz w:val="18"/>
                <w:szCs w:val="18"/>
                <w:color w:val="auto"/>
              </w:rPr>
            </w:pPr>
          </w:p>
        </w:tc>
      </w:tr>
      <w:tr>
        <w:trPr>
          <w:trHeight w:val="211"/>
        </w:trPr>
        <w:tc>
          <w:tcPr>
            <w:tcW w:w="8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July 4, 2025</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11"/>
        </w:trPr>
        <w:tc>
          <w:tcPr>
            <w:tcW w:w="8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2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r>
      <w:tr>
        <w:trPr>
          <w:trHeight w:val="229"/>
        </w:trPr>
        <w:tc>
          <w:tcPr>
            <w:tcW w:w="8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Raw materials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290.9</w:t>
            </w:r>
          </w:p>
        </w:tc>
        <w:tc>
          <w:tcPr>
            <w:tcW w:w="80" w:type="dxa"/>
            <w:vAlign w:val="bottom"/>
          </w:tcPr>
          <w:p>
            <w:pPr>
              <w:spacing w:after="0"/>
              <w:rPr>
                <w:sz w:val="19"/>
                <w:szCs w:val="19"/>
                <w:color w:val="auto"/>
              </w:rPr>
            </w:pPr>
          </w:p>
        </w:tc>
        <w:tc>
          <w:tcPr>
            <w:tcW w:w="480" w:type="dxa"/>
            <w:vAlign w:val="bottom"/>
          </w:tcPr>
          <w:p>
            <w:pPr>
              <w:jc w:val="right"/>
              <w:ind w:right="273"/>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349.8</w:t>
            </w:r>
          </w:p>
        </w:tc>
      </w:tr>
      <w:tr>
        <w:trPr>
          <w:trHeight w:val="230"/>
        </w:trPr>
        <w:tc>
          <w:tcPr>
            <w:tcW w:w="8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Work in process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1,389.2</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1,391.9</w:t>
            </w:r>
          </w:p>
        </w:tc>
      </w:tr>
      <w:tr>
        <w:trPr>
          <w:trHeight w:val="230"/>
        </w:trPr>
        <w:tc>
          <w:tcPr>
            <w:tcW w:w="82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Finished goods</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407.0</w:t>
            </w: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500.3</w:t>
            </w:r>
          </w:p>
        </w:tc>
      </w:tr>
      <w:tr>
        <w:trPr>
          <w:trHeight w:val="248"/>
        </w:trPr>
        <w:tc>
          <w:tcPr>
            <w:tcW w:w="82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2,087.1</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3"/>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2,242.0</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line="255" w:lineRule="auto"/>
        <w:rPr>
          <w:sz w:val="20"/>
          <w:szCs w:val="20"/>
          <w:color w:val="auto"/>
        </w:rPr>
      </w:pPr>
      <w:r>
        <w:rPr>
          <w:rFonts w:ascii="Times New Roman" w:cs="Times New Roman" w:eastAsia="Times New Roman" w:hAnsi="Times New Roman"/>
          <w:sz w:val="18"/>
          <w:szCs w:val="18"/>
          <w:b w:val="1"/>
          <w:bCs w:val="1"/>
          <w:color w:val="auto"/>
        </w:rPr>
        <w:t>ON SEMICONDUCTOR CORPORATION NOTES TO CONSOLIDATED FINANCIAL STATEMENTS - Continued (unaudited)</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Plant and Equipment, net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Details of property, plant and equipment, net were as follows (in millions):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3"/>
          </w:tcPr>
          <w:p>
            <w:pPr>
              <w:jc w:val="right"/>
              <w:ind w:right="213"/>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000" w:type="dxa"/>
            <w:vAlign w:val="bottom"/>
            <w:tcBorders>
              <w:bottom w:val="single" w:sz="8" w:color="auto"/>
            </w:tcBorders>
          </w:tcPr>
          <w:p>
            <w:pPr>
              <w:spacing w:after="0"/>
              <w:rPr>
                <w:sz w:val="18"/>
                <w:szCs w:val="18"/>
                <w:color w:val="auto"/>
              </w:rPr>
            </w:pPr>
          </w:p>
        </w:tc>
      </w:tr>
      <w:tr>
        <w:trPr>
          <w:trHeight w:val="211"/>
        </w:trPr>
        <w:tc>
          <w:tcPr>
            <w:tcW w:w="8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July 4, 2025</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25"/>
        </w:trPr>
        <w:tc>
          <w:tcPr>
            <w:tcW w:w="8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116.5</w:t>
            </w:r>
          </w:p>
        </w:tc>
        <w:tc>
          <w:tcPr>
            <w:tcW w:w="8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33"/>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w:t>
            </w:r>
          </w:p>
        </w:tc>
      </w:tr>
      <w:tr>
        <w:trPr>
          <w:trHeight w:val="229"/>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1,502.2</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1,423.2</w:t>
            </w:r>
          </w:p>
        </w:tc>
      </w:tr>
      <w:tr>
        <w:trPr>
          <w:trHeight w:val="23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Machinery, equipment and other</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6,156.6</w:t>
            </w:r>
          </w:p>
        </w:tc>
        <w:tc>
          <w:tcPr>
            <w:tcW w:w="8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6,781.3</w:t>
            </w:r>
          </w:p>
        </w:tc>
      </w:tr>
      <w:tr>
        <w:trPr>
          <w:trHeight w:val="223"/>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gross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7,775.3</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8,320.2</w:t>
            </w:r>
          </w:p>
        </w:tc>
      </w:tr>
      <w:tr>
        <w:trPr>
          <w:trHeight w:val="23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(4,060.4)</w:t>
            </w:r>
          </w:p>
        </w:tc>
        <w:tc>
          <w:tcPr>
            <w:tcW w:w="8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(3,958.8)</w:t>
            </w:r>
          </w:p>
        </w:tc>
      </w:tr>
      <w:tr>
        <w:trPr>
          <w:trHeight w:val="223"/>
        </w:trPr>
        <w:tc>
          <w:tcPr>
            <w:tcW w:w="8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3,714.9</w:t>
            </w:r>
          </w:p>
        </w:tc>
        <w:tc>
          <w:tcPr>
            <w:tcW w:w="80" w:type="dxa"/>
            <w:vAlign w:val="bottom"/>
          </w:tcPr>
          <w:p>
            <w:pPr>
              <w:spacing w:after="0"/>
              <w:rPr>
                <w:sz w:val="19"/>
                <w:szCs w:val="19"/>
                <w:color w:val="auto"/>
              </w:rPr>
            </w:pPr>
          </w:p>
        </w:tc>
        <w:tc>
          <w:tcPr>
            <w:tcW w:w="44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4,361.4</w:t>
            </w:r>
          </w:p>
        </w:tc>
      </w:tr>
      <w:tr>
        <w:trPr>
          <w:trHeight w:val="21"/>
        </w:trPr>
        <w:tc>
          <w:tcPr>
            <w:tcW w:w="8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table above reflects the reduction to property, plant and equipment resulting from the post-impairment categorization of $63.5 million to Assets held-for-sale as of July 4, 2025 on the Consolidated Balance Sheet. See Note 5: ''Restructuring, Asset Impairments and Other, Net'' for additional information.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Defined Benefit Plans</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recognizes the aggregate amount of all over-funded plans as assets and the aggregate amount of all underfunded plans as liabilities in its financial statements. As of July 4, 2025, the net assets for the over-funded plans totaled $25.4 million. The total accrued pension liability for underfunded plans was $63.3 million, of which the current portion of $3.2 million was classified as Accrued expenses and other current liabilities. During the quarter and six months ended July 4, 2025, the Company incurred no curtailment losses and $1.5 million, respectively, in connection with the 2025 Manufacturing Realignment Program. See Note 5: ''Restructuring, Asset Impairments and Other, Net'' for additional information. As of December 31, 2024, the net funded status for all the plans was a liability of $36.9 million, of which the current portion of $1.9 million was classified as Accrued expenses and other current liabilities.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the net periodic pension expense were as follows (in millions):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20" w:type="dxa"/>
            <w:vAlign w:val="bottom"/>
            <w:gridSpan w:val="5"/>
          </w:tcPr>
          <w:p>
            <w:pPr>
              <w:ind w:left="700"/>
              <w:spacing w:after="0"/>
              <w:rPr>
                <w:sz w:val="20"/>
                <w:szCs w:val="20"/>
                <w:color w:val="auto"/>
              </w:rPr>
            </w:pPr>
            <w:r>
              <w:rPr>
                <w:rFonts w:ascii="Times New Roman" w:cs="Times New Roman" w:eastAsia="Times New Roman" w:hAnsi="Times New Roman"/>
                <w:sz w:val="16"/>
                <w:szCs w:val="16"/>
                <w:b w:val="1"/>
                <w:bCs w:val="1"/>
                <w:color w:val="auto"/>
              </w:rPr>
              <w:t>Quarters Ended</w:t>
            </w:r>
          </w:p>
        </w:tc>
        <w:tc>
          <w:tcPr>
            <w:tcW w:w="200" w:type="dxa"/>
            <w:vAlign w:val="bottom"/>
          </w:tcPr>
          <w:p>
            <w:pPr>
              <w:spacing w:after="0"/>
              <w:rPr>
                <w:sz w:val="18"/>
                <w:szCs w:val="18"/>
                <w:color w:val="auto"/>
              </w:rPr>
            </w:pPr>
          </w:p>
        </w:tc>
        <w:tc>
          <w:tcPr>
            <w:tcW w:w="2760" w:type="dxa"/>
            <w:vAlign w:val="bottom"/>
            <w:gridSpan w:val="4"/>
          </w:tcPr>
          <w:p>
            <w:pPr>
              <w:jc w:val="right"/>
              <w:ind w:right="752"/>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211"/>
        </w:trPr>
        <w:tc>
          <w:tcPr>
            <w:tcW w:w="52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July 4, 2025</w:t>
            </w:r>
          </w:p>
        </w:tc>
        <w:tc>
          <w:tcPr>
            <w:tcW w:w="1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132"/>
              <w:spacing w:after="0"/>
              <w:rPr>
                <w:sz w:val="20"/>
                <w:szCs w:val="20"/>
                <w:color w:val="auto"/>
              </w:rPr>
            </w:pPr>
            <w:r>
              <w:rPr>
                <w:rFonts w:ascii="Times New Roman" w:cs="Times New Roman" w:eastAsia="Times New Roman" w:hAnsi="Times New Roman"/>
                <w:sz w:val="16"/>
                <w:szCs w:val="16"/>
                <w:b w:val="1"/>
                <w:bCs w:val="1"/>
                <w:color w:val="auto"/>
              </w:rPr>
              <w:t>June 28, 2024</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July 4, 2025</w:t>
            </w:r>
          </w:p>
        </w:tc>
        <w:tc>
          <w:tcPr>
            <w:tcW w:w="1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52"/>
              <w:spacing w:after="0"/>
              <w:rPr>
                <w:sz w:val="20"/>
                <w:szCs w:val="20"/>
                <w:color w:val="auto"/>
              </w:rPr>
            </w:pPr>
            <w:r>
              <w:rPr>
                <w:rFonts w:ascii="Times New Roman" w:cs="Times New Roman" w:eastAsia="Times New Roman" w:hAnsi="Times New Roman"/>
                <w:sz w:val="16"/>
                <w:szCs w:val="16"/>
                <w:b w:val="1"/>
                <w:bCs w:val="1"/>
                <w:color w:val="auto"/>
              </w:rPr>
              <w:t>June 28, 2024</w:t>
            </w:r>
          </w:p>
        </w:tc>
      </w:tr>
      <w:tr>
        <w:trPr>
          <w:trHeight w:val="225"/>
        </w:trPr>
        <w:tc>
          <w:tcPr>
            <w:tcW w:w="5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center"/>
              <w:ind w:left="773"/>
              <w:spacing w:after="0"/>
              <w:rPr>
                <w:sz w:val="20"/>
                <w:szCs w:val="20"/>
                <w:color w:val="auto"/>
              </w:rPr>
            </w:pPr>
            <w:r>
              <w:rPr>
                <w:rFonts w:ascii="Times New Roman" w:cs="Times New Roman" w:eastAsia="Times New Roman" w:hAnsi="Times New Roman"/>
                <w:sz w:val="18"/>
                <w:szCs w:val="18"/>
                <w:color w:val="auto"/>
                <w:w w:val="97"/>
              </w:rPr>
              <w:t>2.2</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29"/>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center"/>
              <w:ind w:left="773"/>
              <w:spacing w:after="0"/>
              <w:rPr>
                <w:sz w:val="20"/>
                <w:szCs w:val="20"/>
                <w:color w:val="auto"/>
              </w:rPr>
            </w:pPr>
            <w:r>
              <w:rPr>
                <w:rFonts w:ascii="Times New Roman" w:cs="Times New Roman" w:eastAsia="Times New Roman" w:hAnsi="Times New Roman"/>
                <w:sz w:val="18"/>
                <w:szCs w:val="18"/>
                <w:color w:val="auto"/>
                <w:w w:val="97"/>
              </w:rPr>
              <w:t>2.7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30"/>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center"/>
              <w:ind w:left="733"/>
              <w:spacing w:after="0"/>
              <w:rPr>
                <w:sz w:val="20"/>
                <w:szCs w:val="20"/>
                <w:color w:val="auto"/>
              </w:rPr>
            </w:pPr>
            <w:r>
              <w:rPr>
                <w:rFonts w:ascii="Times New Roman" w:cs="Times New Roman" w:eastAsia="Times New Roman" w:hAnsi="Times New Roman"/>
                <w:sz w:val="18"/>
                <w:szCs w:val="18"/>
                <w:color w:val="auto"/>
                <w:w w:val="98"/>
              </w:rPr>
              <w:t>(2.4)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30"/>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Curtailment losses</w:t>
            </w:r>
          </w:p>
        </w:tc>
        <w:tc>
          <w:tcPr>
            <w:tcW w:w="20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40" w:type="dxa"/>
            <w:vAlign w:val="bottom"/>
          </w:tcPr>
          <w:p>
            <w:pPr>
              <w:jc w:val="center"/>
              <w:ind w:left="773"/>
              <w:spacing w:after="0"/>
              <w:rPr>
                <w:sz w:val="20"/>
                <w:szCs w:val="20"/>
                <w:color w:val="auto"/>
              </w:rPr>
            </w:pPr>
            <w:r>
              <w:rPr>
                <w:rFonts w:ascii="Times New Roman" w:cs="Times New Roman" w:eastAsia="Times New Roman" w:hAnsi="Times New Roman"/>
                <w:sz w:val="18"/>
                <w:szCs w:val="18"/>
                <w:color w:val="auto"/>
                <w:w w:val="97"/>
              </w:rPr>
              <w:t>1.5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526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shd w:val="clear" w:color="auto" w:fill="CCEEFF"/>
          </w:tcPr>
          <w:p>
            <w:pPr>
              <w:jc w:val="center"/>
              <w:ind w:left="773"/>
              <w:spacing w:after="0"/>
              <w:rPr>
                <w:sz w:val="20"/>
                <w:szCs w:val="20"/>
                <w:color w:val="auto"/>
              </w:rPr>
            </w:pPr>
            <w:r>
              <w:rPr>
                <w:rFonts w:ascii="Times New Roman" w:cs="Times New Roman" w:eastAsia="Times New Roman" w:hAnsi="Times New Roman"/>
                <w:sz w:val="18"/>
                <w:szCs w:val="18"/>
                <w:color w:val="auto"/>
                <w:w w:val="97"/>
              </w:rPr>
              <w:t>4.0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Operating lease arrangements are comprised primarily of real estate and equipment agreements. The components of lease expense were as follows (in millions):</w:t>
      </w:r>
    </w:p>
    <w:p>
      <w:pPr>
        <w:sectPr>
          <w:pgSz w:w="11900" w:h="16838" w:orient="portrait"/>
          <w:cols w:equalWidth="0" w:num="1">
            <w:col w:w="11240"/>
          </w:cols>
          <w:pgMar w:left="320" w:top="117" w:right="339" w:bottom="1440" w:gutter="0" w:footer="0" w:header="0"/>
        </w:sectPr>
      </w:pPr>
    </w:p>
    <w:p>
      <w:pPr>
        <w:spacing w:after="0" w:line="29" w:lineRule="exact"/>
        <w:rPr>
          <w:sz w:val="20"/>
          <w:szCs w:val="20"/>
          <w:color w:val="auto"/>
        </w:rPr>
      </w:pPr>
    </w:p>
    <w:p>
      <w:pPr>
        <w:jc w:val="center"/>
        <w:ind w:left="5500"/>
        <w:spacing w:after="0"/>
        <w:rPr>
          <w:sz w:val="20"/>
          <w:szCs w:val="20"/>
          <w:color w:val="auto"/>
        </w:rPr>
      </w:pPr>
      <w:r>
        <w:rPr>
          <w:rFonts w:ascii="Times New Roman" w:cs="Times New Roman" w:eastAsia="Times New Roman" w:hAnsi="Times New Roman"/>
          <w:sz w:val="16"/>
          <w:szCs w:val="16"/>
          <w:b w:val="1"/>
          <w:bCs w:val="1"/>
          <w:color w:val="auto"/>
        </w:rPr>
        <w:t>Quarters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3339465</wp:posOffset>
            </wp:positionH>
            <wp:positionV relativeFrom="paragraph">
              <wp:posOffset>21590</wp:posOffset>
            </wp:positionV>
            <wp:extent cx="185991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859915" cy="8255"/>
                    </a:xfrm>
                    <a:prstGeom prst="rect">
                      <a:avLst/>
                    </a:prstGeom>
                    <a:noFill/>
                  </pic:spPr>
                </pic:pic>
              </a:graphicData>
            </a:graphic>
          </wp:anchor>
        </w:drawing>
      </w:r>
    </w:p>
    <w:p>
      <w:pPr>
        <w:spacing w:after="0" w:line="26" w:lineRule="exact"/>
        <w:rPr>
          <w:sz w:val="20"/>
          <w:szCs w:val="20"/>
          <w:color w:val="auto"/>
        </w:rPr>
      </w:pPr>
    </w:p>
    <w:p>
      <w:pPr>
        <w:ind w:left="5560"/>
        <w:spacing w:after="0"/>
        <w:tabs>
          <w:tab w:leader="none" w:pos="6980" w:val="left"/>
        </w:tabs>
        <w:rPr>
          <w:sz w:val="20"/>
          <w:szCs w:val="20"/>
          <w:color w:val="auto"/>
        </w:rPr>
      </w:pPr>
      <w:r>
        <w:rPr>
          <w:rFonts w:ascii="Times New Roman" w:cs="Times New Roman" w:eastAsia="Times New Roman" w:hAnsi="Times New Roman"/>
          <w:sz w:val="16"/>
          <w:szCs w:val="16"/>
          <w:b w:val="1"/>
          <w:bCs w:val="1"/>
          <w:color w:val="auto"/>
        </w:rPr>
        <w:t>July 4, 2025</w:t>
      </w:r>
      <w:r>
        <w:rPr>
          <w:sz w:val="20"/>
          <w:szCs w:val="20"/>
          <w:color w:val="auto"/>
        </w:rPr>
        <w:tab/>
      </w:r>
      <w:r>
        <w:rPr>
          <w:rFonts w:ascii="Times New Roman" w:cs="Times New Roman" w:eastAsia="Times New Roman" w:hAnsi="Times New Roman"/>
          <w:sz w:val="16"/>
          <w:szCs w:val="16"/>
          <w:b w:val="1"/>
          <w:bCs w:val="1"/>
          <w:color w:val="auto"/>
        </w:rPr>
        <w:t>June 28, 2024</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Six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-187960</wp:posOffset>
            </wp:positionH>
            <wp:positionV relativeFrom="paragraph">
              <wp:posOffset>21590</wp:posOffset>
            </wp:positionV>
            <wp:extent cx="187706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877060" cy="8255"/>
                    </a:xfrm>
                    <a:prstGeom prst="rect">
                      <a:avLst/>
                    </a:prstGeom>
                    <a:noFill/>
                  </pic:spPr>
                </pic:pic>
              </a:graphicData>
            </a:graphic>
          </wp:anchor>
        </w:drawing>
      </w:r>
    </w:p>
    <w:p>
      <w:pPr>
        <w:spacing w:after="0" w:line="26" w:lineRule="exact"/>
        <w:rPr>
          <w:sz w:val="20"/>
          <w:szCs w:val="20"/>
          <w:color w:val="auto"/>
        </w:rPr>
      </w:pPr>
    </w:p>
    <w:p>
      <w:pPr>
        <w:spacing w:after="0"/>
        <w:tabs>
          <w:tab w:leader="none" w:pos="1460" w:val="left"/>
        </w:tabs>
        <w:rPr>
          <w:sz w:val="20"/>
          <w:szCs w:val="20"/>
          <w:color w:val="auto"/>
        </w:rPr>
      </w:pPr>
      <w:r>
        <w:rPr>
          <w:rFonts w:ascii="Times New Roman" w:cs="Times New Roman" w:eastAsia="Times New Roman" w:hAnsi="Times New Roman"/>
          <w:sz w:val="16"/>
          <w:szCs w:val="16"/>
          <w:b w:val="1"/>
          <w:bCs w:val="1"/>
          <w:color w:val="auto"/>
        </w:rPr>
        <w:t>July 4, 2025</w:t>
      </w:r>
      <w:r>
        <w:rPr>
          <w:sz w:val="20"/>
          <w:szCs w:val="20"/>
          <w:color w:val="auto"/>
        </w:rPr>
        <w:tab/>
      </w:r>
      <w:r>
        <w:rPr>
          <w:rFonts w:ascii="Times New Roman" w:cs="Times New Roman" w:eastAsia="Times New Roman" w:hAnsi="Times New Roman"/>
          <w:sz w:val="16"/>
          <w:szCs w:val="16"/>
          <w:b w:val="1"/>
          <w:bCs w:val="1"/>
          <w:color w:val="auto"/>
        </w:rPr>
        <w:t>June 28, 2024</w:t>
      </w:r>
    </w:p>
    <w:p>
      <w:pPr>
        <w:spacing w:after="0" w:line="28" w:lineRule="exact"/>
        <w:rPr>
          <w:sz w:val="20"/>
          <w:szCs w:val="20"/>
          <w:color w:val="auto"/>
        </w:rPr>
      </w:pPr>
    </w:p>
    <w:p>
      <w:pPr>
        <w:sectPr>
          <w:pgSz w:w="11900" w:h="16838" w:orient="portrait"/>
          <w:cols w:equalWidth="0" w:num="2">
            <w:col w:w="7960" w:space="620"/>
            <w:col w:w="2660"/>
          </w:cols>
          <w:pgMar w:left="320" w:top="117" w:right="339" w:bottom="1440" w:gutter="0" w:footer="0" w:header="0"/>
          <w:type w:val="continuous"/>
        </w:sectPr>
      </w:pPr>
    </w:p>
    <w:tbl>
      <w:tblPr>
        <w:tblLayout w:type="fixed"/>
        <w:tblInd w:w="0" w:type="dxa"/>
        <w:tblCellMar>
          <w:top w:w="0" w:type="dxa"/>
          <w:left w:w="0" w:type="dxa"/>
          <w:bottom w:w="0" w:type="dxa"/>
          <w:right w:w="0" w:type="dxa"/>
        </w:tblCellMar>
      </w:tblPr>
      <w:tr>
        <w:trPr>
          <w:trHeight w:val="229"/>
        </w:trPr>
        <w:tc>
          <w:tcPr>
            <w:tcW w:w="5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w:t>
            </w:r>
          </w:p>
        </w:tc>
        <w:tc>
          <w:tcPr>
            <w:tcW w:w="560" w:type="dxa"/>
            <w:vAlign w:val="bottom"/>
            <w:tcBorders>
              <w:top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80" w:type="dxa"/>
            <w:vAlign w:val="bottom"/>
            <w:tcBorders>
              <w:top w:val="single" w:sz="8" w:color="auto"/>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w:t>
            </w:r>
          </w:p>
        </w:tc>
      </w:tr>
      <w:tr>
        <w:trPr>
          <w:trHeight w:val="229"/>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Variable lease</w:t>
            </w:r>
          </w:p>
        </w:tc>
        <w:tc>
          <w:tcPr>
            <w:tcW w:w="5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30"/>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lease</w:t>
            </w:r>
          </w:p>
        </w:tc>
        <w:tc>
          <w:tcPr>
            <w:tcW w:w="5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23"/>
        </w:trPr>
        <w:tc>
          <w:tcPr>
            <w:tcW w:w="5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5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tcPr>
          <w:p>
            <w:pPr>
              <w:spacing w:after="0"/>
              <w:rPr>
                <w:sz w:val="19"/>
                <w:szCs w:val="19"/>
                <w:color w:val="auto"/>
              </w:rPr>
            </w:pPr>
          </w:p>
        </w:tc>
        <w:tc>
          <w:tcPr>
            <w:tcW w:w="5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tcPr>
          <w:p>
            <w:pPr>
              <w:spacing w:after="0"/>
              <w:rPr>
                <w:sz w:val="19"/>
                <w:szCs w:val="19"/>
                <w:color w:val="auto"/>
              </w:rPr>
            </w:pPr>
          </w:p>
        </w:tc>
        <w:tc>
          <w:tcPr>
            <w:tcW w:w="5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80" w:type="dxa"/>
            <w:vAlign w:val="bottom"/>
          </w:tcPr>
          <w:p>
            <w:pPr>
              <w:spacing w:after="0"/>
              <w:rPr>
                <w:sz w:val="19"/>
                <w:szCs w:val="19"/>
                <w:color w:val="auto"/>
              </w:rPr>
            </w:pPr>
          </w:p>
        </w:tc>
        <w:tc>
          <w:tcPr>
            <w:tcW w:w="5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w:t>
            </w:r>
          </w:p>
        </w:tc>
      </w:tr>
      <w:tr>
        <w:trPr>
          <w:trHeight w:val="20"/>
        </w:trPr>
        <w:tc>
          <w:tcPr>
            <w:tcW w:w="52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line="255" w:lineRule="auto"/>
        <w:rPr>
          <w:sz w:val="20"/>
          <w:szCs w:val="20"/>
          <w:color w:val="auto"/>
        </w:rPr>
      </w:pPr>
      <w:r>
        <w:rPr>
          <w:rFonts w:ascii="Times New Roman" w:cs="Times New Roman" w:eastAsia="Times New Roman" w:hAnsi="Times New Roman"/>
          <w:sz w:val="18"/>
          <w:szCs w:val="18"/>
          <w:b w:val="1"/>
          <w:bCs w:val="1"/>
          <w:color w:val="auto"/>
        </w:rPr>
        <w:t>ON SEMICONDUCTOR CORPORATION NOTES TO CONSOLIDATED FINANCIAL STATEMENTS - Continued (unaudited)</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operating lease liabilities and operating ROU assets recognized in the Consolidated Balance Sheets were as follows (in millions):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3"/>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As of</w:t>
            </w:r>
          </w:p>
        </w:tc>
        <w:tc>
          <w:tcPr>
            <w:tcW w:w="880" w:type="dxa"/>
            <w:vAlign w:val="bottom"/>
            <w:tcBorders>
              <w:bottom w:val="single" w:sz="8" w:color="auto"/>
            </w:tcBorders>
          </w:tcPr>
          <w:p>
            <w:pPr>
              <w:spacing w:after="0"/>
              <w:rPr>
                <w:sz w:val="18"/>
                <w:szCs w:val="18"/>
                <w:color w:val="auto"/>
              </w:rPr>
            </w:pPr>
          </w:p>
        </w:tc>
      </w:tr>
      <w:tr>
        <w:trPr>
          <w:trHeight w:val="211"/>
        </w:trPr>
        <w:tc>
          <w:tcPr>
            <w:tcW w:w="8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July 4, 2025</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11"/>
        </w:trPr>
        <w:tc>
          <w:tcPr>
            <w:tcW w:w="8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 included in:</w:t>
            </w:r>
          </w:p>
        </w:tc>
        <w:tc>
          <w:tcPr>
            <w:tcW w:w="2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r>
      <w:tr>
        <w:trPr>
          <w:trHeight w:val="229"/>
        </w:trPr>
        <w:tc>
          <w:tcPr>
            <w:tcW w:w="8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80" w:type="dxa"/>
            <w:vAlign w:val="bottom"/>
          </w:tcPr>
          <w:p>
            <w:pPr>
              <w:spacing w:after="0"/>
              <w:rPr>
                <w:sz w:val="19"/>
                <w:szCs w:val="19"/>
                <w:color w:val="auto"/>
              </w:rPr>
            </w:pPr>
          </w:p>
        </w:tc>
        <w:tc>
          <w:tcPr>
            <w:tcW w:w="56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w:t>
            </w:r>
          </w:p>
        </w:tc>
      </w:tr>
      <w:tr>
        <w:trPr>
          <w:trHeight w:val="230"/>
        </w:trPr>
        <w:tc>
          <w:tcPr>
            <w:tcW w:w="8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226.3</w:t>
            </w:r>
          </w:p>
        </w:tc>
        <w:tc>
          <w:tcPr>
            <w:tcW w:w="8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244.7</w:t>
            </w:r>
          </w:p>
        </w:tc>
      </w:tr>
      <w:tr>
        <w:trPr>
          <w:trHeight w:val="196"/>
        </w:trPr>
        <w:tc>
          <w:tcPr>
            <w:tcW w:w="8280" w:type="dxa"/>
            <w:vAlign w:val="bottom"/>
          </w:tcPr>
          <w:p>
            <w:pPr>
              <w:ind w:left="440"/>
              <w:spacing w:after="0" w:line="196" w:lineRule="exact"/>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260.4</w:t>
            </w:r>
          </w:p>
        </w:tc>
        <w:tc>
          <w:tcPr>
            <w:tcW w:w="80" w:type="dxa"/>
            <w:vAlign w:val="bottom"/>
          </w:tcPr>
          <w:p>
            <w:pPr>
              <w:spacing w:after="0"/>
              <w:rPr>
                <w:sz w:val="17"/>
                <w:szCs w:val="17"/>
                <w:color w:val="auto"/>
              </w:rPr>
            </w:pPr>
          </w:p>
        </w:tc>
        <w:tc>
          <w:tcPr>
            <w:tcW w:w="560" w:type="dxa"/>
            <w:vAlign w:val="bottom"/>
            <w:tcBorders>
              <w:bottom w:val="single" w:sz="8" w:color="auto"/>
            </w:tcBorders>
          </w:tcPr>
          <w:p>
            <w:pPr>
              <w:jc w:val="right"/>
              <w:ind w:right="352"/>
              <w:spacing w:after="0" w:line="196"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276.2</w:t>
            </w:r>
          </w:p>
        </w:tc>
      </w:tr>
      <w:tr>
        <w:trPr>
          <w:trHeight w:val="20"/>
        </w:trPr>
        <w:tc>
          <w:tcPr>
            <w:tcW w:w="82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97"/>
        </w:trPr>
        <w:tc>
          <w:tcPr>
            <w:tcW w:w="828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Operating ROU assets included in:</w:t>
            </w: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29"/>
        </w:trPr>
        <w:tc>
          <w:tcPr>
            <w:tcW w:w="8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assets</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226.4</w:t>
            </w:r>
          </w:p>
        </w:tc>
        <w:tc>
          <w:tcPr>
            <w:tcW w:w="80" w:type="dxa"/>
            <w:vAlign w:val="bottom"/>
          </w:tcPr>
          <w:p>
            <w:pPr>
              <w:spacing w:after="0"/>
              <w:rPr>
                <w:sz w:val="19"/>
                <w:szCs w:val="19"/>
                <w:color w:val="auto"/>
              </w:rPr>
            </w:pPr>
          </w:p>
        </w:tc>
        <w:tc>
          <w:tcPr>
            <w:tcW w:w="56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249.7</w:t>
            </w:r>
          </w:p>
        </w:tc>
      </w:tr>
      <w:tr>
        <w:trPr>
          <w:trHeight w:val="21"/>
        </w:trPr>
        <w:tc>
          <w:tcPr>
            <w:tcW w:w="8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July 4, 2025, the weighted-average remaining lease terms were 9.9 years and 16.5 years, and the weighted-average discount rates were 5.1% and 5.7%, for operating leases and financing leases, respectively.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Supplemental Disclosure of Cash Flow Information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of the cash and non-cash activities were as follows (in millions):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gridSpan w:val="4"/>
          </w:tcPr>
          <w:p>
            <w:pPr>
              <w:jc w:val="right"/>
              <w:ind w:right="752"/>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211"/>
        </w:trPr>
        <w:tc>
          <w:tcPr>
            <w:tcW w:w="8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July 4, 2025</w:t>
            </w:r>
          </w:p>
        </w:tc>
        <w:tc>
          <w:tcPr>
            <w:tcW w:w="180" w:type="dxa"/>
            <w:vAlign w:val="bottom"/>
          </w:tcPr>
          <w:p>
            <w:pPr>
              <w:spacing w:after="0"/>
              <w:rPr>
                <w:sz w:val="18"/>
                <w:szCs w:val="18"/>
                <w:color w:val="auto"/>
              </w:rPr>
            </w:pPr>
          </w:p>
        </w:tc>
        <w:tc>
          <w:tcPr>
            <w:tcW w:w="1260" w:type="dxa"/>
            <w:vAlign w:val="bottom"/>
          </w:tcPr>
          <w:p>
            <w:pPr>
              <w:jc w:val="right"/>
              <w:ind w:right="152"/>
              <w:spacing w:after="0"/>
              <w:rPr>
                <w:sz w:val="20"/>
                <w:szCs w:val="20"/>
                <w:color w:val="auto"/>
              </w:rPr>
            </w:pPr>
            <w:r>
              <w:rPr>
                <w:rFonts w:ascii="Times New Roman" w:cs="Times New Roman" w:eastAsia="Times New Roman" w:hAnsi="Times New Roman"/>
                <w:sz w:val="16"/>
                <w:szCs w:val="16"/>
                <w:b w:val="1"/>
                <w:bCs w:val="1"/>
                <w:color w:val="auto"/>
              </w:rPr>
              <w:t>June 28, 2024</w:t>
            </w:r>
          </w:p>
        </w:tc>
      </w:tr>
      <w:tr>
        <w:trPr>
          <w:trHeight w:val="211"/>
        </w:trPr>
        <w:tc>
          <w:tcPr>
            <w:tcW w:w="8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investing activities:</w:t>
            </w:r>
          </w:p>
        </w:tc>
        <w:tc>
          <w:tcPr>
            <w:tcW w:w="2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r>
      <w:tr>
        <w:trPr>
          <w:trHeight w:val="229"/>
        </w:trPr>
        <w:tc>
          <w:tcPr>
            <w:tcW w:w="8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Capital expenditures in accounts payable and other long-term liabilities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111.6</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221.7</w:t>
            </w:r>
          </w:p>
        </w:tc>
      </w:tr>
      <w:tr>
        <w:trPr>
          <w:trHeight w:val="229"/>
        </w:trPr>
        <w:tc>
          <w:tcPr>
            <w:tcW w:w="8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Operating ROU assets obtained in exchange for lease liabilities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w:t>
            </w:r>
          </w:p>
        </w:tc>
      </w:tr>
      <w:tr>
        <w:trPr>
          <w:trHeight w:val="230"/>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for:</w:t>
            </w: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8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w:t>
            </w:r>
          </w:p>
        </w:tc>
      </w:tr>
      <w:tr>
        <w:trPr>
          <w:trHeight w:val="230"/>
        </w:trPr>
        <w:tc>
          <w:tcPr>
            <w:tcW w:w="8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Income taxes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244.9</w:t>
            </w:r>
          </w:p>
        </w:tc>
      </w:tr>
      <w:tr>
        <w:trPr>
          <w:trHeight w:val="230"/>
        </w:trPr>
        <w:tc>
          <w:tcPr>
            <w:tcW w:w="8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lease payments in operating cash flows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a reconciliation of the captions in the Consolidated Balance Sheets to the Consolidated Statements of Cash Flows (in millions):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2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July 4, 2025</w:t>
            </w:r>
          </w:p>
        </w:tc>
        <w:tc>
          <w:tcPr>
            <w:tcW w:w="152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200" w:type="dxa"/>
            <w:vAlign w:val="bottom"/>
          </w:tcPr>
          <w:p>
            <w:pPr>
              <w:spacing w:after="0"/>
              <w:rPr>
                <w:sz w:val="18"/>
                <w:szCs w:val="18"/>
                <w:color w:val="auto"/>
              </w:rPr>
            </w:pPr>
          </w:p>
        </w:tc>
        <w:tc>
          <w:tcPr>
            <w:tcW w:w="132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June 28, 2024</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0" w:type="dxa"/>
            <w:vAlign w:val="bottom"/>
          </w:tcPr>
          <w:p>
            <w:pPr>
              <w:spacing w:after="0"/>
              <w:rPr>
                <w:sz w:val="1"/>
                <w:szCs w:val="1"/>
                <w:color w:val="auto"/>
              </w:rPr>
            </w:pPr>
          </w:p>
        </w:tc>
      </w:tr>
      <w:tr>
        <w:trPr>
          <w:trHeight w:val="211"/>
        </w:trPr>
        <w:tc>
          <w:tcPr>
            <w:tcW w:w="5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Consolidated Balance Sheets:</w:t>
            </w:r>
          </w:p>
        </w:tc>
        <w:tc>
          <w:tcPr>
            <w:tcW w:w="20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2,526.7</w:t>
            </w:r>
          </w:p>
        </w:tc>
        <w:tc>
          <w:tcPr>
            <w:tcW w:w="100" w:type="dxa"/>
            <w:vAlign w:val="bottom"/>
          </w:tcPr>
          <w:p>
            <w:pPr>
              <w:spacing w:after="0"/>
              <w:rPr>
                <w:sz w:val="19"/>
                <w:szCs w:val="19"/>
                <w:color w:val="auto"/>
              </w:rPr>
            </w:pPr>
          </w:p>
        </w:tc>
        <w:tc>
          <w:tcPr>
            <w:tcW w:w="460" w:type="dxa"/>
            <w:vAlign w:val="bottom"/>
          </w:tcPr>
          <w:p>
            <w:pPr>
              <w:jc w:val="right"/>
              <w:ind w:right="273"/>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2,691.3</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2,231.0</w:t>
            </w:r>
          </w:p>
        </w:tc>
        <w:tc>
          <w:tcPr>
            <w:tcW w:w="80" w:type="dxa"/>
            <w:vAlign w:val="bottom"/>
          </w:tcPr>
          <w:p>
            <w:pPr>
              <w:spacing w:after="0"/>
              <w:rPr>
                <w:sz w:val="19"/>
                <w:szCs w:val="19"/>
                <w:color w:val="auto"/>
              </w:rPr>
            </w:pPr>
          </w:p>
        </w:tc>
        <w:tc>
          <w:tcPr>
            <w:tcW w:w="480" w:type="dxa"/>
            <w:vAlign w:val="bottom"/>
          </w:tcPr>
          <w:p>
            <w:pPr>
              <w:jc w:val="right"/>
              <w:ind w:right="273"/>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2,483.0</w:t>
            </w: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Restricted cash (included in other current assets)</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155"/>
        </w:trPr>
        <w:tc>
          <w:tcPr>
            <w:tcW w:w="524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Cash, cash equivalents and restricted cash in Consolidated Statements</w:t>
            </w:r>
          </w:p>
        </w:tc>
        <w:tc>
          <w:tcPr>
            <w:tcW w:w="2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2,529.6</w:t>
            </w:r>
          </w:p>
        </w:tc>
        <w:tc>
          <w:tcPr>
            <w:tcW w:w="100" w:type="dxa"/>
            <w:vAlign w:val="bottom"/>
          </w:tcPr>
          <w:p>
            <w:pPr>
              <w:spacing w:after="0"/>
              <w:rPr>
                <w:sz w:val="13"/>
                <w:szCs w:val="13"/>
                <w:color w:val="auto"/>
              </w:rPr>
            </w:pPr>
          </w:p>
        </w:tc>
        <w:tc>
          <w:tcPr>
            <w:tcW w:w="460" w:type="dxa"/>
            <w:vAlign w:val="bottom"/>
            <w:vMerge w:val="restart"/>
          </w:tcPr>
          <w:p>
            <w:pPr>
              <w:jc w:val="right"/>
              <w:ind w:right="273"/>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2,693.4</w:t>
            </w:r>
          </w:p>
        </w:tc>
        <w:tc>
          <w:tcPr>
            <w:tcW w:w="100" w:type="dxa"/>
            <w:vAlign w:val="bottom"/>
          </w:tcPr>
          <w:p>
            <w:pPr>
              <w:spacing w:after="0"/>
              <w:rPr>
                <w:sz w:val="13"/>
                <w:szCs w:val="13"/>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2,233.1</w:t>
            </w:r>
          </w:p>
        </w:tc>
        <w:tc>
          <w:tcPr>
            <w:tcW w:w="80" w:type="dxa"/>
            <w:vAlign w:val="bottom"/>
          </w:tcPr>
          <w:p>
            <w:pPr>
              <w:spacing w:after="0"/>
              <w:rPr>
                <w:sz w:val="13"/>
                <w:szCs w:val="13"/>
                <w:color w:val="auto"/>
              </w:rPr>
            </w:pPr>
          </w:p>
        </w:tc>
        <w:tc>
          <w:tcPr>
            <w:tcW w:w="480" w:type="dxa"/>
            <w:vAlign w:val="bottom"/>
            <w:vMerge w:val="restart"/>
          </w:tcPr>
          <w:p>
            <w:pPr>
              <w:jc w:val="right"/>
              <w:ind w:right="273"/>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2,485.0</w:t>
            </w:r>
          </w:p>
        </w:tc>
        <w:tc>
          <w:tcPr>
            <w:tcW w:w="0" w:type="dxa"/>
            <w:vAlign w:val="bottom"/>
          </w:tcPr>
          <w:p>
            <w:pPr>
              <w:spacing w:after="0"/>
              <w:rPr>
                <w:sz w:val="1"/>
                <w:szCs w:val="1"/>
                <w:color w:val="auto"/>
              </w:rPr>
            </w:pPr>
          </w:p>
        </w:tc>
      </w:tr>
      <w:tr>
        <w:trPr>
          <w:trHeight w:val="221"/>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 Cash Flows</w:t>
            </w:r>
          </w:p>
        </w:tc>
        <w:tc>
          <w:tcPr>
            <w:tcW w:w="200" w:type="dxa"/>
            <w:vAlign w:val="bottom"/>
            <w:tcBorders>
              <w:bottom w:val="single" w:sz="8" w:color="auto"/>
            </w:tcBorders>
            <w:vMerge w:val="continue"/>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Borders>
              <w:bottom w:val="single" w:sz="8" w:color="auto"/>
            </w:tcBorders>
            <w:vMerge w:val="continue"/>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bottom w:val="single" w:sz="8" w:color="auto"/>
            </w:tcBorders>
            <w:vMerge w:val="continue"/>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line="255" w:lineRule="auto"/>
        <w:rPr>
          <w:sz w:val="20"/>
          <w:szCs w:val="20"/>
          <w:color w:val="auto"/>
        </w:rPr>
      </w:pPr>
      <w:r>
        <w:rPr>
          <w:rFonts w:ascii="Times New Roman" w:cs="Times New Roman" w:eastAsia="Times New Roman" w:hAnsi="Times New Roman"/>
          <w:sz w:val="18"/>
          <w:szCs w:val="18"/>
          <w:b w:val="1"/>
          <w:bCs w:val="1"/>
          <w:color w:val="auto"/>
        </w:rPr>
        <w:t>ON SEMICONDUCTOR CORPORATION NOTES TO CONSOLIDATED FINANCIAL STATEMENTS - Continued (unaudited)</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Long-Term Debt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Long-term debt consisted of the following (in millions, with annualized interest rates):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3"/>
          </w:tcPr>
          <w:p>
            <w:pPr>
              <w:jc w:val="right"/>
              <w:ind w:right="253"/>
              <w:spacing w:after="0"/>
              <w:rPr>
                <w:sz w:val="20"/>
                <w:szCs w:val="20"/>
                <w:color w:val="auto"/>
              </w:rPr>
            </w:pPr>
            <w:r>
              <w:rPr>
                <w:rFonts w:ascii="Times New Roman" w:cs="Times New Roman" w:eastAsia="Times New Roman" w:hAnsi="Times New Roman"/>
                <w:sz w:val="16"/>
                <w:szCs w:val="16"/>
                <w:b w:val="1"/>
                <w:bCs w:val="1"/>
                <w:color w:val="auto"/>
              </w:rPr>
              <w:t>As of</w:t>
            </w:r>
          </w:p>
        </w:tc>
        <w:tc>
          <w:tcPr>
            <w:tcW w:w="960" w:type="dxa"/>
            <w:vAlign w:val="bottom"/>
            <w:tcBorders>
              <w:bottom w:val="single" w:sz="8" w:color="auto"/>
            </w:tcBorders>
          </w:tcPr>
          <w:p>
            <w:pPr>
              <w:spacing w:after="0"/>
              <w:rPr>
                <w:sz w:val="18"/>
                <w:szCs w:val="18"/>
                <w:color w:val="auto"/>
              </w:rPr>
            </w:pPr>
          </w:p>
        </w:tc>
      </w:tr>
      <w:tr>
        <w:trPr>
          <w:trHeight w:val="211"/>
        </w:trPr>
        <w:tc>
          <w:tcPr>
            <w:tcW w:w="8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July 4, 2025</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25"/>
        </w:trPr>
        <w:tc>
          <w:tcPr>
            <w:tcW w:w="828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Revolving Credit Facility due 2028, interest payable monthly at 5.67% and 5.69%</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375.0</w:t>
            </w:r>
          </w:p>
        </w:tc>
        <w:tc>
          <w:tcPr>
            <w:tcW w:w="8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ind w:right="273"/>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375.0</w:t>
            </w:r>
          </w:p>
        </w:tc>
      </w:tr>
      <w:tr>
        <w:trPr>
          <w:trHeight w:val="229"/>
        </w:trPr>
        <w:tc>
          <w:tcPr>
            <w:tcW w:w="82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0.50% Notes due 2029 </w:t>
            </w:r>
            <w:r>
              <w:rPr>
                <w:rFonts w:ascii="Times New Roman" w:cs="Times New Roman" w:eastAsia="Times New Roman" w:hAnsi="Times New Roman"/>
                <w:sz w:val="23"/>
                <w:szCs w:val="23"/>
                <w:color w:val="auto"/>
                <w:vertAlign w:val="superscript"/>
              </w:rPr>
              <w:t>(1)</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r>
      <w:tr>
        <w:trPr>
          <w:trHeight w:val="23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0% Notes due 2027</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804.9</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804.9</w:t>
            </w:r>
          </w:p>
        </w:tc>
      </w:tr>
      <w:tr>
        <w:trPr>
          <w:trHeight w:val="229"/>
        </w:trPr>
        <w:tc>
          <w:tcPr>
            <w:tcW w:w="828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3.875% Notes due 2028 </w:t>
            </w:r>
            <w:r>
              <w:rPr>
                <w:rFonts w:ascii="Times New Roman" w:cs="Times New Roman" w:eastAsia="Times New Roman" w:hAnsi="Times New Roman"/>
                <w:sz w:val="23"/>
                <w:szCs w:val="23"/>
                <w:color w:val="auto"/>
                <w:vertAlign w:val="superscript"/>
              </w:rPr>
              <w:t>(2)</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700.0</w:t>
            </w: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700.0</w:t>
            </w:r>
          </w:p>
        </w:tc>
      </w:tr>
      <w:tr>
        <w:trPr>
          <w:trHeight w:val="223"/>
        </w:trPr>
        <w:tc>
          <w:tcPr>
            <w:tcW w:w="8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Gross long-term debt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3,379.9</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3,379.9</w:t>
            </w:r>
          </w:p>
        </w:tc>
      </w:tr>
      <w:tr>
        <w:trPr>
          <w:trHeight w:val="229"/>
        </w:trPr>
        <w:tc>
          <w:tcPr>
            <w:tcW w:w="8280" w:type="dxa"/>
            <w:vAlign w:val="bottom"/>
          </w:tcPr>
          <w:p>
            <w:pPr>
              <w:ind w:left="460"/>
              <w:spacing w:after="0" w:line="230" w:lineRule="exact"/>
              <w:rPr>
                <w:sz w:val="20"/>
                <w:szCs w:val="20"/>
                <w:color w:val="auto"/>
              </w:rPr>
            </w:pPr>
            <w:r>
              <w:rPr>
                <w:rFonts w:ascii="Times New Roman" w:cs="Times New Roman" w:eastAsia="Times New Roman" w:hAnsi="Times New Roman"/>
                <w:sz w:val="18"/>
                <w:szCs w:val="18"/>
                <w:color w:val="auto"/>
              </w:rPr>
              <w:t xml:space="preserve">Less: Unamortized debt discount </w:t>
            </w:r>
            <w:r>
              <w:rPr>
                <w:rFonts w:ascii="Times New Roman" w:cs="Times New Roman" w:eastAsia="Times New Roman" w:hAnsi="Times New Roman"/>
                <w:sz w:val="23"/>
                <w:szCs w:val="23"/>
                <w:color w:val="auto"/>
                <w:vertAlign w:val="superscript"/>
              </w:rPr>
              <w:t>(3)</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30"/>
        </w:trPr>
        <w:tc>
          <w:tcPr>
            <w:tcW w:w="8280" w:type="dxa"/>
            <w:vAlign w:val="bottom"/>
            <w:shd w:val="clear" w:color="auto" w:fill="CCEEFF"/>
          </w:tcPr>
          <w:p>
            <w:pPr>
              <w:ind w:left="460"/>
              <w:spacing w:after="0" w:line="230" w:lineRule="exact"/>
              <w:rPr>
                <w:sz w:val="20"/>
                <w:szCs w:val="20"/>
                <w:color w:val="auto"/>
              </w:rPr>
            </w:pPr>
            <w:r>
              <w:rPr>
                <w:rFonts w:ascii="Times New Roman" w:cs="Times New Roman" w:eastAsia="Times New Roman" w:hAnsi="Times New Roman"/>
                <w:sz w:val="18"/>
                <w:szCs w:val="18"/>
                <w:color w:val="auto"/>
              </w:rPr>
              <w:t xml:space="preserve">Less: Unamortized debt issuance costs </w:t>
            </w:r>
            <w:r>
              <w:rPr>
                <w:rFonts w:ascii="Times New Roman" w:cs="Times New Roman" w:eastAsia="Times New Roman" w:hAnsi="Times New Roman"/>
                <w:sz w:val="23"/>
                <w:szCs w:val="23"/>
                <w:color w:val="auto"/>
                <w:vertAlign w:val="superscript"/>
              </w:rPr>
              <w:t>(4)</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w:t>
            </w:r>
          </w:p>
        </w:tc>
      </w:tr>
      <w:tr>
        <w:trPr>
          <w:trHeight w:val="223"/>
        </w:trPr>
        <w:tc>
          <w:tcPr>
            <w:tcW w:w="8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Net long-term debt</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3,350.7</w:t>
            </w:r>
          </w:p>
        </w:tc>
        <w:tc>
          <w:tcPr>
            <w:tcW w:w="80" w:type="dxa"/>
            <w:vAlign w:val="bottom"/>
          </w:tcPr>
          <w:p>
            <w:pPr>
              <w:spacing w:after="0"/>
              <w:rPr>
                <w:sz w:val="19"/>
                <w:szCs w:val="19"/>
                <w:color w:val="auto"/>
              </w:rPr>
            </w:pPr>
          </w:p>
        </w:tc>
        <w:tc>
          <w:tcPr>
            <w:tcW w:w="48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3,345.9</w:t>
            </w:r>
          </w:p>
        </w:tc>
      </w:tr>
      <w:tr>
        <w:trPr>
          <w:trHeight w:val="21"/>
        </w:trPr>
        <w:tc>
          <w:tcPr>
            <w:tcW w:w="8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89" w:lineRule="exact"/>
        <w:rPr>
          <w:sz w:val="20"/>
          <w:szCs w:val="20"/>
          <w:color w:val="auto"/>
        </w:rPr>
      </w:pPr>
    </w:p>
    <w:p>
      <w:pPr>
        <w:ind w:left="320" w:hanging="312"/>
        <w:spacing w:after="0"/>
        <w:tabs>
          <w:tab w:leader="none" w:pos="320" w:val="left"/>
        </w:tabs>
        <w:numPr>
          <w:ilvl w:val="0"/>
          <w:numId w:val="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Interest is payable on March 1 and September 1 of each year at 0.50% annually.</w:t>
      </w:r>
    </w:p>
    <w:p>
      <w:pPr>
        <w:spacing w:after="0" w:line="55" w:lineRule="exact"/>
        <w:rPr>
          <w:rFonts w:ascii="Times New Roman" w:cs="Times New Roman" w:eastAsia="Times New Roman" w:hAnsi="Times New Roman"/>
          <w:sz w:val="23"/>
          <w:szCs w:val="23"/>
          <w:color w:val="auto"/>
          <w:vertAlign w:val="superscript"/>
        </w:rPr>
      </w:pPr>
    </w:p>
    <w:p>
      <w:pPr>
        <w:ind w:left="320" w:hanging="312"/>
        <w:spacing w:after="0" w:line="194" w:lineRule="auto"/>
        <w:tabs>
          <w:tab w:leader="none" w:pos="320" w:val="left"/>
        </w:tabs>
        <w:numPr>
          <w:ilvl w:val="0"/>
          <w:numId w:val="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Interest is payable on March 1 and September 1 of each year at 3.875% annually.</w:t>
      </w:r>
    </w:p>
    <w:p>
      <w:pPr>
        <w:spacing w:after="0" w:line="56" w:lineRule="exact"/>
        <w:rPr>
          <w:rFonts w:ascii="Times New Roman" w:cs="Times New Roman" w:eastAsia="Times New Roman" w:hAnsi="Times New Roman"/>
          <w:sz w:val="23"/>
          <w:szCs w:val="23"/>
          <w:color w:val="auto"/>
          <w:vertAlign w:val="superscript"/>
        </w:rPr>
      </w:pPr>
    </w:p>
    <w:p>
      <w:pPr>
        <w:ind w:left="320" w:hanging="312"/>
        <w:spacing w:after="0" w:line="194" w:lineRule="auto"/>
        <w:tabs>
          <w:tab w:leader="none" w:pos="320" w:val="left"/>
        </w:tabs>
        <w:numPr>
          <w:ilvl w:val="0"/>
          <w:numId w:val="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Unamortized debt discount of $2.9 million and $3.4 million for the 3.875% Notes as of July 4, 2025 and December 31, 2024, respectively.</w:t>
      </w:r>
    </w:p>
    <w:p>
      <w:pPr>
        <w:spacing w:after="0" w:line="56" w:lineRule="exact"/>
        <w:rPr>
          <w:rFonts w:ascii="Times New Roman" w:cs="Times New Roman" w:eastAsia="Times New Roman" w:hAnsi="Times New Roman"/>
          <w:sz w:val="23"/>
          <w:szCs w:val="23"/>
          <w:color w:val="auto"/>
          <w:vertAlign w:val="superscript"/>
        </w:rPr>
      </w:pPr>
    </w:p>
    <w:p>
      <w:pPr>
        <w:ind w:left="340" w:hanging="332"/>
        <w:spacing w:after="0" w:line="219" w:lineRule="auto"/>
        <w:tabs>
          <w:tab w:leader="none" w:pos="328" w:val="left"/>
        </w:tabs>
        <w:numPr>
          <w:ilvl w:val="0"/>
          <w:numId w:val="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Unamortized debt issuance costs of $19.2 million and $21.7 million for the 0.50% Notes, $6.1 million and $7.7 million for the 0% Notes and $1.0 million and $1.2 million for the 3.875% Notes, in each case as of July 4, 2025 and December 31, 2024, respectively.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Expected maturities of gross long-term debt as of July 4, 2025 were as follows (in millions):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240" w:type="dxa"/>
            <w:vAlign w:val="bottom"/>
          </w:tcPr>
          <w:p>
            <w:pPr>
              <w:spacing w:after="0"/>
              <w:rPr>
                <w:sz w:val="16"/>
                <w:szCs w:val="16"/>
                <w:color w:val="auto"/>
              </w:rPr>
            </w:pPr>
          </w:p>
        </w:tc>
        <w:tc>
          <w:tcPr>
            <w:tcW w:w="1200" w:type="dxa"/>
            <w:vAlign w:val="bottom"/>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Expected</w:t>
            </w:r>
          </w:p>
        </w:tc>
        <w:tc>
          <w:tcPr>
            <w:tcW w:w="0" w:type="dxa"/>
            <w:vAlign w:val="bottom"/>
          </w:tcPr>
          <w:p>
            <w:pPr>
              <w:spacing w:after="0"/>
              <w:rPr>
                <w:sz w:val="1"/>
                <w:szCs w:val="1"/>
                <w:color w:val="auto"/>
              </w:rPr>
            </w:pPr>
          </w:p>
        </w:tc>
      </w:tr>
      <w:tr>
        <w:trPr>
          <w:trHeight w:val="214"/>
        </w:trPr>
        <w:tc>
          <w:tcPr>
            <w:tcW w:w="980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ind w:right="272"/>
              <w:spacing w:after="0"/>
              <w:rPr>
                <w:sz w:val="20"/>
                <w:szCs w:val="20"/>
                <w:color w:val="auto"/>
              </w:rPr>
            </w:pPr>
            <w:r>
              <w:rPr>
                <w:rFonts w:ascii="Times New Roman" w:cs="Times New Roman" w:eastAsia="Times New Roman" w:hAnsi="Times New Roman"/>
                <w:sz w:val="16"/>
                <w:szCs w:val="16"/>
                <w:b w:val="1"/>
                <w:bCs w:val="1"/>
                <w:color w:val="auto"/>
              </w:rPr>
              <w:t>Maturities</w:t>
            </w:r>
          </w:p>
        </w:tc>
        <w:tc>
          <w:tcPr>
            <w:tcW w:w="0" w:type="dxa"/>
            <w:vAlign w:val="bottom"/>
          </w:tcPr>
          <w:p>
            <w:pPr>
              <w:spacing w:after="0"/>
              <w:rPr>
                <w:sz w:val="1"/>
                <w:szCs w:val="1"/>
                <w:color w:val="auto"/>
              </w:rPr>
            </w:pPr>
          </w:p>
        </w:tc>
      </w:tr>
      <w:tr>
        <w:trPr>
          <w:trHeight w:val="225"/>
        </w:trPr>
        <w:tc>
          <w:tcPr>
            <w:tcW w:w="97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2025</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9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9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804.9</w:t>
            </w:r>
          </w:p>
        </w:tc>
        <w:tc>
          <w:tcPr>
            <w:tcW w:w="0" w:type="dxa"/>
            <w:vAlign w:val="bottom"/>
          </w:tcPr>
          <w:p>
            <w:pPr>
              <w:spacing w:after="0"/>
              <w:rPr>
                <w:sz w:val="1"/>
                <w:szCs w:val="1"/>
                <w:color w:val="auto"/>
              </w:rPr>
            </w:pPr>
          </w:p>
        </w:tc>
      </w:tr>
      <w:tr>
        <w:trPr>
          <w:trHeight w:val="229"/>
        </w:trPr>
        <w:tc>
          <w:tcPr>
            <w:tcW w:w="9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1,075.0</w:t>
            </w:r>
          </w:p>
        </w:tc>
        <w:tc>
          <w:tcPr>
            <w:tcW w:w="0" w:type="dxa"/>
            <w:vAlign w:val="bottom"/>
          </w:tcPr>
          <w:p>
            <w:pPr>
              <w:spacing w:after="0"/>
              <w:rPr>
                <w:sz w:val="1"/>
                <w:szCs w:val="1"/>
                <w:color w:val="auto"/>
              </w:rPr>
            </w:pPr>
          </w:p>
        </w:tc>
      </w:tr>
      <w:tr>
        <w:trPr>
          <w:trHeight w:val="230"/>
        </w:trPr>
        <w:tc>
          <w:tcPr>
            <w:tcW w:w="9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0" w:type="dxa"/>
            <w:vAlign w:val="bottom"/>
          </w:tcPr>
          <w:p>
            <w:pPr>
              <w:spacing w:after="0"/>
              <w:rPr>
                <w:sz w:val="1"/>
                <w:szCs w:val="1"/>
                <w:color w:val="auto"/>
              </w:rPr>
            </w:pPr>
          </w:p>
        </w:tc>
      </w:tr>
      <w:tr>
        <w:trPr>
          <w:trHeight w:val="230"/>
        </w:trPr>
        <w:tc>
          <w:tcPr>
            <w:tcW w:w="98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980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3,379.9</w:t>
            </w:r>
          </w:p>
        </w:tc>
        <w:tc>
          <w:tcPr>
            <w:tcW w:w="0" w:type="dxa"/>
            <w:vAlign w:val="bottom"/>
          </w:tcPr>
          <w:p>
            <w:pPr>
              <w:spacing w:after="0"/>
              <w:rPr>
                <w:sz w:val="1"/>
                <w:szCs w:val="1"/>
                <w:color w:val="auto"/>
              </w:rPr>
            </w:pPr>
          </w:p>
        </w:tc>
      </w:tr>
      <w:tr>
        <w:trPr>
          <w:trHeight w:val="20"/>
        </w:trPr>
        <w:tc>
          <w:tcPr>
            <w:tcW w:w="97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was in compliance with its covenants under all debt agreements as of July 4, 2025, and expects to remain in compliance with all covenants over at least the next 12 months.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line="255" w:lineRule="auto"/>
        <w:rPr>
          <w:sz w:val="20"/>
          <w:szCs w:val="20"/>
          <w:color w:val="auto"/>
        </w:rPr>
      </w:pPr>
      <w:r>
        <w:rPr>
          <w:rFonts w:ascii="Times New Roman" w:cs="Times New Roman" w:eastAsia="Times New Roman" w:hAnsi="Times New Roman"/>
          <w:sz w:val="18"/>
          <w:szCs w:val="18"/>
          <w:b w:val="1"/>
          <w:bCs w:val="1"/>
          <w:color w:val="auto"/>
        </w:rPr>
        <w:t>ON SEMICONDUCTOR CORPORATION NOTES TO CONSOLIDATED FINANCIAL STATEMENTS - Continued (unaudited)</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Earnings Per Share and Equity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Earnings Per Share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income per share of common stock for calculating basic and diluted earnings per share was calculated as follows (in millions, except per share data):</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20" w:type="dxa"/>
            <w:vAlign w:val="bottom"/>
            <w:gridSpan w:val="5"/>
          </w:tcPr>
          <w:p>
            <w:pPr>
              <w:ind w:left="700"/>
              <w:spacing w:after="0"/>
              <w:rPr>
                <w:sz w:val="20"/>
                <w:szCs w:val="20"/>
                <w:color w:val="auto"/>
              </w:rPr>
            </w:pPr>
            <w:r>
              <w:rPr>
                <w:rFonts w:ascii="Times New Roman" w:cs="Times New Roman" w:eastAsia="Times New Roman" w:hAnsi="Times New Roman"/>
                <w:sz w:val="16"/>
                <w:szCs w:val="16"/>
                <w:b w:val="1"/>
                <w:bCs w:val="1"/>
                <w:color w:val="auto"/>
              </w:rPr>
              <w:t>Quarters Ended</w:t>
            </w:r>
          </w:p>
        </w:tc>
        <w:tc>
          <w:tcPr>
            <w:tcW w:w="180" w:type="dxa"/>
            <w:vAlign w:val="bottom"/>
          </w:tcPr>
          <w:p>
            <w:pPr>
              <w:spacing w:after="0"/>
              <w:rPr>
                <w:sz w:val="18"/>
                <w:szCs w:val="18"/>
                <w:color w:val="auto"/>
              </w:rPr>
            </w:pPr>
          </w:p>
        </w:tc>
        <w:tc>
          <w:tcPr>
            <w:tcW w:w="2580" w:type="dxa"/>
            <w:vAlign w:val="bottom"/>
            <w:gridSpan w:val="4"/>
          </w:tcPr>
          <w:p>
            <w:pPr>
              <w:jc w:val="right"/>
              <w:ind w:right="651"/>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211"/>
        </w:trPr>
        <w:tc>
          <w:tcPr>
            <w:tcW w:w="54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July 4, 2025</w:t>
            </w:r>
          </w:p>
        </w:tc>
        <w:tc>
          <w:tcPr>
            <w:tcW w:w="18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151"/>
              <w:spacing w:after="0"/>
              <w:rPr>
                <w:sz w:val="20"/>
                <w:szCs w:val="20"/>
                <w:color w:val="auto"/>
              </w:rPr>
            </w:pPr>
            <w:r>
              <w:rPr>
                <w:rFonts w:ascii="Times New Roman" w:cs="Times New Roman" w:eastAsia="Times New Roman" w:hAnsi="Times New Roman"/>
                <w:sz w:val="16"/>
                <w:szCs w:val="16"/>
                <w:b w:val="1"/>
                <w:bCs w:val="1"/>
                <w:color w:val="auto"/>
              </w:rPr>
              <w:t>June 28, 2024</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July 4, 2025</w:t>
            </w:r>
          </w:p>
        </w:tc>
        <w:tc>
          <w:tcPr>
            <w:tcW w:w="1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111"/>
              <w:spacing w:after="0"/>
              <w:rPr>
                <w:sz w:val="20"/>
                <w:szCs w:val="20"/>
                <w:color w:val="auto"/>
              </w:rPr>
            </w:pPr>
            <w:r>
              <w:rPr>
                <w:rFonts w:ascii="Times New Roman" w:cs="Times New Roman" w:eastAsia="Times New Roman" w:hAnsi="Times New Roman"/>
                <w:sz w:val="16"/>
                <w:szCs w:val="16"/>
                <w:b w:val="1"/>
                <w:bCs w:val="1"/>
                <w:color w:val="auto"/>
              </w:rPr>
              <w:t>June 28, 2024</w:t>
            </w:r>
          </w:p>
        </w:tc>
      </w:tr>
      <w:tr>
        <w:trPr>
          <w:trHeight w:val="250"/>
        </w:trPr>
        <w:tc>
          <w:tcPr>
            <w:tcW w:w="54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for diluted earnings per share of common stock</w:t>
            </w: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791.2</w:t>
            </w: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30"/>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weighted-average shares of common stock outstanding</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428.6</w:t>
            </w:r>
          </w:p>
        </w:tc>
      </w:tr>
      <w:tr>
        <w:trPr>
          <w:trHeight w:val="229"/>
        </w:trPr>
        <w:tc>
          <w:tcPr>
            <w:tcW w:w="5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Dilutive effect of share-based awards</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29"/>
        </w:trPr>
        <w:tc>
          <w:tcPr>
            <w:tcW w:w="5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Dilutive effect of convertible notes and warrants</w:t>
            </w:r>
          </w:p>
        </w:tc>
        <w:tc>
          <w:tcPr>
            <w:tcW w:w="2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23"/>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weighted-average shares of common stock outstanding</w:t>
            </w:r>
          </w:p>
        </w:tc>
        <w:tc>
          <w:tcPr>
            <w:tcW w:w="22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414.9</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433.2</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418.0</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434.9</w:t>
            </w:r>
          </w:p>
        </w:tc>
      </w:tr>
      <w:tr>
        <w:trPr>
          <w:trHeight w:val="20"/>
        </w:trPr>
        <w:tc>
          <w:tcPr>
            <w:tcW w:w="54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37"/>
        </w:trPr>
        <w:tc>
          <w:tcPr>
            <w:tcW w:w="54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r>
      <w:tr>
        <w:trPr>
          <w:trHeight w:val="176"/>
        </w:trPr>
        <w:tc>
          <w:tcPr>
            <w:tcW w:w="54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Net income (loss) per share of common stock attributable to ON</w:t>
            </w: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239"/>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Semiconductor Corporation:</w:t>
            </w: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59"/>
        </w:trPr>
        <w:tc>
          <w:tcPr>
            <w:tcW w:w="54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5440" w:type="dxa"/>
            <w:vAlign w:val="bottom"/>
          </w:tcPr>
          <w:p>
            <w:pPr>
              <w:ind w:left="360"/>
              <w:spacing w:after="0" w:line="203" w:lineRule="exact"/>
              <w:rPr>
                <w:sz w:val="20"/>
                <w:szCs w:val="20"/>
                <w:color w:val="auto"/>
              </w:rPr>
            </w:pPr>
            <w:r>
              <w:rPr>
                <w:rFonts w:ascii="Times New Roman" w:cs="Times New Roman" w:eastAsia="Times New Roman" w:hAnsi="Times New Roman"/>
                <w:sz w:val="18"/>
                <w:szCs w:val="18"/>
                <w:color w:val="auto"/>
              </w:rPr>
              <w:t>Diluted</w:t>
            </w:r>
          </w:p>
        </w:tc>
        <w:tc>
          <w:tcPr>
            <w:tcW w:w="220" w:type="dxa"/>
            <w:vAlign w:val="bottom"/>
            <w:tcBorders>
              <w:bottom w:val="single" w:sz="8" w:color="auto"/>
            </w:tcBorders>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0.41</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0.78</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(0.76)</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1.82</w:t>
            </w:r>
          </w:p>
        </w:tc>
      </w:tr>
      <w:tr>
        <w:trPr>
          <w:trHeight w:val="21"/>
        </w:trPr>
        <w:tc>
          <w:tcPr>
            <w:tcW w:w="5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Basic income (loss) per share of common stock is computed by dividing net income (loss) for basic earnings by the weighted-average number of shares of common stock outstanding during the period. To calculate the diluted weighted-average shares of common stock outstanding, the treasury stock method has been applied to calculate the number of incremental shares from the assumed issuance of shares relating to RSUs. The excluded number of anti-dilutive share-based awards was 2.4 million and 1.2 million for the quarters ended July 4, 2025 and June 28, 2024, respectively, and 2.3 million and 0.8 million for the six months ended July 4, 2025 and June 28, 2024, respectively; as the inclusion would have the effect of increasing the net income per common share attributable to the Company or decreasing the net loss per common share attributable to the Company. The increase in the anti-dilutive share-based awards was due to the net loss for the six months ended July 4, 2025.</w:t>
      </w:r>
    </w:p>
    <w:p>
      <w:pPr>
        <w:spacing w:after="0" w:line="20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The dilutive impacts related to the 0.50% Notes and 0% Notes have been calculated using the if-converted method for the quarters ended July 4, 2025 and June 28, 2024. The 0.50% Notes and the 0% Notes are repayable in cash up to the par value and in cash or shares of common stock for the excess over par value. Prior to conversion, the convertible note hedges are not considered for purposes of the earnings per share calculations as their effect would be anti-dilutive. Upon conversion, the convertible note hedges are expected to offset the dilutive effect of the 0.50% Notes and 0% Notes when the stock price is above $103.87 and $52.97 per share, respectively.</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dilutive impact of the warrants issued concurrently with the issuance of the 0.50% Notes and 0% Notes with exercise prices of $156.78 and $74.34, respectively, has been included in the calculation of diluted weighted-average common shares outstanding, if applicable.</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line="255" w:lineRule="auto"/>
        <w:rPr>
          <w:sz w:val="20"/>
          <w:szCs w:val="20"/>
          <w:color w:val="auto"/>
        </w:rPr>
      </w:pPr>
      <w:r>
        <w:rPr>
          <w:rFonts w:ascii="Times New Roman" w:cs="Times New Roman" w:eastAsia="Times New Roman" w:hAnsi="Times New Roman"/>
          <w:sz w:val="18"/>
          <w:szCs w:val="18"/>
          <w:b w:val="1"/>
          <w:bCs w:val="1"/>
          <w:color w:val="auto"/>
        </w:rPr>
        <w:t>ON SEMICONDUCTOR CORPORATION NOTES TO CONSOLIDATED FINANCIAL STATEMENTS - Continued (unaudited)</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Repurchase Program</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share repurchase program announced on February 6, 2023 (the "Share Repurchase Program"), the Company may repurchase up to $3.0 billion (exclusive of fees, commissions and other expenses) of the Company's common stock through December 31, 2025. Activity under the Share Repurchase Program during the quarters and six months ended July 4, 2025 and June 28, 2024, respectively, was as follows (in millions, except per share data):</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40" w:type="dxa"/>
            <w:vAlign w:val="bottom"/>
            <w:gridSpan w:val="5"/>
          </w:tcPr>
          <w:p>
            <w:pPr>
              <w:ind w:left="720"/>
              <w:spacing w:after="0"/>
              <w:rPr>
                <w:sz w:val="20"/>
                <w:szCs w:val="20"/>
                <w:color w:val="auto"/>
              </w:rPr>
            </w:pPr>
            <w:r>
              <w:rPr>
                <w:rFonts w:ascii="Times New Roman" w:cs="Times New Roman" w:eastAsia="Times New Roman" w:hAnsi="Times New Roman"/>
                <w:sz w:val="16"/>
                <w:szCs w:val="16"/>
                <w:b w:val="1"/>
                <w:bCs w:val="1"/>
                <w:color w:val="auto"/>
              </w:rPr>
              <w:t>Quarters Ended</w:t>
            </w:r>
          </w:p>
        </w:tc>
        <w:tc>
          <w:tcPr>
            <w:tcW w:w="200" w:type="dxa"/>
            <w:vAlign w:val="bottom"/>
          </w:tcPr>
          <w:p>
            <w:pPr>
              <w:spacing w:after="0"/>
              <w:rPr>
                <w:sz w:val="18"/>
                <w:szCs w:val="18"/>
                <w:color w:val="auto"/>
              </w:rPr>
            </w:pPr>
          </w:p>
        </w:tc>
        <w:tc>
          <w:tcPr>
            <w:tcW w:w="2760" w:type="dxa"/>
            <w:vAlign w:val="bottom"/>
            <w:gridSpan w:val="4"/>
          </w:tcPr>
          <w:p>
            <w:pPr>
              <w:jc w:val="right"/>
              <w:ind w:right="752"/>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0" w:type="dxa"/>
            <w:vAlign w:val="bottom"/>
          </w:tcPr>
          <w:p>
            <w:pPr>
              <w:spacing w:after="0"/>
              <w:rPr>
                <w:sz w:val="1"/>
                <w:szCs w:val="1"/>
                <w:color w:val="auto"/>
              </w:rPr>
            </w:pPr>
          </w:p>
        </w:tc>
      </w:tr>
      <w:tr>
        <w:trPr>
          <w:trHeight w:val="211"/>
        </w:trPr>
        <w:tc>
          <w:tcPr>
            <w:tcW w:w="52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July 4, 2025</w:t>
            </w:r>
          </w:p>
        </w:tc>
        <w:tc>
          <w:tcPr>
            <w:tcW w:w="18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152"/>
              <w:spacing w:after="0"/>
              <w:rPr>
                <w:sz w:val="20"/>
                <w:szCs w:val="20"/>
                <w:color w:val="auto"/>
              </w:rPr>
            </w:pPr>
            <w:r>
              <w:rPr>
                <w:rFonts w:ascii="Times New Roman" w:cs="Times New Roman" w:eastAsia="Times New Roman" w:hAnsi="Times New Roman"/>
                <w:sz w:val="16"/>
                <w:szCs w:val="16"/>
                <w:b w:val="1"/>
                <w:bCs w:val="1"/>
                <w:color w:val="auto"/>
              </w:rPr>
              <w:t>June 28, 2024</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July 4, 2025</w:t>
            </w:r>
          </w:p>
        </w:tc>
        <w:tc>
          <w:tcPr>
            <w:tcW w:w="1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52"/>
              <w:spacing w:after="0"/>
              <w:rPr>
                <w:sz w:val="20"/>
                <w:szCs w:val="20"/>
                <w:color w:val="auto"/>
              </w:rPr>
            </w:pPr>
            <w:r>
              <w:rPr>
                <w:rFonts w:ascii="Times New Roman" w:cs="Times New Roman" w:eastAsia="Times New Roman" w:hAnsi="Times New Roman"/>
                <w:sz w:val="16"/>
                <w:szCs w:val="16"/>
                <w:b w:val="1"/>
                <w:bCs w:val="1"/>
                <w:color w:val="auto"/>
              </w:rPr>
              <w:t>June 28, 2024</w:t>
            </w:r>
          </w:p>
        </w:tc>
        <w:tc>
          <w:tcPr>
            <w:tcW w:w="0" w:type="dxa"/>
            <w:vAlign w:val="bottom"/>
          </w:tcPr>
          <w:p>
            <w:pPr>
              <w:spacing w:after="0"/>
              <w:rPr>
                <w:sz w:val="1"/>
                <w:szCs w:val="1"/>
                <w:color w:val="auto"/>
              </w:rPr>
            </w:pPr>
          </w:p>
        </w:tc>
      </w:tr>
      <w:tr>
        <w:trPr>
          <w:trHeight w:val="250"/>
        </w:trPr>
        <w:tc>
          <w:tcPr>
            <w:tcW w:w="5240" w:type="dxa"/>
            <w:vAlign w:val="bottom"/>
            <w:tcBorders>
              <w:top w:val="single" w:sz="8" w:color="CCEEFF"/>
              <w:bottom w:val="single" w:sz="8" w:color="CCEEFF"/>
            </w:tcBorders>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 xml:space="preserve">Number of repurchased shares </w:t>
            </w:r>
            <w:r>
              <w:rPr>
                <w:rFonts w:ascii="Times New Roman" w:cs="Times New Roman" w:eastAsia="Times New Roman" w:hAnsi="Times New Roman"/>
                <w:sz w:val="23"/>
                <w:szCs w:val="23"/>
                <w:color w:val="auto"/>
                <w:vertAlign w:val="superscript"/>
              </w:rPr>
              <w:t>(1)</w:t>
            </w: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Aggregate purchase price</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240" w:type="dxa"/>
            <w:vAlign w:val="bottom"/>
            <w:vMerge w:val="continue"/>
          </w:tcPr>
          <w:p>
            <w:pPr>
              <w:spacing w:after="0"/>
              <w:rPr>
                <w:sz w:val="17"/>
                <w:szCs w:val="17"/>
                <w:color w:val="auto"/>
              </w:rPr>
            </w:pPr>
          </w:p>
        </w:tc>
        <w:tc>
          <w:tcPr>
            <w:tcW w:w="2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300.0</w:t>
            </w:r>
          </w:p>
        </w:tc>
        <w:tc>
          <w:tcPr>
            <w:tcW w:w="100" w:type="dxa"/>
            <w:vAlign w:val="bottom"/>
          </w:tcPr>
          <w:p>
            <w:pPr>
              <w:spacing w:after="0"/>
              <w:rPr>
                <w:sz w:val="17"/>
                <w:szCs w:val="17"/>
                <w:color w:val="auto"/>
              </w:rPr>
            </w:pPr>
          </w:p>
        </w:tc>
        <w:tc>
          <w:tcPr>
            <w:tcW w:w="1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150.0</w:t>
            </w:r>
          </w:p>
        </w:tc>
        <w:tc>
          <w:tcPr>
            <w:tcW w:w="100" w:type="dxa"/>
            <w:vAlign w:val="bottom"/>
          </w:tcPr>
          <w:p>
            <w:pPr>
              <w:spacing w:after="0"/>
              <w:rPr>
                <w:sz w:val="17"/>
                <w:szCs w:val="17"/>
                <w:color w:val="auto"/>
              </w:rPr>
            </w:pPr>
          </w:p>
        </w:tc>
        <w:tc>
          <w:tcPr>
            <w:tcW w:w="2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600.0</w:t>
            </w:r>
          </w:p>
        </w:tc>
        <w:tc>
          <w:tcPr>
            <w:tcW w:w="80" w:type="dxa"/>
            <w:vAlign w:val="bottom"/>
          </w:tcPr>
          <w:p>
            <w:pPr>
              <w:spacing w:after="0"/>
              <w:rPr>
                <w:sz w:val="17"/>
                <w:szCs w:val="17"/>
                <w:color w:val="auto"/>
              </w:rPr>
            </w:pPr>
          </w:p>
        </w:tc>
        <w:tc>
          <w:tcPr>
            <w:tcW w:w="1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250.0</w:t>
            </w: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Fees, commissions and excise tax</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23"/>
        </w:trPr>
        <w:tc>
          <w:tcPr>
            <w:tcW w:w="52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303.0</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150.1</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605.6</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250.1</w:t>
            </w:r>
          </w:p>
        </w:tc>
        <w:tc>
          <w:tcPr>
            <w:tcW w:w="0" w:type="dxa"/>
            <w:vAlign w:val="bottom"/>
          </w:tcPr>
          <w:p>
            <w:pPr>
              <w:spacing w:after="0"/>
              <w:rPr>
                <w:sz w:val="1"/>
                <w:szCs w:val="1"/>
                <w:color w:val="auto"/>
              </w:rPr>
            </w:pPr>
          </w:p>
        </w:tc>
      </w:tr>
      <w:tr>
        <w:trPr>
          <w:trHeight w:val="20"/>
        </w:trPr>
        <w:tc>
          <w:tcPr>
            <w:tcW w:w="52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24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Weighted-average purchase price per share </w:t>
            </w:r>
            <w:r>
              <w:rPr>
                <w:rFonts w:ascii="Times New Roman" w:cs="Times New Roman" w:eastAsia="Times New Roman" w:hAnsi="Times New Roman"/>
                <w:sz w:val="23"/>
                <w:szCs w:val="23"/>
                <w:color w:val="auto"/>
                <w:vertAlign w:val="superscript"/>
              </w:rPr>
              <w:t>(2)</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74.41</w:t>
            </w:r>
          </w:p>
        </w:tc>
        <w:tc>
          <w:tcPr>
            <w:tcW w:w="0" w:type="dxa"/>
            <w:vAlign w:val="bottom"/>
          </w:tcPr>
          <w:p>
            <w:pPr>
              <w:spacing w:after="0"/>
              <w:rPr>
                <w:sz w:val="1"/>
                <w:szCs w:val="1"/>
                <w:color w:val="auto"/>
              </w:rPr>
            </w:pPr>
          </w:p>
        </w:tc>
      </w:tr>
    </w:tbl>
    <w:p>
      <w:pPr>
        <w:spacing w:after="0" w:line="301" w:lineRule="exact"/>
        <w:rPr>
          <w:sz w:val="20"/>
          <w:szCs w:val="20"/>
          <w:color w:val="auto"/>
        </w:rPr>
      </w:pPr>
    </w:p>
    <w:p>
      <w:pPr>
        <w:ind w:left="180" w:hanging="172"/>
        <w:spacing w:after="0"/>
        <w:tabs>
          <w:tab w:leader="none" w:pos="180" w:val="left"/>
        </w:tabs>
        <w:numPr>
          <w:ilvl w:val="0"/>
          <w:numId w:val="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None of these shares had been reissued or retired as of July 4, 2025, but may be reissued later.</w:t>
      </w:r>
    </w:p>
    <w:p>
      <w:pPr>
        <w:spacing w:after="0" w:line="55" w:lineRule="exact"/>
        <w:rPr>
          <w:rFonts w:ascii="Times New Roman" w:cs="Times New Roman" w:eastAsia="Times New Roman" w:hAnsi="Times New Roman"/>
          <w:sz w:val="22"/>
          <w:szCs w:val="22"/>
          <w:color w:val="auto"/>
          <w:vertAlign w:val="superscript"/>
        </w:rPr>
      </w:pPr>
    </w:p>
    <w:p>
      <w:pPr>
        <w:ind w:left="180" w:hanging="172"/>
        <w:spacing w:after="0" w:line="203" w:lineRule="auto"/>
        <w:tabs>
          <w:tab w:leader="none" w:pos="180" w:val="left"/>
        </w:tabs>
        <w:numPr>
          <w:ilvl w:val="0"/>
          <w:numId w:val="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Exclusive of fees, commissions or other expenses.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July 4, 2025, the authorized amount remaining under the Share Repurchase Program was approximately $1,186.0 million. Subsequent to July 4, 2025, the Company acquired, subject to a 10b5-1 repurchase arrangement, 2.5 million shares for $147.0 million under the Share Repurchase Program.</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Shares for Restricted Stock Units Tax Withholding</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amounts remitted for employee withholding taxes during the quarter and six months ended July 4, 2025 was $2.2 million and $25.1 million, respectively, for which the Company withheld an immaterial number of shares and approximately 0.5 million shares of common stock, respectively, that were underlying the RSUs that vested. The amounts remitted for employee withholding taxes during the quarter and six months ended June 28, 2024 were $7.4 million and $45.1 million respectively, for which the Company withheld approximately 0.1 million and 0.6 million shares of common stock, respectively, that were underlying the RSUs that vested. This tax withholding activity is separate from the Share Repurchase Program.</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Non-Controlling Interest in Leshan-Phoenix Semiconductor Company Limited (“Leshan”)</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results of Leshan have been consolidated in the Company's financial statements. The Leshan non-controlling interest balance was $20.4 million as of July 4, 2025 after including its $2.3 million share of earnings for the six months ended July 4, 2025. As of December 31, 2024, the Leshan non-controlling interest balance was $18.1 million.</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line="255" w:lineRule="auto"/>
        <w:rPr>
          <w:sz w:val="20"/>
          <w:szCs w:val="20"/>
          <w:color w:val="auto"/>
        </w:rPr>
      </w:pPr>
      <w:r>
        <w:rPr>
          <w:rFonts w:ascii="Times New Roman" w:cs="Times New Roman" w:eastAsia="Times New Roman" w:hAnsi="Times New Roman"/>
          <w:sz w:val="18"/>
          <w:szCs w:val="18"/>
          <w:b w:val="1"/>
          <w:bCs w:val="1"/>
          <w:color w:val="auto"/>
        </w:rPr>
        <w:t>ON SEMICONDUCTOR CORPORATION NOTES TO CONSOLIDATED FINANCIAL STATEMENTS - Continued (unaudited)</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Share-Based Compensation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share-based compensation expense related to the RSUs, stock grant awards and the ESPP was recorded within the Consolidated Statements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Operations and Comprehensive Income as follows (in millions):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20" w:type="dxa"/>
            <w:vAlign w:val="bottom"/>
            <w:gridSpan w:val="5"/>
          </w:tcPr>
          <w:p>
            <w:pPr>
              <w:ind w:left="700"/>
              <w:spacing w:after="0"/>
              <w:rPr>
                <w:sz w:val="20"/>
                <w:szCs w:val="20"/>
                <w:color w:val="auto"/>
              </w:rPr>
            </w:pPr>
            <w:r>
              <w:rPr>
                <w:rFonts w:ascii="Times New Roman" w:cs="Times New Roman" w:eastAsia="Times New Roman" w:hAnsi="Times New Roman"/>
                <w:sz w:val="16"/>
                <w:szCs w:val="16"/>
                <w:b w:val="1"/>
                <w:bCs w:val="1"/>
                <w:color w:val="auto"/>
              </w:rPr>
              <w:t>Quarters Ended</w:t>
            </w:r>
          </w:p>
        </w:tc>
        <w:tc>
          <w:tcPr>
            <w:tcW w:w="200" w:type="dxa"/>
            <w:vAlign w:val="bottom"/>
          </w:tcPr>
          <w:p>
            <w:pPr>
              <w:spacing w:after="0"/>
              <w:rPr>
                <w:sz w:val="18"/>
                <w:szCs w:val="18"/>
                <w:color w:val="auto"/>
              </w:rPr>
            </w:pPr>
          </w:p>
        </w:tc>
        <w:tc>
          <w:tcPr>
            <w:tcW w:w="2760" w:type="dxa"/>
            <w:vAlign w:val="bottom"/>
            <w:gridSpan w:val="4"/>
          </w:tcPr>
          <w:p>
            <w:pPr>
              <w:ind w:left="640"/>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211"/>
        </w:trPr>
        <w:tc>
          <w:tcPr>
            <w:tcW w:w="52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July 4, 2025</w:t>
            </w:r>
          </w:p>
        </w:tc>
        <w:tc>
          <w:tcPr>
            <w:tcW w:w="1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131"/>
              <w:spacing w:after="0"/>
              <w:rPr>
                <w:sz w:val="20"/>
                <w:szCs w:val="20"/>
                <w:color w:val="auto"/>
              </w:rPr>
            </w:pPr>
            <w:r>
              <w:rPr>
                <w:rFonts w:ascii="Times New Roman" w:cs="Times New Roman" w:eastAsia="Times New Roman" w:hAnsi="Times New Roman"/>
                <w:sz w:val="16"/>
                <w:szCs w:val="16"/>
                <w:b w:val="1"/>
                <w:bCs w:val="1"/>
                <w:color w:val="auto"/>
              </w:rPr>
              <w:t>June 28, 2024</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July 4, 2025</w:t>
            </w:r>
          </w:p>
        </w:tc>
        <w:tc>
          <w:tcPr>
            <w:tcW w:w="1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6"/>
                <w:szCs w:val="16"/>
                <w:b w:val="1"/>
                <w:bCs w:val="1"/>
                <w:color w:val="auto"/>
              </w:rPr>
              <w:t>June 28, 2024</w:t>
            </w:r>
          </w:p>
        </w:tc>
      </w:tr>
      <w:tr>
        <w:trPr>
          <w:trHeight w:val="225"/>
        </w:trPr>
        <w:tc>
          <w:tcPr>
            <w:tcW w:w="5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center"/>
              <w:ind w:left="711"/>
              <w:spacing w:after="0"/>
              <w:rPr>
                <w:sz w:val="20"/>
                <w:szCs w:val="20"/>
                <w:color w:val="auto"/>
              </w:rPr>
            </w:pPr>
            <w:r>
              <w:rPr>
                <w:rFonts w:ascii="Times New Roman" w:cs="Times New Roman" w:eastAsia="Times New Roman" w:hAnsi="Times New Roman"/>
                <w:sz w:val="18"/>
                <w:szCs w:val="18"/>
                <w:color w:val="auto"/>
                <w:w w:val="95"/>
              </w:rPr>
              <w:t>11.9</w:t>
            </w:r>
          </w:p>
        </w:tc>
      </w:tr>
      <w:tr>
        <w:trPr>
          <w:trHeight w:val="230"/>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center"/>
              <w:ind w:left="711"/>
              <w:spacing w:after="0"/>
              <w:rPr>
                <w:sz w:val="20"/>
                <w:szCs w:val="20"/>
                <w:color w:val="auto"/>
              </w:rPr>
            </w:pPr>
            <w:r>
              <w:rPr>
                <w:rFonts w:ascii="Times New Roman" w:cs="Times New Roman" w:eastAsia="Times New Roman" w:hAnsi="Times New Roman"/>
                <w:sz w:val="18"/>
                <w:szCs w:val="18"/>
                <w:color w:val="auto"/>
                <w:w w:val="95"/>
              </w:rPr>
              <w:t>12.1</w:t>
            </w:r>
          </w:p>
        </w:tc>
      </w:tr>
      <w:tr>
        <w:trPr>
          <w:trHeight w:val="229"/>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and marketing</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center"/>
              <w:ind w:left="711"/>
              <w:spacing w:after="0"/>
              <w:rPr>
                <w:sz w:val="20"/>
                <w:szCs w:val="20"/>
                <w:color w:val="auto"/>
              </w:rPr>
            </w:pPr>
            <w:r>
              <w:rPr>
                <w:rFonts w:ascii="Times New Roman" w:cs="Times New Roman" w:eastAsia="Times New Roman" w:hAnsi="Times New Roman"/>
                <w:sz w:val="18"/>
                <w:szCs w:val="18"/>
                <w:color w:val="auto"/>
                <w:w w:val="95"/>
              </w:rPr>
              <w:t>10.6</w:t>
            </w:r>
          </w:p>
        </w:tc>
      </w:tr>
      <w:tr>
        <w:trPr>
          <w:trHeight w:val="229"/>
        </w:trPr>
        <w:tc>
          <w:tcPr>
            <w:tcW w:w="5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left="711"/>
              <w:spacing w:after="0"/>
              <w:rPr>
                <w:sz w:val="20"/>
                <w:szCs w:val="20"/>
                <w:color w:val="auto"/>
              </w:rPr>
            </w:pPr>
            <w:r>
              <w:rPr>
                <w:rFonts w:ascii="Times New Roman" w:cs="Times New Roman" w:eastAsia="Times New Roman" w:hAnsi="Times New Roman"/>
                <w:sz w:val="18"/>
                <w:szCs w:val="18"/>
                <w:color w:val="auto"/>
                <w:w w:val="95"/>
              </w:rPr>
              <w:t>30.7</w:t>
            </w:r>
          </w:p>
        </w:tc>
      </w:tr>
      <w:tr>
        <w:trPr>
          <w:trHeight w:val="223"/>
        </w:trPr>
        <w:tc>
          <w:tcPr>
            <w:tcW w:w="5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center"/>
              <w:ind w:left="711"/>
              <w:spacing w:after="0"/>
              <w:rPr>
                <w:sz w:val="20"/>
                <w:szCs w:val="20"/>
                <w:color w:val="auto"/>
              </w:rPr>
            </w:pPr>
            <w:r>
              <w:rPr>
                <w:rFonts w:ascii="Times New Roman" w:cs="Times New Roman" w:eastAsia="Times New Roman" w:hAnsi="Times New Roman"/>
                <w:sz w:val="18"/>
                <w:szCs w:val="18"/>
                <w:color w:val="auto"/>
                <w:w w:val="95"/>
              </w:rPr>
              <w:t>65.3</w:t>
            </w:r>
          </w:p>
        </w:tc>
      </w:tr>
      <w:tr>
        <w:trPr>
          <w:trHeight w:val="229"/>
        </w:trPr>
        <w:tc>
          <w:tcPr>
            <w:tcW w:w="526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Income tax benefit</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left="691"/>
              <w:spacing w:after="0"/>
              <w:rPr>
                <w:sz w:val="20"/>
                <w:szCs w:val="20"/>
                <w:color w:val="auto"/>
              </w:rPr>
            </w:pPr>
            <w:r>
              <w:rPr>
                <w:rFonts w:ascii="Times New Roman" w:cs="Times New Roman" w:eastAsia="Times New Roman" w:hAnsi="Times New Roman"/>
                <w:sz w:val="18"/>
                <w:szCs w:val="18"/>
                <w:color w:val="auto"/>
              </w:rPr>
              <w:t>(13.7)</w:t>
            </w:r>
          </w:p>
        </w:tc>
      </w:tr>
      <w:tr>
        <w:trPr>
          <w:trHeight w:val="248"/>
        </w:trPr>
        <w:tc>
          <w:tcPr>
            <w:tcW w:w="5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Share-based compensation expense, net of tax</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center"/>
              <w:ind w:left="711"/>
              <w:spacing w:after="0"/>
              <w:rPr>
                <w:sz w:val="20"/>
                <w:szCs w:val="20"/>
                <w:color w:val="auto"/>
              </w:rPr>
            </w:pPr>
            <w:r>
              <w:rPr>
                <w:rFonts w:ascii="Times New Roman" w:cs="Times New Roman" w:eastAsia="Times New Roman" w:hAnsi="Times New Roman"/>
                <w:sz w:val="18"/>
                <w:szCs w:val="18"/>
                <w:color w:val="auto"/>
                <w:w w:val="95"/>
              </w:rPr>
              <w:t>51.6</w:t>
            </w: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July 4, 2025, the total unrecognized expected share-based compensation expense, net of estimated forfeitures, related to non-vested RSUs with service, performance and market conditions was $218.9 million, which is expected to be recognized over a weighted-average period of 2.1 years. Upon vesting of RSUs or stock grant awards or completion of a purchase under the ESPP, new shares of common stock are issued. The annualized pre-vesting forfeiture rate for RSUs was estimated to be 8% for each of the quarters ended July 4, 2025 and June 28, 2024.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Shares Available</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July 4, 2025 and December 31, 2024, there was an aggregate of 28.5 million and 33.6 million shares of common stock, respectively, available for grant under the Amended and Restated SIP.</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RSUs generally vest ratably over three years for awards with service conditions and over three or five years for awards with performance, service and market conditions, or a combination thereof, and are settled in shares of common stock upon vesting. A summary of the RSU transactions for the six months ended July 4, 2025 was as follows (in millions, except per share data):</w:t>
      </w:r>
    </w:p>
    <w:tbl>
      <w:tblPr>
        <w:tblLayout w:type="fixed"/>
        <w:tblInd w:w="0" w:type="dxa"/>
        <w:tblCellMar>
          <w:top w:w="0" w:type="dxa"/>
          <w:left w:w="0" w:type="dxa"/>
          <w:bottom w:w="0" w:type="dxa"/>
          <w:right w:w="0" w:type="dxa"/>
        </w:tblCellMar>
      </w:tblPr>
      <w:tr>
        <w:trPr>
          <w:trHeight w:val="167"/>
        </w:trPr>
        <w:tc>
          <w:tcPr>
            <w:tcW w:w="6980" w:type="dxa"/>
            <w:vAlign w:val="bottom"/>
          </w:tcPr>
          <w:p>
            <w:pPr>
              <w:spacing w:after="0"/>
              <w:rPr>
                <w:sz w:val="14"/>
                <w:szCs w:val="14"/>
                <w:color w:val="auto"/>
              </w:rPr>
            </w:pPr>
          </w:p>
        </w:tc>
        <w:tc>
          <w:tcPr>
            <w:tcW w:w="1660" w:type="dxa"/>
            <w:vAlign w:val="bottom"/>
            <w:vMerge w:val="restart"/>
          </w:tcPr>
          <w:p>
            <w:pPr>
              <w:ind w:left="200"/>
              <w:spacing w:after="0"/>
              <w:rPr>
                <w:sz w:val="20"/>
                <w:szCs w:val="20"/>
                <w:color w:val="auto"/>
              </w:rPr>
            </w:pPr>
            <w:r>
              <w:rPr>
                <w:rFonts w:ascii="Times New Roman" w:cs="Times New Roman" w:eastAsia="Times New Roman" w:hAnsi="Times New Roman"/>
                <w:sz w:val="16"/>
                <w:szCs w:val="16"/>
                <w:b w:val="1"/>
                <w:bCs w:val="1"/>
                <w:color w:val="auto"/>
              </w:rPr>
              <w:t>Number of Shares</w:t>
            </w:r>
          </w:p>
        </w:tc>
        <w:tc>
          <w:tcPr>
            <w:tcW w:w="80" w:type="dxa"/>
            <w:vAlign w:val="bottom"/>
          </w:tcPr>
          <w:p>
            <w:pPr>
              <w:spacing w:after="0"/>
              <w:rPr>
                <w:sz w:val="14"/>
                <w:szCs w:val="14"/>
                <w:color w:val="auto"/>
              </w:rPr>
            </w:pPr>
          </w:p>
        </w:tc>
        <w:tc>
          <w:tcPr>
            <w:tcW w:w="2520" w:type="dxa"/>
            <w:vAlign w:val="bottom"/>
            <w:gridSpan w:val="2"/>
          </w:tcPr>
          <w:p>
            <w:pPr>
              <w:ind w:left="40"/>
              <w:spacing w:after="0" w:line="167" w:lineRule="exact"/>
              <w:rPr>
                <w:sz w:val="20"/>
                <w:szCs w:val="20"/>
                <w:color w:val="auto"/>
              </w:rPr>
            </w:pPr>
            <w:r>
              <w:rPr>
                <w:rFonts w:ascii="Times New Roman" w:cs="Times New Roman" w:eastAsia="Times New Roman" w:hAnsi="Times New Roman"/>
                <w:sz w:val="16"/>
                <w:szCs w:val="16"/>
                <w:b w:val="1"/>
                <w:bCs w:val="1"/>
                <w:color w:val="auto"/>
              </w:rPr>
              <w:t>Weighted-Average Grant Date Fair</w:t>
            </w:r>
          </w:p>
        </w:tc>
        <w:tc>
          <w:tcPr>
            <w:tcW w:w="0" w:type="dxa"/>
            <w:vAlign w:val="bottom"/>
          </w:tcPr>
          <w:p>
            <w:pPr>
              <w:spacing w:after="0"/>
              <w:rPr>
                <w:sz w:val="1"/>
                <w:szCs w:val="1"/>
                <w:color w:val="auto"/>
              </w:rPr>
            </w:pPr>
          </w:p>
        </w:tc>
      </w:tr>
      <w:tr>
        <w:trPr>
          <w:trHeight w:val="214"/>
        </w:trPr>
        <w:tc>
          <w:tcPr>
            <w:tcW w:w="6980" w:type="dxa"/>
            <w:vAlign w:val="bottom"/>
            <w:tcBorders>
              <w:bottom w:val="single" w:sz="8" w:color="CCEEFF"/>
            </w:tcBorders>
          </w:tcPr>
          <w:p>
            <w:pPr>
              <w:spacing w:after="0"/>
              <w:rPr>
                <w:sz w:val="18"/>
                <w:szCs w:val="18"/>
                <w:color w:val="auto"/>
              </w:rPr>
            </w:pPr>
          </w:p>
        </w:tc>
        <w:tc>
          <w:tcPr>
            <w:tcW w:w="166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tcPr>
          <w:p>
            <w:pPr>
              <w:jc w:val="right"/>
              <w:ind w:right="611"/>
              <w:spacing w:after="0"/>
              <w:rPr>
                <w:sz w:val="20"/>
                <w:szCs w:val="20"/>
                <w:color w:val="auto"/>
              </w:rPr>
            </w:pPr>
            <w:r>
              <w:rPr>
                <w:rFonts w:ascii="Times New Roman" w:cs="Times New Roman" w:eastAsia="Times New Roman" w:hAnsi="Times New Roman"/>
                <w:sz w:val="16"/>
                <w:szCs w:val="16"/>
                <w:b w:val="1"/>
                <w:bCs w:val="1"/>
                <w:color w:val="auto"/>
              </w:rPr>
              <w:t>Value Per Share</w:t>
            </w:r>
          </w:p>
        </w:tc>
        <w:tc>
          <w:tcPr>
            <w:tcW w:w="0" w:type="dxa"/>
            <w:vAlign w:val="bottom"/>
          </w:tcPr>
          <w:p>
            <w:pPr>
              <w:spacing w:after="0"/>
              <w:rPr>
                <w:sz w:val="1"/>
                <w:szCs w:val="1"/>
                <w:color w:val="auto"/>
              </w:rPr>
            </w:pPr>
          </w:p>
        </w:tc>
      </w:tr>
      <w:tr>
        <w:trPr>
          <w:trHeight w:val="225"/>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RSUs at December 31, 2024</w:t>
            </w:r>
          </w:p>
        </w:tc>
        <w:tc>
          <w:tcPr>
            <w:tcW w:w="1660" w:type="dxa"/>
            <w:vAlign w:val="bottom"/>
            <w:shd w:val="clear" w:color="auto" w:fill="CCEEFF"/>
          </w:tcPr>
          <w:p>
            <w:pPr>
              <w:jc w:val="center"/>
              <w:ind w:left="1191"/>
              <w:spacing w:after="0"/>
              <w:rPr>
                <w:sz w:val="20"/>
                <w:szCs w:val="20"/>
                <w:color w:val="auto"/>
              </w:rPr>
            </w:pPr>
            <w:r>
              <w:rPr>
                <w:rFonts w:ascii="Times New Roman" w:cs="Times New Roman" w:eastAsia="Times New Roman" w:hAnsi="Times New Roman"/>
                <w:sz w:val="18"/>
                <w:szCs w:val="18"/>
                <w:color w:val="auto"/>
                <w:w w:val="97"/>
              </w:rPr>
              <w:t>3.5</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76.27</w:t>
            </w:r>
          </w:p>
        </w:tc>
        <w:tc>
          <w:tcPr>
            <w:tcW w:w="0" w:type="dxa"/>
            <w:vAlign w:val="bottom"/>
          </w:tcPr>
          <w:p>
            <w:pPr>
              <w:spacing w:after="0"/>
              <w:rPr>
                <w:sz w:val="1"/>
                <w:szCs w:val="1"/>
                <w:color w:val="auto"/>
              </w:rPr>
            </w:pPr>
          </w:p>
        </w:tc>
      </w:tr>
      <w:tr>
        <w:trPr>
          <w:trHeight w:val="230"/>
        </w:trPr>
        <w:tc>
          <w:tcPr>
            <w:tcW w:w="6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Granted</w:t>
            </w:r>
          </w:p>
        </w:tc>
        <w:tc>
          <w:tcPr>
            <w:tcW w:w="1660" w:type="dxa"/>
            <w:vAlign w:val="bottom"/>
          </w:tcPr>
          <w:p>
            <w:pPr>
              <w:jc w:val="center"/>
              <w:ind w:left="1191"/>
              <w:spacing w:after="0"/>
              <w:rPr>
                <w:sz w:val="20"/>
                <w:szCs w:val="20"/>
                <w:color w:val="auto"/>
              </w:rPr>
            </w:pPr>
            <w:r>
              <w:rPr>
                <w:rFonts w:ascii="Times New Roman" w:cs="Times New Roman" w:eastAsia="Times New Roman" w:hAnsi="Times New Roman"/>
                <w:sz w:val="18"/>
                <w:szCs w:val="18"/>
                <w:color w:val="auto"/>
                <w:w w:val="97"/>
              </w:rPr>
              <w:t>3.3</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46.84</w:t>
            </w:r>
          </w:p>
        </w:tc>
        <w:tc>
          <w:tcPr>
            <w:tcW w:w="0" w:type="dxa"/>
            <w:vAlign w:val="bottom"/>
          </w:tcPr>
          <w:p>
            <w:pPr>
              <w:spacing w:after="0"/>
              <w:rPr>
                <w:sz w:val="1"/>
                <w:szCs w:val="1"/>
                <w:color w:val="auto"/>
              </w:rPr>
            </w:pPr>
          </w:p>
        </w:tc>
      </w:tr>
      <w:tr>
        <w:trPr>
          <w:trHeight w:val="230"/>
        </w:trPr>
        <w:tc>
          <w:tcPr>
            <w:tcW w:w="6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Achieved</w:t>
            </w:r>
          </w:p>
        </w:tc>
        <w:tc>
          <w:tcPr>
            <w:tcW w:w="1660" w:type="dxa"/>
            <w:vAlign w:val="bottom"/>
            <w:shd w:val="clear" w:color="auto" w:fill="CCEEFF"/>
          </w:tcPr>
          <w:p>
            <w:pPr>
              <w:jc w:val="center"/>
              <w:ind w:left="1191"/>
              <w:spacing w:after="0"/>
              <w:rPr>
                <w:sz w:val="20"/>
                <w:szCs w:val="20"/>
                <w:color w:val="auto"/>
              </w:rPr>
            </w:pPr>
            <w:r>
              <w:rPr>
                <w:rFonts w:ascii="Times New Roman" w:cs="Times New Roman" w:eastAsia="Times New Roman" w:hAnsi="Times New Roman"/>
                <w:sz w:val="18"/>
                <w:szCs w:val="18"/>
                <w:color w:val="auto"/>
                <w:w w:val="97"/>
              </w:rPr>
              <w:t>0.2</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73.27</w:t>
            </w:r>
          </w:p>
        </w:tc>
        <w:tc>
          <w:tcPr>
            <w:tcW w:w="0" w:type="dxa"/>
            <w:vAlign w:val="bottom"/>
          </w:tcPr>
          <w:p>
            <w:pPr>
              <w:spacing w:after="0"/>
              <w:rPr>
                <w:sz w:val="1"/>
                <w:szCs w:val="1"/>
                <w:color w:val="auto"/>
              </w:rPr>
            </w:pPr>
          </w:p>
        </w:tc>
      </w:tr>
      <w:tr>
        <w:trPr>
          <w:trHeight w:val="230"/>
        </w:trPr>
        <w:tc>
          <w:tcPr>
            <w:tcW w:w="6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Released</w:t>
            </w:r>
          </w:p>
        </w:tc>
        <w:tc>
          <w:tcPr>
            <w:tcW w:w="1660" w:type="dxa"/>
            <w:vAlign w:val="bottom"/>
          </w:tcPr>
          <w:p>
            <w:pPr>
              <w:jc w:val="center"/>
              <w:ind w:left="1151"/>
              <w:spacing w:after="0"/>
              <w:rPr>
                <w:sz w:val="20"/>
                <w:szCs w:val="20"/>
                <w:color w:val="auto"/>
              </w:rPr>
            </w:pPr>
            <w:r>
              <w:rPr>
                <w:rFonts w:ascii="Times New Roman" w:cs="Times New Roman" w:eastAsia="Times New Roman" w:hAnsi="Times New Roman"/>
                <w:sz w:val="18"/>
                <w:szCs w:val="18"/>
                <w:color w:val="auto"/>
                <w:w w:val="98"/>
              </w:rPr>
              <w:t>(1.5)</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73.62</w:t>
            </w:r>
          </w:p>
        </w:tc>
        <w:tc>
          <w:tcPr>
            <w:tcW w:w="0" w:type="dxa"/>
            <w:vAlign w:val="bottom"/>
          </w:tcPr>
          <w:p>
            <w:pPr>
              <w:spacing w:after="0"/>
              <w:rPr>
                <w:sz w:val="1"/>
                <w:szCs w:val="1"/>
                <w:color w:val="auto"/>
              </w:rPr>
            </w:pPr>
          </w:p>
        </w:tc>
      </w:tr>
      <w:tr>
        <w:trPr>
          <w:trHeight w:val="229"/>
        </w:trPr>
        <w:tc>
          <w:tcPr>
            <w:tcW w:w="6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Forfeited</w:t>
            </w:r>
          </w:p>
        </w:tc>
        <w:tc>
          <w:tcPr>
            <w:tcW w:w="1660" w:type="dxa"/>
            <w:vAlign w:val="bottom"/>
            <w:tcBorders>
              <w:bottom w:val="single" w:sz="8" w:color="auto"/>
            </w:tcBorders>
            <w:shd w:val="clear" w:color="auto" w:fill="CCEEFF"/>
          </w:tcPr>
          <w:p>
            <w:pPr>
              <w:jc w:val="center"/>
              <w:ind w:left="1151"/>
              <w:spacing w:after="0"/>
              <w:rPr>
                <w:sz w:val="20"/>
                <w:szCs w:val="20"/>
                <w:color w:val="auto"/>
              </w:rPr>
            </w:pPr>
            <w:r>
              <w:rPr>
                <w:rFonts w:ascii="Times New Roman" w:cs="Times New Roman" w:eastAsia="Times New Roman" w:hAnsi="Times New Roman"/>
                <w:sz w:val="18"/>
                <w:szCs w:val="18"/>
                <w:color w:val="auto"/>
                <w:w w:val="98"/>
              </w:rPr>
              <w:t>(0.2)</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71.20</w:t>
            </w:r>
          </w:p>
        </w:tc>
        <w:tc>
          <w:tcPr>
            <w:tcW w:w="0" w:type="dxa"/>
            <w:vAlign w:val="bottom"/>
          </w:tcPr>
          <w:p>
            <w:pPr>
              <w:spacing w:after="0"/>
              <w:rPr>
                <w:sz w:val="1"/>
                <w:szCs w:val="1"/>
                <w:color w:val="auto"/>
              </w:rPr>
            </w:pPr>
          </w:p>
        </w:tc>
      </w:tr>
      <w:tr>
        <w:trPr>
          <w:trHeight w:val="223"/>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Non-vested RSUs at July 4, 2025</w:t>
            </w:r>
          </w:p>
        </w:tc>
        <w:tc>
          <w:tcPr>
            <w:tcW w:w="1660" w:type="dxa"/>
            <w:vAlign w:val="bottom"/>
            <w:tcBorders>
              <w:bottom w:val="single" w:sz="8" w:color="auto"/>
            </w:tcBorders>
          </w:tcPr>
          <w:p>
            <w:pPr>
              <w:jc w:val="center"/>
              <w:ind w:left="1191"/>
              <w:spacing w:after="0"/>
              <w:rPr>
                <w:sz w:val="20"/>
                <w:szCs w:val="20"/>
                <w:color w:val="auto"/>
              </w:rPr>
            </w:pPr>
            <w:r>
              <w:rPr>
                <w:rFonts w:ascii="Times New Roman" w:cs="Times New Roman" w:eastAsia="Times New Roman" w:hAnsi="Times New Roman"/>
                <w:sz w:val="18"/>
                <w:szCs w:val="18"/>
                <w:color w:val="auto"/>
                <w:w w:val="97"/>
              </w:rPr>
              <w:t>5.3</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58.95</w:t>
            </w:r>
          </w:p>
        </w:tc>
        <w:tc>
          <w:tcPr>
            <w:tcW w:w="0" w:type="dxa"/>
            <w:vAlign w:val="bottom"/>
          </w:tcPr>
          <w:p>
            <w:pPr>
              <w:spacing w:after="0"/>
              <w:rPr>
                <w:sz w:val="1"/>
                <w:szCs w:val="1"/>
                <w:color w:val="auto"/>
              </w:rPr>
            </w:pPr>
          </w:p>
        </w:tc>
      </w:tr>
      <w:tr>
        <w:trPr>
          <w:trHeight w:val="21"/>
        </w:trPr>
        <w:tc>
          <w:tcPr>
            <w:tcW w:w="698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Commitments and Contingencies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Environmental Contingencies</w:t>
      </w:r>
    </w:p>
    <w:p>
      <w:pPr>
        <w:spacing w:after="0" w:line="24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Company has encountered and dealt with a number of environmental issues over time relating to the various locations where it conducts its operations and has incurred certain costs related to clean-up activities and environmental remediation efforts. In certain instances, the Company has been indemnified for such costs, often from third parties who were the prior owners of such facilities. Any costs to the Company in connection with such environmental matters have generally not been, and based on the information available, are not expected to be material.</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line="255" w:lineRule="auto"/>
        <w:rPr>
          <w:sz w:val="20"/>
          <w:szCs w:val="20"/>
          <w:color w:val="auto"/>
        </w:rPr>
      </w:pPr>
      <w:r>
        <w:rPr>
          <w:rFonts w:ascii="Times New Roman" w:cs="Times New Roman" w:eastAsia="Times New Roman" w:hAnsi="Times New Roman"/>
          <w:sz w:val="18"/>
          <w:szCs w:val="18"/>
          <w:b w:val="1"/>
          <w:bCs w:val="1"/>
          <w:color w:val="auto"/>
        </w:rPr>
        <w:t>ON SEMICONDUCTOR CORPORATION NOTES TO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Contingencies</w:t>
      </w:r>
    </w:p>
    <w:p>
      <w:pPr>
        <w:spacing w:after="0" w:line="25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In the ordinary course of business, the Company provides standby letters of credit or other guarantee instruments to certain parties initiated by either the Company or its subsidiaries, as required for transactions, including, but not limited to, material purchase commitments, agreements to mitigate collection risk, leases, utilities arrangements and/or customs guarantees. The Revolving Credit Facility includes $25.0 million available for the issuance of letters of credit, of which $0.9 million was outstanding as of July 4, 2025, which reduced the borrowing capacity under such facility. As of July 4, 2025, the Company also had outstanding guarantees and letters of credit outside of its Revolving Credit Facility totaling $6.8 million.</w:t>
      </w:r>
    </w:p>
    <w:p>
      <w:pPr>
        <w:spacing w:after="0" w:line="1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part of obtaining financing in the ordinary course of business, the Company issued guarantees related to certain of its subsidiaries, which totaled $0.9 million as of July 4, 2025. Based on historical experience and information currently available, the Company believes that it will not be required to make payments under the standby letters of credit or guarantee arrangements for the foreseeable future.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Contingencies</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is a party to a variety of agreements entered into in the ordinary course of business, including acquisition agreements, pursuant to which it may be obligated to indemnify the other parties for certain liabilities that arise out of or relate to the subject matter of the agreements. Some of the agreements entered into by the Company require it to indemnify the other party against losses due to IP infringement, property damage (including environmental contamination), personal injury, failure to comply with applicable laws, the Company’s negligence or willful misconduct or breach of representations and warranties and covenants related to such matters as title to sold assets. In the case of certain acquisition agreements, these agreements may require us to maintain such indemnification provisions for the acquiree’s directors, officers and other employees and agents, in certain cases for a number of years following the acquisition.</w:t>
      </w:r>
    </w:p>
    <w:p>
      <w:pPr>
        <w:spacing w:after="0" w:line="21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While the Company’s future obligations under certain agreements may contain limitations on liability for indemnification, other agreements do not contain such limitations and under such agreements it is not possible to predict the maximum potential amount of future payments due to the conditional nature of the Company’s obligations and the unique facts and circumstances involved in each particular agreement. Historically, payments made by the Company under any of these indemnities have not had a material effect on the Company’s business, financial condition, results of operations or cash flows. Additionally, the Company does not believe that any amounts that it may be required to pay under these indemnities in the future will be material to the Company’s business, financial position, results of operations, or cash flows.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Matters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is currently involved in a variety of legal matters that arise in the ordinary course of business. Based on information currently available, the Company is not involved in any pending or threatened legal proceedings that it believes could reasonably be expected to have a material adverse effect on its financial condition, results of operations or liquidity. However, the litigation process is inherently uncertain, and the Company cannot guarantee that the outcome of any litigation matter will be favorable to the Company.</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line="255" w:lineRule="auto"/>
        <w:rPr>
          <w:sz w:val="20"/>
          <w:szCs w:val="20"/>
          <w:color w:val="auto"/>
        </w:rPr>
      </w:pPr>
      <w:r>
        <w:rPr>
          <w:rFonts w:ascii="Times New Roman" w:cs="Times New Roman" w:eastAsia="Times New Roman" w:hAnsi="Times New Roman"/>
          <w:sz w:val="18"/>
          <w:szCs w:val="18"/>
          <w:b w:val="1"/>
          <w:bCs w:val="1"/>
          <w:color w:val="auto"/>
        </w:rPr>
        <w:t>ON SEMICONDUCTOR CORPORATION NOTES TO CONSOLIDATED FINANCIAL STATEMENTS - Continued (unaudited)</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Securities Class Action And Derivative Litigation Concerning the Company's SiC Business</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December 13, 2023, a putative class action captioned Hubacek v. On Semiconductor Corp., et al., Case No. 1:23-cv-01429 (D. Del.), was filed by an alleged stockholder of the Company in the U.S. District Court for the District of Delaware against the Company and certain of its officers. This action was transferred to the U.S. District Court for the District of Arizona in March of 2024. The initial complaint asserted claims for alleged violation of Sections 10(b) and 20(a) of the Securities Exchange Act of 1934. The initial complaint alleged that the defendants made misleading statements regarding the Company's SiC business. An amended complaint was filed on May 31, 2024. The amended complaint again asserts claims for alleged violations of Sections 10(b) and 20(a) of the Securities Exchange Act of 1934. The plaintiff seeks a ruling that this case may proceed as a class action, and seeks damages, attorneys’ fees and costs. The Company filed a motion to dismiss the amended complaint on July 30, 2024. Upon reviewing the Company’s motion to dismiss the amended complaint, plaintiff deemed it necessary to further amend their complaint. On September 6, 2024, plaintiff filed their second amended complaint. The Company filed a motion to dismiss this second amended complaint on October 10, 2024. Full briefing for this motion to dismiss the second amended complaint was completed on December 20, 2024. Oral arguments for this Motion to Dismiss were heard by the court on June 27, 2025. On July 11, 2025, the court granted the Company's Motion to Dismiss the plaintiff's second amended complaint without prejudice. The court gave plaintiff leave to file a third amended complaint within 30 days if plaintiff so chooses.</w:t>
      </w:r>
    </w:p>
    <w:p>
      <w:pPr>
        <w:spacing w:after="0" w:line="21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January 3, 2024, a purported stockholder derivative action captioned Silva v. El-Khoury, et al., Case No. 1:24-cv-00007 (D. Del.), was filed by a purported stockholder of the Company in the U.S. District Court for the District of Delaware. On February 12, 2024, a purported stockholder derivative action captioned Smalley et al. v. El-Khoury et al. Case No. 1:24-cv-00183 (D. Del.), was filed by a purported stockholder of the Company in the U.S. District Court for the District of Delaware. Both aforementioned derivative actions, Silva and Smalley, were voluntarily dismissed without prejudice on April 15, 2024. On February 28, 2024, a purported stockholder derivative action captioned Mumme et al. v. El-Khoury et al. Case No. CV2024-003974 (D. AZ.), was filed by a purported stockholder of the Company in the Superior Court of the State of Arizona in and for the County of Maricopa. On March 15, 2024, a purported stockholder derivative action captioned Chan et al. v. Abe et al. Case No. 2:24-cv-00552 (D. AZ.), was filed by a purported stockholder of the Company in the U.S. District Court for the District of Arizona. On June 16, 2025, a purported stockholder derivative action captioned Balsam-Respler et al. v. El-Khoury et al. Case No. 2:25-cv-001672 (D. AZ.), was filed by a purported stockholder of the Company in the U.S. District Court for the District of Arizona. The allegations in these three derivative complaints are substantially similar to the allegations in the securities class action complaint discussed above. The derivative suits purport to assert claims (1) on behalf of the Company against certain of its officers for contribution under the federal securities laws and (2) against all of the defendants for breach of fiduciary duty, aiding and abetting, unjust enrichment, abuse of control, gross mismanagement, and waste. The plaintiffs seek an award of damages, pre-judgment interest, punitive damages, attorneys’ fees, and other costs and expenses related to the litigation. The Company believes that the plaintiffs lack standing to assert claims on the Company’s behalf. These three pending derivative actions were stayed by agreement, pending the resolution of Hubacek v. On Semiconductor Corp.</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Matters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faces risk of exposure from claims of infringement of the IP rights of others. In the ordinary course of business, the Company receives letters asserting that the Company’s products or components breach another party’s rights. Such letters may request royalty payments from the Company, that the Company cease and desist using certain IP, and/or request other remedies.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Fair Value Measurements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tier level hierarchy is used to determine fair values of the financial instruments:</w:t>
      </w:r>
    </w:p>
    <w:p>
      <w:pPr>
        <w:spacing w:after="0" w:line="252"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based on observable inputs that reflect quoted prices for identical assets or liabilities in active markets.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based on inputs other than quoted prices included in Level 1 that are observable for the asset or liability either directly or indirectly.</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based on the use of unobservable inputs for the assets and liabilities and other types of analyses.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line="255" w:lineRule="auto"/>
        <w:rPr>
          <w:sz w:val="20"/>
          <w:szCs w:val="20"/>
          <w:color w:val="auto"/>
        </w:rPr>
      </w:pPr>
      <w:r>
        <w:rPr>
          <w:rFonts w:ascii="Times New Roman" w:cs="Times New Roman" w:eastAsia="Times New Roman" w:hAnsi="Times New Roman"/>
          <w:sz w:val="18"/>
          <w:szCs w:val="18"/>
          <w:b w:val="1"/>
          <w:bCs w:val="1"/>
          <w:color w:val="auto"/>
        </w:rPr>
        <w:t>ON SEMICONDUCTOR CORPORATION NOTES TO CONSOLIDATED FINANCIAL STATEMENTS - Continued (unaudited)</w:t>
      </w:r>
    </w:p>
    <w:p>
      <w:pPr>
        <w:spacing w:after="0" w:line="200" w:lineRule="exact"/>
        <w:rPr>
          <w:sz w:val="20"/>
          <w:szCs w:val="20"/>
          <w:color w:val="auto"/>
        </w:rPr>
      </w:pP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carrying values of cash and cash equivalents, which include money market funds and demand and time deposits, approximate fair value because of the short-term maturity of these instruments. Money market funds and demand deposits are classified as Level 1 while time deposits are classified as Level 2 within the fair value hierarchy. The carrying amounts of other current assets, excluding assets held-for-sale, and liabilities, such as accounts receivable and accounts payable, approximate fair value due to the short-term maturity of the amounts, and such amounts are considered Level 2 in the fair value hierarchy.</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held $300.0 million of short-term investments in time deposits as of July 4, 2025 and December 31, 2024.</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Long-Term Debt, including Current Portion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carrying amounts and fair values of the Company's long-term borrowings were as follows (in millions):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1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gridSpan w:val="4"/>
          </w:tcPr>
          <w:p>
            <w:pPr>
              <w:jc w:val="right"/>
              <w:ind w:right="973"/>
              <w:spacing w:after="0"/>
              <w:rPr>
                <w:sz w:val="20"/>
                <w:szCs w:val="20"/>
                <w:color w:val="auto"/>
              </w:rPr>
            </w:pPr>
            <w:r>
              <w:rPr>
                <w:rFonts w:ascii="Times New Roman" w:cs="Times New Roman" w:eastAsia="Times New Roman" w:hAnsi="Times New Roman"/>
                <w:sz w:val="16"/>
                <w:szCs w:val="16"/>
                <w:b w:val="1"/>
                <w:bCs w:val="1"/>
                <w:color w:val="auto"/>
              </w:rPr>
              <w:t>July 4, 2025</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gridSpan w:val="4"/>
          </w:tcPr>
          <w:p>
            <w:pPr>
              <w:jc w:val="right"/>
              <w:ind w:right="732"/>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0" w:type="dxa"/>
            <w:vAlign w:val="bottom"/>
          </w:tcPr>
          <w:p>
            <w:pPr>
              <w:spacing w:after="0"/>
              <w:rPr>
                <w:sz w:val="1"/>
                <w:szCs w:val="1"/>
                <w:color w:val="auto"/>
              </w:rPr>
            </w:pPr>
          </w:p>
        </w:tc>
      </w:tr>
      <w:tr>
        <w:trPr>
          <w:trHeight w:val="157"/>
        </w:trPr>
        <w:tc>
          <w:tcPr>
            <w:tcW w:w="5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60" w:type="dxa"/>
            <w:vAlign w:val="bottom"/>
            <w:gridSpan w:val="2"/>
          </w:tcPr>
          <w:p>
            <w:pPr>
              <w:jc w:val="center"/>
              <w:ind w:right="340"/>
              <w:spacing w:after="0" w:line="158" w:lineRule="exact"/>
              <w:rPr>
                <w:sz w:val="20"/>
                <w:szCs w:val="20"/>
                <w:color w:val="auto"/>
              </w:rPr>
            </w:pPr>
            <w:r>
              <w:rPr>
                <w:rFonts w:ascii="Times New Roman" w:cs="Times New Roman" w:eastAsia="Times New Roman" w:hAnsi="Times New Roman"/>
                <w:sz w:val="16"/>
                <w:szCs w:val="16"/>
                <w:b w:val="1"/>
                <w:bCs w:val="1"/>
                <w:color w:val="auto"/>
              </w:rPr>
              <w:t>Carrying</w:t>
            </w:r>
          </w:p>
        </w:tc>
        <w:tc>
          <w:tcPr>
            <w:tcW w:w="220" w:type="dxa"/>
            <w:vAlign w:val="bottom"/>
          </w:tcPr>
          <w:p>
            <w:pPr>
              <w:spacing w:after="0"/>
              <w:rPr>
                <w:sz w:val="13"/>
                <w:szCs w:val="13"/>
                <w:color w:val="auto"/>
              </w:rPr>
            </w:pPr>
          </w:p>
        </w:tc>
        <w:tc>
          <w:tcPr>
            <w:tcW w:w="13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280" w:type="dxa"/>
            <w:vAlign w:val="bottom"/>
          </w:tcPr>
          <w:p>
            <w:pPr>
              <w:spacing w:after="0"/>
              <w:rPr>
                <w:sz w:val="13"/>
                <w:szCs w:val="13"/>
                <w:color w:val="auto"/>
              </w:rPr>
            </w:pPr>
          </w:p>
        </w:tc>
        <w:tc>
          <w:tcPr>
            <w:tcW w:w="1240" w:type="dxa"/>
            <w:vAlign w:val="bottom"/>
            <w:gridSpan w:val="2"/>
          </w:tcPr>
          <w:p>
            <w:pPr>
              <w:jc w:val="center"/>
              <w:ind w:right="360"/>
              <w:spacing w:after="0" w:line="158" w:lineRule="exact"/>
              <w:rPr>
                <w:sz w:val="20"/>
                <w:szCs w:val="20"/>
                <w:color w:val="auto"/>
              </w:rPr>
            </w:pPr>
            <w:r>
              <w:rPr>
                <w:rFonts w:ascii="Times New Roman" w:cs="Times New Roman" w:eastAsia="Times New Roman" w:hAnsi="Times New Roman"/>
                <w:sz w:val="16"/>
                <w:szCs w:val="16"/>
                <w:b w:val="1"/>
                <w:bCs w:val="1"/>
                <w:color w:val="auto"/>
              </w:rPr>
              <w:t>Carrying</w:t>
            </w:r>
          </w:p>
        </w:tc>
        <w:tc>
          <w:tcPr>
            <w:tcW w:w="240" w:type="dxa"/>
            <w:vAlign w:val="bottom"/>
          </w:tcPr>
          <w:p>
            <w:pPr>
              <w:spacing w:after="0"/>
              <w:rPr>
                <w:sz w:val="13"/>
                <w:szCs w:val="13"/>
                <w:color w:val="auto"/>
              </w:rPr>
            </w:pPr>
          </w:p>
        </w:tc>
        <w:tc>
          <w:tcPr>
            <w:tcW w:w="1200" w:type="dxa"/>
            <w:vAlign w:val="bottom"/>
            <w:vMerge w:val="restart"/>
          </w:tcPr>
          <w:p>
            <w:pPr>
              <w:jc w:val="right"/>
              <w:ind w:right="272"/>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0" w:type="dxa"/>
            <w:vAlign w:val="bottom"/>
          </w:tcPr>
          <w:p>
            <w:pPr>
              <w:spacing w:after="0"/>
              <w:rPr>
                <w:sz w:val="1"/>
                <w:szCs w:val="1"/>
                <w:color w:val="auto"/>
              </w:rPr>
            </w:pPr>
          </w:p>
        </w:tc>
      </w:tr>
      <w:tr>
        <w:trPr>
          <w:trHeight w:val="214"/>
        </w:trPr>
        <w:tc>
          <w:tcPr>
            <w:tcW w:w="5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22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24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240" w:type="dxa"/>
            <w:vAlign w:val="bottom"/>
            <w:tcBorders>
              <w:top w:val="single" w:sz="8" w:color="CCEEFF"/>
            </w:tcBorders>
            <w:shd w:val="clear" w:color="auto" w:fill="CCEEFF"/>
          </w:tcPr>
          <w:p>
            <w:pPr>
              <w:ind w:left="20"/>
              <w:spacing w:after="0" w:line="211" w:lineRule="exact"/>
              <w:rPr>
                <w:sz w:val="20"/>
                <w:szCs w:val="20"/>
                <w:color w:val="auto"/>
              </w:rPr>
            </w:pPr>
            <w:r>
              <w:rPr>
                <w:rFonts w:ascii="Times New Roman" w:cs="Times New Roman" w:eastAsia="Times New Roman" w:hAnsi="Times New Roman"/>
                <w:sz w:val="18"/>
                <w:szCs w:val="18"/>
                <w:color w:val="auto"/>
              </w:rPr>
              <w:t xml:space="preserve">Long-term debt, including current portion </w:t>
            </w:r>
            <w:r>
              <w:rPr>
                <w:rFonts w:ascii="Times New Roman" w:cs="Times New Roman" w:eastAsia="Times New Roman" w:hAnsi="Times New Roman"/>
                <w:sz w:val="23"/>
                <w:szCs w:val="23"/>
                <w:color w:val="auto"/>
                <w:vertAlign w:val="superscript"/>
              </w:rPr>
              <w:t>(1)</w:t>
            </w:r>
          </w:p>
        </w:tc>
        <w:tc>
          <w:tcPr>
            <w:tcW w:w="26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0% Notes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798.8</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993.5</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797.2</w:t>
            </w:r>
          </w:p>
        </w:tc>
        <w:tc>
          <w:tcPr>
            <w:tcW w:w="8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1,054.4</w:t>
            </w: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0.50% Notes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1,480.8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1,417.5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1,478.2</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1,450.4</w:t>
            </w:r>
          </w:p>
        </w:tc>
        <w:tc>
          <w:tcPr>
            <w:tcW w:w="0" w:type="dxa"/>
            <w:vAlign w:val="bottom"/>
          </w:tcPr>
          <w:p>
            <w:pPr>
              <w:spacing w:after="0"/>
              <w:rPr>
                <w:sz w:val="1"/>
                <w:szCs w:val="1"/>
                <w:color w:val="auto"/>
              </w:rPr>
            </w:pPr>
          </w:p>
        </w:tc>
      </w:tr>
      <w:tr>
        <w:trPr>
          <w:trHeight w:val="229"/>
        </w:trPr>
        <w:tc>
          <w:tcPr>
            <w:tcW w:w="5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3.875% Notes</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656.3</w:t>
            </w: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373.4</w:t>
            </w:r>
          </w:p>
        </w:tc>
        <w:tc>
          <w:tcPr>
            <w:tcW w:w="0" w:type="dxa"/>
            <w:vAlign w:val="bottom"/>
          </w:tcPr>
          <w:p>
            <w:pPr>
              <w:spacing w:after="0"/>
              <w:rPr>
                <w:sz w:val="1"/>
                <w:szCs w:val="1"/>
                <w:color w:val="auto"/>
              </w:rPr>
            </w:pPr>
          </w:p>
        </w:tc>
      </w:tr>
    </w:tbl>
    <w:p>
      <w:pPr>
        <w:spacing w:after="0" w:line="301" w:lineRule="exact"/>
        <w:rPr>
          <w:sz w:val="20"/>
          <w:szCs w:val="20"/>
          <w:color w:val="auto"/>
        </w:rPr>
      </w:pPr>
    </w:p>
    <w:p>
      <w:pPr>
        <w:ind w:left="180" w:hanging="172"/>
        <w:spacing w:after="0"/>
        <w:tabs>
          <w:tab w:leader="none" w:pos="180" w:val="left"/>
        </w:tabs>
        <w:numPr>
          <w:ilvl w:val="0"/>
          <w:numId w:val="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Carrying amounts shown are net of unamortized debt discount, if applicable, and unamortized debt issuance costs.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Fair values of the 0% Notes, 0.50% Notes and 3.875% Notes were estimated based on market prices in active markets (Level 1), and the Revolving Credit Facility was estimated based on discounting the remaining principal and interest payments using current market rates for similar debt (Level 2).</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Financial Instruments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Currencies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a multinational business, the Company engages in transactions that are denominated in a variety of currencies. When appropriate, the Company uses foreign currency forward contracts to reduce its overall exposure to the effects of currency fluctuations on its results of operations and cash flows. The Company's policy prohibits trading in currencies for which there are no underlying exposures and entering into trades for any currency to intentionally increase the underlying exposure. The Company primarily hedges existing assets and liabilities associated with transactions currently on its balance sheet, which are undesignated hedges for accounting purposes. The Company is exposed to credit-related losses if counterparties to hedge contracts fail to perform their obligations.</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July 4, 2025 and December 31, 2024, the Company had net outstanding foreign exchange contracts with notional amounts of $229.1 million and $256.8 million, respectively. Such contracts were obtained through financial institutions and were scheduled to mature within one month from the time of purchase. Management believes that these financial instruments should not subject the Company to increased risks from foreign exchange movements because gains and losses on these contracts should offset losses and gains on the underlying assets, liabilities and transactions to which they are related.</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line="255" w:lineRule="auto"/>
        <w:rPr>
          <w:sz w:val="20"/>
          <w:szCs w:val="20"/>
          <w:color w:val="auto"/>
        </w:rPr>
      </w:pPr>
      <w:r>
        <w:rPr>
          <w:rFonts w:ascii="Times New Roman" w:cs="Times New Roman" w:eastAsia="Times New Roman" w:hAnsi="Times New Roman"/>
          <w:sz w:val="18"/>
          <w:szCs w:val="18"/>
          <w:b w:val="1"/>
          <w:bCs w:val="1"/>
          <w:color w:val="auto"/>
        </w:rPr>
        <w:t>ON SEMICONDUCTOR CORPORATION NOTES TO CONSOLIDATED FINANCIAL STATEMENTS - Continued (unaudited)</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summarizes the Company’s net foreign exchange positions in U.S. Dollars (in millions):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980" w:type="dxa"/>
            <w:vAlign w:val="bottom"/>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4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r>
      <w:tr>
        <w:trPr>
          <w:trHeight w:val="211"/>
        </w:trPr>
        <w:tc>
          <w:tcPr>
            <w:tcW w:w="39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20" w:type="dxa"/>
            <w:vAlign w:val="bottom"/>
            <w:gridSpan w:val="5"/>
          </w:tcPr>
          <w:p>
            <w:pPr>
              <w:ind w:left="140"/>
              <w:spacing w:after="0"/>
              <w:rPr>
                <w:sz w:val="20"/>
                <w:szCs w:val="20"/>
                <w:color w:val="auto"/>
              </w:rPr>
            </w:pPr>
            <w:r>
              <w:rPr>
                <w:rFonts w:ascii="Times New Roman" w:cs="Times New Roman" w:eastAsia="Times New Roman" w:hAnsi="Times New Roman"/>
                <w:sz w:val="16"/>
                <w:szCs w:val="16"/>
                <w:b w:val="1"/>
                <w:bCs w:val="1"/>
                <w:color w:val="auto"/>
              </w:rPr>
              <w:t>July 4, 2025</w:t>
            </w:r>
          </w:p>
        </w:tc>
        <w:tc>
          <w:tcPr>
            <w:tcW w:w="340" w:type="dxa"/>
            <w:vAlign w:val="bottom"/>
          </w:tcPr>
          <w:p>
            <w:pPr>
              <w:spacing w:after="0"/>
              <w:rPr>
                <w:sz w:val="18"/>
                <w:szCs w:val="18"/>
                <w:color w:val="auto"/>
              </w:rPr>
            </w:pPr>
          </w:p>
        </w:tc>
        <w:tc>
          <w:tcPr>
            <w:tcW w:w="3260" w:type="dxa"/>
            <w:vAlign w:val="bottom"/>
            <w:gridSpan w:val="4"/>
          </w:tcPr>
          <w:p>
            <w:pPr>
              <w:jc w:val="right"/>
              <w:ind w:right="1051"/>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09"/>
        </w:trPr>
        <w:tc>
          <w:tcPr>
            <w:tcW w:w="3980" w:type="dxa"/>
            <w:vAlign w:val="bottom"/>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Buy (Sell)</w:t>
            </w:r>
          </w:p>
        </w:tc>
        <w:tc>
          <w:tcPr>
            <w:tcW w:w="5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right"/>
              <w:ind w:right="192"/>
              <w:spacing w:after="0"/>
              <w:rPr>
                <w:sz w:val="20"/>
                <w:szCs w:val="20"/>
                <w:color w:val="auto"/>
              </w:rPr>
            </w:pPr>
            <w:r>
              <w:rPr>
                <w:rFonts w:ascii="Times New Roman" w:cs="Times New Roman" w:eastAsia="Times New Roman" w:hAnsi="Times New Roman"/>
                <w:sz w:val="16"/>
                <w:szCs w:val="16"/>
                <w:b w:val="1"/>
                <w:bCs w:val="1"/>
                <w:color w:val="auto"/>
              </w:rPr>
              <w:t>Notional Amount</w:t>
            </w:r>
          </w:p>
        </w:tc>
        <w:tc>
          <w:tcPr>
            <w:tcW w:w="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Buy (Sell)</w:t>
            </w:r>
          </w:p>
        </w:tc>
        <w:tc>
          <w:tcPr>
            <w:tcW w:w="20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right"/>
              <w:ind w:right="191"/>
              <w:spacing w:after="0"/>
              <w:rPr>
                <w:sz w:val="20"/>
                <w:szCs w:val="20"/>
                <w:color w:val="auto"/>
              </w:rPr>
            </w:pPr>
            <w:r>
              <w:rPr>
                <w:rFonts w:ascii="Times New Roman" w:cs="Times New Roman" w:eastAsia="Times New Roman" w:hAnsi="Times New Roman"/>
                <w:sz w:val="16"/>
                <w:szCs w:val="16"/>
                <w:b w:val="1"/>
                <w:bCs w:val="1"/>
                <w:color w:val="auto"/>
              </w:rPr>
              <w:t>Notional Amount</w:t>
            </w:r>
          </w:p>
        </w:tc>
      </w:tr>
      <w:tr>
        <w:trPr>
          <w:trHeight w:val="225"/>
        </w:trPr>
        <w:tc>
          <w:tcPr>
            <w:tcW w:w="3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Euro</w:t>
            </w:r>
          </w:p>
        </w:tc>
        <w:tc>
          <w:tcPr>
            <w:tcW w:w="1240" w:type="dxa"/>
            <w:vAlign w:val="bottom"/>
            <w:tcBorders>
              <w:top w:val="single" w:sz="8" w:color="auto"/>
            </w:tcBorders>
            <w:shd w:val="clear" w:color="auto" w:fill="CCEEFF"/>
          </w:tcPr>
          <w:p>
            <w:pPr>
              <w:jc w:val="right"/>
              <w:ind w:right="1053"/>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w:t>
            </w:r>
          </w:p>
        </w:tc>
      </w:tr>
      <w:tr>
        <w:trPr>
          <w:trHeight w:val="229"/>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Philippine Peso</w:t>
            </w:r>
          </w:p>
        </w:tc>
        <w:tc>
          <w:tcPr>
            <w:tcW w:w="12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w:t>
            </w:r>
          </w:p>
        </w:tc>
      </w:tr>
      <w:tr>
        <w:trPr>
          <w:trHeight w:val="230"/>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Korean Won</w:t>
            </w:r>
          </w:p>
        </w:tc>
        <w:tc>
          <w:tcPr>
            <w:tcW w:w="12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w:t>
            </w:r>
          </w:p>
        </w:tc>
      </w:tr>
      <w:tr>
        <w:trPr>
          <w:trHeight w:val="229"/>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Japanese Yen</w:t>
            </w:r>
          </w:p>
        </w:tc>
        <w:tc>
          <w:tcPr>
            <w:tcW w:w="12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r>
      <w:tr>
        <w:trPr>
          <w:trHeight w:val="229"/>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Czech Koruna</w:t>
            </w:r>
          </w:p>
        </w:tc>
        <w:tc>
          <w:tcPr>
            <w:tcW w:w="12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r>
      <w:tr>
        <w:trPr>
          <w:trHeight w:val="230"/>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Currencies - Buy</w:t>
            </w:r>
          </w:p>
        </w:tc>
        <w:tc>
          <w:tcPr>
            <w:tcW w:w="12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w:t>
            </w:r>
          </w:p>
        </w:tc>
      </w:tr>
      <w:tr>
        <w:trPr>
          <w:trHeight w:val="229"/>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Currencies - Sell</w:t>
            </w:r>
          </w:p>
        </w:tc>
        <w:tc>
          <w:tcPr>
            <w:tcW w:w="12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23"/>
        </w:trPr>
        <w:tc>
          <w:tcPr>
            <w:tcW w:w="3980" w:type="dxa"/>
            <w:vAlign w:val="bottom"/>
          </w:tcPr>
          <w:p>
            <w:pPr>
              <w:spacing w:after="0"/>
              <w:rPr>
                <w:sz w:val="19"/>
                <w:szCs w:val="19"/>
                <w:color w:val="auto"/>
              </w:rPr>
            </w:pPr>
          </w:p>
        </w:tc>
        <w:tc>
          <w:tcPr>
            <w:tcW w:w="1240" w:type="dxa"/>
            <w:vAlign w:val="bottom"/>
            <w:tcBorders>
              <w:bottom w:val="single" w:sz="8" w:color="auto"/>
            </w:tcBorders>
          </w:tcPr>
          <w:p>
            <w:pPr>
              <w:jc w:val="right"/>
              <w:ind w:right="1053"/>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229.1</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164.6</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256.8</w:t>
            </w:r>
          </w:p>
        </w:tc>
      </w:tr>
      <w:tr>
        <w:trPr>
          <w:trHeight w:val="20"/>
        </w:trPr>
        <w:tc>
          <w:tcPr>
            <w:tcW w:w="39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Amounts receivable or payable under the contracts were not material as of July 4, 2025 or December 31, 2024. During the quarters ended July 4, 2025 and June 28, 2024, net of the impact of the hedge positions, the realized and unrealized foreign currency transactions totaled a loss of $3.3 million and a gain of $0.2 million, respectively. During the six months ended July 4, 2025 and June 28, 2024, net of the impact of the hedge positions, the realized and unrealized foreign currency transactions totaled a loss of $2.1 million and a gain of $1.6 million, respectively. The realized and unrealized foreign currency transactions are included in Other income (expense) in the Consolidated Statements of Operations and Comprehensive Income.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 Hedges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risk</w:t>
      </w:r>
    </w:p>
    <w:p>
      <w:pPr>
        <w:spacing w:after="0" w:line="24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Company's foreign currency forward contracts generally mature within 12 months and are designated as cash flow hedges for accounting purposes. As of July 4, 2025, the notional value of outstanding foreign currency forward contracts designated as cash flow hedges was $108.8 million, with a fair value of $3.7 million recorded as Other current assets. A gain of $0.3 million and a loss of $3.2 million was recognized as a component of cost of revenue for the quarter and six months ended July 4, 2025. The Company did not identify any ineffectiveness with respect to the notional amounts of the foreign currency forward contracts effective as of July 4, 2025.</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w:t>
      </w:r>
    </w:p>
    <w:p>
      <w:pPr>
        <w:spacing w:after="0" w:line="24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As of July 4, 2025, the Company had no outstanding commodity derivatives, currency swaps, options or equity investments held at subsidiaries or affiliated companies. The Company does not hedge the value of its equity investments in its subsidiaries or affiliated companies. The Company is exposed to credit-related losses if its hedge counterparties fail to perform their obligations.</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July 4, 2025, the counterparties to the Company's hedge contracts were held at financial institutions which the Company believes to be highly rated, and no credit-related losses are anticipated.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Income Taxes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recognizes interest and penalties accrued related to uncertain tax positions in tax expense in the Consolidated Statements of Operations and Comprehensive Income.</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maintains a partial valuation allowance on its U.S. state deferred tax assets and a valuation allowance on foreign net operating losses and tax credits that primarily expire in 2025.</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currently under IRS examination for the 2022 and 2023 tax years. Tax years prior to 2021 are generally not subject to examination by the IRS. For state tax returns, the Company is generally not subject to income tax examinations for tax years prior to 2020. With respect to jurisdictions outside the United States, the Company is generally not subject to examination for tax years prior to 2014.</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line="255" w:lineRule="auto"/>
        <w:rPr>
          <w:sz w:val="20"/>
          <w:szCs w:val="20"/>
          <w:color w:val="auto"/>
        </w:rPr>
      </w:pPr>
      <w:r>
        <w:rPr>
          <w:rFonts w:ascii="Times New Roman" w:cs="Times New Roman" w:eastAsia="Times New Roman" w:hAnsi="Times New Roman"/>
          <w:sz w:val="18"/>
          <w:szCs w:val="18"/>
          <w:b w:val="1"/>
          <w:bCs w:val="1"/>
          <w:color w:val="auto"/>
        </w:rPr>
        <w:t>ON SEMICONDUCTOR CORPORATION NOTES TO CONSOLIDATED FINANCIAL STATEMENTS - Continued (unaudited)</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Changes in Accumulated Other Comprehensive Loss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 comprising accumulated other comprehensive loss and reclassifications were as follows (in millions):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Currency</w:t>
            </w:r>
          </w:p>
        </w:tc>
        <w:tc>
          <w:tcPr>
            <w:tcW w:w="160" w:type="dxa"/>
            <w:vAlign w:val="bottom"/>
          </w:tcPr>
          <w:p>
            <w:pPr>
              <w:spacing w:after="0"/>
              <w:rPr>
                <w:sz w:val="16"/>
                <w:szCs w:val="16"/>
                <w:color w:val="auto"/>
              </w:rPr>
            </w:pPr>
          </w:p>
        </w:tc>
        <w:tc>
          <w:tcPr>
            <w:tcW w:w="13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Effects of Cash</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6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w w:val="99"/>
              </w:rPr>
              <w:t>Translation</w:t>
            </w:r>
          </w:p>
        </w:tc>
        <w:tc>
          <w:tcPr>
            <w:tcW w:w="16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vMerge w:val="restart"/>
          </w:tcPr>
          <w:p>
            <w:pPr>
              <w:jc w:val="right"/>
              <w:ind w:right="452"/>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6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160" w:type="dxa"/>
            <w:vAlign w:val="bottom"/>
          </w:tcPr>
          <w:p>
            <w:pPr>
              <w:spacing w:after="0"/>
              <w:rPr>
                <w:sz w:val="18"/>
                <w:szCs w:val="18"/>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Flow Hedges</w:t>
            </w:r>
          </w:p>
        </w:tc>
        <w:tc>
          <w:tcPr>
            <w:tcW w:w="34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6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0" w:type="dxa"/>
            <w:vAlign w:val="bottom"/>
          </w:tcPr>
          <w:p>
            <w:pPr>
              <w:spacing w:after="0"/>
              <w:rPr>
                <w:sz w:val="1"/>
                <w:szCs w:val="1"/>
                <w:color w:val="auto"/>
              </w:rPr>
            </w:pPr>
          </w:p>
        </w:tc>
      </w:tr>
      <w:tr>
        <w:trPr>
          <w:trHeight w:val="223"/>
        </w:trPr>
        <w:tc>
          <w:tcPr>
            <w:tcW w:w="6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comprehensive income prior to reclassifications</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r>
        <w:trPr>
          <w:trHeight w:val="229"/>
        </w:trPr>
        <w:tc>
          <w:tcPr>
            <w:tcW w:w="6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Amounts reclassified from accumulated other comprehensive loss</w:t>
            </w:r>
          </w:p>
        </w:tc>
        <w:tc>
          <w:tcPr>
            <w:tcW w:w="1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23"/>
        </w:trPr>
        <w:tc>
          <w:tcPr>
            <w:tcW w:w="6760" w:type="dxa"/>
            <w:vAlign w:val="bottom"/>
            <w:tcBorders>
              <w:bottom w:val="single" w:sz="8" w:color="CCEEFF"/>
            </w:tcBorders>
          </w:tcPr>
          <w:p>
            <w:pPr>
              <w:ind w:left="460"/>
              <w:spacing w:after="0" w:line="223" w:lineRule="exact"/>
              <w:rPr>
                <w:sz w:val="20"/>
                <w:szCs w:val="20"/>
                <w:color w:val="auto"/>
              </w:rPr>
            </w:pPr>
            <w:r>
              <w:rPr>
                <w:rFonts w:ascii="Times New Roman" w:cs="Times New Roman" w:eastAsia="Times New Roman" w:hAnsi="Times New Roman"/>
                <w:sz w:val="18"/>
                <w:szCs w:val="18"/>
                <w:color w:val="auto"/>
              </w:rPr>
              <w:t xml:space="preserve">Net current period other comprehensive income </w:t>
            </w:r>
            <w:r>
              <w:rPr>
                <w:rFonts w:ascii="Times New Roman" w:cs="Times New Roman" w:eastAsia="Times New Roman" w:hAnsi="Times New Roman"/>
                <w:sz w:val="23"/>
                <w:szCs w:val="23"/>
                <w:color w:val="auto"/>
                <w:vertAlign w:val="superscript"/>
              </w:rPr>
              <w:t>(1)</w:t>
            </w:r>
          </w:p>
        </w:tc>
        <w:tc>
          <w:tcPr>
            <w:tcW w:w="18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8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48"/>
        </w:trPr>
        <w:tc>
          <w:tcPr>
            <w:tcW w:w="6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July 4, 2025</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1" w:lineRule="exact"/>
        <w:rPr>
          <w:sz w:val="20"/>
          <w:szCs w:val="20"/>
          <w:color w:val="auto"/>
        </w:rPr>
      </w:pPr>
    </w:p>
    <w:p>
      <w:pPr>
        <w:ind w:left="180" w:hanging="172"/>
        <w:spacing w:after="0"/>
        <w:tabs>
          <w:tab w:leader="none" w:pos="180" w:val="left"/>
        </w:tabs>
        <w:numPr>
          <w:ilvl w:val="0"/>
          <w:numId w:val="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Effects of cash flow hedges were net of tax impact of $2.6 million for the six months ended July 4, 2025.</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Amounts reclassified from accumulated other comprehensive loss to the specific caption within Consolidated Statements of Operations and Comprehensive Income were as follows (in millions):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620" w:type="dxa"/>
            <w:vAlign w:val="bottom"/>
          </w:tcPr>
          <w:p>
            <w:pPr>
              <w:spacing w:after="0"/>
              <w:rPr>
                <w:sz w:val="18"/>
                <w:szCs w:val="18"/>
                <w:color w:val="auto"/>
              </w:rPr>
            </w:pPr>
          </w:p>
        </w:tc>
        <w:tc>
          <w:tcPr>
            <w:tcW w:w="3020" w:type="dxa"/>
            <w:vAlign w:val="bottom"/>
            <w:gridSpan w:val="6"/>
          </w:tcPr>
          <w:p>
            <w:pPr>
              <w:ind w:left="920"/>
              <w:spacing w:after="0"/>
              <w:rPr>
                <w:sz w:val="20"/>
                <w:szCs w:val="20"/>
                <w:color w:val="auto"/>
              </w:rPr>
            </w:pPr>
            <w:r>
              <w:rPr>
                <w:rFonts w:ascii="Times New Roman" w:cs="Times New Roman" w:eastAsia="Times New Roman" w:hAnsi="Times New Roman"/>
                <w:sz w:val="16"/>
                <w:szCs w:val="16"/>
                <w:b w:val="1"/>
                <w:bCs w:val="1"/>
                <w:color w:val="auto"/>
              </w:rPr>
              <w:t>Quarters Ended</w:t>
            </w:r>
          </w:p>
        </w:tc>
        <w:tc>
          <w:tcPr>
            <w:tcW w:w="220" w:type="dxa"/>
            <w:vAlign w:val="bottom"/>
          </w:tcPr>
          <w:p>
            <w:pPr>
              <w:spacing w:after="0"/>
              <w:rPr>
                <w:sz w:val="18"/>
                <w:szCs w:val="18"/>
                <w:color w:val="auto"/>
              </w:rPr>
            </w:pPr>
          </w:p>
        </w:tc>
        <w:tc>
          <w:tcPr>
            <w:tcW w:w="2720" w:type="dxa"/>
            <w:vAlign w:val="bottom"/>
            <w:gridSpan w:val="4"/>
          </w:tcPr>
          <w:p>
            <w:pPr>
              <w:jc w:val="right"/>
              <w:ind w:right="732"/>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4"/>
        </w:trPr>
        <w:tc>
          <w:tcPr>
            <w:tcW w:w="3620" w:type="dxa"/>
            <w:vAlign w:val="bottom"/>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July 4, 2025</w:t>
            </w:r>
          </w:p>
        </w:tc>
        <w:tc>
          <w:tcPr>
            <w:tcW w:w="3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152"/>
              <w:spacing w:after="0"/>
              <w:rPr>
                <w:sz w:val="20"/>
                <w:szCs w:val="20"/>
                <w:color w:val="auto"/>
              </w:rPr>
            </w:pPr>
            <w:r>
              <w:rPr>
                <w:rFonts w:ascii="Times New Roman" w:cs="Times New Roman" w:eastAsia="Times New Roman" w:hAnsi="Times New Roman"/>
                <w:sz w:val="16"/>
                <w:szCs w:val="16"/>
                <w:b w:val="1"/>
                <w:bCs w:val="1"/>
                <w:color w:val="auto"/>
              </w:rPr>
              <w:t>June 28, 2024</w:t>
            </w: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July 4, 2025</w:t>
            </w:r>
          </w:p>
        </w:tc>
        <w:tc>
          <w:tcPr>
            <w:tcW w:w="18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152"/>
              <w:spacing w:after="0"/>
              <w:rPr>
                <w:sz w:val="20"/>
                <w:szCs w:val="20"/>
                <w:color w:val="auto"/>
              </w:rPr>
            </w:pPr>
            <w:r>
              <w:rPr>
                <w:rFonts w:ascii="Times New Roman" w:cs="Times New Roman" w:eastAsia="Times New Roman" w:hAnsi="Times New Roman"/>
                <w:sz w:val="16"/>
                <w:szCs w:val="16"/>
                <w:b w:val="1"/>
                <w:bCs w:val="1"/>
                <w:color w:val="auto"/>
              </w:rPr>
              <w:t>June 28, 2024</w:t>
            </w:r>
          </w:p>
        </w:tc>
        <w:tc>
          <w:tcPr>
            <w:tcW w:w="100" w:type="dxa"/>
            <w:vAlign w:val="bottom"/>
          </w:tcPr>
          <w:p>
            <w:pPr>
              <w:spacing w:after="0"/>
              <w:rPr>
                <w:sz w:val="18"/>
                <w:szCs w:val="18"/>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 caption</w:t>
            </w:r>
          </w:p>
        </w:tc>
      </w:tr>
      <w:tr>
        <w:trPr>
          <w:trHeight w:val="225"/>
        </w:trPr>
        <w:tc>
          <w:tcPr>
            <w:tcW w:w="3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 hedges</w:t>
            </w:r>
          </w:p>
        </w:tc>
        <w:tc>
          <w:tcPr>
            <w:tcW w:w="1120" w:type="dxa"/>
            <w:vAlign w:val="bottom"/>
            <w:tcBorders>
              <w:top w:val="single" w:sz="8" w:color="auto"/>
            </w:tcBorders>
            <w:shd w:val="clear" w:color="auto" w:fill="CCEEFF"/>
          </w:tcPr>
          <w:p>
            <w:pPr>
              <w:jc w:val="right"/>
              <w:ind w:right="915"/>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0.3</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r>
      <w:tr>
        <w:trPr>
          <w:trHeight w:val="230"/>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rate swaps</w:t>
            </w:r>
          </w:p>
        </w:tc>
        <w:tc>
          <w:tcPr>
            <w:tcW w:w="1120" w:type="dxa"/>
            <w:vAlign w:val="bottom"/>
          </w:tcPr>
          <w:p>
            <w:pPr>
              <w:spacing w:after="0"/>
              <w:rPr>
                <w:sz w:val="19"/>
                <w:szCs w:val="19"/>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19"/>
                <w:szCs w:val="19"/>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r>
      <w:tr>
        <w:trPr>
          <w:trHeight w:val="248"/>
        </w:trPr>
        <w:tc>
          <w:tcPr>
            <w:tcW w:w="362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reclassifications</w:t>
            </w:r>
          </w:p>
        </w:tc>
        <w:tc>
          <w:tcPr>
            <w:tcW w:w="1120" w:type="dxa"/>
            <w:vAlign w:val="bottom"/>
            <w:tcBorders>
              <w:top w:val="single" w:sz="8" w:color="auto"/>
              <w:bottom w:val="single" w:sz="8" w:color="auto"/>
            </w:tcBorders>
            <w:shd w:val="clear" w:color="auto" w:fill="CCEEFF"/>
          </w:tcPr>
          <w:p>
            <w:pPr>
              <w:jc w:val="right"/>
              <w:ind w:right="915"/>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0.3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6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r>
      <w:tr>
        <w:trPr>
          <w:trHeight w:val="825"/>
        </w:trPr>
        <w:tc>
          <w:tcPr>
            <w:tcW w:w="36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jc w:val="right"/>
              <w:ind w:right="752"/>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15"/>
        </w:trPr>
        <w:tc>
          <w:tcPr>
            <w:tcW w:w="362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2. Management’s Discussion and Analysis of Financial Condition and Results of Operations</w:t>
      </w:r>
    </w:p>
    <w:p>
      <w:pPr>
        <w:spacing w:after="0" w:line="10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in conjunction with our audited historical consolidated financial statements, which are included in the 2024 Form 10-K, and our unaudited consolidated financial statements for the fiscal quarter ended July 4, 2025, which are included elsewhere in this Form 10-Q. This Management's Discussion and Analysis of Financial Condition and Results of Operations contains statements that are forward-looking. These statements are based on expectations and assumptions as of the date of this Form 10-Q and are subject to risks, uncertainties and other factors. Actual results could differ materially because of the factors discussed below or elsewhere in this Form 10-Q. See Part II, Item 1A. "Risk Factors" of this Form 10-Q and Part I, Item 1A. "Risk Factors" of the 2024 Form 10-K.</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Overview</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onsemi Overview</w:t>
      </w:r>
    </w:p>
    <w:p>
      <w:pPr>
        <w:spacing w:after="0" w:line="2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provide intelligent power and intelligent sensing solutions with a primary focus towards automotive and industrial markets to help our customers solve challenging problems and create cutting-edge products for a better future. Our intelligent power technologies enable the electrification of the automotive industry that allows for lighter and longer-range electric vehicles, empowers efficient fast-charging systems and propels sustainable energy for the highest efficiency solar strings and industrial power. Our intelligent power solutions for the automotive industry allow our customers to exceed range targets with lower weight and reduce system cost through efficiency. We are also utilizing our extensive range of power technologies to address the growing power demands of AI and data centers. Our intelligent sensing technologies support the next generation industry, allowing for smarter factories and buildings while also enhancing the automotive mobility experience with imaging and depth sensing that make advanced vehicle safety and automated driving systems possible.</w:t>
      </w:r>
    </w:p>
    <w:p>
      <w:pPr>
        <w:spacing w:after="0" w:line="2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believe the evolution of the automotive industry, with advancements in autonomous driving, ADAS, vehicle electrification, and the increase in electronics content for vehicle platforms, is reshaping the boundaries of transportation. Through sensing integration, we believe our intelligent power solutions achieve superior efficiencies compared to our peers. This integration allows lower temperature operation and reduced cooling requirements while saving costs and minimizing weight. In addition, our power solutions deliver power with less die per module, achieving higher range for a given battery capacity.</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Business Strategy Developments</w:t>
      </w:r>
    </w:p>
    <w:p>
      <w:pPr>
        <w:spacing w:after="0" w:line="2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focused on generating operating cash and returning capital to our shareholders through our Share Repurchase Program. Our goal is to achieve revenue growth with stable gross margins by capitalizing on high-growth megatrends in our primary end-markets of automotive and industrial infrastructure. Despite the current challenges posed by geopolitical and macroeconomic factors, we continue to optimize and right-size our manufacturing footprint to align our capacity with anticipated long-term growth, while maintaining gross margins through generating efficiencies. We design products for differentiated markets, focusing on addressing customer needs. We aim to achieve efficiencies in our operating and capital expenditures and invest in research and development initiatives to accelerate growth in high-margin products.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2025 Manufacturing Realignment Program</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first quarter of 2025, we announced restructuring and cost reduction initiatives based on an evaluation of our operating structure, business strategy, manufacturing technologies and internal capabilities to realign our internal manufacturing capacity and capabilities with anticipated long-term needs.</w:t>
      </w:r>
    </w:p>
    <w:p>
      <w:pPr>
        <w:spacing w:after="0" w:line="20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expect to incur total severance costs and related benefit expenses of $64 million related to the termination of approximately 2,400 employees. Of this, approximately $2.9 million and $63.1 million was recognized during the quarter and six months ended July 4, 2025, respectively. Additionally, we recorded non-cash impairment charges of $40.6 million and $472.1 million during the quarter and six months ended July 4, 2025, respectively, related to previous investments in manufacturing equipment at certain manufacturing facilities pursuant to held-for-sale accounting guidance. Other charges of $5.6 million and $50.5 million for the quarter and six months ended July 4, 2025, respectively, comprised of estimated costs associated with selling the equipment and contract termination costs, were incurred as a result of the above initiatives. The total of the aforementioned costs was included within Restructuring, Asset Impairments and Other, Net in the Consolidated Statement of Operations.</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Additionally, during the six months ended July 4, 2025, we recorded $235.8 million relating to excess and obsolete inventory charges, of which $230.3 million related to inventory primarily considered work in progress within the ISG reportable segment, as well as $45.7 million related to write-off of consumables, manufacturing supplies and obligations for certain unfulfilled</w:t>
      </w:r>
    </w:p>
    <w:p>
      <w:pPr>
        <w:sectPr>
          <w:pgSz w:w="11900" w:h="16838" w:orient="portrait"/>
          <w:cols w:equalWidth="0" w:num="1">
            <w:col w:w="11240"/>
          </w:cols>
          <w:pgMar w:left="320" w:top="526" w:right="33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2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purchase commitments due to the manufacturing capacity reduction actions associated with the 2025 Manufacturing Realignment Program. These charges were recorded within Cost of revenue in the Consolidated Statement of Operations.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additional information, see Note 5: ''Restructuring, Asset Impairments and Other, Net'' in the notes to our unaudited consolidated financial statements included elsewhere in this Form 10-Q.</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Repurchases</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quarter ended July 4, 2025, we repurchased approximately 6.9 million shares of common stock for an aggregate purchase price of $303.0 million. During the first quarter of 2025, we had repurchased approximately 6.1 million shares of common stock for an aggregate purchase price of $302.6 million. For additional information, see Note 8: ''Earnings Per Share and Equity'' in the notes to our unaudited consolidated financial statements included elsewhere in this Form 10-Q.</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Quarter Ended July 4, 2025 compared to the Quarter Ended June 28, 2024</w:t>
      </w:r>
    </w:p>
    <w:p>
      <w:pPr>
        <w:spacing w:after="0" w:line="243" w:lineRule="exact"/>
        <w:rPr>
          <w:sz w:val="20"/>
          <w:szCs w:val="20"/>
          <w:color w:val="auto"/>
        </w:rPr>
      </w:pPr>
    </w:p>
    <w:p>
      <w:pPr>
        <w:ind w:right="540"/>
        <w:spacing w:after="0" w:line="275" w:lineRule="auto"/>
        <w:rPr>
          <w:sz w:val="20"/>
          <w:szCs w:val="20"/>
          <w:color w:val="auto"/>
        </w:rPr>
      </w:pPr>
      <w:r>
        <w:rPr>
          <w:rFonts w:ascii="Times New Roman" w:cs="Times New Roman" w:eastAsia="Times New Roman" w:hAnsi="Times New Roman"/>
          <w:sz w:val="18"/>
          <w:szCs w:val="18"/>
          <w:color w:val="auto"/>
        </w:rPr>
        <w:t>The following table summarizes certain information relating to our operating results that has been derived from our unaudited consolidated financial statements (in millions):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40" w:type="dxa"/>
            <w:vAlign w:val="bottom"/>
            <w:gridSpan w:val="5"/>
          </w:tcPr>
          <w:p>
            <w:pPr>
              <w:ind w:left="720"/>
              <w:spacing w:after="0"/>
              <w:rPr>
                <w:sz w:val="20"/>
                <w:szCs w:val="20"/>
                <w:color w:val="auto"/>
              </w:rPr>
            </w:pPr>
            <w:r>
              <w:rPr>
                <w:rFonts w:ascii="Times New Roman" w:cs="Times New Roman" w:eastAsia="Times New Roman" w:hAnsi="Times New Roman"/>
                <w:sz w:val="16"/>
                <w:szCs w:val="16"/>
                <w:b w:val="1"/>
                <w:bCs w:val="1"/>
                <w:color w:val="auto"/>
              </w:rPr>
              <w:t>Quarters Ended</w:t>
            </w: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4"/>
        </w:trPr>
        <w:tc>
          <w:tcPr>
            <w:tcW w:w="67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July 4, 2025</w:t>
            </w:r>
          </w:p>
        </w:tc>
        <w:tc>
          <w:tcPr>
            <w:tcW w:w="1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6"/>
                <w:szCs w:val="16"/>
                <w:b w:val="1"/>
                <w:bCs w:val="1"/>
                <w:color w:val="auto"/>
              </w:rPr>
              <w:t>June 28, 2024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ind w:right="110"/>
              <w:spacing w:after="0"/>
              <w:rPr>
                <w:sz w:val="20"/>
                <w:szCs w:val="20"/>
                <w:color w:val="auto"/>
              </w:rPr>
            </w:pPr>
            <w:r>
              <w:rPr>
                <w:rFonts w:ascii="Times New Roman" w:cs="Times New Roman" w:eastAsia="Times New Roman" w:hAnsi="Times New Roman"/>
                <w:sz w:val="16"/>
                <w:szCs w:val="16"/>
                <w:b w:val="1"/>
                <w:bCs w:val="1"/>
                <w:color w:val="auto"/>
              </w:rPr>
              <w:t>Dollar Change</w:t>
            </w:r>
          </w:p>
        </w:tc>
      </w:tr>
      <w:tr>
        <w:trPr>
          <w:trHeight w:val="225"/>
        </w:trPr>
        <w:tc>
          <w:tcPr>
            <w:tcW w:w="6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1,468.7</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1,735.2</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(266.5)</w:t>
            </w:r>
          </w:p>
        </w:tc>
      </w:tr>
      <w:tr>
        <w:trPr>
          <w:trHeight w:val="229"/>
        </w:trPr>
        <w:tc>
          <w:tcPr>
            <w:tcW w:w="6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916.8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951.2</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w:t>
            </w:r>
          </w:p>
        </w:tc>
      </w:tr>
      <w:tr>
        <w:trPr>
          <w:trHeight w:val="223"/>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(232.1)</w:t>
            </w:r>
          </w:p>
        </w:tc>
      </w:tr>
      <w:tr>
        <w:trPr>
          <w:trHeight w:val="230"/>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9"/>
        </w:trPr>
        <w:tc>
          <w:tcPr>
            <w:tcW w:w="6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r>
      <w:tr>
        <w:trPr>
          <w:trHeight w:val="230"/>
        </w:trPr>
        <w:tc>
          <w:tcPr>
            <w:tcW w:w="6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Selling and marketing</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30"/>
        </w:trPr>
        <w:tc>
          <w:tcPr>
            <w:tcW w:w="6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30"/>
        </w:trPr>
        <w:tc>
          <w:tcPr>
            <w:tcW w:w="6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Amortization of acquisition-related intangible assets</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29"/>
        </w:trPr>
        <w:tc>
          <w:tcPr>
            <w:tcW w:w="6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Restructuring, asset impairments and other, net</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r>
      <w:tr>
        <w:trPr>
          <w:trHeight w:val="223"/>
        </w:trPr>
        <w:tc>
          <w:tcPr>
            <w:tcW w:w="676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395.5</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w:t>
            </w:r>
          </w:p>
        </w:tc>
      </w:tr>
      <w:tr>
        <w:trPr>
          <w:trHeight w:val="223"/>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388.5</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(195.1)</w:t>
            </w:r>
          </w:p>
        </w:tc>
      </w:tr>
      <w:tr>
        <w:trPr>
          <w:trHeight w:val="209"/>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30"/>
        </w:trPr>
        <w:tc>
          <w:tcPr>
            <w:tcW w:w="6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30"/>
        </w:trPr>
        <w:tc>
          <w:tcPr>
            <w:tcW w:w="6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30"/>
        </w:trPr>
        <w:tc>
          <w:tcPr>
            <w:tcW w:w="6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income</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23"/>
        </w:trPr>
        <w:tc>
          <w:tcPr>
            <w:tcW w:w="676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23"/>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(199.9)</w:t>
            </w:r>
          </w:p>
        </w:tc>
      </w:tr>
      <w:tr>
        <w:trPr>
          <w:trHeight w:val="230"/>
        </w:trPr>
        <w:tc>
          <w:tcPr>
            <w:tcW w:w="6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w:t>
            </w:r>
          </w:p>
        </w:tc>
      </w:tr>
      <w:tr>
        <w:trPr>
          <w:trHeight w:val="223"/>
        </w:trPr>
        <w:tc>
          <w:tcPr>
            <w:tcW w:w="67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(166.7)</w:t>
            </w:r>
          </w:p>
        </w:tc>
      </w:tr>
      <w:tr>
        <w:trPr>
          <w:trHeight w:val="230"/>
        </w:trPr>
        <w:tc>
          <w:tcPr>
            <w:tcW w:w="6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48"/>
        </w:trPr>
        <w:tc>
          <w:tcPr>
            <w:tcW w:w="6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ON Semiconductor Corporation</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338.2</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(167.9)</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certain information relating to our segment results (in millions):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20" w:type="dxa"/>
            <w:vAlign w:val="bottom"/>
          </w:tcPr>
          <w:p>
            <w:pPr>
              <w:spacing w:after="0"/>
              <w:rPr>
                <w:sz w:val="13"/>
                <w:szCs w:val="13"/>
                <w:color w:val="auto"/>
              </w:rPr>
            </w:pPr>
          </w:p>
        </w:tc>
        <w:tc>
          <w:tcPr>
            <w:tcW w:w="148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Quarter Ended July</w:t>
            </w:r>
          </w:p>
        </w:tc>
        <w:tc>
          <w:tcPr>
            <w:tcW w:w="1640" w:type="dxa"/>
            <w:vAlign w:val="bottom"/>
            <w:gridSpan w:val="2"/>
            <w:vMerge w:val="restart"/>
          </w:tcPr>
          <w:p>
            <w:pPr>
              <w:ind w:left="240"/>
              <w:spacing w:after="0"/>
              <w:rPr>
                <w:sz w:val="20"/>
                <w:szCs w:val="20"/>
                <w:color w:val="auto"/>
              </w:rPr>
            </w:pPr>
            <w:r>
              <w:rPr>
                <w:rFonts w:ascii="Times New Roman" w:cs="Times New Roman" w:eastAsia="Times New Roman" w:hAnsi="Times New Roman"/>
                <w:sz w:val="16"/>
                <w:szCs w:val="16"/>
                <w:b w:val="1"/>
                <w:bCs w:val="1"/>
                <w:color w:val="auto"/>
              </w:rPr>
              <w:t>As a % of Total</w:t>
            </w:r>
          </w:p>
        </w:tc>
        <w:tc>
          <w:tcPr>
            <w:tcW w:w="148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Quarter Ended June</w:t>
            </w:r>
          </w:p>
        </w:tc>
        <w:tc>
          <w:tcPr>
            <w:tcW w:w="1620" w:type="dxa"/>
            <w:vAlign w:val="bottom"/>
            <w:gridSpan w:val="2"/>
            <w:vMerge w:val="restart"/>
          </w:tcPr>
          <w:p>
            <w:pPr>
              <w:ind w:left="220"/>
              <w:spacing w:after="0"/>
              <w:rPr>
                <w:sz w:val="20"/>
                <w:szCs w:val="20"/>
                <w:color w:val="auto"/>
              </w:rPr>
            </w:pPr>
            <w:r>
              <w:rPr>
                <w:rFonts w:ascii="Times New Roman" w:cs="Times New Roman" w:eastAsia="Times New Roman" w:hAnsi="Times New Roman"/>
                <w:sz w:val="16"/>
                <w:szCs w:val="16"/>
                <w:b w:val="1"/>
                <w:bCs w:val="1"/>
                <w:color w:val="auto"/>
              </w:rPr>
              <w:t>As a % of Total</w:t>
            </w:r>
          </w:p>
        </w:tc>
        <w:tc>
          <w:tcPr>
            <w:tcW w:w="160" w:type="dxa"/>
            <w:vAlign w:val="bottom"/>
          </w:tcPr>
          <w:p>
            <w:pPr>
              <w:spacing w:after="0"/>
              <w:rPr>
                <w:sz w:val="13"/>
                <w:szCs w:val="13"/>
                <w:color w:val="auto"/>
              </w:rPr>
            </w:pPr>
          </w:p>
        </w:tc>
        <w:tc>
          <w:tcPr>
            <w:tcW w:w="1240" w:type="dxa"/>
            <w:vAlign w:val="bottom"/>
            <w:vMerge w:val="restart"/>
          </w:tcPr>
          <w:p>
            <w:pPr>
              <w:jc w:val="right"/>
              <w:ind w:right="91"/>
              <w:spacing w:after="0"/>
              <w:rPr>
                <w:sz w:val="20"/>
                <w:szCs w:val="20"/>
                <w:color w:val="auto"/>
              </w:rPr>
            </w:pPr>
            <w:r>
              <w:rPr>
                <w:rFonts w:ascii="Times New Roman" w:cs="Times New Roman" w:eastAsia="Times New Roman" w:hAnsi="Times New Roman"/>
                <w:sz w:val="16"/>
                <w:szCs w:val="16"/>
                <w:b w:val="1"/>
                <w:bCs w:val="1"/>
                <w:color w:val="auto"/>
              </w:rPr>
              <w:t>Dollar Change</w:t>
            </w:r>
          </w:p>
        </w:tc>
        <w:tc>
          <w:tcPr>
            <w:tcW w:w="0" w:type="dxa"/>
            <w:vAlign w:val="bottom"/>
          </w:tcPr>
          <w:p>
            <w:pPr>
              <w:spacing w:after="0"/>
              <w:rPr>
                <w:sz w:val="1"/>
                <w:szCs w:val="1"/>
                <w:color w:val="auto"/>
              </w:rPr>
            </w:pPr>
          </w:p>
        </w:tc>
      </w:tr>
      <w:tr>
        <w:trPr>
          <w:trHeight w:val="197"/>
        </w:trPr>
        <w:tc>
          <w:tcPr>
            <w:tcW w:w="3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4, 2025</w:t>
            </w:r>
          </w:p>
        </w:tc>
        <w:tc>
          <w:tcPr>
            <w:tcW w:w="100" w:type="dxa"/>
            <w:vAlign w:val="bottom"/>
          </w:tcPr>
          <w:p>
            <w:pPr>
              <w:spacing w:after="0"/>
              <w:rPr>
                <w:sz w:val="17"/>
                <w:szCs w:val="17"/>
                <w:color w:val="auto"/>
              </w:rPr>
            </w:pPr>
          </w:p>
        </w:tc>
        <w:tc>
          <w:tcPr>
            <w:tcW w:w="164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28, 2024</w:t>
            </w:r>
          </w:p>
        </w:tc>
        <w:tc>
          <w:tcPr>
            <w:tcW w:w="100" w:type="dxa"/>
            <w:vAlign w:val="bottom"/>
          </w:tcPr>
          <w:p>
            <w:pPr>
              <w:spacing w:after="0"/>
              <w:rPr>
                <w:sz w:val="17"/>
                <w:szCs w:val="17"/>
                <w:color w:val="auto"/>
              </w:rPr>
            </w:pPr>
          </w:p>
        </w:tc>
        <w:tc>
          <w:tcPr>
            <w:tcW w:w="16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PSG</w:t>
            </w:r>
          </w:p>
        </w:tc>
        <w:tc>
          <w:tcPr>
            <w:tcW w:w="28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698.2</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47.5 %</w:t>
            </w:r>
          </w:p>
        </w:tc>
        <w:tc>
          <w:tcPr>
            <w:tcW w:w="100" w:type="dxa"/>
            <w:vAlign w:val="bottom"/>
          </w:tcPr>
          <w:p>
            <w:pPr>
              <w:spacing w:after="0"/>
              <w:rPr>
                <w:sz w:val="19"/>
                <w:szCs w:val="19"/>
                <w:color w:val="auto"/>
              </w:rPr>
            </w:pPr>
          </w:p>
        </w:tc>
        <w:tc>
          <w:tcPr>
            <w:tcW w:w="26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835.2</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48.1 %</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(137.0)</w:t>
            </w:r>
          </w:p>
        </w:tc>
        <w:tc>
          <w:tcPr>
            <w:tcW w:w="0" w:type="dxa"/>
            <w:vAlign w:val="bottom"/>
          </w:tcPr>
          <w:p>
            <w:pPr>
              <w:spacing w:after="0"/>
              <w:rPr>
                <w:sz w:val="1"/>
                <w:szCs w:val="1"/>
                <w:color w:val="auto"/>
              </w:rPr>
            </w:pPr>
          </w:p>
        </w:tc>
      </w:tr>
      <w:tr>
        <w:trPr>
          <w:trHeight w:val="230"/>
        </w:trPr>
        <w:tc>
          <w:tcPr>
            <w:tcW w:w="3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AMG</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555.9</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647.8</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37.4 %</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w:t>
            </w:r>
          </w:p>
        </w:tc>
        <w:tc>
          <w:tcPr>
            <w:tcW w:w="0" w:type="dxa"/>
            <w:vAlign w:val="bottom"/>
          </w:tcPr>
          <w:p>
            <w:pPr>
              <w:spacing w:after="0"/>
              <w:rPr>
                <w:sz w:val="1"/>
                <w:szCs w:val="1"/>
                <w:color w:val="auto"/>
              </w:rPr>
            </w:pPr>
          </w:p>
        </w:tc>
      </w:tr>
      <w:tr>
        <w:trPr>
          <w:trHeight w:val="229"/>
        </w:trPr>
        <w:tc>
          <w:tcPr>
            <w:tcW w:w="36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ISG</w:t>
            </w: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214.6</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14.6 %</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252.2</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14.5 %</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0" w:type="dxa"/>
            <w:vAlign w:val="bottom"/>
          </w:tcPr>
          <w:p>
            <w:pPr>
              <w:spacing w:after="0"/>
              <w:rPr>
                <w:sz w:val="1"/>
                <w:szCs w:val="1"/>
                <w:color w:val="auto"/>
              </w:rPr>
            </w:pPr>
          </w:p>
        </w:tc>
      </w:tr>
      <w:tr>
        <w:trPr>
          <w:trHeight w:val="248"/>
        </w:trPr>
        <w:tc>
          <w:tcPr>
            <w:tcW w:w="3620" w:type="dxa"/>
            <w:vAlign w:val="bottom"/>
            <w:tcBorders>
              <w:bottom w:val="single" w:sz="8" w:color="CCEEFF"/>
            </w:tcBorders>
            <w:shd w:val="clear" w:color="auto" w:fill="CCEEFF"/>
          </w:tcPr>
          <w:p>
            <w:pPr>
              <w:jc w:val="center"/>
              <w:ind w:right="2250"/>
              <w:spacing w:after="0"/>
              <w:rPr>
                <w:sz w:val="20"/>
                <w:szCs w:val="20"/>
                <w:color w:val="auto"/>
              </w:rPr>
            </w:pPr>
            <w:r>
              <w:rPr>
                <w:rFonts w:ascii="Times New Roman" w:cs="Times New Roman" w:eastAsia="Times New Roman" w:hAnsi="Times New Roman"/>
                <w:sz w:val="18"/>
                <w:szCs w:val="18"/>
                <w:color w:val="auto"/>
                <w:w w:val="94"/>
              </w:rPr>
              <w:t>Total</w:t>
            </w:r>
          </w:p>
        </w:tc>
        <w:tc>
          <w:tcPr>
            <w:tcW w:w="28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1,468.7</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1,735.2</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(266.5)</w:t>
            </w: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620" w:type="dxa"/>
            <w:vAlign w:val="bottom"/>
            <w:shd w:val="clear" w:color="auto" w:fill="CCEEFF"/>
          </w:tcPr>
          <w:p>
            <w:pPr>
              <w:jc w:val="center"/>
              <w:ind w:right="2290"/>
              <w:spacing w:after="0"/>
              <w:rPr>
                <w:sz w:val="20"/>
                <w:szCs w:val="20"/>
                <w:color w:val="auto"/>
              </w:rPr>
            </w:pPr>
            <w:r>
              <w:rPr>
                <w:rFonts w:ascii="Times New Roman" w:cs="Times New Roman" w:eastAsia="Times New Roman" w:hAnsi="Times New Roman"/>
                <w:sz w:val="18"/>
                <w:szCs w:val="18"/>
                <w:color w:val="auto"/>
              </w:rPr>
              <w:t>Cost of revenue:</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PSG</w:t>
            </w:r>
          </w:p>
        </w:tc>
        <w:tc>
          <w:tcPr>
            <w:tcW w:w="28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517.4</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56.4 %</w:t>
            </w:r>
          </w:p>
        </w:tc>
        <w:tc>
          <w:tcPr>
            <w:tcW w:w="100" w:type="dxa"/>
            <w:vAlign w:val="bottom"/>
          </w:tcPr>
          <w:p>
            <w:pPr>
              <w:spacing w:after="0"/>
              <w:rPr>
                <w:sz w:val="19"/>
                <w:szCs w:val="19"/>
                <w:color w:val="auto"/>
              </w:rPr>
            </w:pPr>
          </w:p>
        </w:tc>
        <w:tc>
          <w:tcPr>
            <w:tcW w:w="26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486.4</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51.1 %</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0" w:type="dxa"/>
            <w:vAlign w:val="bottom"/>
          </w:tcPr>
          <w:p>
            <w:pPr>
              <w:spacing w:after="0"/>
              <w:rPr>
                <w:sz w:val="1"/>
                <w:szCs w:val="1"/>
                <w:color w:val="auto"/>
              </w:rPr>
            </w:pPr>
          </w:p>
        </w:tc>
      </w:tr>
      <w:tr>
        <w:trPr>
          <w:trHeight w:val="229"/>
        </w:trPr>
        <w:tc>
          <w:tcPr>
            <w:tcW w:w="3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AMG</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274.1</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325.9</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34.3 %</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0" w:type="dxa"/>
            <w:vAlign w:val="bottom"/>
          </w:tcPr>
          <w:p>
            <w:pPr>
              <w:spacing w:after="0"/>
              <w:rPr>
                <w:sz w:val="1"/>
                <w:szCs w:val="1"/>
                <w:color w:val="auto"/>
              </w:rPr>
            </w:pPr>
          </w:p>
        </w:tc>
      </w:tr>
      <w:tr>
        <w:trPr>
          <w:trHeight w:val="229"/>
        </w:trPr>
        <w:tc>
          <w:tcPr>
            <w:tcW w:w="36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ISG</w:t>
            </w: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125.3</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13.7 %</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138.9</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14.6 %</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248"/>
        </w:trPr>
        <w:tc>
          <w:tcPr>
            <w:tcW w:w="3620" w:type="dxa"/>
            <w:vAlign w:val="bottom"/>
            <w:tcBorders>
              <w:bottom w:val="single" w:sz="8" w:color="CCEEFF"/>
            </w:tcBorders>
            <w:shd w:val="clear" w:color="auto" w:fill="CCEEFF"/>
          </w:tcPr>
          <w:p>
            <w:pPr>
              <w:jc w:val="center"/>
              <w:ind w:right="2250"/>
              <w:spacing w:after="0"/>
              <w:rPr>
                <w:sz w:val="20"/>
                <w:szCs w:val="20"/>
                <w:color w:val="auto"/>
              </w:rPr>
            </w:pPr>
            <w:r>
              <w:rPr>
                <w:rFonts w:ascii="Times New Roman" w:cs="Times New Roman" w:eastAsia="Times New Roman" w:hAnsi="Times New Roman"/>
                <w:sz w:val="18"/>
                <w:szCs w:val="18"/>
                <w:color w:val="auto"/>
                <w:w w:val="94"/>
              </w:rPr>
              <w:t>Total</w:t>
            </w:r>
          </w:p>
        </w:tc>
        <w:tc>
          <w:tcPr>
            <w:tcW w:w="28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916.8</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951.2</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Gross profit: </w:t>
            </w:r>
            <w:r>
              <w:rPr>
                <w:rFonts w:ascii="Times New Roman" w:cs="Times New Roman" w:eastAsia="Times New Roman" w:hAnsi="Times New Roman"/>
                <w:sz w:val="23"/>
                <w:szCs w:val="23"/>
                <w:color w:val="auto"/>
                <w:vertAlign w:val="superscript"/>
              </w:rPr>
              <w:t>(1)</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PSG</w:t>
            </w:r>
          </w:p>
        </w:tc>
        <w:tc>
          <w:tcPr>
            <w:tcW w:w="28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180.8</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25.9 %</w:t>
            </w:r>
          </w:p>
        </w:tc>
        <w:tc>
          <w:tcPr>
            <w:tcW w:w="100" w:type="dxa"/>
            <w:vAlign w:val="bottom"/>
          </w:tcPr>
          <w:p>
            <w:pPr>
              <w:spacing w:after="0"/>
              <w:rPr>
                <w:sz w:val="19"/>
                <w:szCs w:val="19"/>
                <w:color w:val="auto"/>
              </w:rPr>
            </w:pPr>
          </w:p>
        </w:tc>
        <w:tc>
          <w:tcPr>
            <w:tcW w:w="26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348.8</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41.8 %</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(168.0)</w:t>
            </w:r>
          </w:p>
        </w:tc>
        <w:tc>
          <w:tcPr>
            <w:tcW w:w="0" w:type="dxa"/>
            <w:vAlign w:val="bottom"/>
          </w:tcPr>
          <w:p>
            <w:pPr>
              <w:spacing w:after="0"/>
              <w:rPr>
                <w:sz w:val="1"/>
                <w:szCs w:val="1"/>
                <w:color w:val="auto"/>
              </w:rPr>
            </w:pPr>
          </w:p>
        </w:tc>
      </w:tr>
      <w:tr>
        <w:trPr>
          <w:trHeight w:val="229"/>
        </w:trPr>
        <w:tc>
          <w:tcPr>
            <w:tcW w:w="3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AMG</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281.8</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321.9</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49.7 %</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0" w:type="dxa"/>
            <w:vAlign w:val="bottom"/>
          </w:tcPr>
          <w:p>
            <w:pPr>
              <w:spacing w:after="0"/>
              <w:rPr>
                <w:sz w:val="1"/>
                <w:szCs w:val="1"/>
                <w:color w:val="auto"/>
              </w:rPr>
            </w:pPr>
          </w:p>
        </w:tc>
      </w:tr>
      <w:tr>
        <w:trPr>
          <w:trHeight w:val="230"/>
        </w:trPr>
        <w:tc>
          <w:tcPr>
            <w:tcW w:w="36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ISG</w:t>
            </w: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89.3</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41.6 %</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113.3</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44.9 %</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0" w:type="dxa"/>
            <w:vAlign w:val="bottom"/>
          </w:tcPr>
          <w:p>
            <w:pPr>
              <w:spacing w:after="0"/>
              <w:rPr>
                <w:sz w:val="1"/>
                <w:szCs w:val="1"/>
                <w:color w:val="auto"/>
              </w:rPr>
            </w:pPr>
          </w:p>
        </w:tc>
      </w:tr>
      <w:tr>
        <w:trPr>
          <w:trHeight w:val="248"/>
        </w:trPr>
        <w:tc>
          <w:tcPr>
            <w:tcW w:w="3620" w:type="dxa"/>
            <w:vAlign w:val="bottom"/>
            <w:tcBorders>
              <w:bottom w:val="single" w:sz="8" w:color="CCEEFF"/>
            </w:tcBorders>
            <w:shd w:val="clear" w:color="auto" w:fill="CCEEFF"/>
          </w:tcPr>
          <w:p>
            <w:pPr>
              <w:jc w:val="center"/>
              <w:ind w:right="2250"/>
              <w:spacing w:after="0"/>
              <w:rPr>
                <w:sz w:val="20"/>
                <w:szCs w:val="20"/>
                <w:color w:val="auto"/>
              </w:rPr>
            </w:pPr>
            <w:r>
              <w:rPr>
                <w:rFonts w:ascii="Times New Roman" w:cs="Times New Roman" w:eastAsia="Times New Roman" w:hAnsi="Times New Roman"/>
                <w:sz w:val="18"/>
                <w:szCs w:val="18"/>
                <w:color w:val="auto"/>
                <w:w w:val="94"/>
              </w:rPr>
              <w:t>Total</w:t>
            </w:r>
          </w:p>
        </w:tc>
        <w:tc>
          <w:tcPr>
            <w:tcW w:w="28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551.9</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37.6 %</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784.0</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45.2 %</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(232.1)</w:t>
            </w: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1" w:lineRule="exact"/>
        <w:rPr>
          <w:sz w:val="20"/>
          <w:szCs w:val="20"/>
          <w:color w:val="auto"/>
        </w:rPr>
      </w:pPr>
    </w:p>
    <w:p>
      <w:pPr>
        <w:ind w:left="180" w:hanging="172"/>
        <w:spacing w:after="0"/>
        <w:tabs>
          <w:tab w:leader="none" w:pos="180" w:val="left"/>
        </w:tabs>
        <w:numPr>
          <w:ilvl w:val="0"/>
          <w:numId w:val="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Gross profit margin as a percentage of respective segment revenue balances.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Revenue was $1,468.7 million and $1,735.2 million for the quarters ended July 4, 2025 and June 28, 2024, respectively, representing a decrease of $266.5 million, or approximately 15%, year over year. We had one customer, a distributor, whose revenue accounted for approximately 12% of our total revenue for the quarters ended July 4, 2025 and June 28, 2024 across all reportable segments.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from PSG</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Revenue from PSG decreased by $137.0 million, or approximately 16%, for the quarter ended July 4, 2025 compared to the quarter ended June 28, 2024. Revenue from our Automotive Power Division, Multi-Market Power Division and Industrial Power Division decreased by $93.4 million, $40.4 million and $3.2 million, respectively, primarily due to the continued decrease in demand in the automotive and industrial end-markets.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from AMG</w:t>
      </w:r>
    </w:p>
    <w:p>
      <w:pPr>
        <w:spacing w:after="0" w:line="24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Revenue from AMG decreased by $91.9 million, or approximately 14%, for the quarter ended July 4, 2025 compared to the quarter ended June 28, 2024. Revenue from our Sensor Interface Division, Power Management Division and Integrated Circuit Division decreased by $31.5 million, $57.3 million and $3.1 million, respectively, primarily due to the continued decrease in demand in the automotive and industrial end-markets.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from ISG</w:t>
      </w:r>
    </w:p>
    <w:p>
      <w:pPr>
        <w:spacing w:after="0" w:line="24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Revenue from ISG decreased by $37.6 million, or approximately 15%, for the quarter ended July 4, 2025 compared to the quarter ended June 28, 2024. Revenue from our Industrial and Consumer Solutions Division and Automotive Sensing Division decreased by $4.1 million and $33.5 million, respectively, primarily due to the continued decrease in demand in the automotive and industrial end-markets.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by Geographic Location</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by geographic location, based on sales billed from the respective country or region, was as follows (dollars in millions):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60" w:type="dxa"/>
            <w:vAlign w:val="bottom"/>
          </w:tcPr>
          <w:p>
            <w:pPr>
              <w:spacing w:after="0"/>
              <w:rPr>
                <w:sz w:val="13"/>
                <w:szCs w:val="13"/>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Quarter Ended July</w:t>
            </w:r>
          </w:p>
        </w:tc>
        <w:tc>
          <w:tcPr>
            <w:tcW w:w="100" w:type="dxa"/>
            <w:vAlign w:val="bottom"/>
          </w:tcPr>
          <w:p>
            <w:pPr>
              <w:spacing w:after="0"/>
              <w:rPr>
                <w:sz w:val="13"/>
                <w:szCs w:val="13"/>
                <w:color w:val="auto"/>
              </w:rPr>
            </w:pPr>
          </w:p>
        </w:tc>
        <w:tc>
          <w:tcPr>
            <w:tcW w:w="16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As a % of</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Quarter Ended June</w:t>
            </w:r>
          </w:p>
        </w:tc>
        <w:tc>
          <w:tcPr>
            <w:tcW w:w="80" w:type="dxa"/>
            <w:vAlign w:val="bottom"/>
          </w:tcPr>
          <w:p>
            <w:pPr>
              <w:spacing w:after="0"/>
              <w:rPr>
                <w:sz w:val="13"/>
                <w:szCs w:val="13"/>
                <w:color w:val="auto"/>
              </w:rPr>
            </w:pPr>
          </w:p>
        </w:tc>
        <w:tc>
          <w:tcPr>
            <w:tcW w:w="1560" w:type="dxa"/>
            <w:vAlign w:val="bottom"/>
          </w:tcPr>
          <w:p>
            <w:pPr>
              <w:jc w:val="right"/>
              <w:ind w:right="402"/>
              <w:spacing w:after="0"/>
              <w:rPr>
                <w:sz w:val="20"/>
                <w:szCs w:val="20"/>
                <w:color w:val="auto"/>
              </w:rPr>
            </w:pPr>
            <w:r>
              <w:rPr>
                <w:rFonts w:ascii="Times New Roman" w:cs="Times New Roman" w:eastAsia="Times New Roman" w:hAnsi="Times New Roman"/>
                <w:sz w:val="14"/>
                <w:szCs w:val="14"/>
                <w:b w:val="1"/>
                <w:bCs w:val="1"/>
                <w:color w:val="auto"/>
              </w:rPr>
              <w:t>As a % of</w:t>
            </w:r>
          </w:p>
        </w:tc>
      </w:tr>
      <w:tr>
        <w:trPr>
          <w:trHeight w:val="203"/>
        </w:trPr>
        <w:tc>
          <w:tcPr>
            <w:tcW w:w="5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4, 2025</w:t>
            </w:r>
          </w:p>
        </w:tc>
        <w:tc>
          <w:tcPr>
            <w:tcW w:w="100" w:type="dxa"/>
            <w:vAlign w:val="bottom"/>
          </w:tcPr>
          <w:p>
            <w:pPr>
              <w:spacing w:after="0"/>
              <w:rPr>
                <w:sz w:val="17"/>
                <w:szCs w:val="17"/>
                <w:color w:val="auto"/>
              </w:rPr>
            </w:pPr>
          </w:p>
        </w:tc>
        <w:tc>
          <w:tcPr>
            <w:tcW w:w="1640" w:type="dxa"/>
            <w:vAlign w:val="bottom"/>
            <w:gridSpan w:val="2"/>
          </w:tcPr>
          <w:p>
            <w:pPr>
              <w:jc w:val="center"/>
              <w:ind w:right="120"/>
              <w:spacing w:after="0" w:line="202" w:lineRule="exact"/>
              <w:rPr>
                <w:sz w:val="20"/>
                <w:szCs w:val="20"/>
                <w:color w:val="auto"/>
              </w:rPr>
            </w:pPr>
            <w:r>
              <w:rPr>
                <w:rFonts w:ascii="Times New Roman" w:cs="Times New Roman" w:eastAsia="Times New Roman" w:hAnsi="Times New Roman"/>
                <w:sz w:val="14"/>
                <w:szCs w:val="14"/>
                <w:b w:val="1"/>
                <w:bCs w:val="1"/>
                <w:color w:val="auto"/>
                <w:w w:val="99"/>
              </w:rPr>
              <w:t xml:space="preserve">Total Revenue </w:t>
            </w:r>
            <w:r>
              <w:rPr>
                <w:rFonts w:ascii="Times New Roman" w:cs="Times New Roman" w:eastAsia="Times New Roman" w:hAnsi="Times New Roman"/>
                <w:sz w:val="18"/>
                <w:szCs w:val="18"/>
                <w:b w:val="1"/>
                <w:bCs w:val="1"/>
                <w:color w:val="auto"/>
                <w:w w:val="99"/>
                <w:vertAlign w:val="superscript"/>
              </w:rPr>
              <w:t>(1)</w:t>
            </w:r>
          </w:p>
        </w:tc>
        <w:tc>
          <w:tcPr>
            <w:tcW w:w="280" w:type="dxa"/>
            <w:vAlign w:val="bottom"/>
          </w:tcPr>
          <w:p>
            <w:pPr>
              <w:spacing w:after="0"/>
              <w:rPr>
                <w:sz w:val="17"/>
                <w:szCs w:val="17"/>
                <w:color w:val="auto"/>
              </w:rPr>
            </w:pPr>
          </w:p>
        </w:tc>
        <w:tc>
          <w:tcPr>
            <w:tcW w:w="114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28, 2024</w:t>
            </w:r>
          </w:p>
        </w:tc>
        <w:tc>
          <w:tcPr>
            <w:tcW w:w="80" w:type="dxa"/>
            <w:vAlign w:val="bottom"/>
          </w:tcPr>
          <w:p>
            <w:pPr>
              <w:spacing w:after="0"/>
              <w:rPr>
                <w:sz w:val="17"/>
                <w:szCs w:val="17"/>
                <w:color w:val="auto"/>
              </w:rPr>
            </w:pPr>
          </w:p>
        </w:tc>
        <w:tc>
          <w:tcPr>
            <w:tcW w:w="1560" w:type="dxa"/>
            <w:vAlign w:val="bottom"/>
          </w:tcPr>
          <w:p>
            <w:pPr>
              <w:jc w:val="right"/>
              <w:ind w:right="182"/>
              <w:spacing w:after="0" w:line="202" w:lineRule="exact"/>
              <w:rPr>
                <w:sz w:val="20"/>
                <w:szCs w:val="20"/>
                <w:color w:val="auto"/>
              </w:rPr>
            </w:pPr>
            <w:r>
              <w:rPr>
                <w:rFonts w:ascii="Times New Roman" w:cs="Times New Roman" w:eastAsia="Times New Roman" w:hAnsi="Times New Roman"/>
                <w:sz w:val="14"/>
                <w:szCs w:val="14"/>
                <w:b w:val="1"/>
                <w:bCs w:val="1"/>
                <w:color w:val="auto"/>
              </w:rPr>
              <w:t xml:space="preserve">Total Revenue </w:t>
            </w:r>
            <w:r>
              <w:rPr>
                <w:rFonts w:ascii="Times New Roman" w:cs="Times New Roman" w:eastAsia="Times New Roman" w:hAnsi="Times New Roman"/>
                <w:sz w:val="18"/>
                <w:szCs w:val="18"/>
                <w:b w:val="1"/>
                <w:bCs w:val="1"/>
                <w:color w:val="auto"/>
                <w:vertAlign w:val="superscript"/>
              </w:rPr>
              <w:t>(1)</w:t>
            </w:r>
          </w:p>
        </w:tc>
      </w:tr>
      <w:tr>
        <w:trPr>
          <w:trHeight w:val="223"/>
        </w:trPr>
        <w:tc>
          <w:tcPr>
            <w:tcW w:w="5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Hong Kong</w:t>
            </w:r>
          </w:p>
        </w:tc>
        <w:tc>
          <w:tcPr>
            <w:tcW w:w="30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413.3</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28.1 %</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453.5</w:t>
            </w:r>
          </w:p>
        </w:tc>
        <w:tc>
          <w:tcPr>
            <w:tcW w:w="8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26.1 %</w:t>
            </w:r>
          </w:p>
        </w:tc>
      </w:tr>
      <w:tr>
        <w:trPr>
          <w:trHeight w:val="229"/>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Singapore</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326.9</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22.3 %</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390.3</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22.5 %</w:t>
            </w:r>
          </w:p>
        </w:tc>
      </w:tr>
      <w:tr>
        <w:trPr>
          <w:trHeight w:val="229"/>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327.4</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22.3 %</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413.8</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23.8 %</w:t>
            </w:r>
          </w:p>
        </w:tc>
      </w:tr>
      <w:tr>
        <w:trPr>
          <w:trHeight w:val="230"/>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277.9</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18.9 %</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324.9</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18.7 %</w:t>
            </w:r>
          </w:p>
        </w:tc>
      </w:tr>
      <w:tr>
        <w:trPr>
          <w:trHeight w:val="229"/>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8.4 %</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152.7</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8.8 %</w:t>
            </w:r>
          </w:p>
        </w:tc>
      </w:tr>
      <w:tr>
        <w:trPr>
          <w:trHeight w:val="223"/>
        </w:trPr>
        <w:tc>
          <w:tcPr>
            <w:tcW w:w="5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revenue</w:t>
            </w:r>
          </w:p>
        </w:tc>
        <w:tc>
          <w:tcPr>
            <w:tcW w:w="30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1,468.7</w:t>
            </w: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1,735.2</w:t>
            </w:r>
          </w:p>
        </w:tc>
        <w:tc>
          <w:tcPr>
            <w:tcW w:w="8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0"/>
        </w:trPr>
        <w:tc>
          <w:tcPr>
            <w:tcW w:w="5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bl>
    <w:p>
      <w:pPr>
        <w:spacing w:after="0" w:line="301" w:lineRule="exact"/>
        <w:rPr>
          <w:sz w:val="20"/>
          <w:szCs w:val="20"/>
          <w:color w:val="auto"/>
        </w:rPr>
      </w:pPr>
    </w:p>
    <w:p>
      <w:pPr>
        <w:ind w:left="180" w:hanging="172"/>
        <w:spacing w:after="0"/>
        <w:tabs>
          <w:tab w:leader="none" w:pos="180" w:val="left"/>
        </w:tabs>
        <w:numPr>
          <w:ilvl w:val="0"/>
          <w:numId w:val="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Certain amounts may not total due to rounding of individual amounts.</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 and Gross Margin</w:t>
      </w:r>
    </w:p>
    <w:p>
      <w:pPr>
        <w:spacing w:after="0" w:line="24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Gross profit decreased by $232.1 million, or approximately 30%, to $551.9 million for the quarter ended July 4, 2025 compared to $784.0 million for the quarter ended June 28, 2024 primarily attributable to a continued decrease in sales volume from existing products and new products that negatively impacted gross profit by approximately $220.1 million and $12.0 million, respectively.</w:t>
      </w:r>
    </w:p>
    <w:p>
      <w:pPr>
        <w:spacing w:after="0" w:line="19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PSG gross profit decreased by $168.0 million, primarily driven by the decline in sales volume from existing products and new products which negatively impacted gross profit by approximately $156.0 million and $12.0 million, respectively. PSG gross margin decreased by 15.9 percentage points to 25.9% from 41.8% as a result of significant underutilization, decline in sales volume, impact of unfavorable product mix and market pressures.</w:t>
      </w:r>
    </w:p>
    <w:p>
      <w:pPr>
        <w:spacing w:after="0" w:line="20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AMG gross profit decreased by $40.1 million, primarily driven by the decline in sales volume from existing products. AMG gross margin increased by 1.0 percentage point to 50.7% from 49.7%, primarily due to the reduction in lower-margin manufacturing services revenue at our EFK location.</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ISG gross profit decreased by $24.0 million, primarily driven by the decline in sales volume from existing products. ISG gross margin decreased to 41.6% from 44.9%, primarily due to unfavorable product mix.</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were $143.8 million for the quarter ended July 4, 2025, as compared to $156.5 million for the quarter ended June 28, 2024, representing a decrease of $12.7 million, or approximately 8%. The decrease was primarily attributable to a decrease in production supplies and payroll-related expenses.</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Selling and marketing expenses were $63.3 million for the quarter ended July 4, 2025, as compared to $68.6 million for the quarter ended June 28, 2024, representing a decrease of $5.3 million, or approximately 8%. The decrease was primarily attributable to a decrease in payroll-related expenses.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were $91.2 million for the quarter ended July 4, 2025, as compared to $85.0 million for the quarter ended June 28, 2024, representing an increase of $6.2 million, or approximately 7%. The increase was primarily attributable to an increase in the bad debt provision for a specific customer and an increase in outside services.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Operating Expenses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Amortization of Acquisition-Related Intangible Assets</w:t>
      </w:r>
    </w:p>
    <w:p>
      <w:pPr>
        <w:spacing w:after="0" w:line="2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Amortization of acquisition-related intangible assets was $11.0 million for the quarter ended July 4, 2025, as compared to $12.9 million for the quarter ended June 28, 2024, representing a decrease of $1.9 million, or approximately 15%.</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Restructuring, Asset Impairments and Other, Net</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Restructuring, asset impairments and other, net was $49.2 million for the quarter ended July 4, 2025, as compared to $72.5 million for the quarter ended June 28, 2024. Charges incurred for the quarter ended July 4, 2025 primarily relate to restructuring actions during the period. See Note 5: ''Restructuring, Asset Impairments and Other, Net'' in the notes to our unaudited consolidated financial statements included elsewhere in this Form 10-Q for additional information.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43"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Interest expense increased by $2.2 million to $17.9 million during the quarter ended July 4, 2025, as compared to $15.7 million during the quarter ended June 28, 2024. Our average gross long-term debt for the quarter ended July 4, 2025 was $3,379.9 million at a weighted-average interest rate of 2.1%, as compared to $3,379.9 million at a weighted-average interest rate of 1.9% for the quarter ended June 28, 2024.</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2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Interest income decreased by $2.2 million, or approximately 8%, to $25.2 million during the quarter ended July 4, 2025 compared to $27.4 million during the quarter ended June 28, 2024.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quarter ended July 4, 2025, other income was $1.5 million compared to $1.9 million during the quarter ended June 28, 2024.</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Provision</w:t>
      </w:r>
    </w:p>
    <w:p>
      <w:pPr>
        <w:spacing w:after="0" w:line="2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recorded an income tax provision of $30.5 million and $63.7 million for the quarters ended July 4, 2025 and June 28, 2024, respectively, representing effective tax rates of 15.1% and 15.8%, respectively.</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additional information, see Note 13: ''Income Taxes'' in the notes to the unaudited consolidated financial statements included elsewhere in this Form 10-Q.</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Six Months Ended July 4, 2025 compared to the Six Months Ended June 28, 2024</w:t>
      </w:r>
    </w:p>
    <w:p>
      <w:pPr>
        <w:spacing w:after="0" w:line="256" w:lineRule="exact"/>
        <w:rPr>
          <w:sz w:val="20"/>
          <w:szCs w:val="20"/>
          <w:color w:val="auto"/>
        </w:rPr>
      </w:pPr>
    </w:p>
    <w:p>
      <w:pPr>
        <w:ind w:right="540"/>
        <w:spacing w:after="0" w:line="275" w:lineRule="auto"/>
        <w:rPr>
          <w:sz w:val="20"/>
          <w:szCs w:val="20"/>
          <w:color w:val="auto"/>
        </w:rPr>
      </w:pPr>
      <w:r>
        <w:rPr>
          <w:rFonts w:ascii="Times New Roman" w:cs="Times New Roman" w:eastAsia="Times New Roman" w:hAnsi="Times New Roman"/>
          <w:sz w:val="18"/>
          <w:szCs w:val="18"/>
          <w:color w:val="auto"/>
        </w:rPr>
        <w:t>The following table summarizes certain information relating to our operating results that has been derived from our unaudited consolidated financial statements (in millions):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40" w:type="dxa"/>
            <w:vAlign w:val="bottom"/>
            <w:gridSpan w:val="5"/>
          </w:tcPr>
          <w:p>
            <w:pPr>
              <w:ind w:left="640"/>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4"/>
        </w:trPr>
        <w:tc>
          <w:tcPr>
            <w:tcW w:w="67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July 4, 2025</w:t>
            </w:r>
          </w:p>
        </w:tc>
        <w:tc>
          <w:tcPr>
            <w:tcW w:w="1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6"/>
                <w:szCs w:val="16"/>
                <w:b w:val="1"/>
                <w:bCs w:val="1"/>
                <w:color w:val="auto"/>
              </w:rPr>
              <w:t>June 28, 2024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ind w:right="110"/>
              <w:spacing w:after="0"/>
              <w:rPr>
                <w:sz w:val="20"/>
                <w:szCs w:val="20"/>
                <w:color w:val="auto"/>
              </w:rPr>
            </w:pPr>
            <w:r>
              <w:rPr>
                <w:rFonts w:ascii="Times New Roman" w:cs="Times New Roman" w:eastAsia="Times New Roman" w:hAnsi="Times New Roman"/>
                <w:sz w:val="16"/>
                <w:szCs w:val="16"/>
                <w:b w:val="1"/>
                <w:bCs w:val="1"/>
                <w:color w:val="auto"/>
              </w:rPr>
              <w:t>Dollar Change</w:t>
            </w:r>
          </w:p>
        </w:tc>
      </w:tr>
      <w:tr>
        <w:trPr>
          <w:trHeight w:val="225"/>
        </w:trPr>
        <w:tc>
          <w:tcPr>
            <w:tcW w:w="6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2,914.4</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3,597.9</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(683.5)</w:t>
            </w:r>
          </w:p>
        </w:tc>
      </w:tr>
      <w:tr>
        <w:trPr>
          <w:trHeight w:val="230"/>
        </w:trPr>
        <w:tc>
          <w:tcPr>
            <w:tcW w:w="6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2,068.7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1,960.3</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108.4</w:t>
            </w:r>
          </w:p>
        </w:tc>
      </w:tr>
      <w:tr>
        <w:trPr>
          <w:trHeight w:val="223"/>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1,637.6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(791.9)</w:t>
            </w:r>
          </w:p>
        </w:tc>
      </w:tr>
      <w:tr>
        <w:trPr>
          <w:trHeight w:val="230"/>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9"/>
        </w:trPr>
        <w:tc>
          <w:tcPr>
            <w:tcW w:w="6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29"/>
        </w:trPr>
        <w:tc>
          <w:tcPr>
            <w:tcW w:w="6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Selling and marketing</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30"/>
        </w:trPr>
        <w:tc>
          <w:tcPr>
            <w:tcW w:w="6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29"/>
        </w:trPr>
        <w:tc>
          <w:tcPr>
            <w:tcW w:w="6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Amortization of acquisition-related intangible assets</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30"/>
        </w:trPr>
        <w:tc>
          <w:tcPr>
            <w:tcW w:w="6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Restructuring, asset impairments and other, net</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514.6</w:t>
            </w:r>
          </w:p>
        </w:tc>
      </w:tr>
      <w:tr>
        <w:trPr>
          <w:trHeight w:val="223"/>
        </w:trPr>
        <w:tc>
          <w:tcPr>
            <w:tcW w:w="676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1,226.0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723.9</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502.1</w:t>
            </w:r>
          </w:p>
        </w:tc>
      </w:tr>
      <w:tr>
        <w:trPr>
          <w:trHeight w:val="223"/>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913.7</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(1,294.0)</w:t>
            </w:r>
          </w:p>
        </w:tc>
      </w:tr>
      <w:tr>
        <w:trPr>
          <w:trHeight w:val="209"/>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29"/>
        </w:trPr>
        <w:tc>
          <w:tcPr>
            <w:tcW w:w="6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30"/>
        </w:trPr>
        <w:tc>
          <w:tcPr>
            <w:tcW w:w="6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29"/>
        </w:trPr>
        <w:tc>
          <w:tcPr>
            <w:tcW w:w="6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income</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23"/>
        </w:trPr>
        <w:tc>
          <w:tcPr>
            <w:tcW w:w="676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23"/>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(1,299.1)</w:t>
            </w:r>
          </w:p>
        </w:tc>
      </w:tr>
      <w:tr>
        <w:trPr>
          <w:trHeight w:val="230"/>
        </w:trPr>
        <w:tc>
          <w:tcPr>
            <w:tcW w:w="6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(148.2)</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193.5</w:t>
            </w:r>
          </w:p>
        </w:tc>
      </w:tr>
      <w:tr>
        <w:trPr>
          <w:trHeight w:val="223"/>
        </w:trPr>
        <w:tc>
          <w:tcPr>
            <w:tcW w:w="67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Net income (loss)</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(1,105.6)</w:t>
            </w:r>
          </w:p>
        </w:tc>
      </w:tr>
      <w:tr>
        <w:trPr>
          <w:trHeight w:val="229"/>
        </w:trPr>
        <w:tc>
          <w:tcPr>
            <w:tcW w:w="6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48"/>
        </w:trPr>
        <w:tc>
          <w:tcPr>
            <w:tcW w:w="6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ON Semiconductor Corporation</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791.2</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(1,107.0)</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certain information relating to our segment results (in millions):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640" w:type="dxa"/>
            <w:vAlign w:val="bottom"/>
            <w:gridSpan w:val="2"/>
            <w:vMerge w:val="restart"/>
          </w:tcPr>
          <w:p>
            <w:pPr>
              <w:ind w:left="240"/>
              <w:spacing w:after="0"/>
              <w:rPr>
                <w:sz w:val="20"/>
                <w:szCs w:val="20"/>
                <w:color w:val="auto"/>
              </w:rPr>
            </w:pPr>
            <w:r>
              <w:rPr>
                <w:rFonts w:ascii="Times New Roman" w:cs="Times New Roman" w:eastAsia="Times New Roman" w:hAnsi="Times New Roman"/>
                <w:sz w:val="16"/>
                <w:szCs w:val="16"/>
                <w:b w:val="1"/>
                <w:bCs w:val="1"/>
                <w:color w:val="auto"/>
              </w:rPr>
              <w:t>As a % of Total</w:t>
            </w:r>
          </w:p>
        </w:tc>
        <w:tc>
          <w:tcPr>
            <w:tcW w:w="100" w:type="dxa"/>
            <w:vAlign w:val="bottom"/>
          </w:tcPr>
          <w:p>
            <w:pPr>
              <w:spacing w:after="0"/>
              <w:rPr>
                <w:sz w:val="16"/>
                <w:szCs w:val="16"/>
                <w:color w:val="auto"/>
              </w:rPr>
            </w:pPr>
          </w:p>
        </w:tc>
        <w:tc>
          <w:tcPr>
            <w:tcW w:w="13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As a % of</w:t>
            </w:r>
          </w:p>
        </w:tc>
        <w:tc>
          <w:tcPr>
            <w:tcW w:w="160" w:type="dxa"/>
            <w:vAlign w:val="bottom"/>
          </w:tcPr>
          <w:p>
            <w:pPr>
              <w:spacing w:after="0"/>
              <w:rPr>
                <w:sz w:val="16"/>
                <w:szCs w:val="16"/>
                <w:color w:val="auto"/>
              </w:rPr>
            </w:pPr>
          </w:p>
        </w:tc>
        <w:tc>
          <w:tcPr>
            <w:tcW w:w="1240" w:type="dxa"/>
            <w:vAlign w:val="bottom"/>
            <w:vMerge w:val="restart"/>
          </w:tcPr>
          <w:p>
            <w:pPr>
              <w:jc w:val="right"/>
              <w:ind w:right="91"/>
              <w:spacing w:after="0"/>
              <w:rPr>
                <w:sz w:val="20"/>
                <w:szCs w:val="20"/>
                <w:color w:val="auto"/>
              </w:rPr>
            </w:pPr>
            <w:r>
              <w:rPr>
                <w:rFonts w:ascii="Times New Roman" w:cs="Times New Roman" w:eastAsia="Times New Roman" w:hAnsi="Times New Roman"/>
                <w:sz w:val="16"/>
                <w:szCs w:val="16"/>
                <w:b w:val="1"/>
                <w:bCs w:val="1"/>
                <w:color w:val="auto"/>
              </w:rPr>
              <w:t>Dollar Change</w:t>
            </w:r>
          </w:p>
        </w:tc>
        <w:tc>
          <w:tcPr>
            <w:tcW w:w="0" w:type="dxa"/>
            <w:vAlign w:val="bottom"/>
          </w:tcPr>
          <w:p>
            <w:pPr>
              <w:spacing w:after="0"/>
              <w:rPr>
                <w:sz w:val="1"/>
                <w:szCs w:val="1"/>
                <w:color w:val="auto"/>
              </w:rPr>
            </w:pPr>
          </w:p>
        </w:tc>
      </w:tr>
      <w:tr>
        <w:trPr>
          <w:trHeight w:val="203"/>
        </w:trPr>
        <w:tc>
          <w:tcPr>
            <w:tcW w:w="3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July 4, 2025</w:t>
            </w:r>
          </w:p>
        </w:tc>
        <w:tc>
          <w:tcPr>
            <w:tcW w:w="164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June 28, 2024</w:t>
            </w: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160" w:type="dxa"/>
            <w:vAlign w:val="bottom"/>
          </w:tcPr>
          <w:p>
            <w:pPr>
              <w:spacing w:after="0"/>
              <w:rPr>
                <w:sz w:val="17"/>
                <w:szCs w:val="17"/>
                <w:color w:val="auto"/>
              </w:rPr>
            </w:pPr>
          </w:p>
        </w:tc>
        <w:tc>
          <w:tcPr>
            <w:tcW w:w="1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PSG</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1,343.3</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46.1 %</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1,709.5</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47.5 %</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(366.2)</w:t>
            </w:r>
          </w:p>
        </w:tc>
        <w:tc>
          <w:tcPr>
            <w:tcW w:w="0" w:type="dxa"/>
            <w:vAlign w:val="bottom"/>
          </w:tcPr>
          <w:p>
            <w:pPr>
              <w:spacing w:after="0"/>
              <w:rPr>
                <w:sz w:val="1"/>
                <w:szCs w:val="1"/>
                <w:color w:val="auto"/>
              </w:rPr>
            </w:pPr>
          </w:p>
        </w:tc>
      </w:tr>
      <w:tr>
        <w:trPr>
          <w:trHeight w:val="229"/>
        </w:trPr>
        <w:tc>
          <w:tcPr>
            <w:tcW w:w="3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AMG</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1,122.3</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38.5 %</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1,344.8</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37.4 %</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(222.5)</w:t>
            </w:r>
          </w:p>
        </w:tc>
        <w:tc>
          <w:tcPr>
            <w:tcW w:w="0" w:type="dxa"/>
            <w:vAlign w:val="bottom"/>
          </w:tcPr>
          <w:p>
            <w:pPr>
              <w:spacing w:after="0"/>
              <w:rPr>
                <w:sz w:val="1"/>
                <w:szCs w:val="1"/>
                <w:color w:val="auto"/>
              </w:rPr>
            </w:pPr>
          </w:p>
        </w:tc>
      </w:tr>
      <w:tr>
        <w:trPr>
          <w:trHeight w:val="230"/>
        </w:trPr>
        <w:tc>
          <w:tcPr>
            <w:tcW w:w="36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ISG</w:t>
            </w: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448.8</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15.4 %</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543.6</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15.1 %</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(94.8)</w:t>
            </w:r>
          </w:p>
        </w:tc>
        <w:tc>
          <w:tcPr>
            <w:tcW w:w="0" w:type="dxa"/>
            <w:vAlign w:val="bottom"/>
          </w:tcPr>
          <w:p>
            <w:pPr>
              <w:spacing w:after="0"/>
              <w:rPr>
                <w:sz w:val="1"/>
                <w:szCs w:val="1"/>
                <w:color w:val="auto"/>
              </w:rPr>
            </w:pPr>
          </w:p>
        </w:tc>
      </w:tr>
      <w:tr>
        <w:trPr>
          <w:trHeight w:val="248"/>
        </w:trPr>
        <w:tc>
          <w:tcPr>
            <w:tcW w:w="362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revenue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2,914.4</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3,597.9</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(683.5)</w:t>
            </w: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PSG</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1,039.3</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50.2 %</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995.3</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50.8 %</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0" w:type="dxa"/>
            <w:vAlign w:val="bottom"/>
          </w:tcPr>
          <w:p>
            <w:pPr>
              <w:spacing w:after="0"/>
              <w:rPr>
                <w:sz w:val="1"/>
                <w:szCs w:val="1"/>
                <w:color w:val="auto"/>
              </w:rPr>
            </w:pPr>
          </w:p>
        </w:tc>
      </w:tr>
      <w:tr>
        <w:trPr>
          <w:trHeight w:val="230"/>
        </w:trPr>
        <w:tc>
          <w:tcPr>
            <w:tcW w:w="3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AMG</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539.6</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26.1 %</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684.1</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34.9 %</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(144.5)</w:t>
            </w:r>
          </w:p>
        </w:tc>
        <w:tc>
          <w:tcPr>
            <w:tcW w:w="0" w:type="dxa"/>
            <w:vAlign w:val="bottom"/>
          </w:tcPr>
          <w:p>
            <w:pPr>
              <w:spacing w:after="0"/>
              <w:rPr>
                <w:sz w:val="1"/>
                <w:szCs w:val="1"/>
                <w:color w:val="auto"/>
              </w:rPr>
            </w:pPr>
          </w:p>
        </w:tc>
      </w:tr>
      <w:tr>
        <w:trPr>
          <w:trHeight w:val="229"/>
        </w:trPr>
        <w:tc>
          <w:tcPr>
            <w:tcW w:w="36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ISG</w:t>
            </w: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489.8</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23.7 %</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280.9</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14.3 %</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208.9</w:t>
            </w:r>
          </w:p>
        </w:tc>
        <w:tc>
          <w:tcPr>
            <w:tcW w:w="0" w:type="dxa"/>
            <w:vAlign w:val="bottom"/>
          </w:tcPr>
          <w:p>
            <w:pPr>
              <w:spacing w:after="0"/>
              <w:rPr>
                <w:sz w:val="1"/>
                <w:szCs w:val="1"/>
                <w:color w:val="auto"/>
              </w:rPr>
            </w:pPr>
          </w:p>
        </w:tc>
      </w:tr>
      <w:tr>
        <w:trPr>
          <w:trHeight w:val="248"/>
        </w:trPr>
        <w:tc>
          <w:tcPr>
            <w:tcW w:w="362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2,068.7</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1,960.3</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w:t>
            </w: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6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Gross profit: </w:t>
            </w:r>
            <w:r>
              <w:rPr>
                <w:rFonts w:ascii="Times New Roman" w:cs="Times New Roman" w:eastAsia="Times New Roman" w:hAnsi="Times New Roman"/>
                <w:sz w:val="23"/>
                <w:szCs w:val="23"/>
                <w:color w:val="auto"/>
                <w:vertAlign w:val="superscript"/>
              </w:rPr>
              <w:t>(1)</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PSG</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304.0</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22.6 %</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714.2</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41.8 %</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(410.2)</w:t>
            </w:r>
          </w:p>
        </w:tc>
        <w:tc>
          <w:tcPr>
            <w:tcW w:w="0" w:type="dxa"/>
            <w:vAlign w:val="bottom"/>
          </w:tcPr>
          <w:p>
            <w:pPr>
              <w:spacing w:after="0"/>
              <w:rPr>
                <w:sz w:val="1"/>
                <w:szCs w:val="1"/>
                <w:color w:val="auto"/>
              </w:rPr>
            </w:pPr>
          </w:p>
        </w:tc>
      </w:tr>
      <w:tr>
        <w:trPr>
          <w:trHeight w:val="229"/>
        </w:trPr>
        <w:tc>
          <w:tcPr>
            <w:tcW w:w="3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AMG</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582.7</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51.9 %</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660.7</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49.1 %</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0" w:type="dxa"/>
            <w:vAlign w:val="bottom"/>
          </w:tcPr>
          <w:p>
            <w:pPr>
              <w:spacing w:after="0"/>
              <w:rPr>
                <w:sz w:val="1"/>
                <w:szCs w:val="1"/>
                <w:color w:val="auto"/>
              </w:rPr>
            </w:pPr>
          </w:p>
        </w:tc>
      </w:tr>
      <w:tr>
        <w:trPr>
          <w:trHeight w:val="230"/>
        </w:trPr>
        <w:tc>
          <w:tcPr>
            <w:tcW w:w="36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ISG</w:t>
            </w: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262.7</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48.3 %</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(303.7)</w:t>
            </w:r>
          </w:p>
        </w:tc>
        <w:tc>
          <w:tcPr>
            <w:tcW w:w="0" w:type="dxa"/>
            <w:vAlign w:val="bottom"/>
          </w:tcPr>
          <w:p>
            <w:pPr>
              <w:spacing w:after="0"/>
              <w:rPr>
                <w:sz w:val="1"/>
                <w:szCs w:val="1"/>
                <w:color w:val="auto"/>
              </w:rPr>
            </w:pPr>
          </w:p>
        </w:tc>
      </w:tr>
      <w:tr>
        <w:trPr>
          <w:trHeight w:val="248"/>
        </w:trPr>
        <w:tc>
          <w:tcPr>
            <w:tcW w:w="362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845.7</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29.0 %</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1,637.6</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45.5 %</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(791.9)</w:t>
            </w: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1" w:lineRule="exact"/>
        <w:rPr>
          <w:sz w:val="20"/>
          <w:szCs w:val="20"/>
          <w:color w:val="auto"/>
        </w:rPr>
      </w:pPr>
    </w:p>
    <w:p>
      <w:pPr>
        <w:ind w:left="180" w:hanging="172"/>
        <w:spacing w:after="0"/>
        <w:tabs>
          <w:tab w:leader="none" w:pos="180" w:val="left"/>
        </w:tabs>
        <w:numPr>
          <w:ilvl w:val="0"/>
          <w:numId w:val="1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Gross profit margin as a percentage of respective segment revenue balances.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Revenue was $2,914.4 million and $3,597.9 million for the six months ended July 4, 2025 and June 28, 2024, respectively, representing a decrease of $683.5 million, or approximately 19%, year over year. We had one customer, a distributor, whose revenue accounted for approximately 11% of our total revenue for the six months ended July 4, 2025 and June 28, 2024.</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from PSG</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Revenue from PSG decreased by $366.2 million, or approximately 21%, for the six months ended July 4, 2025 compared to the six months ended June 28, 2024. Revenue from our Automotive Power Division, Multi-Market Power Division and Industrial Power Division decreased by $259.1 million, $94.9 million and $12.2 million, respectively, primarily due to the continued decrease in demand in the automotive and industrial end-markets.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from AMG</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Revenue from AMG decreased by $222.5 million, or approximately 17%, for the six months ended July 4, 2025 compared to the six months ended June 28, 2024. Revenue from our Sensor Interface Division, Power Management Division and Integrated Circuit Division decreased by $89.0 million, $130.2 million and $3.3 million, respectively, primarily due to the continued decrease in demand in the automotive and industrial end-markets.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from ISG</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Revenue from ISG decreased by $94.8 million, or approximately 17%, for the six months ended July 4, 2025 compared to the six months ended June 28, 2024, largely driven by a decrease in revenue from our Industrial and Consumer Solutions Division and Automotive Sensing Division of $23.1 million and $71.7 million, respectively, primarily due to the continued decrease in demand in the automotive and industrial end-markets.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by Geographic Location</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by geographic location, based on sales billed from the respective country or region, was as follows (dollars in millions):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3"/>
                <w:szCs w:val="13"/>
                <w:color w:val="auto"/>
              </w:rPr>
            </w:pPr>
          </w:p>
        </w:tc>
        <w:tc>
          <w:tcPr>
            <w:tcW w:w="15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Six Months Ended July</w:t>
            </w:r>
          </w:p>
        </w:tc>
        <w:tc>
          <w:tcPr>
            <w:tcW w:w="80" w:type="dxa"/>
            <w:vAlign w:val="bottom"/>
          </w:tcPr>
          <w:p>
            <w:pPr>
              <w:spacing w:after="0"/>
              <w:rPr>
                <w:sz w:val="13"/>
                <w:szCs w:val="13"/>
                <w:color w:val="auto"/>
              </w:rPr>
            </w:pPr>
          </w:p>
        </w:tc>
        <w:tc>
          <w:tcPr>
            <w:tcW w:w="1880" w:type="dxa"/>
            <w:vAlign w:val="bottom"/>
            <w:gridSpan w:val="3"/>
          </w:tcPr>
          <w:p>
            <w:pPr>
              <w:jc w:val="right"/>
              <w:ind w:right="670"/>
              <w:spacing w:after="0"/>
              <w:rPr>
                <w:sz w:val="20"/>
                <w:szCs w:val="20"/>
                <w:color w:val="auto"/>
              </w:rPr>
            </w:pPr>
            <w:r>
              <w:rPr>
                <w:rFonts w:ascii="Times New Roman" w:cs="Times New Roman" w:eastAsia="Times New Roman" w:hAnsi="Times New Roman"/>
                <w:sz w:val="14"/>
                <w:szCs w:val="14"/>
                <w:b w:val="1"/>
                <w:bCs w:val="1"/>
                <w:color w:val="auto"/>
              </w:rPr>
              <w:t>As a % of</w:t>
            </w:r>
          </w:p>
        </w:tc>
        <w:tc>
          <w:tcPr>
            <w:tcW w:w="1340" w:type="dxa"/>
            <w:vAlign w:val="bottom"/>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00" w:type="dxa"/>
            <w:vAlign w:val="bottom"/>
          </w:tcPr>
          <w:p>
            <w:pPr>
              <w:spacing w:after="0"/>
              <w:rPr>
                <w:sz w:val="13"/>
                <w:szCs w:val="13"/>
                <w:color w:val="auto"/>
              </w:rPr>
            </w:pPr>
          </w:p>
        </w:tc>
        <w:tc>
          <w:tcPr>
            <w:tcW w:w="1640" w:type="dxa"/>
            <w:vAlign w:val="bottom"/>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As a % of</w:t>
            </w:r>
          </w:p>
        </w:tc>
      </w:tr>
      <w:tr>
        <w:trPr>
          <w:trHeight w:val="203"/>
        </w:trPr>
        <w:tc>
          <w:tcPr>
            <w:tcW w:w="4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4, 2025</w:t>
            </w:r>
          </w:p>
        </w:tc>
        <w:tc>
          <w:tcPr>
            <w:tcW w:w="80" w:type="dxa"/>
            <w:vAlign w:val="bottom"/>
          </w:tcPr>
          <w:p>
            <w:pPr>
              <w:spacing w:after="0"/>
              <w:rPr>
                <w:sz w:val="17"/>
                <w:szCs w:val="17"/>
                <w:color w:val="auto"/>
              </w:rPr>
            </w:pPr>
          </w:p>
        </w:tc>
        <w:tc>
          <w:tcPr>
            <w:tcW w:w="1880" w:type="dxa"/>
            <w:vAlign w:val="bottom"/>
            <w:gridSpan w:val="3"/>
          </w:tcPr>
          <w:p>
            <w:pPr>
              <w:jc w:val="right"/>
              <w:ind w:right="470"/>
              <w:spacing w:after="0" w:line="202" w:lineRule="exact"/>
              <w:rPr>
                <w:sz w:val="20"/>
                <w:szCs w:val="20"/>
                <w:color w:val="auto"/>
              </w:rPr>
            </w:pPr>
            <w:r>
              <w:rPr>
                <w:rFonts w:ascii="Times New Roman" w:cs="Times New Roman" w:eastAsia="Times New Roman" w:hAnsi="Times New Roman"/>
                <w:sz w:val="14"/>
                <w:szCs w:val="14"/>
                <w:b w:val="1"/>
                <w:bCs w:val="1"/>
                <w:color w:val="auto"/>
              </w:rPr>
              <w:t xml:space="preserve">Total Revenue </w:t>
            </w:r>
            <w:r>
              <w:rPr>
                <w:rFonts w:ascii="Times New Roman" w:cs="Times New Roman" w:eastAsia="Times New Roman" w:hAnsi="Times New Roman"/>
                <w:sz w:val="18"/>
                <w:szCs w:val="18"/>
                <w:b w:val="1"/>
                <w:bCs w:val="1"/>
                <w:color w:val="auto"/>
                <w:vertAlign w:val="superscript"/>
              </w:rPr>
              <w:t>(1)</w:t>
            </w:r>
          </w:p>
        </w:tc>
        <w:tc>
          <w:tcPr>
            <w:tcW w:w="134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June 28, 2024</w:t>
            </w:r>
          </w:p>
        </w:tc>
        <w:tc>
          <w:tcPr>
            <w:tcW w:w="100" w:type="dxa"/>
            <w:vAlign w:val="bottom"/>
          </w:tcPr>
          <w:p>
            <w:pPr>
              <w:spacing w:after="0"/>
              <w:rPr>
                <w:sz w:val="17"/>
                <w:szCs w:val="17"/>
                <w:color w:val="auto"/>
              </w:rPr>
            </w:pPr>
          </w:p>
        </w:tc>
        <w:tc>
          <w:tcPr>
            <w:tcW w:w="1640" w:type="dxa"/>
            <w:vAlign w:val="bottom"/>
          </w:tcPr>
          <w:p>
            <w:pPr>
              <w:jc w:val="right"/>
              <w:ind w:right="242"/>
              <w:spacing w:after="0" w:line="202" w:lineRule="exact"/>
              <w:rPr>
                <w:sz w:val="20"/>
                <w:szCs w:val="20"/>
                <w:color w:val="auto"/>
              </w:rPr>
            </w:pPr>
            <w:r>
              <w:rPr>
                <w:rFonts w:ascii="Times New Roman" w:cs="Times New Roman" w:eastAsia="Times New Roman" w:hAnsi="Times New Roman"/>
                <w:sz w:val="14"/>
                <w:szCs w:val="14"/>
                <w:b w:val="1"/>
                <w:bCs w:val="1"/>
                <w:color w:val="auto"/>
              </w:rPr>
              <w:t xml:space="preserve">Total Revenue </w:t>
            </w:r>
            <w:r>
              <w:rPr>
                <w:rFonts w:ascii="Times New Roman" w:cs="Times New Roman" w:eastAsia="Times New Roman" w:hAnsi="Times New Roman"/>
                <w:sz w:val="18"/>
                <w:szCs w:val="18"/>
                <w:b w:val="1"/>
                <w:bCs w:val="1"/>
                <w:color w:val="auto"/>
                <w:vertAlign w:val="superscript"/>
              </w:rPr>
              <w:t>(1)</w:t>
            </w:r>
          </w:p>
        </w:tc>
      </w:tr>
      <w:tr>
        <w:trPr>
          <w:trHeight w:val="223"/>
        </w:trPr>
        <w:tc>
          <w:tcPr>
            <w:tcW w:w="4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Hong Kong</w:t>
            </w:r>
          </w:p>
        </w:tc>
        <w:tc>
          <w:tcPr>
            <w:tcW w:w="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783.4</w:t>
            </w:r>
          </w:p>
        </w:tc>
        <w:tc>
          <w:tcPr>
            <w:tcW w:w="8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26.9 %</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858.9</w:t>
            </w:r>
          </w:p>
        </w:tc>
        <w:tc>
          <w:tcPr>
            <w:tcW w:w="10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23.9 %</w:t>
            </w:r>
          </w:p>
        </w:tc>
      </w:tr>
      <w:tr>
        <w:trPr>
          <w:trHeight w:val="229"/>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Singapore</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600.7</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20.6 %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823.5</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22.9 %</w:t>
            </w:r>
          </w:p>
        </w:tc>
      </w:tr>
      <w:tr>
        <w:trPr>
          <w:trHeight w:val="230"/>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694.9</w:t>
            </w: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857.8</w:t>
            </w:r>
          </w:p>
        </w:tc>
        <w:tc>
          <w:tcPr>
            <w:tcW w:w="1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23.8 %</w:t>
            </w:r>
          </w:p>
        </w:tc>
      </w:tr>
      <w:tr>
        <w:trPr>
          <w:trHeight w:val="229"/>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570.5</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19.6 %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743.9</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20.7 %</w:t>
            </w:r>
          </w:p>
        </w:tc>
      </w:tr>
      <w:tr>
        <w:trPr>
          <w:trHeight w:val="229"/>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264.9</w:t>
            </w: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9.1 %</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313.8</w:t>
            </w:r>
          </w:p>
        </w:tc>
        <w:tc>
          <w:tcPr>
            <w:tcW w:w="1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8.7 %</w:t>
            </w:r>
          </w:p>
        </w:tc>
      </w:tr>
      <w:tr>
        <w:trPr>
          <w:trHeight w:val="223"/>
        </w:trPr>
        <w:tc>
          <w:tcPr>
            <w:tcW w:w="4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revenue</w:t>
            </w:r>
          </w:p>
        </w:tc>
        <w:tc>
          <w:tcPr>
            <w:tcW w:w="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2,914.4</w:t>
            </w:r>
          </w:p>
        </w:tc>
        <w:tc>
          <w:tcPr>
            <w:tcW w:w="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3,597.9</w:t>
            </w:r>
          </w:p>
        </w:tc>
        <w:tc>
          <w:tcPr>
            <w:tcW w:w="10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21"/>
        </w:trPr>
        <w:tc>
          <w:tcPr>
            <w:tcW w:w="47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bl>
    <w:p>
      <w:pPr>
        <w:spacing w:after="0" w:line="301" w:lineRule="exact"/>
        <w:rPr>
          <w:sz w:val="20"/>
          <w:szCs w:val="20"/>
          <w:color w:val="auto"/>
        </w:rPr>
      </w:pPr>
    </w:p>
    <w:p>
      <w:pPr>
        <w:ind w:left="180" w:hanging="172"/>
        <w:spacing w:after="0"/>
        <w:tabs>
          <w:tab w:leader="none" w:pos="180" w:val="left"/>
        </w:tabs>
        <w:numPr>
          <w:ilvl w:val="0"/>
          <w:numId w:val="1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Certain amounts may not total due to rounding of individual amounts.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 and Gross Margin</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Gross profit decreased by $791.9 million, or approximately 48%, to $845.7 million for the six months ended July 4, 2025 compared to $1,637.6 million for the six months ended June 28, 2024. We recorded excess and obsolete inventory charges of $235.8 million, of which $230.3 million related to inventory primarily considered work in progress within the ISG reportable segment as a result of changes in business strategy due to the 2025 Manufacturing Realignment Program. See Note 5: ''Restructuring, Asset Impairments and Other, Net'' for additional information. We also continued to experience a decrease in sales volume from existing products and new products that negatively impacted gross profit by approximately $423.3 million and $132.8 million, respectively.</w:t>
      </w: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PSG gross profit decreased by $410.2 million, primarily driven by the decline in sales volume from existing products and new products which negatively impacted gross profit by approximately $277.4 million and $132.8 million, respectively. Also included in the gross profit decrease was the $43.9 million write-off of consumables and manufacturing supplies associated with the manufacturing capacity reduction actions taken under the 2025 Manufacturing Realignment Program. PSG gross margin decreased by 19.2 percentage points to 22.6% from 41.8% as a result of the decline in sales volume, significant underutilization, the related impact of unfavorable product mix and the impact of the consumables and manufacturing supplies write-off discussed above.</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AMG gross profit decreased by $78.0 million, primarily driven by the decline in sales volume from existing products. AMG gross margin increased by 2.8% percentage points to 51.9% from 49.1%, primarily due to improved product mix and the reduction in lower-margin manufacturing services revenue at our EFK location.</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ISG gross profit decreased by $303.7 million, primarily driven by the excess and obsolete inventory charges discussed above. Additionally, the decline in sales volume from existing products added to the decrease. ISG gross margin decreased to (9.1)% from 48.3%, primarily due to the excess and obsolete inventory charges.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were $307.9 million for the six months ended July 4, 2025, as compared to $306.5 million for the six months ended June 28, 2024, representing an increase of $1.4 million, or approximately 0.5%. The increase was primarily attributable to an increase in production supplies, partially offset by a decrease in payroll-related expenses.</w:t>
      </w:r>
    </w:p>
    <w:p>
      <w:pPr>
        <w:spacing w:after="0" w:line="203"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Selling and marketing expenses were $131.6 million for the six months ended July 4, 2025, as compared to $137.7 million for the six months ended June 28, 2024, representing a decrease of $6.1 million, or approximately 4%. The decrease was primarily attributable to a decrease in payroll-related expenses.</w:t>
      </w:r>
    </w:p>
    <w:p>
      <w:pPr>
        <w:spacing w:after="0" w:line="200" w:lineRule="exact"/>
        <w:rPr>
          <w:sz w:val="20"/>
          <w:szCs w:val="20"/>
          <w:color w:val="auto"/>
        </w:rPr>
      </w:pPr>
    </w:p>
    <w:p>
      <w:pPr>
        <w:spacing w:after="0" w:line="21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were $175.6 million for the six months ended July 4, 2025, as compared to $180.3 million for the six months ended June 28, 2024, representing a decrease of $4.7 million, or approximately 3%. The decrease was primarily attributable to payroll-related expenses, partially offset by an increase in the bad debt provision for a specific customer.</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Operating Expenses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Amortization of Acquisition-Related Intangible Assets</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Amortization of acquisition-related intangible assets was $22.4 million and $25.5 million for the six months ended July 4, 2025 and June 28, 2024, respectively, representing a decrease of $3.1 million, or approximately 12%. The decrease was due to a reduction in amortization expense as certain intangible assets became fully amortized.</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Restructuring, Asset Impairments and Other, Net</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Restructuring, asset impairments and other, net was $588.5 million for the six months ended July 4, 2025, as compared to $73.9 million for the six months ended June 28, 2024, representing an increase of $514.6 million. Charges incurred for the six months ended July 4, 2025 primarily relate to restructuring actions during the period. See Note 5: ''Restructuring, Asset Impairments and Other, Net'' in the notes to our unaudited consolidated financial statements included elsewhere in this Form 10-Q for additional information.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Interest expense increased by $4.6 million to $35.9 million during the six months ended July 4, 2025, as compared to $31.3 million during the six months ended June 28, 2024. Our average gross long-term debt balance for the six months ended July 4, 2025 was $3,379.9 million at a weighted-average interest rate of 2.12%, as compared to $3,379.9 million at a weighted-average interest rate of 1.9% for the six months ended June 28, 2024.</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income decreased by $3.2 million, or approximately 6%, to $51.8 million during the six months ended July 4, 2025 compared to $55.0 million during the six months ended June 28, 2024.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income was $5.6 million for the six months ended July 4, 2025 as compared to $2.9 million for the six months ended June 28, 2024, primarily driven by higher dividend income.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Provision</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recorded an income tax benefit of $45.3 million and income tax provision of $148.2 million during the six months ended July 4, 2025 and June 28, 2024, respectively, representing effective tax rates of 12.6% and 15.8%, respectively. The decrease in the effective tax rate in 2025 was due to unfavorable discrete adjustments.</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additional information, see Note 13: ''Income Taxes'' in the notes to the unaudited consolidated financial statements included elsewhere in this Form 10-Q.</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principal sources of liquidity are cash on hand, cash generated from operations, available borrowings under our Revolving Credit Facility as well as new debt and/or equity issuances. In the near term, we expect to fund our cash requirements by utilizing any or a combination of these principal sources. Our cash and cash equivalents and short-term investments were approximately $2.8 billion as of July 4, 2025, and the Revolving Credit Facility has approximately $1.1 billion available for future borrowings.</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require cash to: (i) fund our operating expenses, working capital requirements, outlays for strategic acquisitions and investments; (ii) service our debt, including principal and interest; (iii) incur capital expenditures; and (iv) repurchase our common stock. During the ordinary course of business, we evaluate our cash requirements and, if necessary, adjust our expenditures to reflect the current market conditions and our projected sales and demand. Our capital expenditures are primarily directed towards manufacturing equipment. Future capital expenditures may be impacted by events and transactions that are not currently forecasted.</w:t>
      </w:r>
    </w:p>
    <w:p>
      <w:pPr>
        <w:sectPr>
          <w:pgSz w:w="11900" w:h="16838" w:orient="portrait"/>
          <w:cols w:equalWidth="0" w:num="1">
            <w:col w:w="11240"/>
          </w:cols>
          <w:pgMar w:left="320" w:top="52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2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believe that our cash on hand, cash generated from our operations and the amounts available under the Revolving Credit Facility are adequate to meet our working capital requirements and other business needs for at least the next 12 months and thereafter for the foreseeable future.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cash flows from operating activities were $786.6 million and $860.9 million for the six months ended July 4, 2025 and June 28, 2024, respectively. The decrease in net income was driven by lower end-market demand for our products and by the non-cash asset impairment and other restructuring-related charges incurred during the six months ended July 4, 2025. The decrease in cash flow from operating activities of $74.3 million was driven by the timing of cash receipts and payments related to working capital balances.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ability to maintain positive operating cash flows is dependent on, among other factors, our success in achieving our revenue goals and manufacturing and operating cost targets. Management of our assets and liabilities, including both working capital and long-term assets and liabilities, also influences our operating cash flows.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cash flows used in investing activities were $336.6 million and $826.2 million for the six months ended July 4, 2025 and June 28, 2024, respectively. The decrease of $489.6 million was primarily attributable to a decrease in capital expenditures partially offset by the acquisition of a business during the six months ended July 4, 2025. Our capital expenditures as a percentage of revenue were approximately 8%, and we expect capital expenditures to be approximately 5% of revenue for 2025.</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cash flows used in financing activities were $617.7 million and $283.5 million for the six months ended July 4, 2025 and June 28, 2024, respectively. The increase of $334.2 million was primarily attributable to increased share repurchases during the six months ended July 4, 2025 compared to the same period in 2024.</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do not have any meaningful debt maturing during the next 12 months. We expect to continue our Share Repurchase Program subject to market conditions, the price of our shares and other factors (including liquidity needs). However, the Share Repurchase Program may be modified, suspended or terminated by the Board of Directors at any time without prior notice.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Key Factors Potentially Affecting Liquidity</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that the key factors that could adversely affect our internal and external sources of cash include, among other considerations:</w:t>
      </w:r>
    </w:p>
    <w:p>
      <w:pPr>
        <w:spacing w:after="0" w:line="117" w:lineRule="exact"/>
        <w:rPr>
          <w:sz w:val="20"/>
          <w:szCs w:val="20"/>
          <w:color w:val="auto"/>
        </w:rPr>
      </w:pPr>
    </w:p>
    <w:p>
      <w:pPr>
        <w:jc w:val="both"/>
        <w:ind w:left="660" w:hanging="652"/>
        <w:spacing w:after="0" w:line="250"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demand for our products, competitive pricing pressures, supply chain constraints, effective management of our manufacturing capacity, our ability to achieve further reductions in operating expenses, our ability to make progress on the achievement of our business strategy and sustainability goals, the impact of our restructuring programs on our production and cost efficiency, and our ability to make the research and development expenditures required to remain competitive in our business; and</w:t>
      </w:r>
    </w:p>
    <w:p>
      <w:pPr>
        <w:spacing w:after="0" w:line="69"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debt and equity capital markets could impact our ability to obtain needed financing on acceptable terms or to respond to business opportunities and developments as they arise, including interest rate fluctuations, macroeconomic conditions, sudden reductions in the general availability of lending from banks or the related increase in cost to obtain bank financing and our ability to maintain compliance with covenants under our debt agreements in effect from time to time.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Guarantees and Related Covenants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July 4, 2025, we were in compliance with the indentures relating to our 0% Notes, 0.50% Notes and 3.875% Notes and with covenants included in the Credit Agreement. The 0% Notes, 0.50% Notes and 3.875% Notes are senior to the existing and future subordinated indebtedness of onsemi and its guarantor subsidiaries, rank equally in right of payment to all of our existing and future senior debt and, as unsecured obligations, are subordinated to all of our existing and future secured debt to the extent of the assets securing such debt.</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a discussion of recent accounting pronouncements, see Note 3: ''Recent Accounting Pronouncements and Other Developments'' in the notes to the unaudited consolidated financial statements included elsewhere in this Form 10-Q and our 2024 Form 10-K.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3. Quantitative and Qualitative Disclosures About Market Risk</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in market risk from the information presented in Part II, Item 7A. "Quantitative and Qualitative Disclosures About Market Risk" in the 2024 Form 10-K.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4. Controls and Procedures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2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carried out an evaluation, under the supervision and with the participation of our management, including our Chief Executive Officer and Chief Financial Officer, of the effectiveness of our disclosure controls and procedures (as defined in Rules 13a-15(e) and 15d-15(e) of the Exchange Act). Based upon that evaluation, our Chief Executive Officer and Chief Financial Officer concluded that, as of the end of the period covered in this report, our disclosure controls and procedures were effective to ensure that information required to be disclosed in reports filed or submitted under the Exchange Act is recorded, processed, summarized and reported within the required time periods and is accumulated and communicated to our management, including our Chief Executive Officer and Chief Financial Officer, as appropriate, to allow timely decisions regarding required disclosure.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also carried out an evaluation, under the supervision and with the participation of our management, including our Chief Executive Officer and Chief Financial Officer, of changes to our internal control over financial reporting (as defined in Rules 13a-15(f) and 15d-15(f) of the Exchange Act) that occurred during the fiscal quarter ended July 4, 2025.</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have been no changes to our internal control over financial reporting (as defined in Exchange Act Rules 13a-15(f) and 15d-15(f)) that occurred during the fiscal quarter ended July 4, 2025 which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1. Legal Proceedings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See Note 10: ''Commitments and Contingencies'' under the heading "Legal Matters" in the notes to the consolidated unaudited financial statements included elsewhere in this Form 10-Q for additional information on our legal proceedings and related matters. See also Part I, Item 1 "Business - Government Regulation" of the 2024 Form 10-K for information on certain environmental matters.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1A. Risk Factors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business, financial condition and results of operations are subject to a number of trends, risks and uncertainties. We review and, where applicable, update our risk factors each quarter. There have been no material changes from the risk factors disclosed in Part I, Item 1A of the 2024 Form 10-K.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4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Quarterly Report on Form 10-Q includes "forward-looking statements," as that term is defined in Section 27A of the Securities Act and Section 21E of the Exchange Act. All statements, other than statements of historical facts, included or incorporated in this Form 10-Q could be deemed forward-looking statements, particularly statements about our plans, strategies and prospects under the heading "Management’s Discussion and Analysis of Financial Condition and Results of Operations." Forward-looking statements are often characterized by the use of words such as "believes," "estimates," "expects," "projects," "may," "will," "intends," "plans," "anticipates," "should" or similar expressions, or by discussions of strategy, plans or intentions. All forward-looking statements in this Form 10-Q are made based on our current expectations, forecasts, estimates and assumptions and involve risks, uncertainties and other factors that could cause results or events to differ materially from those expressed in the forward-looking statements.</w:t>
      </w:r>
    </w:p>
    <w:p>
      <w:pPr>
        <w:spacing w:after="0" w:line="21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Important factors that could cause our actual results to differ materially from those anticipated in the forward-looking statements are described under Part I, Item 1A "Risk Factors" in the 2024 Form 10-K, in this Form 10-Q and from time to time in our other SEC reports. Readers are cautioned not to place undue reliance on forward-looking statements. We assume no obligation to update such information, which speaks only as of the date made, except as may be required by law. Investing in our securities involves a high degree of risk and uncertainty, and you should carefully consider the trends, risks and uncertainties described in the aforementioned reports and subsequent reports filed with or furnished to the SEC before making any investment decision with respect to our securities. The risk factors described herein and in our 2024 Form 10-K are not all of the risks we may face. Other risks not presently known to us or that we currently believe are immaterial may materially affect our business. If any of the trends, risks or uncertainties actually occurs or continues, our business, financial condition or operating results could be materially adversely affected, the trading prices of our securities could decline and you could lose all or part of your investment. All forward-looking statements attributable to us or persons acting on our behalf are expressly qualified in their entirety by this cautionary statement.</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2. Unregistered Sales of Equity Securities and Use of Proceeds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regarding repurchases of our common stock during the quarter ended July 4, 2025:</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Approximate Dollar value of</w:t>
            </w:r>
          </w:p>
        </w:tc>
        <w:tc>
          <w:tcPr>
            <w:tcW w:w="0" w:type="dxa"/>
            <w:vAlign w:val="bottom"/>
          </w:tcPr>
          <w:p>
            <w:pPr>
              <w:spacing w:after="0"/>
              <w:rPr>
                <w:sz w:val="1"/>
                <w:szCs w:val="1"/>
                <w:color w:val="auto"/>
              </w:rPr>
            </w:pPr>
          </w:p>
        </w:tc>
      </w:tr>
      <w:tr>
        <w:trPr>
          <w:trHeight w:val="146"/>
        </w:trPr>
        <w:tc>
          <w:tcPr>
            <w:tcW w:w="3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5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Average Price Paid per</w:t>
            </w:r>
          </w:p>
        </w:tc>
        <w:tc>
          <w:tcPr>
            <w:tcW w:w="18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Purchased as Part of</w:t>
            </w:r>
          </w:p>
        </w:tc>
        <w:tc>
          <w:tcPr>
            <w:tcW w:w="100" w:type="dxa"/>
            <w:vAlign w:val="bottom"/>
          </w:tcPr>
          <w:p>
            <w:pPr>
              <w:spacing w:after="0"/>
              <w:rPr>
                <w:sz w:val="12"/>
                <w:szCs w:val="12"/>
                <w:color w:val="auto"/>
              </w:rPr>
            </w:pPr>
          </w:p>
        </w:tc>
        <w:tc>
          <w:tcPr>
            <w:tcW w:w="2160" w:type="dxa"/>
            <w:vAlign w:val="bottom"/>
            <w:gridSpan w:val="2"/>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Shares that May Yet be Purchased</w:t>
            </w:r>
          </w:p>
        </w:tc>
        <w:tc>
          <w:tcPr>
            <w:tcW w:w="0" w:type="dxa"/>
            <w:vAlign w:val="bottom"/>
          </w:tcPr>
          <w:p>
            <w:pPr>
              <w:spacing w:after="0"/>
              <w:rPr>
                <w:sz w:val="1"/>
                <w:szCs w:val="1"/>
                <w:color w:val="auto"/>
              </w:rPr>
            </w:pPr>
          </w:p>
        </w:tc>
      </w:tr>
      <w:tr>
        <w:trPr>
          <w:trHeight w:val="148"/>
        </w:trPr>
        <w:tc>
          <w:tcPr>
            <w:tcW w:w="40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Period </w:t>
            </w:r>
            <w:r>
              <w:rPr>
                <w:rFonts w:ascii="Times New Roman" w:cs="Times New Roman" w:eastAsia="Times New Roman" w:hAnsi="Times New Roman"/>
                <w:sz w:val="23"/>
                <w:szCs w:val="23"/>
                <w:b w:val="1"/>
                <w:bCs w:val="1"/>
                <w:color w:val="auto"/>
                <w:vertAlign w:val="superscript"/>
              </w:rPr>
              <w:t>(1)</w:t>
            </w:r>
          </w:p>
        </w:tc>
        <w:tc>
          <w:tcPr>
            <w:tcW w:w="1560" w:type="dxa"/>
            <w:vAlign w:val="bottom"/>
            <w:gridSpan w:val="2"/>
            <w:vMerge w:val="continue"/>
          </w:tcPr>
          <w:p>
            <w:pPr>
              <w:spacing w:after="0"/>
              <w:rPr>
                <w:sz w:val="12"/>
                <w:szCs w:val="12"/>
                <w:color w:val="auto"/>
              </w:rPr>
            </w:pPr>
          </w:p>
        </w:tc>
        <w:tc>
          <w:tcPr>
            <w:tcW w:w="1540" w:type="dxa"/>
            <w:vAlign w:val="bottom"/>
            <w:gridSpan w:val="3"/>
            <w:vMerge w:val="continue"/>
          </w:tcPr>
          <w:p>
            <w:pPr>
              <w:spacing w:after="0"/>
              <w:rPr>
                <w:sz w:val="12"/>
                <w:szCs w:val="12"/>
                <w:color w:val="auto"/>
              </w:rPr>
            </w:pPr>
          </w:p>
        </w:tc>
        <w:tc>
          <w:tcPr>
            <w:tcW w:w="1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Publicly Announced Plans or</w:t>
            </w:r>
          </w:p>
        </w:tc>
        <w:tc>
          <w:tcPr>
            <w:tcW w:w="100" w:type="dxa"/>
            <w:vAlign w:val="bottom"/>
          </w:tcPr>
          <w:p>
            <w:pPr>
              <w:spacing w:after="0"/>
              <w:rPr>
                <w:sz w:val="12"/>
                <w:szCs w:val="12"/>
                <w:color w:val="auto"/>
              </w:rPr>
            </w:pPr>
          </w:p>
        </w:tc>
        <w:tc>
          <w:tcPr>
            <w:tcW w:w="21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Under the Plans or Programs (in</w:t>
            </w:r>
          </w:p>
        </w:tc>
        <w:tc>
          <w:tcPr>
            <w:tcW w:w="0" w:type="dxa"/>
            <w:vAlign w:val="bottom"/>
          </w:tcPr>
          <w:p>
            <w:pPr>
              <w:spacing w:after="0"/>
              <w:rPr>
                <w:sz w:val="1"/>
                <w:szCs w:val="1"/>
                <w:color w:val="auto"/>
              </w:rPr>
            </w:pPr>
          </w:p>
        </w:tc>
      </w:tr>
      <w:tr>
        <w:trPr>
          <w:trHeight w:val="203"/>
        </w:trPr>
        <w:tc>
          <w:tcPr>
            <w:tcW w:w="4040" w:type="dxa"/>
            <w:vAlign w:val="bottom"/>
            <w:gridSpan w:val="2"/>
            <w:vMerge w:val="continue"/>
          </w:tcPr>
          <w:p>
            <w:pPr>
              <w:spacing w:after="0"/>
              <w:rPr>
                <w:sz w:val="17"/>
                <w:szCs w:val="17"/>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Shares Purchased</w:t>
            </w:r>
          </w:p>
        </w:tc>
        <w:tc>
          <w:tcPr>
            <w:tcW w:w="280" w:type="dxa"/>
            <w:vAlign w:val="bottom"/>
          </w:tcPr>
          <w:p>
            <w:pPr>
              <w:spacing w:after="0"/>
              <w:rPr>
                <w:sz w:val="17"/>
                <w:szCs w:val="17"/>
                <w:color w:val="auto"/>
              </w:rPr>
            </w:pPr>
          </w:p>
        </w:tc>
        <w:tc>
          <w:tcPr>
            <w:tcW w:w="12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Share ($)</w:t>
            </w:r>
          </w:p>
        </w:tc>
        <w:tc>
          <w:tcPr>
            <w:tcW w:w="1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millions) ($)</w:t>
            </w:r>
          </w:p>
        </w:tc>
        <w:tc>
          <w:tcPr>
            <w:tcW w:w="0" w:type="dxa"/>
            <w:vAlign w:val="bottom"/>
          </w:tcPr>
          <w:p>
            <w:pPr>
              <w:spacing w:after="0"/>
              <w:rPr>
                <w:sz w:val="1"/>
                <w:szCs w:val="1"/>
                <w:color w:val="auto"/>
              </w:rPr>
            </w:pPr>
          </w:p>
        </w:tc>
      </w:tr>
      <w:tr>
        <w:trPr>
          <w:trHeight w:val="223"/>
        </w:trPr>
        <w:tc>
          <w:tcPr>
            <w:tcW w:w="39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April 5, 2025 - May 2, 2025</w:t>
            </w:r>
          </w:p>
        </w:tc>
        <w:tc>
          <w:tcPr>
            <w:tcW w:w="10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1,486.0</w:t>
            </w:r>
          </w:p>
        </w:tc>
        <w:tc>
          <w:tcPr>
            <w:tcW w:w="0" w:type="dxa"/>
            <w:vAlign w:val="bottom"/>
          </w:tcPr>
          <w:p>
            <w:pPr>
              <w:spacing w:after="0"/>
              <w:rPr>
                <w:sz w:val="1"/>
                <w:szCs w:val="1"/>
                <w:color w:val="auto"/>
              </w:rPr>
            </w:pPr>
          </w:p>
        </w:tc>
      </w:tr>
      <w:tr>
        <w:trPr>
          <w:trHeight w:val="229"/>
        </w:trPr>
        <w:tc>
          <w:tcPr>
            <w:tcW w:w="40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May 3, 2025 - May 30, 2025</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6,110,816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43.21</w:t>
            </w:r>
          </w:p>
        </w:tc>
        <w:tc>
          <w:tcPr>
            <w:tcW w:w="8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6,110,816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1,222.0</w:t>
            </w:r>
          </w:p>
        </w:tc>
        <w:tc>
          <w:tcPr>
            <w:tcW w:w="0" w:type="dxa"/>
            <w:vAlign w:val="bottom"/>
          </w:tcPr>
          <w:p>
            <w:pPr>
              <w:spacing w:after="0"/>
              <w:rPr>
                <w:sz w:val="1"/>
                <w:szCs w:val="1"/>
                <w:color w:val="auto"/>
              </w:rPr>
            </w:pPr>
          </w:p>
        </w:tc>
      </w:tr>
      <w:tr>
        <w:trPr>
          <w:trHeight w:val="229"/>
        </w:trPr>
        <w:tc>
          <w:tcPr>
            <w:tcW w:w="4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May 31, 2025 - July 4, 2025</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823,609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43.80</w:t>
            </w:r>
          </w:p>
        </w:tc>
        <w:tc>
          <w:tcPr>
            <w:tcW w:w="80" w:type="dxa"/>
            <w:vAlign w:val="bottom"/>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823,609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1,186.0</w:t>
            </w:r>
          </w:p>
        </w:tc>
        <w:tc>
          <w:tcPr>
            <w:tcW w:w="0" w:type="dxa"/>
            <w:vAlign w:val="bottom"/>
          </w:tcPr>
          <w:p>
            <w:pPr>
              <w:spacing w:after="0"/>
              <w:rPr>
                <w:sz w:val="1"/>
                <w:szCs w:val="1"/>
                <w:color w:val="auto"/>
              </w:rPr>
            </w:pPr>
          </w:p>
        </w:tc>
      </w:tr>
      <w:tr>
        <w:trPr>
          <w:trHeight w:val="223"/>
        </w:trPr>
        <w:tc>
          <w:tcPr>
            <w:tcW w:w="404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Total</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6,934,425</w:t>
            </w:r>
          </w:p>
        </w:tc>
        <w:tc>
          <w:tcPr>
            <w:tcW w:w="100" w:type="dxa"/>
            <w:vAlign w:val="bottom"/>
          </w:tcPr>
          <w:p>
            <w:pPr>
              <w:spacing w:after="0"/>
              <w:rPr>
                <w:sz w:val="19"/>
                <w:szCs w:val="19"/>
                <w:color w:val="auto"/>
              </w:rPr>
            </w:pPr>
          </w:p>
        </w:tc>
        <w:tc>
          <w:tcPr>
            <w:tcW w:w="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43.28</w:t>
            </w:r>
          </w:p>
        </w:tc>
        <w:tc>
          <w:tcPr>
            <w:tcW w:w="80" w:type="dxa"/>
            <w:vAlign w:val="bottom"/>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6,934,425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3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1" w:lineRule="exact"/>
        <w:rPr>
          <w:sz w:val="20"/>
          <w:szCs w:val="20"/>
          <w:color w:val="auto"/>
        </w:rPr>
      </w:pPr>
    </w:p>
    <w:p>
      <w:pPr>
        <w:ind w:left="180" w:hanging="172"/>
        <w:spacing w:after="0"/>
        <w:tabs>
          <w:tab w:leader="none" w:pos="180" w:val="left"/>
        </w:tabs>
        <w:numPr>
          <w:ilvl w:val="0"/>
          <w:numId w:val="1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These time periods represent our fiscal month start and end dates for the second quarter of 2025.</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Shares withheld to satisfy statutory tax withholding requirements related to the vesting of share-based awards are not issued or considered repurchases of our common stock under our Share Repurchase Program and, therefore, are excluded from the table above.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Repurchase Program</w:t>
      </w:r>
    </w:p>
    <w:p>
      <w:pPr>
        <w:spacing w:after="0" w:line="2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February 2023, the Board of Directors approved a share repurchase program (the "Share Repurchase Program"), which allows for the repurchase of our common stock from time to time in privately negotiated transactions or open market transactions, including pursuant to a trading plan in accordance with Rule 10b5-1 and Rule 10b-18 of the Exchange Act, or by any combination of such methods or other methods. The Share Repurchase Program, which does not require us to purchase any minimum amount of our common stock, has an aggregate limit of $3.0 billion from February 8, 2023 through December 31, 2025 (exclusive of fees, commissions and other expenses). Any repurchases will be at the Company’s discretion and will be subject to market conditions, the price of our shares and other factors (including our projected liquidity needs). The Share Repurchase Program may be modified, suspended or terminated by the Board of Directors at any time without prior notice.</w:t>
      </w:r>
    </w:p>
    <w:p>
      <w:pPr>
        <w:spacing w:after="0" w:line="2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repurchased 6.9 million shares of the Company's common stock under the Share Repurchase Program during the quarter ended July 4, 2025. As of July 4, 2025, the authorized amount remaining under the Share Repurchase Program was approximately $1,186.0 million.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3. Defaults Upon Senior Securities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4. Mine Safety Disclosures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5. Other Information</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Insider Trading Arrangements</w:t>
      </w:r>
    </w:p>
    <w:p>
      <w:pPr>
        <w:spacing w:after="0" w:line="24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quarter ended July 4, 2025, none of our directors or officers (as defined in Rule 16a-1(f) of the Exchange Act) adopted or terminated a "Rule 10b5-1 trading arrangement" or "non-Rule 10b5-1 trading arrangement" (as those terms are defined in Item 408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6. Exhibits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u w:val="single" w:color="auto"/>
          <w:color w:val="auto"/>
        </w:rPr>
        <w:t>Exhibit No.</w:t>
      </w:r>
    </w:p>
    <w:p>
      <w:pPr>
        <w:spacing w:after="0" w:line="13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31.1</w:t>
      </w:r>
    </w:p>
    <w:p>
      <w:pPr>
        <w:spacing w:after="0" w:line="26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31.2</w:t>
      </w:r>
    </w:p>
    <w:p>
      <w:pPr>
        <w:spacing w:after="0" w:line="26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32</w:t>
      </w:r>
    </w:p>
    <w:p>
      <w:pPr>
        <w:spacing w:after="0" w:line="29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101.INS</w:t>
      </w:r>
    </w:p>
    <w:p>
      <w:pPr>
        <w:spacing w:after="0" w:line="11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101.SCH</w:t>
      </w:r>
    </w:p>
    <w:p>
      <w:pPr>
        <w:spacing w:after="0" w:line="7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101.CAL</w:t>
      </w:r>
    </w:p>
    <w:p>
      <w:pPr>
        <w:spacing w:after="0" w:line="7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101.DEF</w:t>
      </w:r>
    </w:p>
    <w:p>
      <w:pPr>
        <w:spacing w:after="0" w:line="11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101.LAB</w:t>
      </w:r>
    </w:p>
    <w:p>
      <w:pPr>
        <w:spacing w:after="0" w:line="11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101.PRE</w:t>
      </w:r>
    </w:p>
    <w:p>
      <w:pPr>
        <w:spacing w:after="0" w:line="7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 Description</w:t>
      </w:r>
      <w:r>
        <w:rPr>
          <w:rFonts w:ascii="Times New Roman" w:cs="Times New Roman" w:eastAsia="Times New Roman" w:hAnsi="Times New Roman"/>
          <w:sz w:val="23"/>
          <w:szCs w:val="23"/>
          <w:b w:val="1"/>
          <w:bCs w:val="1"/>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-15240</wp:posOffset>
            </wp:positionV>
            <wp:extent cx="601789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017895" cy="8255"/>
                    </a:xfrm>
                    <a:prstGeom prst="rect">
                      <a:avLst/>
                    </a:prstGeom>
                    <a:noFill/>
                  </pic:spPr>
                </pic:pic>
              </a:graphicData>
            </a:graphic>
          </wp:anchor>
        </w:drawing>
      </w:r>
    </w:p>
    <w:p>
      <w:pPr>
        <w:spacing w:after="0" w:line="58" w:lineRule="exact"/>
        <w:rPr>
          <w:sz w:val="20"/>
          <w:szCs w:val="20"/>
          <w:color w:val="auto"/>
        </w:rPr>
      </w:pPr>
    </w:p>
    <w:p>
      <w:pPr>
        <w:ind w:right="240"/>
        <w:spacing w:after="0" w:line="208" w:lineRule="auto"/>
        <w:rPr>
          <w:sz w:val="20"/>
          <w:szCs w:val="20"/>
          <w:color w:val="auto"/>
        </w:rPr>
      </w:pPr>
      <w:r>
        <w:rPr>
          <w:rFonts w:ascii="Times New Roman" w:cs="Times New Roman" w:eastAsia="Times New Roman" w:hAnsi="Times New Roman"/>
          <w:sz w:val="18"/>
          <w:szCs w:val="18"/>
          <w:u w:val="single" w:color="auto"/>
          <w:color w:val="0000FF"/>
        </w:rPr>
        <w:t xml:space="preserve">Certification by CEO pursuant to Rule 13(a)-14(a) or 15d-14(a) of the Securities Exchange Act of 1934, as adopted pursuant to Section 302 of Sarbanes-Oxley Act of 2002 </w:t>
      </w:r>
      <w:r>
        <w:rPr>
          <w:rFonts w:ascii="Times New Roman" w:cs="Times New Roman" w:eastAsia="Times New Roman" w:hAnsi="Times New Roman"/>
          <w:sz w:val="23"/>
          <w:szCs w:val="23"/>
          <w:u w:val="single" w:color="auto"/>
          <w:color w:val="0000FF"/>
          <w:vertAlign w:val="superscript"/>
        </w:rPr>
        <w:t>(1)</w:t>
      </w:r>
    </w:p>
    <w:p>
      <w:pPr>
        <w:spacing w:after="0" w:line="64" w:lineRule="exact"/>
        <w:rPr>
          <w:sz w:val="20"/>
          <w:szCs w:val="20"/>
          <w:color w:val="auto"/>
        </w:rPr>
      </w:pPr>
    </w:p>
    <w:p>
      <w:pPr>
        <w:ind w:right="240"/>
        <w:spacing w:after="0" w:line="208" w:lineRule="auto"/>
        <w:rPr>
          <w:sz w:val="20"/>
          <w:szCs w:val="20"/>
          <w:color w:val="auto"/>
        </w:rPr>
      </w:pPr>
      <w:r>
        <w:rPr>
          <w:rFonts w:ascii="Times New Roman" w:cs="Times New Roman" w:eastAsia="Times New Roman" w:hAnsi="Times New Roman"/>
          <w:sz w:val="18"/>
          <w:szCs w:val="18"/>
          <w:u w:val="single" w:color="auto"/>
          <w:color w:val="0000FF"/>
        </w:rPr>
        <w:t xml:space="preserve">Certification by CFO pursuant to Rule 13(a)-14(a) or 15d-14(a) of the Securities Exchange Act of 1934, as adopted pursuant to Section 302 of Sarbanes-Oxley Act of 2002 </w:t>
      </w:r>
      <w:r>
        <w:rPr>
          <w:rFonts w:ascii="Times New Roman" w:cs="Times New Roman" w:eastAsia="Times New Roman" w:hAnsi="Times New Roman"/>
          <w:sz w:val="23"/>
          <w:szCs w:val="23"/>
          <w:u w:val="single" w:color="auto"/>
          <w:color w:val="0000FF"/>
          <w:vertAlign w:val="superscript"/>
        </w:rPr>
        <w:t>(1)</w:t>
      </w:r>
    </w:p>
    <w:p>
      <w:pPr>
        <w:spacing w:after="0" w:line="104" w:lineRule="exact"/>
        <w:rPr>
          <w:sz w:val="20"/>
          <w:szCs w:val="20"/>
          <w:color w:val="auto"/>
        </w:rPr>
      </w:pPr>
    </w:p>
    <w:p>
      <w:pPr>
        <w:spacing w:after="0" w:line="216" w:lineRule="auto"/>
        <w:rPr>
          <w:sz w:val="20"/>
          <w:szCs w:val="20"/>
          <w:color w:val="auto"/>
        </w:rPr>
      </w:pPr>
      <w:r>
        <w:rPr>
          <w:rFonts w:ascii="Times New Roman" w:cs="Times New Roman" w:eastAsia="Times New Roman" w:hAnsi="Times New Roman"/>
          <w:sz w:val="18"/>
          <w:szCs w:val="18"/>
          <w:u w:val="single" w:color="auto"/>
          <w:color w:val="0000FF"/>
        </w:rPr>
        <w:t xml:space="preserve">Certification by CEO and CFO pursuant to 18 U.S.C. Section 1350, as adopted pursuant to Section 906 of the Sarbanes-Oxley Act of 2002 </w:t>
      </w:r>
      <w:r>
        <w:rPr>
          <w:rFonts w:ascii="Times New Roman" w:cs="Times New Roman" w:eastAsia="Times New Roman" w:hAnsi="Times New Roman"/>
          <w:sz w:val="23"/>
          <w:szCs w:val="23"/>
          <w:u w:val="single" w:color="auto"/>
          <w:color w:val="0000FF"/>
          <w:vertAlign w:val="superscript"/>
        </w:rPr>
        <w:t>(2)</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XBRL Instance Document </w:t>
      </w:r>
      <w:r>
        <w:rPr>
          <w:rFonts w:ascii="Times New Roman" w:cs="Times New Roman" w:eastAsia="Times New Roman" w:hAnsi="Times New Roman"/>
          <w:sz w:val="23"/>
          <w:szCs w:val="23"/>
          <w:color w:val="auto"/>
          <w:vertAlign w:val="superscript"/>
        </w:rPr>
        <w:t>(1)</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XBRL Taxonomy Extension Schema Document </w:t>
      </w:r>
      <w:r>
        <w:rPr>
          <w:rFonts w:ascii="Times New Roman" w:cs="Times New Roman" w:eastAsia="Times New Roman" w:hAnsi="Times New Roman"/>
          <w:sz w:val="23"/>
          <w:szCs w:val="23"/>
          <w:color w:val="auto"/>
          <w:vertAlign w:val="superscript"/>
        </w:rPr>
        <w:t>(1)</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XBRL Taxonomy Extension Calculation Linkbase Document </w:t>
      </w:r>
      <w:r>
        <w:rPr>
          <w:rFonts w:ascii="Times New Roman" w:cs="Times New Roman" w:eastAsia="Times New Roman" w:hAnsi="Times New Roman"/>
          <w:sz w:val="23"/>
          <w:szCs w:val="23"/>
          <w:color w:val="auto"/>
          <w:vertAlign w:val="superscript"/>
        </w:rPr>
        <w:t>(1)</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XBRL Taxonomy Extension Definition Linkbase Document </w:t>
      </w:r>
      <w:r>
        <w:rPr>
          <w:rFonts w:ascii="Times New Roman" w:cs="Times New Roman" w:eastAsia="Times New Roman" w:hAnsi="Times New Roman"/>
          <w:sz w:val="23"/>
          <w:szCs w:val="23"/>
          <w:color w:val="auto"/>
          <w:vertAlign w:val="superscript"/>
        </w:rPr>
        <w:t>(1)</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XBRL Taxonomy Extension Label Linkbase Document </w:t>
      </w:r>
      <w:r>
        <w:rPr>
          <w:rFonts w:ascii="Times New Roman" w:cs="Times New Roman" w:eastAsia="Times New Roman" w:hAnsi="Times New Roman"/>
          <w:sz w:val="23"/>
          <w:szCs w:val="23"/>
          <w:color w:val="auto"/>
          <w:vertAlign w:val="superscript"/>
        </w:rPr>
        <w:t>(1)</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XBRL Taxonomy Extension Presentation Linkbase Document </w:t>
      </w:r>
      <w:r>
        <w:rPr>
          <w:rFonts w:ascii="Times New Roman" w:cs="Times New Roman" w:eastAsia="Times New Roman" w:hAnsi="Times New Roman"/>
          <w:sz w:val="23"/>
          <w:szCs w:val="23"/>
          <w:color w:val="auto"/>
          <w:vertAlign w:val="superscript"/>
        </w:rPr>
        <w:t>(1)</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Cover Page Interactive Data File - the cover page XBRL tags are embedded within the Inline XBRL document.</w:t>
      </w:r>
    </w:p>
    <w:p>
      <w:pPr>
        <w:spacing w:after="0" w:line="181" w:lineRule="exact"/>
        <w:rPr>
          <w:sz w:val="20"/>
          <w:szCs w:val="20"/>
          <w:color w:val="auto"/>
        </w:rPr>
      </w:pPr>
    </w:p>
    <w:p>
      <w:pPr>
        <w:sectPr>
          <w:pgSz w:w="11900" w:h="16838" w:orient="portrait"/>
          <w:cols w:equalWidth="0" w:num="2">
            <w:col w:w="1280" w:space="480"/>
            <w:col w:w="9400"/>
          </w:cols>
          <w:pgMar w:left="320" w:top="526" w:right="419" w:bottom="1440" w:gutter="0" w:footer="0" w:header="0"/>
        </w:sectPr>
      </w:pPr>
    </w:p>
    <w:p>
      <w:pPr>
        <w:ind w:left="380" w:hanging="212"/>
        <w:spacing w:after="0"/>
        <w:tabs>
          <w:tab w:leader="none" w:pos="380" w:val="left"/>
        </w:tabs>
        <w:numPr>
          <w:ilvl w:val="0"/>
          <w:numId w:val="1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Reports filed under the Exchange Act (Form 10-K, Form 10-Q and Form 8-K) are filed under File No. 000-30419 and File No. 001-39317.</w:t>
      </w:r>
    </w:p>
    <w:p>
      <w:pPr>
        <w:spacing w:after="0" w:line="15" w:lineRule="exact"/>
        <w:rPr>
          <w:sz w:val="20"/>
          <w:szCs w:val="20"/>
          <w:color w:val="auto"/>
        </w:rPr>
      </w:pPr>
    </w:p>
    <w:p>
      <w:pPr>
        <w:ind w:left="380" w:right="40" w:hanging="228"/>
        <w:spacing w:after="0" w:line="226" w:lineRule="auto"/>
        <w:tabs>
          <w:tab w:leader="none" w:pos="3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omitted certain schedules and exhibits pursuant to Item 601(b)(2) of Regulation S-K and, upon request by the Commission, agrees to furnish supplementally to the Commission a copy of any omitted schedule or exhibit.</w:t>
      </w:r>
    </w:p>
    <w:p>
      <w:pPr>
        <w:spacing w:after="0" w:line="87" w:lineRule="exact"/>
        <w:rPr>
          <w:sz w:val="20"/>
          <w:szCs w:val="20"/>
          <w:color w:val="auto"/>
        </w:rPr>
      </w:pPr>
    </w:p>
    <w:p>
      <w:pPr>
        <w:ind w:left="380" w:hanging="251"/>
        <w:spacing w:after="0"/>
        <w:tabs>
          <w:tab w:leader="none" w:pos="380" w:val="left"/>
        </w:tabs>
        <w:numPr>
          <w:ilvl w:val="0"/>
          <w:numId w:val="1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Filed herewith.</w:t>
      </w:r>
    </w:p>
    <w:p>
      <w:pPr>
        <w:spacing w:after="0" w:line="15" w:lineRule="exact"/>
        <w:rPr>
          <w:rFonts w:ascii="Times New Roman" w:cs="Times New Roman" w:eastAsia="Times New Roman" w:hAnsi="Times New Roman"/>
          <w:sz w:val="23"/>
          <w:szCs w:val="23"/>
          <w:color w:val="auto"/>
          <w:vertAlign w:val="superscript"/>
        </w:rPr>
      </w:pPr>
    </w:p>
    <w:p>
      <w:pPr>
        <w:ind w:left="380" w:hanging="251"/>
        <w:spacing w:after="0" w:line="194" w:lineRule="auto"/>
        <w:tabs>
          <w:tab w:leader="none" w:pos="380" w:val="left"/>
        </w:tabs>
        <w:numPr>
          <w:ilvl w:val="0"/>
          <w:numId w:val="1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526" w:right="419" w:bottom="1440" w:gutter="0" w:footer="0" w:header="0"/>
          <w:type w:val="continuous"/>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Exchange Act,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ON SEMICONDUCTOR CORPORATION</w:t>
      </w:r>
    </w:p>
    <w:p>
      <w:pPr>
        <w:ind w:left="5920"/>
        <w:spacing w:after="0"/>
        <w:rPr>
          <w:sz w:val="20"/>
          <w:szCs w:val="20"/>
          <w:color w:val="auto"/>
        </w:rPr>
      </w:pPr>
      <w:r>
        <w:rPr>
          <w:rFonts w:ascii="Times New Roman" w:cs="Times New Roman" w:eastAsia="Times New Roman" w:hAnsi="Times New Roman"/>
          <w:sz w:val="18"/>
          <w:szCs w:val="18"/>
          <w:color w:val="auto"/>
        </w:rPr>
        <w:t>(Registrant)</w:t>
      </w:r>
    </w:p>
    <w:p>
      <w:pPr>
        <w:spacing w:after="0" w:line="246" w:lineRule="exact"/>
        <w:rPr>
          <w:sz w:val="20"/>
          <w:szCs w:val="20"/>
          <w:color w:val="auto"/>
        </w:rPr>
      </w:pPr>
    </w:p>
    <w:p>
      <w:pPr>
        <w:ind w:left="240"/>
        <w:spacing w:after="0"/>
        <w:tabs>
          <w:tab w:leader="none" w:pos="4920" w:val="left"/>
          <w:tab w:leader="none" w:pos="5400" w:val="left"/>
        </w:tabs>
        <w:rPr>
          <w:sz w:val="20"/>
          <w:szCs w:val="20"/>
          <w:color w:val="auto"/>
        </w:rPr>
      </w:pPr>
      <w:r>
        <w:rPr>
          <w:rFonts w:ascii="Times New Roman" w:cs="Times New Roman" w:eastAsia="Times New Roman" w:hAnsi="Times New Roman"/>
          <w:sz w:val="18"/>
          <w:szCs w:val="18"/>
          <w:color w:val="auto"/>
        </w:rPr>
        <w:t>Date: August 4,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THAD TRENT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3425190</wp:posOffset>
            </wp:positionH>
            <wp:positionV relativeFrom="paragraph">
              <wp:posOffset>17145</wp:posOffset>
            </wp:positionV>
            <wp:extent cx="357441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574415" cy="8255"/>
                    </a:xfrm>
                    <a:prstGeom prst="rect">
                      <a:avLst/>
                    </a:prstGeom>
                    <a:noFill/>
                  </pic:spPr>
                </pic:pic>
              </a:graphicData>
            </a:graphic>
          </wp:anchor>
        </w:drawing>
      </w:r>
    </w:p>
    <w:p>
      <w:pPr>
        <w:spacing w:after="0" w:line="12"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b w:val="1"/>
          <w:bCs w:val="1"/>
          <w:color w:val="auto"/>
        </w:rPr>
        <w:t>Thad Trent</w:t>
      </w:r>
    </w:p>
    <w:p>
      <w:pPr>
        <w:spacing w:after="0" w:line="31"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b w:val="1"/>
          <w:bCs w:val="1"/>
          <w:color w:val="auto"/>
        </w:rPr>
        <w:t>Executive Vice President, Chief Financial Officer and Treasurer</w:t>
      </w:r>
    </w:p>
    <w:p>
      <w:pPr>
        <w:spacing w:after="0" w:line="6"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b w:val="1"/>
          <w:bCs w:val="1"/>
          <w:color w:val="auto"/>
        </w:rPr>
        <w:t>(Principal Financial and Accounting Officer and officer duly authorized</w:t>
      </w:r>
    </w:p>
    <w:p>
      <w:pPr>
        <w:ind w:left="5420"/>
        <w:spacing w:after="0"/>
        <w:rPr>
          <w:sz w:val="20"/>
          <w:szCs w:val="20"/>
          <w:color w:val="auto"/>
        </w:rPr>
      </w:pPr>
      <w:r>
        <w:rPr>
          <w:rFonts w:ascii="Times New Roman" w:cs="Times New Roman" w:eastAsia="Times New Roman" w:hAnsi="Times New Roman"/>
          <w:sz w:val="18"/>
          <w:szCs w:val="18"/>
          <w:b w:val="1"/>
          <w:bCs w:val="1"/>
          <w:color w:val="auto"/>
        </w:rPr>
        <w:t>to sign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240"/>
          </w:cols>
          <w:pgMar w:left="320" w:top="526" w:right="3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20"/>
          <w:szCs w:val="20"/>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20"/>
          <w:szCs w:val="20"/>
          <w:b w:val="1"/>
          <w:bCs w:val="1"/>
          <w:color w:val="auto"/>
        </w:rPr>
        <w:t>CERTIFICATIONS</w:t>
      </w:r>
    </w:p>
    <w:p>
      <w:pPr>
        <w:spacing w:after="0" w:line="25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I, Hassane El-Khoury, certify that:</w:t>
      </w:r>
    </w:p>
    <w:p>
      <w:pPr>
        <w:spacing w:after="0" w:line="252" w:lineRule="exact"/>
        <w:rPr>
          <w:sz w:val="20"/>
          <w:szCs w:val="20"/>
          <w:color w:val="auto"/>
        </w:rPr>
      </w:pPr>
    </w:p>
    <w:p>
      <w:pPr>
        <w:ind w:left="640" w:hanging="326"/>
        <w:spacing w:after="0"/>
        <w:tabs>
          <w:tab w:leader="none" w:pos="64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ON Semiconductor Corporation;</w:t>
      </w:r>
    </w:p>
    <w:p>
      <w:pPr>
        <w:spacing w:after="0" w:line="252" w:lineRule="exact"/>
        <w:rPr>
          <w:rFonts w:ascii="Times New Roman" w:cs="Times New Roman" w:eastAsia="Times New Roman" w:hAnsi="Times New Roman"/>
          <w:sz w:val="18"/>
          <w:szCs w:val="18"/>
          <w:color w:val="auto"/>
        </w:rPr>
      </w:pPr>
    </w:p>
    <w:p>
      <w:pPr>
        <w:jc w:val="both"/>
        <w:ind w:left="640" w:hanging="326"/>
        <w:spacing w:after="0" w:line="266" w:lineRule="auto"/>
        <w:tabs>
          <w:tab w:leader="none" w:pos="64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640" w:hanging="326"/>
        <w:spacing w:after="0" w:line="282" w:lineRule="auto"/>
        <w:tabs>
          <w:tab w:leader="none" w:pos="64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left="640" w:hanging="326"/>
        <w:spacing w:after="0" w:line="261" w:lineRule="auto"/>
        <w:tabs>
          <w:tab w:leader="none" w:pos="64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6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15d-15(f)) for the registrant and have:</w:t>
      </w:r>
    </w:p>
    <w:p>
      <w:pPr>
        <w:spacing w:after="0" w:line="233" w:lineRule="exact"/>
        <w:rPr>
          <w:rFonts w:ascii="Times New Roman" w:cs="Times New Roman" w:eastAsia="Times New Roman" w:hAnsi="Times New Roman"/>
          <w:sz w:val="18"/>
          <w:szCs w:val="18"/>
          <w:color w:val="auto"/>
        </w:rPr>
      </w:pPr>
    </w:p>
    <w:p>
      <w:pPr>
        <w:ind w:left="1120" w:right="20" w:hanging="482"/>
        <w:spacing w:after="0" w:line="266" w:lineRule="auto"/>
        <w:tabs>
          <w:tab w:leader="none" w:pos="966" w:val="left"/>
        </w:tabs>
        <w:numPr>
          <w:ilvl w:val="3"/>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ind w:left="1120" w:hanging="482"/>
        <w:spacing w:after="0" w:line="266" w:lineRule="auto"/>
        <w:tabs>
          <w:tab w:leader="none" w:pos="1011" w:val="left"/>
        </w:tabs>
        <w:numPr>
          <w:ilvl w:val="3"/>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left="1120" w:right="20" w:hanging="482"/>
        <w:spacing w:after="0" w:line="282" w:lineRule="auto"/>
        <w:tabs>
          <w:tab w:leader="none" w:pos="1025" w:val="left"/>
        </w:tabs>
        <w:numPr>
          <w:ilvl w:val="3"/>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ind w:left="1120" w:hanging="514"/>
        <w:spacing w:after="0" w:line="266" w:lineRule="auto"/>
        <w:tabs>
          <w:tab w:leader="none" w:pos="1000" w:val="left"/>
        </w:tabs>
        <w:numPr>
          <w:ilvl w:val="2"/>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480" w:right="20" w:hanging="328"/>
        <w:spacing w:after="0" w:line="282" w:lineRule="auto"/>
        <w:tabs>
          <w:tab w:leader="none" w:pos="4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1120" w:hanging="514"/>
        <w:spacing w:after="0" w:line="282" w:lineRule="auto"/>
        <w:tabs>
          <w:tab w:leader="none" w:pos="1032" w:val="left"/>
        </w:tabs>
        <w:numPr>
          <w:ilvl w:val="2"/>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1120" w:hanging="514"/>
        <w:spacing w:after="0" w:line="282" w:lineRule="auto"/>
        <w:tabs>
          <w:tab w:leader="none" w:pos="978" w:val="left"/>
        </w:tabs>
        <w:numPr>
          <w:ilvl w:val="2"/>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43" w:lineRule="exact"/>
        <w:rPr>
          <w:sz w:val="20"/>
          <w:szCs w:val="20"/>
          <w:color w:val="auto"/>
        </w:rPr>
      </w:pPr>
    </w:p>
    <w:p>
      <w:pPr>
        <w:spacing w:after="0"/>
        <w:tabs>
          <w:tab w:leader="none" w:pos="7240" w:val="left"/>
        </w:tabs>
        <w:rPr>
          <w:sz w:val="20"/>
          <w:szCs w:val="20"/>
          <w:color w:val="auto"/>
        </w:rPr>
      </w:pPr>
      <w:r>
        <w:rPr>
          <w:rFonts w:ascii="Times New Roman" w:cs="Times New Roman" w:eastAsia="Times New Roman" w:hAnsi="Times New Roman"/>
          <w:sz w:val="18"/>
          <w:szCs w:val="18"/>
          <w:color w:val="auto"/>
        </w:rPr>
        <w:t>Date: August 4, 2025</w:t>
      </w:r>
      <w:r>
        <w:rPr>
          <w:sz w:val="20"/>
          <w:szCs w:val="20"/>
          <w:color w:val="auto"/>
        </w:rPr>
        <w:tab/>
      </w:r>
      <w:r>
        <w:rPr>
          <w:rFonts w:ascii="Times New Roman" w:cs="Times New Roman" w:eastAsia="Times New Roman" w:hAnsi="Times New Roman"/>
          <w:sz w:val="17"/>
          <w:szCs w:val="17"/>
          <w:color w:val="auto"/>
        </w:rPr>
        <w:t>/s/ HASSANE EL-KHOURY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4596765</wp:posOffset>
            </wp:positionH>
            <wp:positionV relativeFrom="paragraph">
              <wp:posOffset>34290</wp:posOffset>
            </wp:positionV>
            <wp:extent cx="241744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417445" cy="8255"/>
                    </a:xfrm>
                    <a:prstGeom prst="rect">
                      <a:avLst/>
                    </a:prstGeom>
                    <a:noFill/>
                  </pic:spPr>
                </pic:pic>
              </a:graphicData>
            </a:graphic>
          </wp:anchor>
        </w:drawing>
      </w:r>
    </w:p>
    <w:p>
      <w:pPr>
        <w:spacing w:after="0" w:line="57" w:lineRule="exact"/>
        <w:rPr>
          <w:sz w:val="20"/>
          <w:szCs w:val="20"/>
          <w:color w:val="auto"/>
        </w:rPr>
      </w:pPr>
    </w:p>
    <w:p>
      <w:pPr>
        <w:ind w:left="7260"/>
        <w:spacing w:after="0"/>
        <w:rPr>
          <w:sz w:val="20"/>
          <w:szCs w:val="20"/>
          <w:color w:val="auto"/>
        </w:rPr>
      </w:pPr>
      <w:r>
        <w:rPr>
          <w:rFonts w:ascii="Times New Roman" w:cs="Times New Roman" w:eastAsia="Times New Roman" w:hAnsi="Times New Roman"/>
          <w:sz w:val="18"/>
          <w:szCs w:val="18"/>
          <w:color w:val="auto"/>
        </w:rPr>
        <w:t>Hassane El-Khoury</w:t>
      </w:r>
    </w:p>
    <w:p>
      <w:pPr>
        <w:spacing w:after="0" w:line="63" w:lineRule="exact"/>
        <w:rPr>
          <w:sz w:val="20"/>
          <w:szCs w:val="20"/>
          <w:color w:val="auto"/>
        </w:rPr>
      </w:pPr>
    </w:p>
    <w:p>
      <w:pPr>
        <w:ind w:left="726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060"/>
          </w:cols>
          <w:pgMar w:left="500" w:top="114" w:right="3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20"/>
          <w:szCs w:val="20"/>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CERTIFICATIONS</w:t>
      </w:r>
    </w:p>
    <w:p>
      <w:pPr>
        <w:spacing w:after="0" w:line="25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I, Thad Trent, certify that:</w:t>
      </w:r>
    </w:p>
    <w:p>
      <w:pPr>
        <w:spacing w:after="0" w:line="252" w:lineRule="exact"/>
        <w:rPr>
          <w:sz w:val="20"/>
          <w:szCs w:val="20"/>
          <w:color w:val="auto"/>
        </w:rPr>
      </w:pPr>
    </w:p>
    <w:p>
      <w:pPr>
        <w:ind w:left="1440" w:hanging="642"/>
        <w:spacing w:after="0"/>
        <w:tabs>
          <w:tab w:leader="none" w:pos="14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ON Semiconductor Corporation;</w:t>
      </w:r>
    </w:p>
    <w:p>
      <w:pPr>
        <w:spacing w:after="0" w:line="252" w:lineRule="exact"/>
        <w:rPr>
          <w:rFonts w:ascii="Times New Roman" w:cs="Times New Roman" w:eastAsia="Times New Roman" w:hAnsi="Times New Roman"/>
          <w:sz w:val="18"/>
          <w:szCs w:val="18"/>
          <w:color w:val="auto"/>
        </w:rPr>
      </w:pPr>
    </w:p>
    <w:p>
      <w:pPr>
        <w:jc w:val="both"/>
        <w:ind w:left="1440" w:hanging="642"/>
        <w:spacing w:after="0" w:line="266" w:lineRule="auto"/>
        <w:tabs>
          <w:tab w:leader="none" w:pos="14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jc w:val="both"/>
        <w:ind w:left="1440" w:right="20" w:hanging="642"/>
        <w:spacing w:after="0" w:line="282" w:lineRule="auto"/>
        <w:tabs>
          <w:tab w:leader="none" w:pos="14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left="1440" w:hanging="642"/>
        <w:spacing w:after="0" w:line="266" w:lineRule="auto"/>
        <w:tabs>
          <w:tab w:leader="none" w:pos="14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ind w:left="1940" w:hanging="494"/>
        <w:spacing w:after="0" w:line="266" w:lineRule="auto"/>
        <w:tabs>
          <w:tab w:leader="none" w:pos="1838" w:val="left"/>
        </w:tabs>
        <w:numPr>
          <w:ilvl w:val="2"/>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ind w:left="1940" w:hanging="494"/>
        <w:spacing w:after="0" w:line="266" w:lineRule="auto"/>
        <w:tabs>
          <w:tab w:leader="none" w:pos="1853" w:val="left"/>
        </w:tabs>
        <w:numPr>
          <w:ilvl w:val="2"/>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left="1940" w:hanging="494"/>
        <w:spacing w:after="0" w:line="266" w:lineRule="auto"/>
        <w:tabs>
          <w:tab w:leader="none" w:pos="1776" w:val="left"/>
        </w:tabs>
        <w:numPr>
          <w:ilvl w:val="2"/>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2" w:lineRule="exact"/>
        <w:rPr>
          <w:rFonts w:ascii="Times New Roman" w:cs="Times New Roman" w:eastAsia="Times New Roman" w:hAnsi="Times New Roman"/>
          <w:sz w:val="18"/>
          <w:szCs w:val="18"/>
          <w:color w:val="auto"/>
        </w:rPr>
      </w:pPr>
    </w:p>
    <w:p>
      <w:pPr>
        <w:ind w:left="1940" w:hanging="526"/>
        <w:spacing w:after="0" w:line="266" w:lineRule="auto"/>
        <w:tabs>
          <w:tab w:leader="none" w:pos="1776"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jc w:val="both"/>
        <w:ind w:left="1440" w:hanging="642"/>
        <w:spacing w:after="0" w:line="266" w:lineRule="auto"/>
        <w:tabs>
          <w:tab w:leader="none" w:pos="14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2" w:lineRule="exact"/>
        <w:rPr>
          <w:rFonts w:ascii="Times New Roman" w:cs="Times New Roman" w:eastAsia="Times New Roman" w:hAnsi="Times New Roman"/>
          <w:sz w:val="18"/>
          <w:szCs w:val="18"/>
          <w:color w:val="auto"/>
        </w:rPr>
      </w:pPr>
    </w:p>
    <w:p>
      <w:pPr>
        <w:ind w:left="1940" w:hanging="526"/>
        <w:spacing w:after="0" w:line="312" w:lineRule="auto"/>
        <w:tabs>
          <w:tab w:leader="none" w:pos="1734" w:val="left"/>
        </w:tabs>
        <w:numPr>
          <w:ilvl w:val="1"/>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6" w:lineRule="exact"/>
        <w:rPr>
          <w:rFonts w:ascii="Times New Roman" w:cs="Times New Roman" w:eastAsia="Times New Roman" w:hAnsi="Times New Roman"/>
          <w:sz w:val="17"/>
          <w:szCs w:val="17"/>
          <w:color w:val="auto"/>
        </w:rPr>
      </w:pPr>
    </w:p>
    <w:p>
      <w:pPr>
        <w:ind w:left="1940" w:hanging="526"/>
        <w:spacing w:after="0" w:line="282" w:lineRule="auto"/>
        <w:tabs>
          <w:tab w:leader="none" w:pos="1791"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43" w:lineRule="exact"/>
        <w:rPr>
          <w:sz w:val="20"/>
          <w:szCs w:val="20"/>
          <w:color w:val="auto"/>
        </w:rPr>
      </w:pPr>
    </w:p>
    <w:p>
      <w:pPr>
        <w:spacing w:after="0"/>
        <w:tabs>
          <w:tab w:leader="none" w:pos="7400" w:val="left"/>
        </w:tabs>
        <w:rPr>
          <w:sz w:val="20"/>
          <w:szCs w:val="20"/>
          <w:color w:val="auto"/>
        </w:rPr>
      </w:pPr>
      <w:r>
        <w:rPr>
          <w:rFonts w:ascii="Times New Roman" w:cs="Times New Roman" w:eastAsia="Times New Roman" w:hAnsi="Times New Roman"/>
          <w:sz w:val="18"/>
          <w:szCs w:val="18"/>
          <w:color w:val="auto"/>
        </w:rPr>
        <w:t>Date: August 4, 2025</w:t>
      </w:r>
      <w:r>
        <w:rPr>
          <w:sz w:val="20"/>
          <w:szCs w:val="20"/>
          <w:color w:val="auto"/>
        </w:rPr>
        <w:tab/>
      </w:r>
      <w:r>
        <w:rPr>
          <w:rFonts w:ascii="Times New Roman" w:cs="Times New Roman" w:eastAsia="Times New Roman" w:hAnsi="Times New Roman"/>
          <w:sz w:val="17"/>
          <w:szCs w:val="17"/>
          <w:color w:val="auto"/>
        </w:rPr>
        <w:t>/s/ THAD TRENT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4698365</wp:posOffset>
            </wp:positionH>
            <wp:positionV relativeFrom="paragraph">
              <wp:posOffset>43180</wp:posOffset>
            </wp:positionV>
            <wp:extent cx="241744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417445" cy="8255"/>
                    </a:xfrm>
                    <a:prstGeom prst="rect">
                      <a:avLst/>
                    </a:prstGeom>
                    <a:noFill/>
                  </pic:spPr>
                </pic:pic>
              </a:graphicData>
            </a:graphic>
          </wp:anchor>
        </w:drawing>
      </w:r>
    </w:p>
    <w:p>
      <w:pPr>
        <w:spacing w:after="0" w:line="70" w:lineRule="exact"/>
        <w:rPr>
          <w:sz w:val="20"/>
          <w:szCs w:val="20"/>
          <w:color w:val="auto"/>
        </w:rPr>
      </w:pPr>
    </w:p>
    <w:p>
      <w:pPr>
        <w:ind w:left="7420"/>
        <w:spacing w:after="0"/>
        <w:rPr>
          <w:sz w:val="20"/>
          <w:szCs w:val="20"/>
          <w:color w:val="auto"/>
        </w:rPr>
      </w:pPr>
      <w:r>
        <w:rPr>
          <w:rFonts w:ascii="Times New Roman" w:cs="Times New Roman" w:eastAsia="Times New Roman" w:hAnsi="Times New Roman"/>
          <w:sz w:val="18"/>
          <w:szCs w:val="18"/>
          <w:color w:val="auto"/>
        </w:rPr>
        <w:t>Thad Trent</w:t>
      </w:r>
    </w:p>
    <w:p>
      <w:pPr>
        <w:spacing w:after="0" w:line="63" w:lineRule="exact"/>
        <w:rPr>
          <w:sz w:val="20"/>
          <w:szCs w:val="20"/>
          <w:color w:val="auto"/>
        </w:rPr>
      </w:pPr>
    </w:p>
    <w:p>
      <w:pPr>
        <w:ind w:left="742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20"/>
          </w:cols>
          <w:pgMar w:left="340" w:top="114" w:right="33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20"/>
          <w:szCs w:val="20"/>
          <w:b w:val="1"/>
          <w:bCs w:val="1"/>
          <w:color w:val="auto"/>
        </w:rPr>
        <w:t>Exhibit 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Pursuant to 18 U.S.C. Section 1350, as adopted pursuant to Section 906</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of the Sarbanes-Oxley Act of 2002</w:t>
      </w:r>
    </w:p>
    <w:p>
      <w:pPr>
        <w:spacing w:after="0" w:line="23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For purposes of Section 1350 of Chapter 63 of Title 18 of the United States Code, as adopted pursuant to Section 906 of the Sarbanes-Oxley Act of 2002, each of the undersigned officers of ON Semiconductor Corporation, a Delaware corporation (the “Company”), does hereby certify, to such officer’s knowledge, that:</w:t>
      </w:r>
    </w:p>
    <w:p>
      <w:pPr>
        <w:spacing w:after="0" w:line="20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The Quarterly Report on Form 10-Q for the fiscal quarter ended July 4, 2025 (the “Form 10-Q”) of the Company fully complies with the requirements of Section 13(a) or 15(d) of the Securities Exchange Act of 1934 (15 U.S.C. 78m or 78o(d)) and information contained in the Form 10-Q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20"/>
        <w:spacing w:after="0"/>
        <w:tabs>
          <w:tab w:leader="none" w:pos="5440" w:val="left"/>
        </w:tabs>
        <w:rPr>
          <w:sz w:val="20"/>
          <w:szCs w:val="20"/>
          <w:color w:val="auto"/>
        </w:rPr>
      </w:pPr>
      <w:r>
        <w:rPr>
          <w:rFonts w:ascii="Times New Roman" w:cs="Times New Roman" w:eastAsia="Times New Roman" w:hAnsi="Times New Roman"/>
          <w:sz w:val="20"/>
          <w:szCs w:val="20"/>
          <w:color w:val="auto"/>
        </w:rPr>
        <w:t>Dated: August 4, 2025</w:t>
      </w:r>
      <w:r>
        <w:rPr>
          <w:sz w:val="20"/>
          <w:szCs w:val="20"/>
          <w:color w:val="auto"/>
        </w:rPr>
        <w:tab/>
      </w:r>
      <w:r>
        <w:rPr>
          <w:rFonts w:ascii="Times New Roman" w:cs="Times New Roman" w:eastAsia="Times New Roman" w:hAnsi="Times New Roman"/>
          <w:sz w:val="19"/>
          <w:szCs w:val="19"/>
          <w:color w:val="auto"/>
        </w:rPr>
        <w:t>/s/ HASSANE EL-KHOURY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3425190</wp:posOffset>
            </wp:positionH>
            <wp:positionV relativeFrom="paragraph">
              <wp:posOffset>40005</wp:posOffset>
            </wp:positionV>
            <wp:extent cx="355727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557270" cy="8890"/>
                    </a:xfrm>
                    <a:prstGeom prst="rect">
                      <a:avLst/>
                    </a:prstGeom>
                    <a:noFill/>
                  </pic:spPr>
                </pic:pic>
              </a:graphicData>
            </a:graphic>
          </wp:anchor>
        </w:drawing>
      </w:r>
    </w:p>
    <w:p>
      <w:pPr>
        <w:spacing w:after="0" w:line="74"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20"/>
          <w:szCs w:val="20"/>
          <w:color w:val="auto"/>
        </w:rPr>
        <w:t>Hassane El-Khoury</w:t>
      </w:r>
    </w:p>
    <w:p>
      <w:pPr>
        <w:spacing w:after="0" w:line="67"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20"/>
          <w:szCs w:val="20"/>
          <w:color w:val="auto"/>
        </w:rPr>
        <w:t>President and Chief Executive Officer</w:t>
      </w:r>
    </w:p>
    <w:p>
      <w:pPr>
        <w:spacing w:after="0" w:line="200" w:lineRule="exact"/>
        <w:rPr>
          <w:sz w:val="20"/>
          <w:szCs w:val="20"/>
          <w:color w:val="auto"/>
        </w:rPr>
      </w:pPr>
    </w:p>
    <w:p>
      <w:pPr>
        <w:spacing w:after="0" w:line="232" w:lineRule="exact"/>
        <w:rPr>
          <w:sz w:val="20"/>
          <w:szCs w:val="20"/>
          <w:color w:val="auto"/>
        </w:rPr>
      </w:pPr>
    </w:p>
    <w:p>
      <w:pPr>
        <w:ind w:left="20"/>
        <w:spacing w:after="0"/>
        <w:tabs>
          <w:tab w:leader="none" w:pos="5400" w:val="left"/>
        </w:tabs>
        <w:rPr>
          <w:sz w:val="20"/>
          <w:szCs w:val="20"/>
          <w:color w:val="auto"/>
        </w:rPr>
      </w:pPr>
      <w:r>
        <w:rPr>
          <w:rFonts w:ascii="Times New Roman" w:cs="Times New Roman" w:eastAsia="Times New Roman" w:hAnsi="Times New Roman"/>
          <w:sz w:val="20"/>
          <w:szCs w:val="20"/>
          <w:color w:val="auto"/>
        </w:rPr>
        <w:t>Dated: August 4, 2025</w:t>
      </w:r>
      <w:r>
        <w:rPr>
          <w:sz w:val="20"/>
          <w:szCs w:val="20"/>
          <w:color w:val="auto"/>
        </w:rPr>
        <w:tab/>
      </w:r>
      <w:r>
        <w:rPr>
          <w:rFonts w:ascii="Times New Roman" w:cs="Times New Roman" w:eastAsia="Times New Roman" w:hAnsi="Times New Roman"/>
          <w:sz w:val="19"/>
          <w:szCs w:val="19"/>
          <w:color w:val="auto"/>
        </w:rPr>
        <w:t>/s/ THAD TRENT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3425190</wp:posOffset>
            </wp:positionH>
            <wp:positionV relativeFrom="paragraph">
              <wp:posOffset>31115</wp:posOffset>
            </wp:positionV>
            <wp:extent cx="355727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61"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20"/>
          <w:szCs w:val="20"/>
          <w:color w:val="auto"/>
        </w:rPr>
        <w:t>Thad Trent</w:t>
      </w:r>
    </w:p>
    <w:p>
      <w:pPr>
        <w:spacing w:after="0" w:line="67"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20"/>
          <w:szCs w:val="20"/>
          <w:color w:val="auto"/>
        </w:rPr>
        <w:t>Executive Vice President,</w:t>
      </w:r>
    </w:p>
    <w:p>
      <w:pPr>
        <w:spacing w:after="0" w:line="67"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20"/>
          <w:szCs w:val="20"/>
          <w:color w:val="auto"/>
        </w:rPr>
        <w:t>Chief Financial Officer and Treasurer</w:t>
      </w:r>
    </w:p>
    <w:sectPr>
      <w:pgSz w:w="11900" w:h="16838" w:orient="portrait"/>
      <w:cols w:equalWidth="0" w:num="1">
        <w:col w:w="11240"/>
      </w:cols>
      <w:pgMar w:left="320" w:top="11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1)"/>
      <w:numFmt w:val="decimal"/>
      <w:start w:val="1"/>
    </w:lvl>
  </w:abstractNum>
  <w:abstractNum w:abstractNumId="3">
    <w:nsid w:val="66EF438D"/>
    <w:multiLevelType w:val="hybridMultilevel"/>
    <w:lvl w:ilvl="0">
      <w:lvlJc w:val="left"/>
      <w:lvlText w:val="(%1)"/>
      <w:numFmt w:val="decimal"/>
      <w:start w:val="1"/>
    </w:lvl>
  </w:abstractNum>
  <w:abstractNum w:abstractNumId="4">
    <w:nsid w:val="140E0F76"/>
    <w:multiLevelType w:val="hybridMultilevel"/>
    <w:lvl w:ilvl="0">
      <w:lvlJc w:val="left"/>
      <w:lvlText w:val="•"/>
      <w:numFmt w:val="bullet"/>
      <w:start w:val="1"/>
    </w:lvl>
  </w:abstractNum>
  <w:abstractNum w:abstractNumId="5">
    <w:nsid w:val="3352255A"/>
    <w:multiLevelType w:val="hybridMultilevel"/>
    <w:lvl w:ilvl="0">
      <w:lvlJc w:val="left"/>
      <w:lvlText w:val="(%1)"/>
      <w:numFmt w:val="decimal"/>
      <w:start w:val="1"/>
    </w:lvl>
  </w:abstractNum>
  <w:abstractNum w:abstractNumId="6">
    <w:nsid w:val="109CF92E"/>
    <w:multiLevelType w:val="hybridMultilevel"/>
    <w:lvl w:ilvl="0">
      <w:lvlJc w:val="left"/>
      <w:lvlText w:val="(%1)"/>
      <w:numFmt w:val="decimal"/>
      <w:start w:val="1"/>
    </w:lvl>
  </w:abstractNum>
  <w:abstractNum w:abstractNumId="7">
    <w:nsid w:val="DED7263"/>
    <w:multiLevelType w:val="hybridMultilevel"/>
    <w:lvl w:ilvl="0">
      <w:lvlJc w:val="left"/>
      <w:lvlText w:val="(%1)"/>
      <w:numFmt w:val="decimal"/>
      <w:start w:val="1"/>
    </w:lvl>
  </w:abstractNum>
  <w:abstractNum w:abstractNumId="8">
    <w:nsid w:val="7FDCC233"/>
    <w:multiLevelType w:val="hybridMultilevel"/>
    <w:lvl w:ilvl="0">
      <w:lvlJc w:val="left"/>
      <w:lvlText w:val="(%1)"/>
      <w:numFmt w:val="decimal"/>
      <w:start w:val="1"/>
    </w:lvl>
  </w:abstractNum>
  <w:abstractNum w:abstractNumId="9">
    <w:nsid w:val="1BEFD79F"/>
    <w:multiLevelType w:val="hybridMultilevel"/>
    <w:lvl w:ilvl="0">
      <w:lvlJc w:val="left"/>
      <w:lvlText w:val="(%1)"/>
      <w:numFmt w:val="decimal"/>
      <w:start w:val="1"/>
    </w:lvl>
  </w:abstractNum>
  <w:abstractNum w:abstractNumId="10">
    <w:nsid w:val="41A7C4C9"/>
    <w:multiLevelType w:val="hybridMultilevel"/>
    <w:lvl w:ilvl="0">
      <w:lvlJc w:val="left"/>
      <w:lvlText w:val="(%1)"/>
      <w:numFmt w:val="decimal"/>
      <w:start w:val="1"/>
    </w:lvl>
  </w:abstractNum>
  <w:abstractNum w:abstractNumId="11">
    <w:nsid w:val="6B68079A"/>
    <w:multiLevelType w:val="hybridMultilevel"/>
    <w:lvl w:ilvl="0">
      <w:lvlJc w:val="left"/>
      <w:lvlText w:val="•"/>
      <w:numFmt w:val="bullet"/>
      <w:start w:val="1"/>
    </w:lvl>
  </w:abstractNum>
  <w:abstractNum w:abstractNumId="12">
    <w:nsid w:val="4E6AFB66"/>
    <w:multiLevelType w:val="hybridMultilevel"/>
    <w:lvl w:ilvl="0">
      <w:lvlJc w:val="left"/>
      <w:lvlText w:val="(%1)"/>
      <w:numFmt w:val="decimal"/>
      <w:start w:val="1"/>
    </w:lvl>
  </w:abstractNum>
  <w:abstractNum w:abstractNumId="13">
    <w:nsid w:val="25E45D32"/>
    <w:multiLevelType w:val="hybridMultilevel"/>
    <w:lvl w:ilvl="0">
      <w:lvlJc w:val="left"/>
      <w:lvlText w:val="*"/>
      <w:numFmt w:val="bullet"/>
      <w:start w:val="1"/>
    </w:lvl>
  </w:abstractNum>
  <w:abstractNum w:abstractNumId="14">
    <w:nsid w:val="519B500D"/>
    <w:multiLevelType w:val="hybridMultilevel"/>
    <w:lvl w:ilvl="0">
      <w:lvlJc w:val="left"/>
      <w:lvlText w:val="†"/>
      <w:numFmt w:val="bullet"/>
      <w:start w:val="1"/>
    </w:lvl>
  </w:abstractNum>
  <w:abstractNum w:abstractNumId="15">
    <w:nsid w:val="431BD7B7"/>
    <w:multiLevelType w:val="hybridMultilevel"/>
    <w:lvl w:ilvl="0">
      <w:lvlJc w:val="left"/>
      <w:lvlText w:val="(%1)"/>
      <w:numFmt w:val="decimal"/>
      <w:start w:val="1"/>
    </w:lvl>
  </w:abstractNum>
  <w:abstractNum w:abstractNumId="16">
    <w:nsid w:val="3F2DBA31"/>
    <w:multiLevelType w:val="hybridMultilevel"/>
    <w:lvl w:ilvl="0">
      <w:lvlJc w:val="left"/>
      <w:lvlText w:val="%1"/>
      <w:numFmt w:val="decimal"/>
      <w:start w:val="1"/>
    </w:lvl>
    <w:lvl w:ilvl="1">
      <w:lvlJc w:val="left"/>
      <w:lvlText w:val="%2."/>
      <w:numFmt w:val="decimal"/>
      <w:start w:val="1"/>
    </w:lvl>
    <w:lvl w:ilvl="2">
      <w:lvlJc w:val="left"/>
      <w:lvlText w:val="%3)"/>
      <w:numFmt w:val="lowerLetter"/>
      <w:start w:val="3"/>
    </w:lvl>
    <w:lvl w:ilvl="3">
      <w:lvlJc w:val="left"/>
      <w:lvlText w:val="%4)"/>
      <w:numFmt w:val="lowerLetter"/>
      <w:start w:val="1"/>
    </w:lvl>
  </w:abstractNum>
  <w:abstractNum w:abstractNumId="17">
    <w:nsid w:val="7C83E458"/>
    <w:multiLevelType w:val="hybridMultilevel"/>
    <w:lvl w:ilvl="0">
      <w:lvlJc w:val="left"/>
      <w:lvlText w:val="%1."/>
      <w:numFmt w:val="decimal"/>
      <w:start w:val="5"/>
    </w:lvl>
    <w:lvl w:ilvl="1">
      <w:lvlJc w:val="left"/>
      <w:lvlText w:val="%2"/>
      <w:numFmt w:val="decimal"/>
      <w:start w:val="1"/>
    </w:lvl>
    <w:lvl w:ilvl="2">
      <w:lvlJc w:val="left"/>
      <w:lvlText w:val="%3)"/>
      <w:numFmt w:val="lowerLetter"/>
      <w:start w:val="1"/>
    </w:lvl>
    <w:lvl w:ilvl="3">
      <w:lvlJc w:val="left"/>
      <w:lvlText w:val="%4"/>
      <w:numFmt w:val="lowerLetter"/>
      <w:start w:val="1"/>
    </w:lvl>
  </w:abstractNum>
  <w:abstractNum w:abstractNumId="18">
    <w:nsid w:val="257130A3"/>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abstractNum>
  <w:abstractNum w:abstractNumId="19">
    <w:nsid w:val="62BBD95A"/>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2025-08-04T10:31:06Z</dcterms:created>
  <dcterms:modified xsi:type="dcterms:W3CDTF">2025-08-04T10:31:06Z</dcterms:modified>
</cp:coreProperties>
</file>